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Konferenza dwar </w:t>
      </w:r>
      <w:r>
        <w:rPr/>
        <w:br/>
        <w:t>il-Futur tal-Ewropa</w:t>
      </w:r>
    </w:p>
    <w:p>
      <w:pPr>
        <w:pStyle w:val="P68B1DB1Normal2"/>
        <w:widowControl w:val="false"/>
        <w:spacing w:lineRule="exact" w:line="557"/>
        <w:ind w:left="56" w:right="1390" w:firstLine="8"/>
        <w:jc w:val="left"/>
        <w:rPr>
          <w:rFonts w:ascii="Arial" w:hAnsi="Arial"/>
          <w:color w:val="0000BE"/>
          <w:sz w:val="44"/>
        </w:rPr>
      </w:pPr>
      <w:r>
        <w:rPr/>
        <w:t xml:space="preserve">RAPPORT TAR-RIŻULTATI FINALI </w:t>
      </w:r>
    </w:p>
    <w:p>
      <w:pPr>
        <w:pStyle w:val="P68B1DB1Normal3"/>
        <w:widowControl w:val="false"/>
        <w:spacing w:lineRule="exact" w:line="557"/>
        <w:ind w:left="56" w:right="1390" w:hanging="0"/>
        <w:jc w:val="left"/>
        <w:rPr>
          <w:rFonts w:ascii="Roboto" w:hAnsi="Roboto"/>
          <w:color w:val="0000BE"/>
          <w:sz w:val="28"/>
        </w:rPr>
      </w:pPr>
      <w:r>
        <w:rPr/>
        <w:t>Mejju 2022</w:t>
      </w:r>
      <w:r>
        <w:rPr>
          <w:rFonts w:ascii="Roboto" w:hAnsi="Roboto"/>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Qafas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Konferenza dwar il-</w:t>
                            </w:r>
                            <w:r>
                              <w:rPr>
                                <w:b/>
                              </w:rPr>
                              <w:t>Futur</w:t>
                            </w:r>
                            <w:r>
                              <w:rPr/>
                              <w:t xml:space="preserve"> tal-</w:t>
                            </w:r>
                            <w:r>
                              <w:rPr>
                                <w:b/>
                              </w:rPr>
                              <w:t>Ewropa</w:t>
                            </w:r>
                          </w:p>
                        </w:txbxContent>
                      </wps:txbx>
                      <wps:bodyPr lIns="54000" rIns="54000" tIns="54000" bIns="54000">
                        <a:noAutofit/>
                      </wps:bodyPr>
                    </wps:wsp>
                  </a:graphicData>
                </a:graphic>
              </wp:anchor>
            </w:drawing>
          </mc:Choice>
          <mc:Fallback>
            <w:pict>
              <v:rect id="shape_0" ID="Qafas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Konferenza dwar il-</w:t>
                      </w:r>
                      <w:r>
                        <w:rPr>
                          <w:b/>
                        </w:rPr>
                        <w:t>Futur</w:t>
                      </w:r>
                      <w:r>
                        <w:rPr/>
                        <w:t xml:space="preserve"> tal-</w:t>
                      </w:r>
                      <w:r>
                        <w:rPr>
                          <w:b/>
                        </w:rPr>
                        <w:t>Ewropa</w:t>
                      </w:r>
                    </w:p>
                  </w:txbxContent>
                </v:textbox>
              </v:rect>
            </w:pict>
          </mc:Fallback>
        </mc:AlternateContent>
      </w:r>
      <w:r>
        <w:rPr>
          <w:color w:val="0000BE"/>
          <w:sz w:val="48"/>
        </w:rPr>
        <w:t>Il-</w:t>
      </w:r>
      <w:r>
        <w:rPr>
          <w:b/>
          <w:color w:val="0000BE"/>
          <w:sz w:val="48"/>
        </w:rPr>
        <w:t>futur</w:t>
      </w:r>
      <w:r>
        <w:rPr>
          <w:color w:val="0000BE"/>
          <w:sz w:val="48"/>
        </w:rPr>
        <w:t xml:space="preserve"> huwa</w:t>
      </w:r>
      <w:r>
        <w:rPr/>
        <w:t xml:space="preserve"> </w:t>
      </w:r>
    </w:p>
    <w:p>
      <w:pPr>
        <w:pStyle w:val="P68B1DB1Normal5"/>
        <w:widowControl w:val="false"/>
        <w:spacing w:lineRule="exact" w:line="576"/>
        <w:ind w:left="51" w:right="0" w:hanging="0"/>
        <w:jc w:val="left"/>
        <w:rPr>
          <w:rFonts w:ascii="Arial" w:hAnsi="Arial"/>
        </w:rPr>
      </w:pPr>
      <w:r>
        <w:rPr/>
        <w:t>F’idejk</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Qafas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Dokument imħejji minn Pierre Dieumegard</w:t>
                            </w:r>
                            <w:r>
                              <w:rPr>
                                <w:color w:val="auto"/>
                              </w:rPr>
                              <w:drawing>
                                <wp:inline distT="0" distB="0" distL="0" distR="0">
                                  <wp:extent cx="2494280" cy="765175"/>
                                  <wp:effectExtent l="0" t="0" r="0" b="0"/>
                                  <wp:docPr id="8"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għall-Ewropa-Demokrazija-Esperanto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L-għan ta’ dan id-dokument “provviżorju” huwa li jippermetti lil aktar nies fl-Unjoni Ewropea jifhmu d-dokumenti prodotti għall-Unjoni Ewropea (u ffinanzjati mill-kontribuzzjonijiet tagħhom). Id- </w:t>
                            </w:r>
                            <w:hyperlink r:id="rId5">
                              <w:r>
                                <w:rPr>
                                  <w:rStyle w:val="LienInternet"/>
                                  <w:rFonts w:ascii="Times New Roman" w:hAnsi="Times New Roman"/>
                                  <w:color w:val="auto"/>
                                  <w:sz w:val="24"/>
                                </w:rPr>
                                <w:t xml:space="preserve">dokument oriġinalibil-Franċiż f’format pdf </w:t>
                              </w:r>
                            </w:hyperlink>
                            <w:r>
                              <w:rPr>
                                <w:rFonts w:ascii="Times New Roman" w:hAnsi="Times New Roman"/>
                                <w:color w:val="auto"/>
                                <w:sz w:val="24"/>
                              </w:rPr>
                              <w:t xml:space="preserve">ġie fformattjat permezz ta’ softwer tal-Libre Office. It-traduzzjoni fil-lingwi uffiċjali kollha tal-Unjoni Ewropea ssir permezz ta’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Għamilna dan ix-xogħol minħabba l-ħtieġa għal multilingwiżmu aħjar fl-Unjoni Ewropea: mingħajr traduzzjonijiet, parti kbira tal-popolazzjoni hija eskluża mid-dibattitu. </w:t>
                            </w:r>
                            <w:r>
                              <w:rPr>
                                <w:b/>
                                <w:color w:val="auto"/>
                              </w:rPr>
                              <w:t>Huwa mixtieq li l-amministrazzjoni tal-Unjoni Ewropea tieħu f’idejha t-traduzzjoni ta’ dokumenti importanti, sabiex l-Ewropej kollha jkunu jistgħu jifhmu xi tfisser dan u jiddiskutu l-futur komuni tagħhom flimkien.</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Għal komunikazzjoni diretta tajba bejn iċ-ċittadini Ewropej, għal traduzzjonijiet affidabbli, il-lingwa internazzjonali tal-Esperanto tkun utli ħafna minħabba s-sempliċità, ir-regolarità u l-preċiżjoni tagħha.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Fuq l-Internet: </w:t>
                            </w:r>
                          </w:p>
                          <w:p>
                            <w:pPr>
                              <w:pStyle w:val="Normal"/>
                              <w:rPr/>
                            </w:pPr>
                            <w:r>
                              <w:rPr>
                                <w:rFonts w:ascii="Times New Roman" w:hAnsi="Times New Roman"/>
                                <w:color w:val="auto"/>
                                <w:sz w:val="24"/>
                              </w:rPr>
                              <w:t xml:space="preserve"> </w:t>
                            </w:r>
                            <w:r>
                              <w:rPr>
                                <w:rFonts w:ascii="Times New Roman" w:hAnsi="Times New Roman"/>
                                <w:color w:val="auto"/>
                                <w:sz w:val="24"/>
                              </w:rPr>
                              <w:t>Federazzjoni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(jew </w:t>
                            </w:r>
                            <w:hyperlink r:id="rId8">
                              <w:r>
                                <w:rPr>
                                  <w:rStyle w:val="LienInternet"/>
                                  <w:rFonts w:ascii="Times New Roman" w:hAnsi="Times New Roman"/>
                                  <w:color w:val="auto"/>
                                  <w:sz w:val="24"/>
                                </w:rPr>
                                <w:t>https://e-d-e.org/</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Assoċjazzjoni Ewropa-Demokrazija-Esperanto (Franza):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Dokumenti Ewropej fil-lingwi uffiċjali kollha: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Meta mqabbel mad-dokument oriġinali, hemm xi bidliet (titjib?): </w:t>
                            </w:r>
                          </w:p>
                          <w:p>
                            <w:pPr>
                              <w:pStyle w:val="P68B1DB1Normal7"/>
                              <w:rPr>
                                <w:rFonts w:ascii="Times New Roman" w:hAnsi="Times New Roman"/>
                                <w:sz w:val="24"/>
                              </w:rPr>
                            </w:pPr>
                            <w:r>
                              <w:rPr>
                                <w:color w:val="auto"/>
                              </w:rPr>
                              <w:t xml:space="preserve">— </w:t>
                            </w:r>
                            <w:r>
                              <w:rPr>
                                <w:color w:val="auto"/>
                              </w:rPr>
                              <w:t>xi żbalji ortografiċi ġew ikkoreġuti. Forsi kien hemm żbalji oħra?</w:t>
                            </w:r>
                          </w:p>
                          <w:p>
                            <w:pPr>
                              <w:pStyle w:val="P68B1DB1Normal7"/>
                              <w:rPr>
                                <w:rFonts w:ascii="Times New Roman" w:hAnsi="Times New Roman"/>
                                <w:sz w:val="24"/>
                              </w:rPr>
                            </w:pPr>
                            <w:r>
                              <w:rPr>
                                <w:color w:val="auto"/>
                              </w:rPr>
                              <w:t xml:space="preserve">— </w:t>
                            </w:r>
                            <w:r>
                              <w:rPr>
                                <w:color w:val="auto"/>
                              </w:rPr>
                              <w:t>it-tqassim ġie armonizzat, u l-paġni kollha huma nnumerati b’mod xieraq (id-dokument inizjali kien tqegħid ħdejn xulxin ta’ fajls pdf separati b’numerazzjoni indipendenti).</w:t>
                            </w:r>
                          </w:p>
                          <w:p>
                            <w:pPr>
                              <w:pStyle w:val="P68B1DB1Normal7"/>
                              <w:rPr>
                                <w:rFonts w:ascii="Times New Roman" w:hAnsi="Times New Roman"/>
                                <w:sz w:val="24"/>
                              </w:rPr>
                            </w:pPr>
                            <w:r>
                              <w:rPr>
                                <w:color w:val="auto"/>
                              </w:rPr>
                              <w:t xml:space="preserve">— </w:t>
                            </w:r>
                            <w:r>
                              <w:rPr>
                                <w:color w:val="auto"/>
                              </w:rPr>
                              <w:t>in-noti finali ġew ittrasformati f’noti ta’ tmiem is-sezzjoni (fil-qiegħ tal-paġni).</w:t>
                            </w:r>
                          </w:p>
                          <w:p>
                            <w:pPr>
                              <w:pStyle w:val="P68B1DB1Normal7"/>
                              <w:spacing w:before="57" w:after="57"/>
                              <w:rPr>
                                <w:color w:val="auto"/>
                              </w:rPr>
                            </w:pPr>
                            <w:r>
                              <w:rPr>
                                <w:color w:val="auto"/>
                              </w:rPr>
                              <w:t xml:space="preserve">— </w:t>
                            </w:r>
                            <w:r>
                              <w:rPr>
                                <w:color w:val="auto"/>
                              </w:rPr>
                              <w:t>dokumenti inizjalment fil-forma ta ‘immaġini ġew trasformati f’tabelli li jiġu faċilment tradotti.</w:t>
                            </w:r>
                          </w:p>
                        </w:txbxContent>
                      </wps:txbx>
                      <wps:bodyPr lIns="54000" rIns="54000" tIns="54000" bIns="54000">
                        <a:noAutofit/>
                      </wps:bodyPr>
                    </wps:wsp>
                  </a:graphicData>
                </a:graphic>
              </wp:anchor>
            </w:drawing>
          </mc:Choice>
          <mc:Fallback>
            <w:pict>
              <v:rect id="shape_0" ID="Qafas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Dokument imħejji minn Pierre Dieumegard</w:t>
                      </w:r>
                      <w:r>
                        <w:rPr>
                          <w:color w:val="auto"/>
                        </w:rPr>
                        <w:drawing>
                          <wp:inline distT="0" distB="0" distL="0" distR="0">
                            <wp:extent cx="2494280" cy="765175"/>
                            <wp:effectExtent l="0" t="0" r="0" b="0"/>
                            <wp:docPr id="9"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għall-Ewropa-Demokrazija-Esperanto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L-għan ta’ dan id-dokument “provviżorju” huwa li jippermetti lil aktar nies fl-Unjoni Ewropea jifhmu d-dokumenti prodotti għall-Unjoni Ewropea (u ffinanzjati mill-kontribuzzjonijiet tagħhom). Id- </w:t>
                      </w:r>
                      <w:hyperlink r:id="rId11">
                        <w:r>
                          <w:rPr>
                            <w:rStyle w:val="LienInternet"/>
                            <w:rFonts w:ascii="Times New Roman" w:hAnsi="Times New Roman"/>
                            <w:color w:val="auto"/>
                            <w:sz w:val="24"/>
                          </w:rPr>
                          <w:t xml:space="preserve">dokument oriġinalibil-Franċiż f’format pdf </w:t>
                        </w:r>
                      </w:hyperlink>
                      <w:r>
                        <w:rPr>
                          <w:rFonts w:ascii="Times New Roman" w:hAnsi="Times New Roman"/>
                          <w:color w:val="auto"/>
                          <w:sz w:val="24"/>
                        </w:rPr>
                        <w:t xml:space="preserve">ġie fformattjat permezz ta’ softwer tal-Libre Office. It-traduzzjoni fil-lingwi uffiċjali kollha tal-Unjoni Ewropea ssir permezz ta’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Għamilna dan ix-xogħol minħabba l-ħtieġa għal multilingwiżmu aħjar fl-Unjoni Ewropea: mingħajr traduzzjonijiet, parti kbira tal-popolazzjoni hija eskluża mid-dibattitu. </w:t>
                      </w:r>
                      <w:r>
                        <w:rPr>
                          <w:b/>
                          <w:color w:val="auto"/>
                        </w:rPr>
                        <w:t>Huwa mixtieq li l-amministrazzjoni tal-Unjoni Ewropea tieħu f’idejha t-traduzzjoni ta’ dokumenti importanti, sabiex l-Ewropej kollha jkunu jistgħu jifhmu xi tfisser dan u jiddiskutu l-futur komuni tagħhom flimkien.</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Għal komunikazzjoni diretta tajba bejn iċ-ċittadini Ewropej, għal traduzzjonijiet affidabbli, il-lingwa internazzjonali tal-Esperanto tkun utli ħafna minħabba s-sempliċità, ir-regolarità u l-preċiżjoni tagħha.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Fuq l-Internet: </w:t>
                      </w:r>
                    </w:p>
                    <w:p>
                      <w:pPr>
                        <w:pStyle w:val="Normal"/>
                        <w:rPr/>
                      </w:pPr>
                      <w:r>
                        <w:rPr>
                          <w:rFonts w:ascii="Times New Roman" w:hAnsi="Times New Roman"/>
                          <w:color w:val="auto"/>
                          <w:sz w:val="24"/>
                        </w:rPr>
                        <w:t xml:space="preserve"> </w:t>
                      </w:r>
                      <w:r>
                        <w:rPr>
                          <w:rFonts w:ascii="Times New Roman" w:hAnsi="Times New Roman"/>
                          <w:color w:val="auto"/>
                          <w:sz w:val="24"/>
                        </w:rPr>
                        <w:t>Federazzjoni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(jew </w:t>
                      </w:r>
                      <w:hyperlink r:id="rId14">
                        <w:r>
                          <w:rPr>
                            <w:rStyle w:val="LienInternet"/>
                            <w:rFonts w:ascii="Times New Roman" w:hAnsi="Times New Roman"/>
                            <w:color w:val="auto"/>
                            <w:sz w:val="24"/>
                          </w:rPr>
                          <w:t>https://e-d-e.org/</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Assoċjazzjoni Ewropa-Demokrazija-Esperanto (Franza):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Dokumenti Ewropej fil-lingwi uffiċjali kollha: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Meta mqabbel mad-dokument oriġinali, hemm xi bidliet (titjib?): </w:t>
                      </w:r>
                    </w:p>
                    <w:p>
                      <w:pPr>
                        <w:pStyle w:val="P68B1DB1Normal7"/>
                        <w:rPr>
                          <w:rFonts w:ascii="Times New Roman" w:hAnsi="Times New Roman"/>
                          <w:sz w:val="24"/>
                        </w:rPr>
                      </w:pPr>
                      <w:r>
                        <w:rPr>
                          <w:color w:val="auto"/>
                        </w:rPr>
                        <w:t xml:space="preserve">— </w:t>
                      </w:r>
                      <w:r>
                        <w:rPr>
                          <w:color w:val="auto"/>
                        </w:rPr>
                        <w:t>xi żbalji ortografiċi ġew ikkoreġuti. Forsi kien hemm żbalji oħra?</w:t>
                      </w:r>
                    </w:p>
                    <w:p>
                      <w:pPr>
                        <w:pStyle w:val="P68B1DB1Normal7"/>
                        <w:rPr>
                          <w:rFonts w:ascii="Times New Roman" w:hAnsi="Times New Roman"/>
                          <w:sz w:val="24"/>
                        </w:rPr>
                      </w:pPr>
                      <w:r>
                        <w:rPr>
                          <w:color w:val="auto"/>
                        </w:rPr>
                        <w:t xml:space="preserve">— </w:t>
                      </w:r>
                      <w:r>
                        <w:rPr>
                          <w:color w:val="auto"/>
                        </w:rPr>
                        <w:t>it-tqassim ġie armonizzat, u l-paġni kollha huma nnumerati b’mod xieraq (id-dokument inizjali kien tqegħid ħdejn xulxin ta’ fajls pdf separati b’numerazzjoni indipendenti).</w:t>
                      </w:r>
                    </w:p>
                    <w:p>
                      <w:pPr>
                        <w:pStyle w:val="P68B1DB1Normal7"/>
                        <w:rPr>
                          <w:rFonts w:ascii="Times New Roman" w:hAnsi="Times New Roman"/>
                          <w:sz w:val="24"/>
                        </w:rPr>
                      </w:pPr>
                      <w:r>
                        <w:rPr>
                          <w:color w:val="auto"/>
                        </w:rPr>
                        <w:t xml:space="preserve">— </w:t>
                      </w:r>
                      <w:r>
                        <w:rPr>
                          <w:color w:val="auto"/>
                        </w:rPr>
                        <w:t>in-noti finali ġew ittrasformati f’noti ta’ tmiem is-sezzjoni (fil-qiegħ tal-paġni).</w:t>
                      </w:r>
                    </w:p>
                    <w:p>
                      <w:pPr>
                        <w:pStyle w:val="P68B1DB1Normal7"/>
                        <w:spacing w:before="57" w:after="57"/>
                        <w:rPr>
                          <w:color w:val="auto"/>
                        </w:rPr>
                      </w:pPr>
                      <w:r>
                        <w:rPr>
                          <w:color w:val="auto"/>
                        </w:rPr>
                        <w:t xml:space="preserve">— </w:t>
                      </w:r>
                      <w:r>
                        <w:rPr>
                          <w:color w:val="auto"/>
                        </w:rPr>
                        <w:t>dokumenti inizjalment fil-forma ta ‘immaġini ġew trasformati f’tabelli li jiġu faċilment tradotti.</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Tabella ta’ Kontenut</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L-arkitettura tal-konferenza</w:t>
              <w:tab/>
              <w:t>7</w:t>
            </w:r>
          </w:hyperlink>
        </w:p>
        <w:p>
          <w:pPr>
            <w:pStyle w:val="Tabledesmatiresniveau2"/>
            <w:tabs>
              <w:tab w:val="right" w:pos="9638" w:leader="dot"/>
            </w:tabs>
            <w:rPr/>
          </w:pPr>
          <w:hyperlink w:anchor="__RefHeading___Toc298048_1346298689">
            <w:r>
              <w:rPr>
                <w:rStyle w:val="Sautdindex"/>
              </w:rPr>
              <w:t>1. Dikjarazzjoni Konġunta</w:t>
              <w:tab/>
              <w:t>8</w:t>
            </w:r>
          </w:hyperlink>
        </w:p>
        <w:p>
          <w:pPr>
            <w:pStyle w:val="Tabledesmatiresniveau2"/>
            <w:tabs>
              <w:tab w:val="right" w:pos="9638" w:leader="dot"/>
            </w:tabs>
            <w:rPr/>
          </w:pPr>
          <w:hyperlink w:anchor="__RefHeading___Toc298050_1346298689">
            <w:r>
              <w:rPr>
                <w:rStyle w:val="Sautdindex"/>
              </w:rPr>
              <w:t>2. Regoli ta’ proċedura</w:t>
              <w:tab/>
              <w:t>9</w:t>
            </w:r>
          </w:hyperlink>
        </w:p>
        <w:p>
          <w:pPr>
            <w:pStyle w:val="Tabledesmatiresniveau2"/>
            <w:tabs>
              <w:tab w:val="right" w:pos="9638" w:leader="dot"/>
            </w:tabs>
            <w:rPr/>
          </w:pPr>
          <w:hyperlink w:anchor="__RefHeading___Toc298052_1346298689">
            <w:r>
              <w:rPr>
                <w:rStyle w:val="Sautdindex"/>
              </w:rPr>
              <w:t>3. Avvenimenti relatati mal-konferenza</w:t>
              <w:tab/>
              <w:t>9</w:t>
            </w:r>
          </w:hyperlink>
        </w:p>
        <w:p>
          <w:pPr>
            <w:pStyle w:val="Tabledesmatiresniveau2"/>
            <w:tabs>
              <w:tab w:val="right" w:pos="9638" w:leader="dot"/>
            </w:tabs>
            <w:rPr/>
          </w:pPr>
          <w:hyperlink w:anchor="__RefHeading___Toc298054_1346298689">
            <w:r>
              <w:rPr>
                <w:rStyle w:val="Sautdindex"/>
              </w:rPr>
              <w:t>4. Implimentazzjoni tal-pjattaforma diġitali multilingwi</w:t>
              <w:tab/>
              <w:t>9</w:t>
            </w:r>
          </w:hyperlink>
        </w:p>
        <w:p>
          <w:pPr>
            <w:pStyle w:val="Tabledesmatiresniveau2"/>
            <w:tabs>
              <w:tab w:val="right" w:pos="9638" w:leader="dot"/>
            </w:tabs>
            <w:rPr/>
          </w:pPr>
          <w:hyperlink w:anchor="__RefHeading___Toc298056_1346298689">
            <w:r>
              <w:rPr>
                <w:rStyle w:val="Sautdindex"/>
              </w:rPr>
              <w:t>5. Il-Panels taċ-Ċittadini Ewropej</w:t>
              <w:tab/>
              <w:t>10</w:t>
            </w:r>
          </w:hyperlink>
        </w:p>
        <w:p>
          <w:pPr>
            <w:pStyle w:val="Tabledesmatiresniveau2"/>
            <w:tabs>
              <w:tab w:val="right" w:pos="9638" w:leader="dot"/>
            </w:tabs>
            <w:rPr/>
          </w:pPr>
          <w:hyperlink w:anchor="__RefHeading___Toc298058_1346298689">
            <w:r>
              <w:rPr>
                <w:rStyle w:val="Sautdindex"/>
              </w:rPr>
              <w:t>6. Il-Panels Nazzjonali taċ-Ċittadini</w:t>
              <w:tab/>
              <w:t>10</w:t>
            </w:r>
          </w:hyperlink>
        </w:p>
        <w:p>
          <w:pPr>
            <w:pStyle w:val="Tabledesmatiresniveau1"/>
            <w:tabs>
              <w:tab w:val="right" w:pos="9638" w:leader="dot"/>
            </w:tabs>
            <w:rPr/>
          </w:pPr>
          <w:hyperlink w:anchor="__RefHeading___Toc298188_1346298689">
            <w:r>
              <w:rPr>
                <w:rStyle w:val="Sautdindex"/>
              </w:rPr>
              <w:t>LE, L-EBDA, L-EBDA. Il-kontribuzzjonijiet taċ-ċittadini għall-konferenza</w:t>
              <w:tab/>
              <w:t>11</w:t>
            </w:r>
          </w:hyperlink>
        </w:p>
        <w:p>
          <w:pPr>
            <w:pStyle w:val="Tabledesmatiresniveau2"/>
            <w:tabs>
              <w:tab w:val="right" w:pos="9638" w:leader="dot"/>
            </w:tabs>
            <w:rPr/>
          </w:pPr>
          <w:hyperlink w:anchor="__RefHeading___Toc298190_1346298689">
            <w:r>
              <w:rPr>
                <w:rStyle w:val="Sautdindex"/>
              </w:rPr>
              <w:t>A. Pjattaforma diġitali multilingwi</w:t>
              <w:tab/>
              <w:t>12</w:t>
            </w:r>
          </w:hyperlink>
        </w:p>
        <w:p>
          <w:pPr>
            <w:pStyle w:val="Tabledesmatiresniveau2"/>
            <w:tabs>
              <w:tab w:val="right" w:pos="9638" w:leader="dot"/>
            </w:tabs>
            <w:rPr/>
          </w:pPr>
          <w:hyperlink w:anchor="__RefHeading___Toc298192_1346298689">
            <w:r>
              <w:rPr>
                <w:rStyle w:val="Sautdindex"/>
              </w:rPr>
              <w:t>B. Panels taċ-Ċittadini</w:t>
              <w:tab/>
              <w:t>17</w:t>
            </w:r>
          </w:hyperlink>
        </w:p>
        <w:p>
          <w:pPr>
            <w:pStyle w:val="Tabledesmatiresniveau2"/>
            <w:tabs>
              <w:tab w:val="right" w:pos="9638" w:leader="dot"/>
            </w:tabs>
            <w:rPr/>
          </w:pPr>
          <w:hyperlink w:anchor="__RefHeading___Toc298228_1346298689">
            <w:r>
              <w:rPr>
                <w:rStyle w:val="Sautdindex"/>
              </w:rPr>
              <w:t>C. Avvenimenti organizzati fil-qafas tal-konferenza</w:t>
              <w:tab/>
              <w:t>27</w:t>
            </w:r>
          </w:hyperlink>
        </w:p>
        <w:p>
          <w:pPr>
            <w:pStyle w:val="Tabledesmatiresniveau1"/>
            <w:tabs>
              <w:tab w:val="right" w:pos="9638" w:leader="dot"/>
            </w:tabs>
            <w:rPr/>
          </w:pPr>
          <w:hyperlink w:anchor="__RefHeading___Toc298238_1346298689">
            <w:r>
              <w:rPr>
                <w:rStyle w:val="Sautdindex"/>
              </w:rPr>
              <w:t>III. L-Assemblea Plenarja tal-Konferenza</w:t>
              <w:tab/>
              <w:t>36</w:t>
            </w:r>
          </w:hyperlink>
        </w:p>
        <w:p>
          <w:pPr>
            <w:pStyle w:val="Tabledesmatiresniveau2"/>
            <w:tabs>
              <w:tab w:val="right" w:pos="9638" w:leader="dot"/>
            </w:tabs>
            <w:rPr/>
          </w:pPr>
          <w:hyperlink w:anchor="__RefHeading___Toc298240_1346298689">
            <w:r>
              <w:rPr>
                <w:rStyle w:val="Sautdindex"/>
              </w:rPr>
              <w:t>A. Ir-rwol u l-funzjonament tal-Assemblea Plenarja</w:t>
              <w:tab/>
              <w:t>37</w:t>
            </w:r>
          </w:hyperlink>
        </w:p>
        <w:p>
          <w:pPr>
            <w:pStyle w:val="Tabledesmatiresniveau2"/>
            <w:tabs>
              <w:tab w:val="right" w:pos="9638" w:leader="dot"/>
            </w:tabs>
            <w:rPr/>
          </w:pPr>
          <w:hyperlink w:anchor="__RefHeading___Toc298242_1346298689">
            <w:r>
              <w:rPr>
                <w:rStyle w:val="Sautdindex"/>
              </w:rPr>
              <w:t>B. Gruppi ta’ ħidma</w:t>
              <w:tab/>
              <w:t>38</w:t>
            </w:r>
          </w:hyperlink>
        </w:p>
        <w:p>
          <w:pPr>
            <w:pStyle w:val="Tabledesmatiresniveau2"/>
            <w:tabs>
              <w:tab w:val="right" w:pos="9638" w:leader="dot"/>
            </w:tabs>
            <w:rPr/>
          </w:pPr>
          <w:hyperlink w:anchor="__RefHeading___Toc298244_1346298689">
            <w:r>
              <w:rPr>
                <w:rStyle w:val="Sautdindex"/>
              </w:rPr>
              <w:t>C. Sommarju kronoloġiku</w:t>
              <w:tab/>
              <w:t>39</w:t>
            </w:r>
          </w:hyperlink>
        </w:p>
        <w:p>
          <w:pPr>
            <w:pStyle w:val="Tabledesmatiresniveau1"/>
            <w:tabs>
              <w:tab w:val="right" w:pos="9638" w:leader="dot"/>
            </w:tabs>
            <w:rPr/>
          </w:pPr>
          <w:hyperlink w:anchor="__RefHeading___Toc298246_1346298689">
            <w:r>
              <w:rPr>
                <w:rStyle w:val="Sautdindex"/>
              </w:rPr>
              <w:t>IV. Il-proposti tal-Assemblea Plenarja</w:t>
              <w:tab/>
              <w:t>45</w:t>
            </w:r>
          </w:hyperlink>
        </w:p>
        <w:p>
          <w:pPr>
            <w:pStyle w:val="Tabledesmatiresniveau2"/>
            <w:tabs>
              <w:tab w:val="right" w:pos="9638" w:leader="dot"/>
            </w:tabs>
            <w:rPr/>
          </w:pPr>
          <w:hyperlink w:anchor="__RefHeading___Toc298248_1346298689">
            <w:r>
              <w:rPr>
                <w:rStyle w:val="Sautdindex"/>
              </w:rPr>
              <w:t>It-tibdil fil-klima u l-ambjent</w:t>
              <w:tab/>
              <w:t>46</w:t>
            </w:r>
          </w:hyperlink>
        </w:p>
        <w:p>
          <w:pPr>
            <w:pStyle w:val="Tabledesmatiresniveau2"/>
            <w:tabs>
              <w:tab w:val="right" w:pos="9638" w:leader="dot"/>
            </w:tabs>
            <w:rPr/>
          </w:pPr>
          <w:hyperlink w:anchor="__RefHeading___Toc298272_1346298689">
            <w:r>
              <w:rPr>
                <w:rStyle w:val="Sautdindex"/>
              </w:rPr>
              <w:t>“</w:t>
            </w:r>
            <w:r>
              <w:rPr>
                <w:rStyle w:val="Sautdindex"/>
              </w:rPr>
              <w:t>Saħħa”</w:t>
              <w:tab/>
              <w:t>52</w:t>
            </w:r>
          </w:hyperlink>
        </w:p>
        <w:p>
          <w:pPr>
            <w:pStyle w:val="Tabledesmatiresniveau2"/>
            <w:tabs>
              <w:tab w:val="right" w:pos="9638" w:leader="dot"/>
            </w:tabs>
            <w:rPr/>
          </w:pPr>
          <w:hyperlink w:anchor="__RefHeading___Toc298288_1346298689">
            <w:r>
              <w:rPr>
                <w:rStyle w:val="Sautdindex"/>
              </w:rPr>
              <w:t>Ekonomija Aktar b’Saħħitha, Ġustizzja Soċjali u Impjiegi</w:t>
              <w:tab/>
              <w:t>56</w:t>
            </w:r>
          </w:hyperlink>
        </w:p>
        <w:p>
          <w:pPr>
            <w:pStyle w:val="Tabledesmatiresniveau2"/>
            <w:tabs>
              <w:tab w:val="right" w:pos="9638" w:leader="dot"/>
            </w:tabs>
            <w:rPr/>
          </w:pPr>
          <w:hyperlink w:anchor="__RefHeading___Toc298302_1346298689">
            <w:r>
              <w:rPr>
                <w:rStyle w:val="Sautdindex"/>
              </w:rPr>
              <w:t>“</w:t>
            </w:r>
            <w:r>
              <w:rPr>
                <w:rStyle w:val="Sautdindex"/>
              </w:rPr>
              <w:t>L-UE fid-dinja”</w:t>
              <w:tab/>
              <w:t>65</w:t>
            </w:r>
          </w:hyperlink>
        </w:p>
        <w:p>
          <w:pPr>
            <w:pStyle w:val="Tabledesmatiresniveau2"/>
            <w:tabs>
              <w:tab w:val="right" w:pos="9638" w:leader="dot"/>
            </w:tabs>
            <w:rPr/>
          </w:pPr>
          <w:hyperlink w:anchor="__RefHeading___Toc298320_1346298689">
            <w:r>
              <w:rPr>
                <w:rStyle w:val="Sautdindex"/>
              </w:rPr>
              <w:t>Valuri u drittijiet, stat tad-dritt, sigurtà</w:t>
              <w:tab/>
              <w:t>72</w:t>
            </w:r>
          </w:hyperlink>
        </w:p>
        <w:p>
          <w:pPr>
            <w:pStyle w:val="Tabledesmatiresniveau2"/>
            <w:tabs>
              <w:tab w:val="right" w:pos="9638" w:leader="dot"/>
            </w:tabs>
            <w:rPr/>
          </w:pPr>
          <w:hyperlink w:anchor="__RefHeading___Toc298334_1346298689">
            <w:r>
              <w:rPr>
                <w:rStyle w:val="Sautdindex"/>
              </w:rPr>
              <w:t>“</w:t>
            </w:r>
            <w:r>
              <w:rPr>
                <w:rStyle w:val="Sautdindex"/>
              </w:rPr>
              <w:t>Trasformazzjoni Diġitali”</w:t>
              <w:tab/>
              <w:t>77</w:t>
            </w:r>
          </w:hyperlink>
        </w:p>
        <w:p>
          <w:pPr>
            <w:pStyle w:val="Tabledesmatiresniveau2"/>
            <w:tabs>
              <w:tab w:val="right" w:pos="9638" w:leader="dot"/>
            </w:tabs>
            <w:rPr/>
          </w:pPr>
          <w:hyperlink w:anchor="__RefHeading___Toc298346_1346298689">
            <w:r>
              <w:rPr>
                <w:rStyle w:val="Sautdindex"/>
              </w:rPr>
              <w:t>“</w:t>
            </w:r>
            <w:r>
              <w:rPr>
                <w:rStyle w:val="Sautdindex"/>
              </w:rPr>
              <w:t>Demokrazija Ewropea”</w:t>
              <w:tab/>
              <w:t>82</w:t>
            </w:r>
          </w:hyperlink>
        </w:p>
        <w:p>
          <w:pPr>
            <w:pStyle w:val="Tabledesmatiresniveau2"/>
            <w:tabs>
              <w:tab w:val="right" w:pos="9638" w:leader="dot"/>
            </w:tabs>
            <w:rPr/>
          </w:pPr>
          <w:hyperlink w:anchor="__RefHeading___Toc298358_1346298689">
            <w:r>
              <w:rPr>
                <w:rStyle w:val="Sautdindex"/>
              </w:rPr>
              <w:t>“</w:t>
            </w:r>
            <w:r>
              <w:rPr>
                <w:rStyle w:val="Sautdindex"/>
              </w:rPr>
              <w:t>Migrazzjonijiet”</w:t>
              <w:tab/>
              <w:t>88</w:t>
            </w:r>
          </w:hyperlink>
        </w:p>
        <w:p>
          <w:pPr>
            <w:pStyle w:val="Tabledesmatiresniveau2"/>
            <w:tabs>
              <w:tab w:val="right" w:pos="9638" w:leader="dot"/>
            </w:tabs>
            <w:rPr/>
          </w:pPr>
          <w:hyperlink w:anchor="__RefHeading___Toc298370_1346298689">
            <w:r>
              <w:rPr>
                <w:rStyle w:val="Sautdindex"/>
              </w:rPr>
              <w:t>L-edukazzjoni, il-kultura, iż-żgħażagħ u l-isport</w:t>
              <w:tab/>
              <w:t>92</w:t>
            </w:r>
          </w:hyperlink>
        </w:p>
        <w:p>
          <w:pPr>
            <w:pStyle w:val="Tabledesmatiresniveau1"/>
            <w:tabs>
              <w:tab w:val="right" w:pos="9638" w:leader="dot"/>
            </w:tabs>
            <w:rPr/>
          </w:pPr>
          <w:hyperlink w:anchor="__RefHeading___Toc298380_1346298689">
            <w:r>
              <w:rPr>
                <w:rStyle w:val="Sautdindex"/>
              </w:rPr>
              <w:t>Kunsiderazzjonijiet Finali tal-Bord Eżekuttiv</w:t>
              <w:tab/>
              <w:t>96</w:t>
            </w:r>
          </w:hyperlink>
        </w:p>
        <w:p>
          <w:pPr>
            <w:pStyle w:val="Tabledesmatiresniveau1"/>
            <w:tabs>
              <w:tab w:val="right" w:pos="9638" w:leader="dot"/>
            </w:tabs>
            <w:rPr/>
          </w:pPr>
          <w:hyperlink w:anchor="__RefHeading___Toc297141_1346298689">
            <w:r>
              <w:rPr>
                <w:rStyle w:val="Sautdindex"/>
              </w:rPr>
              <w:t>Anness I — Rakkomandazzjonijiet tal-erba’ Panels taċ-Ċittadini Ewropej</w:t>
              <w:tab/>
              <w:t>99</w:t>
            </w:r>
          </w:hyperlink>
        </w:p>
        <w:p>
          <w:pPr>
            <w:pStyle w:val="Tabledesmatiresniveau2"/>
            <w:tabs>
              <w:tab w:val="right" w:pos="9638" w:leader="dot"/>
            </w:tabs>
            <w:rPr/>
          </w:pPr>
          <w:hyperlink w:anchor="__RefHeading___Toc297143_1346298689">
            <w:r>
              <w:rPr>
                <w:rStyle w:val="Sautdindex"/>
              </w:rPr>
              <w:t>Panel taċ-Ċittadini Ewropej 1: Ekonomija Aktar b’Saħħitha, Ġustizzja Soċjali u Impjiegi/Edukazzjoni, Kultura, Żgħażagħ u Sport/Trasformazzjoni Diġitali</w:t>
              <w:tab/>
              <w:t>100</w:t>
            </w:r>
          </w:hyperlink>
        </w:p>
        <w:p>
          <w:pPr>
            <w:pStyle w:val="Tabledesmatiresniveau2"/>
            <w:tabs>
              <w:tab w:val="right" w:pos="9638" w:leader="dot"/>
            </w:tabs>
            <w:rPr/>
          </w:pPr>
          <w:hyperlink w:anchor="__RefHeading___Toc297195_1346298689">
            <w:r>
              <w:rPr>
                <w:rStyle w:val="Sautdindex"/>
              </w:rPr>
              <w:t>Panel taċ-Ċittadini Ewropej 2: “Id-demokrazija Ewropea; valuri u drittijiet, stat tad-dritt, sigurtà</w:t>
              <w:tab/>
              <w:t>117</w:t>
            </w:r>
          </w:hyperlink>
        </w:p>
        <w:p>
          <w:pPr>
            <w:pStyle w:val="Tabledesmatiresniveau2"/>
            <w:tabs>
              <w:tab w:val="right" w:pos="9638" w:leader="dot"/>
            </w:tabs>
            <w:rPr/>
          </w:pPr>
          <w:hyperlink w:anchor="__RefHeading___Toc297245_1346298689">
            <w:r>
              <w:rPr>
                <w:rStyle w:val="Sautdindex"/>
              </w:rPr>
              <w:t>Panel taċ-Ċittadini Ewropej 3: It-Tibdil fil-Klima u l-Ambjent/is-Saħħa</w:t>
              <w:tab/>
              <w:t>130</w:t>
            </w:r>
          </w:hyperlink>
        </w:p>
        <w:p>
          <w:pPr>
            <w:pStyle w:val="Tabledesmatiresniveau2"/>
            <w:tabs>
              <w:tab w:val="right" w:pos="9638" w:leader="dot"/>
            </w:tabs>
            <w:rPr/>
          </w:pPr>
          <w:hyperlink w:anchor="__RefHeading___Toc297297_1346298689">
            <w:r>
              <w:rPr>
                <w:rStyle w:val="Sautdindex"/>
              </w:rPr>
              <w:t>Panel taċ-Ċittadini Ewropej 4: “L-UE fid-Dinja/Migrazzjoni”</w:t>
              <w:tab/>
              <w:t>147</w:t>
            </w:r>
          </w:hyperlink>
        </w:p>
        <w:p>
          <w:pPr>
            <w:pStyle w:val="Tabledesmatiresniveau1"/>
            <w:tabs>
              <w:tab w:val="right" w:pos="9638" w:leader="dot"/>
            </w:tabs>
            <w:rPr/>
          </w:pPr>
          <w:hyperlink w:anchor="__RefHeading___Toc297345_1346298689">
            <w:r>
              <w:rPr>
                <w:rStyle w:val="Sautdindex"/>
              </w:rPr>
              <w:t>II A — Bordijiet Nazzjonali: Il-Belġju</w:t>
              <w:tab/>
              <w:t>160</w:t>
            </w:r>
          </w:hyperlink>
        </w:p>
        <w:p>
          <w:pPr>
            <w:pStyle w:val="Tabledesmatiresniveau1"/>
            <w:tabs>
              <w:tab w:val="right" w:pos="9638" w:leader="dot"/>
            </w:tabs>
            <w:rPr/>
          </w:pPr>
          <w:hyperlink w:anchor="__RefHeading___Toc297349_1346298689">
            <w:r>
              <w:rPr>
                <w:rStyle w:val="Sautdindex"/>
              </w:rPr>
              <w:t>II B Bordijiet Nazzjonali: Franza</w:t>
              <w:tab/>
              <w:t>175</w:t>
            </w:r>
          </w:hyperlink>
        </w:p>
        <w:p>
          <w:pPr>
            <w:pStyle w:val="Tabledesmatiresniveau2"/>
            <w:tabs>
              <w:tab w:val="right" w:pos="9638" w:leader="dot"/>
            </w:tabs>
            <w:rPr/>
          </w:pPr>
          <w:hyperlink w:anchor="__RefHeading___Toc300448_1346298689">
            <w:r>
              <w:rPr>
                <w:rStyle w:val="Sautdindex"/>
              </w:rPr>
              <w:t>Introduzzjoni</w:t>
              <w:tab/>
              <w:t>178</w:t>
            </w:r>
          </w:hyperlink>
        </w:p>
        <w:p>
          <w:pPr>
            <w:pStyle w:val="Tabledesmatiresniveau2"/>
            <w:tabs>
              <w:tab w:val="right" w:pos="9638" w:leader="dot"/>
            </w:tabs>
            <w:rPr/>
          </w:pPr>
          <w:hyperlink w:anchor="__RefHeading___Toc300450_1346298689">
            <w:r>
              <w:rPr>
                <w:rStyle w:val="Sautdindex"/>
              </w:rPr>
              <w:t>Preżentazzjoni tar-riżultati ewlenin</w:t>
              <w:tab/>
              <w:t>181</w:t>
            </w:r>
          </w:hyperlink>
        </w:p>
        <w:p>
          <w:pPr>
            <w:pStyle w:val="Tabledesmatiresniveau2"/>
            <w:tabs>
              <w:tab w:val="right" w:pos="9638" w:leader="dot"/>
            </w:tabs>
            <w:rPr/>
          </w:pPr>
          <w:hyperlink w:anchor="__RefHeading___Toc300452_1346298689">
            <w:r>
              <w:rPr>
                <w:rStyle w:val="Sautdindex"/>
              </w:rPr>
              <w:t>Preżentazzjoni tal-panels tal-konferenzi reġjonali</w:t>
              <w:tab/>
              <w:t>183</w:t>
            </w:r>
          </w:hyperlink>
        </w:p>
        <w:p>
          <w:pPr>
            <w:pStyle w:val="Tabledesmatiresniveau2"/>
            <w:tabs>
              <w:tab w:val="right" w:pos="9638" w:leader="dot"/>
            </w:tabs>
            <w:rPr/>
          </w:pPr>
          <w:hyperlink w:anchor="__RefHeading___Toc300454_1346298689">
            <w:r>
              <w:rPr>
                <w:rStyle w:val="Sautdindex"/>
              </w:rPr>
              <w:t>Impenji metodoloġiċi u preġudizzji</w:t>
              <w:tab/>
              <w:t>185</w:t>
            </w:r>
          </w:hyperlink>
        </w:p>
        <w:p>
          <w:pPr>
            <w:pStyle w:val="Tabledesmatiresniveau2"/>
            <w:tabs>
              <w:tab w:val="right" w:pos="9638" w:leader="dot"/>
            </w:tabs>
            <w:rPr/>
          </w:pPr>
          <w:hyperlink w:anchor="__RefHeading___Toc297351_1346298689">
            <w:r>
              <w:rPr>
                <w:rStyle w:val="Sautdindex"/>
              </w:rPr>
              <w:t>It-tieni parti: preżentazzjoni tar-riżultati tal-konsultazzjoni “Kliem għaż-Żgħażagħ”</w:t>
              <w:tab/>
              <w:t>201</w:t>
            </w:r>
          </w:hyperlink>
        </w:p>
        <w:p>
          <w:pPr>
            <w:pStyle w:val="Tabledesmatiresniveau2"/>
            <w:tabs>
              <w:tab w:val="right" w:pos="9638" w:leader="dot"/>
            </w:tabs>
            <w:rPr/>
          </w:pPr>
          <w:hyperlink w:anchor="__RefHeading___Toc300458_1346298689">
            <w:r>
              <w:rPr>
                <w:rStyle w:val="Sautdindex"/>
              </w:rPr>
              <w:t>Konklużjoni</w:t>
              <w:tab/>
              <w:t>205</w:t>
            </w:r>
          </w:hyperlink>
        </w:p>
        <w:p>
          <w:pPr>
            <w:pStyle w:val="Tabledesmatiresniveau1"/>
            <w:tabs>
              <w:tab w:val="right" w:pos="9638" w:leader="dot"/>
            </w:tabs>
            <w:rPr/>
          </w:pPr>
          <w:hyperlink w:anchor="__RefHeading___Toc297353_1346298689">
            <w:r>
              <w:rPr>
                <w:rStyle w:val="Sautdindex"/>
              </w:rPr>
              <w:t>II C Bordijiet Nazzjonali: Il-Ġermanja</w:t>
              <w:tab/>
              <w:t>206</w:t>
            </w:r>
          </w:hyperlink>
        </w:p>
        <w:p>
          <w:pPr>
            <w:pStyle w:val="Tabledesmatiresniveau1"/>
            <w:tabs>
              <w:tab w:val="right" w:pos="9638" w:leader="dot"/>
            </w:tabs>
            <w:rPr/>
          </w:pPr>
          <w:hyperlink w:anchor="__RefHeading___Toc297355_1346298689">
            <w:r>
              <w:rPr>
                <w:rStyle w:val="Sautdindex"/>
              </w:rPr>
              <w:t>II D Bordijiet Nazzjonali: L-Italja</w:t>
              <w:tab/>
              <w:t>212</w:t>
            </w:r>
          </w:hyperlink>
        </w:p>
        <w:p>
          <w:pPr>
            <w:pStyle w:val="Tabledesmatiresniveau2"/>
            <w:tabs>
              <w:tab w:val="right" w:pos="9638" w:leader="dot"/>
            </w:tabs>
            <w:rPr/>
          </w:pPr>
          <w:hyperlink w:anchor="__RefHeading___Toc300314_1346298689">
            <w:r>
              <w:rPr>
                <w:rStyle w:val="Sautdindex"/>
              </w:rPr>
              <w:t>4. Programm ta’ ħidma</w:t>
              <w:tab/>
              <w:t>218</w:t>
            </w:r>
          </w:hyperlink>
        </w:p>
        <w:p>
          <w:pPr>
            <w:pStyle w:val="Tabledesmatiresniveau2"/>
            <w:tabs>
              <w:tab w:val="right" w:pos="9638" w:leader="dot"/>
            </w:tabs>
            <w:rPr/>
          </w:pPr>
          <w:hyperlink w:anchor="__RefHeading___Toc300322_1346298689">
            <w:r>
              <w:rPr>
                <w:rStyle w:val="Sautdindex"/>
              </w:rPr>
              <w:t>6. Evalwazzjoni finali mill-parteċipanti</w:t>
              <w:tab/>
              <w:t>227</w:t>
            </w:r>
          </w:hyperlink>
        </w:p>
        <w:p>
          <w:pPr>
            <w:pStyle w:val="Tabledesmatiresniveau1"/>
            <w:tabs>
              <w:tab w:val="right" w:pos="9638" w:leader="dot"/>
            </w:tabs>
            <w:rPr/>
          </w:pPr>
          <w:hyperlink w:anchor="__RefHeading___Toc298382_1346298689">
            <w:r>
              <w:rPr>
                <w:rStyle w:val="Sautdindex"/>
              </w:rPr>
              <w:t>II E Bordijiet Nazzjonali: Il-Litwanja</w:t>
              <w:tab/>
              <w:t>230</w:t>
            </w:r>
          </w:hyperlink>
        </w:p>
        <w:p>
          <w:pPr>
            <w:pStyle w:val="Tabledesmatiresniveau1"/>
            <w:tabs>
              <w:tab w:val="right" w:pos="9638" w:leader="dot"/>
            </w:tabs>
            <w:rPr/>
          </w:pPr>
          <w:hyperlink w:anchor="__RefHeading___Toc297357_1346298689">
            <w:r>
              <w:rPr>
                <w:rStyle w:val="Sautdindex"/>
              </w:rPr>
              <w:t>II F Panels Nazzjonali: In-Netherlands</w:t>
              <w:tab/>
              <w:t>238</w:t>
            </w:r>
          </w:hyperlink>
        </w:p>
        <w:p>
          <w:pPr>
            <w:pStyle w:val="Tabledesmatiresniveau1"/>
            <w:tabs>
              <w:tab w:val="right" w:pos="9638" w:leader="dot"/>
            </w:tabs>
            <w:rPr/>
          </w:pPr>
          <w:hyperlink w:anchor="__RefHeading___Toc297359_1346298689">
            <w:r>
              <w:rPr>
                <w:rStyle w:val="Sautdindex"/>
              </w:rPr>
              <w:t>III — Referenzi għar-riżultati tal-avvenimenti nazzjonali</w:t>
              <w:tab/>
              <w:t>291</w:t>
            </w:r>
          </w:hyperlink>
        </w:p>
        <w:p>
          <w:pPr>
            <w:pStyle w:val="Tabledesmatiresniveau1"/>
            <w:tabs>
              <w:tab w:val="right" w:pos="9638" w:leader="dot"/>
            </w:tabs>
            <w:rPr/>
          </w:pPr>
          <w:hyperlink w:anchor="__RefHeading___Toc344888_2081073262">
            <w:r>
              <w:rPr>
                <w:rStyle w:val="Sautdindex"/>
              </w:rPr>
              <w:t>IV — Referenza għar-rapport tal-pjattaforma diġitali multilingwi</w:t>
              <w:tab/>
              <w:t>292</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Introduzzjoni</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Fl-10 ta’ Marzu 2021, il-President tal-Parlament Ewropew, David Sassoli, il-Prim Ministru Portugiż António Costa, f’isem il-Kunsill tal-UE, u l-President tal-Kummissjoni Ewropea, Ursula von der Leyen, iffirmaw id-Dikjarazzjoni Konġunta dwar il-Konferenza dwar il-Futur tal-Ewropa. L-impenn li għamlu kien sempliċi: kien eżerċizzju ċċentrat fuq iċ-ċittadini bbażat fuq approċċ minn isfel għal fuq biex jiġi żgurat li l-Ewropej kollha jkollhom vuċi f’dak li jistennew mill-Unjoni Ewropea u jkollhom rwol akbar fit-tiswir tal-futur tal-Unjoni. Il-kompitu tagħhom, min-naħa l-oħra, kien estremament diffiċli: l-għan kien li jiġi organizzat, għall-ewwel darba, eżerċizzju transnazzjonali, multilingwi u interistituzzjonali ta’ demokrazija deliberattiva li jinvolvi eluf ta’ ċittadini Ewropej kif ukoll atturi politiċi, sħab soċjali, rappreżentanti tas-soċjetà ċivili u partijiet interessati ewlenin skont it-tifsira tal-Artikolu 16 tar-Regoli ta’ Proċedura tal-Konferenza.</w:t>
      </w:r>
    </w:p>
    <w:p>
      <w:pPr>
        <w:pStyle w:val="Normal"/>
        <w:rPr/>
      </w:pPr>
      <w:r>
        <w:rPr/>
        <w:t>Fid-9 ta’ Mejju 2022, wara xhur ta’ deliberazzjonijiet intensi, il-Konferenza lestiet il-ħidma tagħha, u ppreżentat rapport lit-tliet istituzzjonijiet tal-UE dwar ir-riżultati finali tagħha b’49 proposta. Dawn il-proposti jikkorrispondu mal-aspettattivi taċ-ċittadini Ewropej dwar disa’ temi: Ekonomija aktar b’saħħitha, ġustizzja soċjali u impjiegi; L-edukazzjoni, il-kultura, iż-żgħażagħ u l-isport; It-trasformazzjoni diġitali; Id-demokrazija Ewropea; Il-valuri u d-drittijiet, l-istat tad-dritt, is-sigurtà; It-tibdil fil-klima u l-ambjent; Is-saħħa; L-UE fid-dinja; u l-Migrazzjoni. Dawn it-temi kollha huma stabbiliti f’dan ir-rapport finali, li għandu wkoll l-għan li jipprovdi ħarsa ġenerali lejn l-attivitajiet differenti mwettqa fil-kuntest ta’ dan il-proċess uniku, il-Konferenza dwar il-Futur tal-Ewropa.</w:t>
      </w:r>
    </w:p>
    <w:p>
      <w:pPr>
        <w:pStyle w:val="Corpsdetexte"/>
        <w:rPr/>
      </w:pPr>
      <w:r>
        <w:rPr/>
        <w:t>Immexxija minn tliet Kopresidenti (Guy Verhofstadt għall-Parlament Ewropew; Ana Paula Zacarias, Gašper Dovžan u Clément Beaune, suċċessivament għall-Kunsill tal-UE; u Dubravka Šuica għall-Kummissjoni Ewropea) u mmexxija minn Bord Eżekuttiv (ugwalment magħmul minn rappreżentanti tat-tliet istituzzjonijiet kif ukoll osservaturi mill-partijiet interessati ewlenin), il-konferenza kienet esperjenza bla preċedent ta’ demokrazija deliberattiva transnazzjonali. Huwa wera wkoll ir-rilevanza storika u l-importanza tiegħu fil-kuntest tal-pandemija tal-COVID-19 u l-aggressjoni Russa kontra l-Ukrajna. Il-Konferenza dwar il-Futur tal-Ewropa rriżultat fl-istabbiliment ta’ pjattaforma diġitali multilingwi għaċ-ċittadini Ewropej biex tikkontribwixxi fl-24 lingwa kollha tal-UE u l-organizzazzjoni ta’ erba’ panels taċ-ċittadini Ewropej, sitt panels nazzjonali taċ-ċittadini, eluf ta’ avvenimenti nazzjonali u lokali u seba’ assembleji plenarji tal-konferenza. Huwa r-riżultat ta’ rieda bla preċedent tal-istituzzjonijiet tal-UE, tal-Istati Membri, iżda wkoll u fuq kollox taċ-ċittadini Ewropej, li jiddiskutu l-prijoritajiet tal-Unjoni Ewropea u l-isfidi li tiffaċċja, u li jadottaw approċċ ġdid għall-proġett Ewropew.</w:t>
      </w:r>
    </w:p>
    <w:p>
      <w:pPr>
        <w:pStyle w:val="Corpsdetexte"/>
        <w:rPr/>
      </w:pPr>
      <w:r>
        <w:rPr/>
        <w:t>Madankollu, dan huwa biss il-bidu. F’konformità mat-test fundatur tal-konferenza, it-tliet istituzzjonijiet issa ser jikkunsidraw malajr kif jimplimentaw b’mod effettiv dan ir-rapport, kull wieħed fil-kompetenza tiegħu u f’konformità mat-Trattati. Id-determinazzjoni tat-tliet istituzzjonijiet f’dan ir-rigward hija ta’ importanza kbira.</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L-arkitettura tal-konferenza</w:t>
      </w:r>
    </w:p>
    <w:p>
      <w:pPr>
        <w:pStyle w:val="Corpsdetexte"/>
        <w:rPr>
          <w:sz w:val="40"/>
        </w:rPr>
      </w:pPr>
      <w:r>
        <w:rPr>
          <w:sz w:val="40"/>
        </w:rPr>
        <w:t>Il-Konferenza dwar il-Futur tal-Ewropa</w:t>
      </w:r>
      <w:r>
        <w:rPr>
          <w:rStyle w:val="Ancredenotedebasdepage"/>
          <w:rStyle w:val="Ancredenotedebasdepage"/>
          <w:sz w:val="40"/>
        </w:rPr>
        <w:footnoteReference w:id="2"/>
      </w:r>
      <w:r>
        <w:rPr>
          <w:sz w:val="40"/>
        </w:rPr>
        <w:t xml:space="preserve"> kienet proċess ġdid u innovattiv, li fetaħ spazju ġdid għal dibattitu maċ-ċittadini, sabiex jiġu eżaminati l-prijoritajiet u l-isfidi tal-Ewropa, bil-ħsieb li tiġi stabbilita l-leġittimità demokratika tal-proġett Ewropew u titrawwem l-aderenza taċ-ċittadini mal-valuri u l-objettivi komuni tagħna. Il-konferenza kienet eżerċizzju ċċentrat fuq iċ-ċittadini bbażat fuq approċċ minn isfel għal fuq, bil-għan li jiġi żgurat li l-Ewropej ikollhom vuċi f’dak li jistennew mill-Unjoni Ewropea. Din kienet inizjattiva konġunta tal-Parlament Ewropew, tal-Kunsill u tal-Kummissjoni Ewropea, li jaġixxu fuq l-istess livell tal-Istati Membri tal-Unjoni Ewropea.</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Dikjarazzjoni Konġunta</w:t>
      </w:r>
    </w:p>
    <w:p>
      <w:pPr>
        <w:pStyle w:val="Normal"/>
        <w:rPr/>
      </w:pPr>
      <w:r>
        <w:rPr/>
      </w:r>
    </w:p>
    <w:p>
      <w:pPr>
        <w:pStyle w:val="Normal"/>
        <w:rPr/>
      </w:pPr>
      <w:r>
        <w:rPr/>
        <w:t>Fl-10 ta’ Marzu 2021, id-Dikjarazzjoni Konġunta dwar il-Konferenza dwar il-Futur tal-Ewropa (id-“Dikjarazzjoni Konġunta”) ġiet iffirmata mill-President tard tal-Parlament Ewropew, David Sassoli, il-Prim Ministru Portugiż António Costa, f’isem il-Kunsill tal-UE, u l-President tal-Kummissjoni Ewropea, Ursula von der Leyen, li twitti t-triq għal dan l-eżerċizzju demokratiku Ewropew mingħajr preċedent, miftuħ u inklużiv, li jagħti post ċentrali liċ-ċittadini.</w:t>
      </w:r>
    </w:p>
    <w:p>
      <w:pPr>
        <w:pStyle w:val="Normal"/>
        <w:rPr/>
      </w:pPr>
      <w:r>
        <w:rPr/>
        <w:t>Il-Konferenza tqiegħdet taħt l-awtorità tal-Presidenti tat-tliet Istituzzjonijiet, li jaġixxu bħala Presidenza Konġunta. Il-presidenza konġunta kienet assistita minn Bord Eżekuttiv, kopresedut minn membru wieħed minn kull waħda mit-tliet istituzzjonijiet tal-UE.</w:t>
      </w:r>
    </w:p>
    <w:p>
      <w:pPr>
        <w:pStyle w:val="Normal"/>
        <w:rPr/>
      </w:pPr>
      <w:r>
        <w:rPr/>
        <w:t xml:space="preserve">F’konformità mad-Dikjarazzjoni Konġunta, ġew stabbiliti l-istrutturi li ġejjin: </w:t>
      </w:r>
    </w:p>
    <w:p>
      <w:pPr>
        <w:pStyle w:val="Alineanegatifpuce"/>
        <w:numPr>
          <w:ilvl w:val="0"/>
          <w:numId w:val="3"/>
        </w:numPr>
        <w:rPr/>
      </w:pPr>
      <w:r>
        <w:rPr/>
        <w:t>Bord eżekuttiv, li mexxa l-organizzazzjoni tal-konferenza. Kien magħmul minn rappreżentanti tat-tliet istituzzjonijiet tal-UE (tliet membri u erba’ osservaturi rispettivament), kif ukoll osservaturi mit-Trojka Presidenzjali tal-Konferenza tal-Korpi tal-Affarijiet Komunitarji (COSAC) tal-parlamenti nazzjonali tal-Unjoni Ewropea. Il-Kumitat tar-Reġjuni, il-Kumitat Ekonomiku u Soċjali Ewropew u r-rappreżentanti tal-imsieħba soċjali ġew mistiedna bħala osservaturi;</w:t>
      </w:r>
    </w:p>
    <w:p>
      <w:pPr>
        <w:pStyle w:val="Alineanegatifpuce"/>
        <w:numPr>
          <w:ilvl w:val="0"/>
          <w:numId w:val="3"/>
        </w:numPr>
        <w:rPr/>
      </w:pPr>
      <w:r>
        <w:rPr/>
        <w:t>segretarjat konġunt, li jiżgura rappreżentanza ugwali tat-tliet istituzzjonijiet, li appoġġja l-ħidma tal-Bord Eżekuttiv. B’mod partikolari, it-tim — immexxi minn tliet kopresidenti tat-tliet istituzzjonijiet — issorvelja l-organizzazzjoni u t-tħejjijiet għal-laqgħat tal-Bord Eżekuttiv, l-Assemblej Plenarji tal-Konferenza u l-Panels taċ-Ċittadini Ewropej. F’kooperazzjoni mal-fornituri tas-servizzi, hija kienet responsabbli għall-ġestjoni tal-pjattaforma diġitali multilingwi u għar-rappurtar dwar l-istadji importanti ewlenin matul il-proċess.</w:t>
        <w:br/>
        <w:t xml:space="preserve">Il-kompożizzjoni unika ta’ dan it-tim ippermettiet kolleġjalità kostanti tax-xogħol u żgurat sinerġiji u titjib fl-effiċjenza fl-oqsma kollha; </w:t>
      </w:r>
    </w:p>
    <w:p>
      <w:pPr>
        <w:pStyle w:val="Alineanegatifpuce"/>
        <w:numPr>
          <w:ilvl w:val="0"/>
          <w:numId w:val="3"/>
        </w:numPr>
        <w:rPr/>
      </w:pPr>
      <w:r>
        <w:rPr/>
        <w:t>assemblea plenarja tal-konferenza (ara l-Kapitolu III għal aktar informazzjoni), li ppermettiet li jiġu diskussi r-rakkomandazzjonijiet magħmula mill-panels taċ-ċittadini nazzjonali u Ewropej, miġbura skont it-temi, b’rispett sħiħ tal-valuri tal-UE u l-karta tal-konferenza,</w:t>
      </w:r>
      <w:r>
        <w:rPr>
          <w:rStyle w:val="Ancredenotedebasdepage"/>
          <w:rStyle w:val="Ancredenotedebasdepage"/>
        </w:rPr>
        <w:footnoteReference w:id="3"/>
      </w:r>
      <w:r>
        <w:rPr/>
        <w:t>u mingħajr ma r-riżultat tad-dibattiti jiġi determinat minn qabel jew mingħajr ma l-kamp ta’ applikazzjoni tagħhom ikun limitat għal oqsma ta’ politika predefiniti. Il-kontribuzzjonijiet miġbura fuq il-Pjattaforma Diġitali Multilingwi ġew diskussi wkoll, fejn xieraq. Ġew stabbiliti disa’ gruppi ta’ ħidma tematiċi biex jipprovdu kontributi għat-tħejjija tad-dibattiti u l-proposti tal-plenarja.</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Regoli ta’ proċedura</w:t>
      </w:r>
    </w:p>
    <w:p>
      <w:pPr>
        <w:pStyle w:val="Normal"/>
        <w:rPr/>
      </w:pPr>
      <w:r>
        <w:rPr/>
        <w:t>Fid-9 ta’ Mejju 2021, il-Bord Eżekuttiv approva r-regoli ta’ proċedura tal-Konferenza, stabbiliti f’konformità mad-Dikjarazzjoni Konġunta dwar il-Konferenza dwar il-Ġejjieni tal-Ewropa, li tistabbilixxi l-pedamenti u l-prinċipji tal-Konferenza.</w:t>
      </w:r>
    </w:p>
    <w:p>
      <w:pPr>
        <w:pStyle w:val="Normal"/>
        <w:rPr/>
      </w:pPr>
      <w:r>
        <w:rPr/>
        <w:t>Ir-regoli ta’ proċedura jistabbilixxu l-qafas għall-ħidma tad-diversi strutturi ta’ konferenzi u l-interazzjonijiet tagħhom.</w:t>
      </w:r>
    </w:p>
    <w:p>
      <w:pPr>
        <w:pStyle w:val="Titre2"/>
        <w:numPr>
          <w:ilvl w:val="1"/>
          <w:numId w:val="2"/>
        </w:numPr>
        <w:rPr/>
      </w:pPr>
      <w:bookmarkStart w:id="3" w:name="__RefHeading___Toc298052_1346298689"/>
      <w:bookmarkEnd w:id="3"/>
      <w:r>
        <w:rPr/>
        <w:t>3. Avvenimenti relatati mal-konferenza</w:t>
      </w:r>
    </w:p>
    <w:p>
      <w:pPr>
        <w:pStyle w:val="Corpsdetexte"/>
        <w:rPr/>
      </w:pPr>
      <w:r>
        <w:rPr/>
        <w:t>Skont id-Dikjarazzjoni Konġunta, kull Stat Membru jew istituzzjoni tal-UE jistgħu jorganizzaw avvenimenti taħt l-awspiċi tal-Konferenza, skont l-ispeċifiċitajiet nazzjonali jew istituzzjonali tagħhom, u jagħtu aktar kontributi lill-Konferenza (ara l-Kapitolu II.C għal aktar informazzjoni).</w:t>
      </w:r>
    </w:p>
    <w:p>
      <w:pPr>
        <w:pStyle w:val="Corpsdetexte"/>
        <w:rPr/>
      </w:pPr>
      <w:r>
        <w:rPr/>
        <w:t>L-istituzzjonijiet u l-korpi tal-UE, l-Istati Membri, l-awtoritajiet reġjonali u lokali, is-soċjetà ċivili organizzata, is-sħab soċjali u ċ-ċittadini kienu għalhekk mistiedna jorganizzaw avvenimenti fi sħubija mas-soċjetà ċivili u l-partijiet ikkonċernati fil-livell Ewropew, nazzjonali, reġjonali u lokali, f’varjetà wiesgħa ta’ formati madwar l-Ewropa, u jippubblikaw ir-riżultati ta’ dawn l-avvenimenti fuq il-pjattaforma diġitali. Diversi eluf ta’ avvenimenti bħal dawn seħħew, li fihom ħadu sehem madwar 650,000 parteċipant.</w:t>
      </w:r>
    </w:p>
    <w:p>
      <w:pPr>
        <w:pStyle w:val="Titre2"/>
        <w:numPr>
          <w:ilvl w:val="1"/>
          <w:numId w:val="2"/>
        </w:numPr>
        <w:rPr/>
      </w:pPr>
      <w:bookmarkStart w:id="4" w:name="__RefHeading___Toc298054_1346298689"/>
      <w:bookmarkEnd w:id="4"/>
      <w:r>
        <w:rPr/>
        <w:t>4.</w:t>
        <w:tab/>
        <w:t>Implimentazzjoni tal-pjattaforma diġitali multilingwi</w:t>
      </w:r>
    </w:p>
    <w:p>
      <w:pPr>
        <w:pStyle w:val="Normal"/>
        <w:rPr/>
      </w:pPr>
      <w:r>
        <w:rPr/>
        <w:t>Il-pjattaforma diġitali multilingwi (ara l-Kapitolu II.A għal aktar informazzjoni) ġiet stabbilita biex tippermetti liċ-ċittadini jaqsmu l-ideat tagħhom u jibagħtu kontribuzzjonijiet online, f’konformità mad-Dikjarazzjoni Konġunta. Kien iċ-ċentru ewlieni għall-kontribuzzjonijiet u l-informazzjoni liċ-ċittadini dwar il-partijiet differenti tal-konferenza u għodda interattiva biex jiġu kondiviżi u diskussi l-ideat u l-kontributi tal-għadd kbir ta’ avvenimenti organizzati fil-kuntest tal-konferenza. Il-Pjattaforma tnediet uffiċjalment fid-19 ta’ April 2021. Aktar minn 17,000 idea ġew ippubblikati fuq il-pjattaforma.</w:t>
      </w:r>
    </w:p>
    <w:p>
      <w:pPr>
        <w:pStyle w:val="Corpsdetexte"/>
        <w:rPr/>
      </w:pPr>
      <w:r>
        <w:rPr/>
        <w:t>Matul il-konferenza, tfasslu rapporti dwar il-kontributi ppreżentati fuq il-pjattaforma.</w:t>
      </w:r>
    </w:p>
    <w:p>
      <w:pPr>
        <w:pStyle w:val="Normal"/>
        <w:rPr/>
      </w:pPr>
      <w:r>
        <w:rPr/>
        <w:t>Il-kontribuzzjonijiet miġbura permezz tal-Pjattaforma tqiesu mill-Panels taċ-Ċittadini Ewropej u ġew diskussi u diskussi fil-Plenarja tal-Konferenza.</w:t>
      </w:r>
    </w:p>
    <w:p>
      <w:pPr>
        <w:pStyle w:val="Titre2"/>
        <w:numPr>
          <w:ilvl w:val="1"/>
          <w:numId w:val="2"/>
        </w:numPr>
        <w:rPr/>
      </w:pPr>
      <w:bookmarkStart w:id="5" w:name="__RefHeading___Toc298056_1346298689"/>
      <w:bookmarkEnd w:id="5"/>
      <w:r>
        <w:rPr/>
        <w:t>5.</w:t>
        <w:tab/>
        <w:t>Il-Panels taċ-Ċittadini Ewropej</w:t>
      </w:r>
    </w:p>
    <w:p>
      <w:pPr>
        <w:pStyle w:val="Normal"/>
        <w:rPr/>
      </w:pPr>
      <w:r>
        <w:rPr/>
        <w:t>F’konformità mad-Dikjarazzjoni Konġunta, il-Panels taċ-Ċittadini Ewropej, organizzati madwar it-temi ewlenin tal-konferenza, kienu element ċentrali u partikolarment innovattiv tal-konferenza (ara l-Kapitolu II.B għal aktar informazzjoni).</w:t>
      </w:r>
    </w:p>
    <w:p>
      <w:pPr>
        <w:pStyle w:val="Normal"/>
        <w:rPr/>
      </w:pPr>
      <w:r>
        <w:rPr/>
        <w:t>Total ta’ 800 ċittadin magħżula b’mod aleatorju li jirrappreżentaw id-diversità soċjoloġika u ġeografika tal-UE u miġbura f’erba’ panels ta’ 200 ċittadin iltaqgħu għal tliet sessjonijiet deliberattivi għal kull bord. Il-Panels taċ-Ċittadini Ewropej għamlu rakkomandazzjonijiet li kkontribwixxew għad-deliberazzjonijiet ġenerali tal-Konferenza, b’mod partikolari fl-Assemblej Plenarji tal-Konferenza.</w:t>
      </w:r>
    </w:p>
    <w:p>
      <w:pPr>
        <w:pStyle w:val="Normal"/>
        <w:rPr/>
      </w:pPr>
      <w:r>
        <w:rPr/>
        <w:t>Il-Kopresidenti tal-Bord Eżekuttiv stabbilixxew b’mod konġunt l-arranġamenti prattiċi għall-organizzazzjoni tal-Panels taċ-Ċittadini Ewropej, f’konformità mad-Dikjarazzjoni Konġunta u r-Regoli ta’ Proċedura, u infurmaw lill-Bord Eżekuttiv minn qabel.</w:t>
      </w:r>
    </w:p>
    <w:p>
      <w:pPr>
        <w:pStyle w:val="Normal"/>
        <w:rPr/>
      </w:pPr>
      <w:r>
        <w:rPr/>
        <w:t>Il-Bord Eżekuttiv ġie infurmat regolarment dwar il-progress fit-twaqqif u l-organizzazzjoni tal-Panels taċ-Ċittadini Ewropej.</w:t>
      </w:r>
    </w:p>
    <w:p>
      <w:pPr>
        <w:pStyle w:val="Normal"/>
        <w:rPr/>
      </w:pPr>
      <w:r>
        <w:rPr/>
      </w:r>
    </w:p>
    <w:p>
      <w:pPr>
        <w:pStyle w:val="Titre2"/>
        <w:numPr>
          <w:ilvl w:val="1"/>
          <w:numId w:val="2"/>
        </w:numPr>
        <w:rPr/>
      </w:pPr>
      <w:bookmarkStart w:id="6" w:name="__RefHeading___Toc298058_1346298689"/>
      <w:bookmarkEnd w:id="6"/>
      <w:r>
        <w:rPr/>
        <w:t>6.</w:t>
        <w:tab/>
        <w:t>Il-Panels Nazzjonali taċ-Ċittadini</w:t>
      </w:r>
    </w:p>
    <w:p>
      <w:pPr>
        <w:pStyle w:val="Normal"/>
        <w:rPr/>
      </w:pPr>
      <w:r>
        <w:rPr/>
        <w:t>Skont id-Dikjarazzjoni Konġunta, l-Istati Membri jistgħu jorganizzaw panels nazzjonali. Biex jassistu lill-Istati Membri li qed jippjanaw li jorganizzaw panels nazzjonali taċ-ċittadini, il-linji gwida ġew approvati mill-Kopresidenti u ntbagħtu lill-Bord Eżekuttiv fis-26 ta’ Mejju 2021 biex jiġi żgurat li l-bordijiet nazzjonali jiġu organizzati skont l-istess prinċipji bħall-Panels taċ-Ċittadini Ewropej. Dawn il-linji gwida inkludew prinċipji ta’ deliberazzjoni tajba, ibbażati fuq il-Linji Gwida tal-OECD</w:t>
      </w:r>
      <w:r>
        <w:rPr>
          <w:rStyle w:val="Ancredenotedebasdepage"/>
          <w:rStyle w:val="Ancredenotedebasdepage"/>
        </w:rPr>
        <w:footnoteReference w:id="4"/>
      </w:r>
      <w:r>
        <w:rPr/>
        <w:t>. Kull Stat Membru jista’ jiddeċiedi jekk jorganizzax bord ta’ ċittadini nazzjonali jew le. Total ta’ sitt Stati Membri organizzaw wieħed (il-Belġju, Franza, il-Ġermanja, l-Italja, il-Litwanja u l-Pajjiżi l-Baxxi).</w:t>
      </w:r>
    </w:p>
    <w:p>
      <w:pPr>
        <w:pStyle w:val="Normal"/>
        <w:rPr/>
      </w:pPr>
      <w:r>
        <w:rPr/>
        <w:t>F’konformità mad-Dikjarazzjoni Konġunta, ir-rakkomandazzjonijiet tal-Panels Nazzjonali taċ-Ċittadini ġew ippreżentati u diskussi fl-Assemblej Plenarji tal-Konferenza, b’mod parallel mar-rakkomandazzjonijiet tal-Panels taċ-Ċittadini Ewropej.</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LE, L-EBDA, L-EBDA. Il-kontribuzzjonijiet taċ-ċittadini għall-konferenza</w:t>
      </w:r>
    </w:p>
    <w:p>
      <w:pPr>
        <w:pStyle w:val="Normal"/>
        <w:rPr/>
      </w:pPr>
      <w:r>
        <w:rPr/>
      </w:r>
      <w:r>
        <w:br w:type="page"/>
      </w:r>
    </w:p>
    <w:p>
      <w:pPr>
        <w:pStyle w:val="Titre2"/>
        <w:numPr>
          <w:ilvl w:val="1"/>
          <w:numId w:val="2"/>
        </w:numPr>
        <w:rPr/>
      </w:pPr>
      <w:bookmarkStart w:id="8" w:name="__RefHeading___Toc298190_1346298689"/>
      <w:bookmarkEnd w:id="8"/>
      <w:r>
        <w:rPr/>
        <w:t>A. Pjattaforma diġitali multilingwi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Il-pjattaforma diġitali multilingwi tnediet fid-19 ta’ April 2021 u kienet il-punt ċentrali ta’ kuntatt tal-konferenza. Permezz ta’ dan, kulħadd seta’ jipparteċipa fil-konferenza: iċ-ċittadini kollha fl-UE u bnadi oħra, is-soċjetà ċivili, l-imsieħba soċjali u diversi partijiet interessati oħra.</w:t>
      </w:r>
    </w:p>
    <w:p>
      <w:pPr>
        <w:pStyle w:val="Normal"/>
        <w:rPr/>
      </w:pPr>
      <w:r>
        <w:rPr/>
        <w:t>Il-pjattaforma ġiet żviluppata speċifikament għall-konferenza, bl-użu ta’ Decidim, softwer Ewropew b’xejn iddedikat għall-parteċipazzjoni taċ-ċittadini. fuq tali skala u livell ta’ interattività u multilingwiżmu, din il-kisba kienet l-ewwel, mhux biss Ewropea iżda wkoll globali. Il-kontribuzzjonijiet kollha kienu disponibbli fl-24 lingwa uffiċjali kollha tal-UE permezz tat-traduzzjoni awtomatika. Id-dibattitu kien strutturat madwar għaxar temi: “It-tibdil fil-klima u l-ambjent”, “Saħħa”, “Ekonomija aktar b’saħħitha, ġustizzja soċjali u impjiegi”, “L-UE fid-dinja”, “Il-valuri u d-drittijiet, l-istat tad-dritt, is-sigurtà”, “Trasformazzjoni diġitali”, “Demokrazija Ewropea”, “Migrazzjoni”, “Edukazzjoni, kultura, żgħażagħ u sport” u “ideat oħra”.</w:t>
      </w:r>
    </w:p>
    <w:p>
      <w:pPr>
        <w:pStyle w:val="Normal"/>
        <w:rPr/>
      </w:pPr>
      <w:r>
        <w:rPr/>
        <w:t>Kien possibbli li wieħed jipparteċipa fuq il-pjattaforma b’diversi modi differenti.</w:t>
      </w:r>
    </w:p>
    <w:p>
      <w:pPr>
        <w:pStyle w:val="Normal"/>
        <w:rPr/>
      </w:pPr>
      <w:r>
        <w:rPr/>
        <w:t>Kull min ried li jistgħu jaqsmu l-ideat tiegħu dwar waħda mill-għaxar temi. Kien ukoll possibbli li jikkummentaw dwar l-ideat ta ‘oħrajn. Il-pjattaforma għalhekk għamlet possibbli dibattitu pan-Ewropew reali bejn iċ-ċittadini.</w:t>
      </w:r>
    </w:p>
    <w:p>
      <w:pPr>
        <w:pStyle w:val="Normal"/>
        <w:rPr/>
      </w:pPr>
      <w:r>
        <w:rPr/>
        <w:t>Il-parteċipanti jistgħu japprovaw ukoll ideat, li jindikaw li huma appoġġaw kontribut minn utent ieħor.</w:t>
      </w:r>
    </w:p>
    <w:p>
      <w:pPr>
        <w:pStyle w:val="Normal"/>
        <w:rPr/>
      </w:pPr>
      <w:r>
        <w:rPr/>
        <w:t xml:space="preserve">Mod importanti ieħor kif tista’ tikkontribwixxi għall-konferenza kien li jiġu organizzati avvenimenti (virtwali, wiċċ imb’wiċċ jew ibridi), jitħabbru fuq il-pjattaforma, jirrapportaw dwar ir-riżultati tagħhom u jintrabtu mal-ideat. </w:t>
      </w:r>
      <w:hyperlink r:id="rId23">
        <w:r>
          <w:rPr>
            <w:rStyle w:val="LienInternet"/>
          </w:rPr>
          <w:t>Gwidi</w:t>
        </w:r>
      </w:hyperlink>
      <w:r>
        <w:rPr/>
        <w:t xml:space="preserve"> u </w:t>
      </w:r>
      <w:hyperlink r:id="rId24">
        <w:r>
          <w:rPr>
            <w:rStyle w:val="LienInternet"/>
          </w:rPr>
          <w:t>materjal ta’ informazzjoni kienu</w:t>
        </w:r>
      </w:hyperlink>
      <w:r>
        <w:rPr/>
        <w:t xml:space="preserve"> saru disponibbli għall-organizzaturi fuq il-pjattaforma għall-promozzjoni tan-natura parteċipattiva u inklużiva tal-avvenimenti.</w:t>
      </w:r>
    </w:p>
    <w:p>
      <w:pPr>
        <w:pStyle w:val="Normal"/>
        <w:rPr/>
      </w:pPr>
      <w:r>
        <w:rPr/>
        <w:t xml:space="preserve">Il-Pjattaforma kellha rwol fundamentali fit-trasparenza tal-proċess kollu u fir-rigward tal-aċċess ta’ kulħadd għall-informazzjoni relatata mal-konferenza. Dan kien fejn kulħadd seta’ jsib informazzjoni dwar il-metodi ta’ ħidma u l-organizzazzjoni tal-konferenza nnifisha, pereżempju dwar il-proċess tal-konferenza nnifsu (il-plenarja tal-konferenza u l-gruppi ta’ ħidma tagħha, il- </w:t>
      </w:r>
      <w:hyperlink r:id="rId25">
        <w:r>
          <w:rPr>
            <w:rStyle w:val="LienInternet"/>
          </w:rPr>
          <w:t>panels taċ-ċittadini Ewropej, il</w:t>
        </w:r>
      </w:hyperlink>
      <w:r>
        <w:rPr/>
        <w:t xml:space="preserve"> - </w:t>
      </w:r>
      <w:hyperlink r:id="rId26">
        <w:r>
          <w:rPr>
            <w:rStyle w:val="LienInternet"/>
          </w:rPr>
          <w:t>panels u l-avvenimenti nazzjonali u</w:t>
        </w:r>
      </w:hyperlink>
      <w:r>
        <w:rPr/>
        <w:t xml:space="preserve"> l- </w:t>
      </w:r>
      <w:hyperlink r:id="rId27">
        <w:r>
          <w:rPr>
            <w:rStyle w:val="LienInternet"/>
          </w:rPr>
          <w:t>Bord Eżekuttiv</w:t>
        </w:r>
      </w:hyperlink>
      <w:r>
        <w:rPr/>
        <w:t>). Id-dibattiti tal-plenarja u l-gruppi ta’ ħidma tagħha ġew imxandra b’mod dirett fuq l-internet, kif ukoll il-laqgħat tal-Panels taċ-Ċittadini Ewropej. Din l-informazzjoni kollha se tibqa’ disponibbli fuq il-pjattaforma.</w:t>
      </w:r>
    </w:p>
    <w:p>
      <w:pPr>
        <w:pStyle w:val="Normal"/>
        <w:rPr/>
      </w:pPr>
      <w:r>
        <w:rPr/>
        <w:t>Matul ix-xogħol kollu, sar titjib fil-pjattaforma kull meta kien possibbli, billi ġew miżjuda karatteristiċi jew mezzi viżivi, pereżempju. Maż-żmien, il-pjattaforma saret ukoll aktar aċċessibbli għall-persuni b’diżabilità.</w:t>
      </w:r>
    </w:p>
    <w:p>
      <w:pPr>
        <w:pStyle w:val="Normal"/>
        <w:rPr/>
      </w:pPr>
      <w:r>
        <w:rPr/>
        <w:t>Il-kontribuzzjonijiet kollha fuq il-pjattaforma kienu pubbliċi: kulħadd jista’ jaċċessahom, kif ukoll fajls ta’ data miftuħa marbuta mal-pjattaforma diġitali, li żguraw trasparenza sħiħa. Sabiex jiġu ffaċilitati l-ġbir u l-analiżi tal-kontribuzzjonijiet, iċ-Ċentru Konġunt tar-Riċerka tal-Kummissjoni kien żviluppa għodda awtomatizzata għall-analiżi tat-test u pjattaforma ta’ analiżi, li ppermettiet interpretazzjoni multilingwi u analiżi fil-fond tal-kontenut tal-pjattaforma. Il-pjattaforma ta’ analiżi hija għodda li wriet li hija essenzjali biex tipprovdi rapporti regolari ta’ livell uniformi ta’ kwalità fil-lingwi kollha. Barra minn hekk, “datathon” organizzat f’Marzu 2022 mill-Kummissjoni Ewropea inkoraġġixxa approċċi ġodda fl-analiżi tas-serje ta’ data miftuħa u kkontribwixxa għat-trasparenza tal-proċess ta’ analiżi tad-data.</w:t>
      </w:r>
    </w:p>
    <w:p>
      <w:pPr>
        <w:pStyle w:val="Normal"/>
        <w:rPr/>
      </w:pPr>
      <w:r>
        <w:rPr/>
        <w:t>Sabiex jipprovdi ħarsa ġenerali lejn il-kontribuzzjonijiet fuq il-pjattaforma, fornitur estern tas-servizzi ħejja rapporti, li ġew ippubblikati fuq il-pjattaforma nnifisha.</w:t>
      </w:r>
    </w:p>
    <w:p>
      <w:pPr>
        <w:pStyle w:val="Normal"/>
        <w:rPr/>
      </w:pPr>
      <w:r>
        <w:rPr/>
        <w:t xml:space="preserve">L- </w:t>
      </w:r>
      <w:hyperlink r:id="rId28">
        <w:r>
          <w:rPr>
            <w:rStyle w:val="LienInternet"/>
          </w:rPr>
          <w:t>ewwel rapport interim</w:t>
        </w:r>
      </w:hyperlink>
      <w:r>
        <w:rPr/>
        <w:t xml:space="preserve"> ġie ppubblikat f’Settembru: huwa ffoka fuq il-kontributi</w:t>
      </w:r>
    </w:p>
    <w:p>
      <w:pPr>
        <w:pStyle w:val="Normal"/>
        <w:rPr/>
      </w:pPr>
      <w:r>
        <w:rPr/>
        <w:t xml:space="preserve">mogħtija sat-2 ta’ Awwissu 2021. It- </w:t>
      </w:r>
      <w:hyperlink r:id="rId29">
        <w:r>
          <w:rPr>
            <w:rStyle w:val="LienInternet"/>
          </w:rPr>
          <w:t>tieni rapport interim</w:t>
        </w:r>
      </w:hyperlink>
      <w:r>
        <w:rPr/>
        <w:t xml:space="preserve">ġie ppubblikat f’nofs Ottubru 2021, li jkopri l-kontribuzzjonijiet ippreżentati sas-7 ta’ Settembru 2021. It- </w:t>
      </w:r>
      <w:hyperlink r:id="rId30">
        <w:r>
          <w:rPr>
            <w:rStyle w:val="LienInternet"/>
          </w:rPr>
          <w:t>tielet rapport interim</w:t>
        </w:r>
      </w:hyperlink>
      <w:r>
        <w:rPr/>
        <w:t xml:space="preserve"> ġie ppubblikat f’Diċembru 2021 u kopra l-kontribuzzjonijiet sat-3 ta’ Novembru 2021. Hekk kif il-ħidma fuq il-konferenza kienet qed tidħol fil-fażi finali tagħha, l-aħħar rapport li jispira l-ħidma tal-assembleji plenarji tal-konferenza ġie ppubblikat f’nofs Marzu 2022, b’kont meħud tal-kontributi ppreżentati fuq il-pjattaforma diġitali sal-20 ta’ Frar 2022. Dan il-kalendarju tħabbar b’mod ċar fuq il-pjattaforma u bnadi oħra, li rriżulta f’żieda fil-kontribuzzjonijiet f’Jannar u Frar 2022. Il-kontribuzzjonijiet li jaslu sad-9 ta’ Mejju se jiġu ttrattati fir-rapport addizzjonali. Rapporti addizzjonali dwar il-kontribuzzjonijiet ippreżentati fuq il-Pjattaforma, skont l-Istat Membru, saru disponibbli wkoll fl-istess żmien tar-rapporti ta’ Settembru u Diċembru 2021 u Marzu 2022.</w:t>
      </w:r>
    </w:p>
    <w:p>
      <w:pPr>
        <w:pStyle w:val="Normal"/>
        <w:rPr/>
      </w:pPr>
      <w:r>
        <w:rPr/>
        <w:t xml:space="preserve">Il-fokus ewlieni ta’ dawn ir-rapporti kien fuq analiżi kwalitattiva tal-kontribuzzjonijiet ippubblikati fuq il-pjattaforma, sabiex tingħata ħarsa ġenerali lejn l-ambitu u d-diversità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 descr=""/>
                    <pic:cNvPicPr>
                      <a:picLocks noChangeAspect="1" noChangeArrowheads="1"/>
                    </pic:cNvPicPr>
                  </pic:nvPicPr>
                  <pic:blipFill>
                    <a:blip r:embed="rId31"/>
                    <a:stretch>
                      <a:fillRect/>
                    </a:stretch>
                  </pic:blipFill>
                  <pic:spPr bwMode="auto">
                    <a:xfrm>
                      <a:off x="0" y="0"/>
                      <a:ext cx="5779135" cy="3321685"/>
                    </a:xfrm>
                    <a:prstGeom prst="rect">
                      <a:avLst/>
                    </a:prstGeom>
                  </pic:spPr>
                </pic:pic>
              </a:graphicData>
            </a:graphic>
          </wp:anchor>
        </w:drawing>
      </w:r>
      <w:r>
        <w:rPr/>
        <w:t>t</w:t>
      </w:r>
      <w:r>
        <w:rPr/>
        <w:t>al-ideat proposti fuq il-pjattaforma u diskussi waqt l-avvenimenti. Għal dan il-għan, twettqet analiżi testwali manwali u ġabra ta’ kontribuzzjonijiet minn tim ta’ riċerka, bl-użu ta’ għodod analitiċi pprovduti miċ-Ċentru Konġunt tar-Riċerka tal-Kummissjoni. Dan għamilha possibbli li jiġu identifikati suġġetti komuni u sottokategoriji ta’ suġġetti, li ġew deskritti fid-dettall taħt kull tema u sintetizzati fi skemi kunċettwali li jippermettulhom li jiġu viżwalizzati malajr. Sabiex dan l-approċċ kwalitattiv jiġi kkomplementat b’elementi kwantitattivi, temi, sottotemi jew ideat li spiss ġew lura jew li ġew ikkummentati jew appoġġjati ħafna, issemmew f’kull wieħed mir-rapporti. L-għan kien li jiġi rifless l-istat tad-diskussjonijiet fi stadji differenti tal-konferenza, inkluż il-livell għoli ta’ interess jew dibattitu ġġenerat minn ċerti ideat. Ir-rapporti pprovdew ukoll ħarsa ġenerali lejn id-data soċjodemografika tal-parteċipanti. Il-kontributuri ntalbu jipprovdu informazzjoni dwar il-pajjiż ta’ residenza, il-livell ta’ edukazzjoni, l-età, is-sess u l-istatus professjonali tagħhom; madankollu, in-natura fakultattiva ta’ din l-informazzjoni tillimita ċ-ċarezza li tista’ ssir fir-rigward tal-profil tal-parteċipanti. Pereżempju, 26.9 % tal-kontribuzzjonijiet kollha ġew minn parteċipanti li ma indikawx il-pajjiż ta’ residenza tagħhom.</w:t>
      </w:r>
    </w:p>
    <w:p>
      <w:pPr>
        <w:pStyle w:val="Normal"/>
        <w:rPr/>
      </w:pPr>
      <w:r>
        <w:rPr/>
      </w:r>
      <w:r>
        <w:br w:type="page"/>
      </w:r>
    </w:p>
    <w:p>
      <w:pPr>
        <w:pStyle w:val="Normal"/>
        <w:rPr/>
      </w:pPr>
      <w:r>
        <w:rPr/>
        <w:t>Sa mit-tnedija tal-pjattaforma, it-tema “Demokrazija Ewropea” kienet dik li għaliha ġie rreġistrat l-akbar numru ta’ kontributi (ideat, kummenti u avvenimenti). It-tieni daħal it-tema “Tibdil fil-klima u l-ambjent”. Il-kontribuzzjonijiet ippreżentati taħt “Ideat Oħra” ġew fit-tielet post, qabel “Il-Valuri u d-Drittijiet, l-Istat tad-Dritt, is-Sigurtà” u “Ekonomija Aktar b’Saħħitha, Ġustizzja Soċjali u Impjiegi”.</w:t>
      </w:r>
    </w:p>
    <w:p>
      <w:pPr>
        <w:pStyle w:val="Normal"/>
        <w:rPr/>
      </w:pPr>
      <w:r>
        <w:rPr/>
        <w:t>Ir-rapporti dwar il-kontribuzzjonijiet miġbura fuq il-Pjattaforma, inklużi l-iskemi kunċettwali, taw kontribut siewi għall-ħidma tal-Panels taċ-Ċittadini Ewropej. Fil-bidu ta’ kull waħda mit-tliet sessjonijiet tal-bord, is-sejbiet ewlenin tar-rapport u l-iskemi kunċettwali ġew ippreżentati lill-panels, li rċevew links għar-rapporti sħaħ. Dan huwa l-għadd ta’ ideat li dehru fuq il-pjattaforma huma riflessi fir-rakkomandazzjonijiet magħmula mill-Panels taċ-Ċittadini Ewropej.</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Qafas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X’qed jiġri fil-Konferenza dwar il-Futur tal-Ewropa?</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parteċipanti fil-konferenzi</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parteċipanti fl-avveniment</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ideat</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kummenti</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avvenimenti ta’</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approvazzjonijiet</w:t>
                                  </w:r>
                                </w:p>
                              </w:tc>
                            </w:tr>
                          </w:tbl>
                          <w:p>
                            <w:pPr>
                              <w:pStyle w:val="Contenudecadre"/>
                              <w:spacing w:before="57" w:after="57"/>
                              <w:rPr/>
                            </w:pPr>
                            <w:r>
                              <w:rPr>
                                <w:color w:val="auto"/>
                              </w:rPr>
                              <w:t xml:space="preserve">Stat ta’ parteċipazzjoni fl-20 ta’ April 2022 (sors: </w:t>
                            </w:r>
                            <w:hyperlink r:id="rId32">
                              <w:r>
                                <w:rPr>
                                  <w:rStyle w:val="LienInternet"/>
                                  <w:color w:val="auto"/>
                                </w:rPr>
                                <w:t>Konferenza dwar il-Futur tal-Ewropa (europa.eu</w:t>
                              </w:r>
                            </w:hyperlink>
                            <w:r>
                              <w:rPr>
                                <w:color w:val="auto"/>
                              </w:rPr>
                              <w:t>)</w:t>
                            </w:r>
                          </w:p>
                        </w:txbxContent>
                      </wps:txbx>
                      <wps:bodyPr lIns="54000" rIns="54000" tIns="54000" bIns="54000">
                        <a:noAutofit/>
                      </wps:bodyPr>
                    </wps:wsp>
                  </a:graphicData>
                </a:graphic>
              </wp:anchor>
            </w:drawing>
          </mc:Choice>
          <mc:Fallback>
            <w:pict>
              <v:rect id="shape_0" ID="Qafas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X’qed jiġri fil-Konferenza dwar il-Futur tal-Ewropa?</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parteċipanti fil-konferenzi</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parteċipanti fl-avveniment</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ideat</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kummenti</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avvenimenti ta’</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approvazzjonijiet</w:t>
                            </w:r>
                          </w:p>
                        </w:tc>
                      </w:tr>
                    </w:tbl>
                    <w:p>
                      <w:pPr>
                        <w:pStyle w:val="Contenudecadre"/>
                        <w:spacing w:before="57" w:after="57"/>
                        <w:rPr/>
                      </w:pPr>
                      <w:r>
                        <w:rPr>
                          <w:color w:val="auto"/>
                        </w:rPr>
                        <w:t xml:space="preserve">Stat ta’ parteċipazzjoni fl-20 ta’ April 2022 (sors: </w:t>
                      </w:r>
                      <w:hyperlink r:id="rId33">
                        <w:r>
                          <w:rPr>
                            <w:rStyle w:val="LienInternet"/>
                            <w:color w:val="auto"/>
                          </w:rPr>
                          <w:t>Konferenza dwar il-Futur tal-Ewropa (europa.eu</w:t>
                        </w:r>
                      </w:hyperlink>
                      <w:r>
                        <w:rPr>
                          <w:color w:val="auto"/>
                        </w:rPr>
                        <w:t>)</w:t>
                      </w:r>
                    </w:p>
                  </w:txbxContent>
                </v:textbox>
              </v:rect>
            </w:pict>
          </mc:Fallback>
        </mc:AlternateContent>
      </w:r>
      <w:r>
        <w:rPr/>
        <w:t>Ir-rapporti ġew diskussi wkoll fil-laqgħat plenarji tal-Konferenza, li bdew mill-plenarja tat-23 ta’ Ottubru 2021, kif ukoll f’laqgħat preċedenti tal-gruppi ta’ ħidma. Il-kontributi tal-Pjattaforma għalhekk komplew isaħħu l-proposti żviluppati fil-Plenarja tal-Konferenza.</w:t>
      </w:r>
    </w:p>
    <w:p>
      <w:pPr>
        <w:pStyle w:val="Normal"/>
        <w:rPr/>
      </w:pPr>
      <w:r>
        <w:rPr/>
        <w:t>Mill-20 ta’ April 2022, kważi ħames miljun viżitatur uniku żaru l-pjattaforma diġitali multilingwi, li fiha aktar minn 50,000 parteċipant kienu attivi, 17 000 idea ddiskutew u aktar minn 6,000 avveniment irreġistrat. Wara dawn iċ-ċifri hemm eluf ta’ ċittadini impenjati li jaqsmu u jiddibattu ħafna ideat u jorganizzaw għadd kbir ta’ avvenimenti oriġinali u innovattivi fl-Istati Membri differenti.</w:t>
      </w:r>
    </w:p>
    <w:p>
      <w:pPr>
        <w:pStyle w:val="Normal"/>
        <w:rPr/>
      </w:pPr>
      <w:r>
        <w:rPr/>
        <w:t xml:space="preserve">Sabiex jiġi żgurat li l-Pjattaforma tkun post fejn iċ-ċittadini minn kull qasam tal-ħajja u minn kull rokna tal-Ewropa jħossuhom komdi u mħeġġa jikkontribwixxu għad-dibattitu, kull min juża l-Pjattaforma kellu jissottoskrivi għall- </w:t>
      </w:r>
      <w:hyperlink r:id="rId34">
        <w:r>
          <w:rPr>
            <w:rStyle w:val="LienInternet"/>
          </w:rPr>
          <w:t>karta tal-konferenza</w:t>
        </w:r>
      </w:hyperlink>
      <w:r>
        <w:rPr/>
        <w:t xml:space="preserve"> u r- </w:t>
      </w:r>
      <w:hyperlink r:id="rId35">
        <w:r>
          <w:rPr>
            <w:rStyle w:val="LienInternet"/>
          </w:rPr>
          <w:t>regoli għall-parteċipazzjoni</w:t>
        </w:r>
      </w:hyperlink>
      <w:r>
        <w:rPr/>
        <w:t>. Ġie stabbilit tim ta’ moderazzjoni u qed jaħdem matul il-konferenza taħt is-superviżjoni tas-Segretarjat Konġunt f’isem il-Bord Eżekuttiv biex jiżgura konformità mal-Karta u r-Regoli ta’ Parteċipazzjoni. Ma tkun saret l-ebda moderazzjoni minn qabel tal-kontenut. Meta kontribuzzjoni kienet moħbija, l-utent irċieva messaġġ mit-tim moderazzjoni li jispjega r-raġuni. Dettalji dwar il-prinċipji u l-proċess ta’ moderazzjoni saru disponibbli fit-taqsima tal-</w:t>
      </w:r>
      <w:hyperlink r:id="rId36">
        <w:r>
          <w:rPr>
            <w:rStyle w:val="LienInternet"/>
          </w:rPr>
          <w:t>Mistoqsijiet Frekwenti</w:t>
        </w:r>
      </w:hyperlink>
      <w:r>
        <w:rPr/>
        <w:t xml:space="preserve"> (FAQ) tal-pjattaforma.</w:t>
      </w:r>
    </w:p>
    <w:p>
      <w:pPr>
        <w:pStyle w:val="Normal"/>
        <w:rPr/>
      </w:pPr>
      <w:r>
        <w:rPr/>
        <w:t>Bejn id-19 ta’ April 2021 u l-20 ta’ April 2022, 430 idea (2.4 %), 312 kumment (1.4 %) u 396 avveniment (6.0 %) ġew moħbija. Madwar 71 % tal-ideat ġew moħbija minħabba li ma kienx fihom proposti, kemm jekk kienu spam, talbiet tal-utenti, jew minħabba li kien fihom informazzjoni personali jew immaġni assoċjata mhux xierqa; madwar 17 % tal-ideat moħbija kienu duplikati. 11 % biss ta ‘ideat moħbija kienu minħabba l-kontenut offensiv tagħhom. Il-maġġoranza l-kbira tal-avvenimenti, 76 %, ġew moħbija minħabba li kienu duplikati jew minħabba li l-informazzjoni dwar l-avveniment ma kinitx kompluta, fuq talba tal-organizzaturi jew minħabba li ma kinux relatati mal-konferenza.</w:t>
      </w:r>
    </w:p>
    <w:p>
      <w:pPr>
        <w:pStyle w:val="Normal"/>
        <w:rPr/>
      </w:pPr>
      <w:r>
        <w:rPr/>
        <w:t>Il-possibbiltà li jsiru kontribuzzjonijiet fuq il-Pjattaforma baqgħet miftuħa sad-9 ta’ Mejju 2022. Rapport addizzjonali huwa skedat wara dik id-data biex jitlesta s-sommarju tal-kontribuzzjonijiet kollha riċevuti matul il-konferenza.</w:t>
      </w:r>
    </w:p>
    <w:p>
      <w:pPr>
        <w:pStyle w:val="Normal"/>
        <w:rPr/>
      </w:pPr>
      <w:r>
        <w:rPr/>
        <w:t>Il-parteċipazzjoni fuq il-pjattaforma kompliet tiżdied matul il-konferenza, iżda baqgħet irregolari fost l-Istati Membri u l-profili soċjodemografiċi tal-parteċipanti. B’mod ġenerali, il-pjattaforma pprovdiet spazju innovattiv għad-deliberazzjoni, li ppermetta diversi eluf ta’ ċittadini u diversi partijiet ikkonċernati minn madwar l-Ewropa u lil hinn minnha biex jipparteċipaw f’dibattitu multilingwi online dwar kwistjonijiet Ewropej fl-Istati Membri kollha. Din uriet li hija għodda siewja għad-demokrazija deliberattiva fil-livell tal-UE.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 descr=""/>
                    <pic:cNvPicPr>
                      <a:picLocks noChangeAspect="1" noChangeArrowheads="1"/>
                    </pic:cNvPicPr>
                  </pic:nvPicPr>
                  <pic:blipFill>
                    <a:blip r:embed="rId37"/>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Panels taċ-Ċittadini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Il-Panels taċ-Ċittadini Ewropej</w:t>
      </w:r>
    </w:p>
    <w:p>
      <w:pPr>
        <w:pStyle w:val="Corpsdetexte"/>
        <w:rPr/>
      </w:pPr>
      <w:r>
        <w:rPr/>
        <w:t>Il-Panels taċ-Ċittadini Ewropej kienu wieħed mill-pilastri ewlenin tal-konferenza, bil-Panels Nazzjonali, il-Pjattaforma Diġitali Multilingwi u l-Plenarja tal-Konferenza. Dawn jinsabu fil-qalba tal-Konferenza dwar il-Futur tal-Ewropa u laqqgħu flimkien madwar 800 ċittadin mill-isfondi u r-reġjuni kollha tal-Unjoni Ewropea. Filwaqt li l-kunċett ta’ panels jew assemblaġġi taċ-ċittadini ilu jintuża għal għexieren ta’ snin fil-livell muniċipali u huwa dejjem aktar viżibbli fil-livell nazzjonali jew reġjonali, id-dimensjoni pan-Ewropea għadha fil-biċċa l-kbira tagħha mhux esplorata f’dan il-qasam. Il-Panels taċ-Ċittadini Ewropej kienu l-ewwel esperjenza transnazzjonali u multilingwi ta’ dan il-kobor u l-livell ta’ ambizzjoni. Is-sistema eċċezzjonali ta’ interpretazzjoni li akkumpanjat il-proċess wasslet għal djalogu inklużiv, ta’ rispett u effettiv fost il-partijiet interessati, li jiżgura r-rispett għall-multilingwiżmu.</w:t>
      </w:r>
    </w:p>
    <w:p>
      <w:pPr>
        <w:pStyle w:val="Corpsdetexte"/>
        <w:rPr/>
      </w:pPr>
      <w:r>
        <w:rPr/>
        <w:t>Il-Panels taċ-Ċittadini Ewropej ġew organizzati mit-tliet istituzzjonijiet abbażi tad-Dikjarazzjoni Konġunta, ir-Regoli ta’ Proċedura u l-arranġamenti stabbiliti mill-Kopresidenti, taħt is-superviżjoni tal-Bord Eżekuttiv. Dawn kienu appoġġati minn konsorzju ta’ fornituri esterni tas-servizzi magħmul minn diversi esperti fil-qasam tad-demokrazija deliberattiva u tim ta’ appoġġ għal-loġistika. Il-Bord Eżekuttiv inżamm infurmat dwar il-ħidma tal-panels, ġew ipprovduti arranġamenti prattiċi aġġornati u adatta l-kalendarju proviżorju tas-sessjonijiet tal-Panels taċ-Ċittadini Ewropej matul il-proċess, kif meħtieġ.</w:t>
      </w:r>
    </w:p>
    <w:p>
      <w:pPr>
        <w:pStyle w:val="Corpsdetexte"/>
        <w:rPr/>
      </w:pPr>
      <w:r>
        <w:rPr/>
        <w:t>Il-parteċipanti fil-Panels taċ-Ċittadini Ewropej intgħażlu fis-sajf tal-2021. Iċ-ċittadini tal-UE ntgħażlu b’mod aleatorju (prinċipalment ikkuntattjati mis-27 istitut ta’ stħarriġ nazzjonali kkoordinati minn fornitur estern tas-servizzi) bil-għan li jikkostitwixxu “panels” li huma rappreżentattivi tad-diversità tal-UE, abbażi ta’ ħames kriterji: is-sess, l-età, l-oriġini ġeografika (nazzjonalità kif ukoll l-ambjent urban/rurali), l-isfond soċjoekonomiku u l-livell ta’ edukazzjoni. L-għadd ta’ ċittadini għal kull Stat Membru ġie kkalkulat skont il-prinċipju ta’ proporzjonalità digressiva applikat għall-kompożizzjoni tal-Parlament Ewropew, filwaqt li jitqies li kull bord għandu jinkludi mill-inqas ċittadin wieħed u ċittadin wieħed għal kull Stat Membru. Peress li l-konferenza tat attenzjoni speċifika liż-żgħażagħ, terz taċ-ċittadini f’kull panel kellhom bejn 16 u 24 sena. Għal kull grupp ta’ 200 persuna, intgħażlu 50 ċittadin addizzjonali biex jistabbilixxu riżerva.</w:t>
      </w:r>
    </w:p>
    <w:p>
      <w:pPr>
        <w:pStyle w:val="Corpsdetexte"/>
        <w:rPr/>
      </w:pPr>
      <w:r>
        <w:rPr/>
        <w:t>Ġew organizzati erba’ Panels taċ-Ċittadini Ewropej. Għal kull waħda minnhom, is-suġġetti għad-diskussjoni kkorrispondew mas-suġġetti identifikati fuq il-pjattaforma diġitali multilingwi u ġew raggruppati kif ġej:</w:t>
      </w:r>
    </w:p>
    <w:p>
      <w:pPr>
        <w:pStyle w:val="Puce3"/>
        <w:rPr/>
      </w:pPr>
      <w:r>
        <w:rPr/>
        <w:t>1. Ekonomija aktar b’saħħitha, ġustizzja soċjali u impjiegi; l-edukazzjoni, il-kultura, iż-żgħażagħ u l-isport; it-trasformazzjoni diġitali;</w:t>
      </w:r>
    </w:p>
    <w:p>
      <w:pPr>
        <w:pStyle w:val="Puce3"/>
        <w:rPr/>
      </w:pPr>
      <w:r>
        <w:rPr/>
        <w:t>2. Id-demokrazija Ewropea; il-valuri u d-drittijiet, l-istat tad-dritt, is-sigurtà;</w:t>
      </w:r>
    </w:p>
    <w:p>
      <w:pPr>
        <w:pStyle w:val="Puce3"/>
        <w:rPr/>
      </w:pPr>
      <w:r>
        <w:rPr/>
        <w:t>3.It-tibdil fil-klima u l-ambjent; is-saħħa;</w:t>
      </w:r>
    </w:p>
    <w:p>
      <w:pPr>
        <w:pStyle w:val="Puce3"/>
        <w:tabs>
          <w:tab w:val="clear" w:pos="720"/>
        </w:tabs>
        <w:rPr/>
      </w:pPr>
      <w:r>
        <w:rPr/>
        <w:t>4.L-UE fid-dinja; migrazzjoni.</w:t>
      </w:r>
    </w:p>
    <w:p>
      <w:pPr>
        <w:pStyle w:val="Corpsdetexte"/>
        <w:rPr/>
      </w:pPr>
      <w:r>
        <w:rPr/>
        <w:t>Kull panel iltaqa ‘għal tliet weekends. L-ewwel sensiela ta’ sessjonijiet saret fi Strasburgu, it-tieni waħda onlajn u t-tielet waħda f’erba’ bliet (Dublin, Firenze, Varsavja/Natolin u Maastricht), f’istituzzjonijiet pubbliċi tal-edukazzjoni għolja u bl-appoġġ tal-awtoritajiet lokali.</w:t>
      </w:r>
    </w:p>
    <w:p>
      <w:pPr>
        <w:pStyle w:val="Titre4"/>
        <w:numPr>
          <w:ilvl w:val="3"/>
          <w:numId w:val="2"/>
        </w:numPr>
        <w:rPr/>
      </w:pPr>
      <w:bookmarkStart w:id="11" w:name="__RefHeading___Toc298196_1346298689"/>
      <w:bookmarkEnd w:id="11"/>
      <w:r>
        <w:rPr/>
        <w:t>L-EWWEL RAWND TA’ SESSJONIJIET TAL-PANEL</w:t>
      </w:r>
    </w:p>
    <w:p>
      <w:pPr>
        <w:pStyle w:val="Corpsdetexte"/>
        <w:rPr/>
      </w:pPr>
      <w:r>
        <w:rPr/>
        <w:t>Għall-ewwel sessjoni ta’ kull panel, il-parteċipanti ltaqgħu fiżikament fi Strasburgu. L-objettiv tas-sessjoni kien li tiġi definita l-aġenda għad-deliberazzjonijiet. Iċ-ċittadini li pparteċipaw fil-panels bdew billi rriflettew u żviluppaw il-viżjoni tagħhom tal-Ewropa, billi bdew minn paġna vojta u identifikaw il-kwistjonijiet li għandhom jiġu diskussi, fil-qafas tat-temi ewlenin tal-bord. Huma mbagħad taw prijorità lis-suġġetti li xtaqu jiffokaw fuqhom aktar fil-fond bil-ħsieb li jsiru rakkomandazzjonijiet speċifiċi lill-istituzzjonijiet tal-UE għal segwitu. Id-diskussjonijiet u l-ħidma kollettiva saru fiż-żewġ formati li ġejjin:</w:t>
      </w:r>
    </w:p>
    <w:p>
      <w:pPr>
        <w:pStyle w:val="Alineanegatifpuce"/>
        <w:numPr>
          <w:ilvl w:val="0"/>
          <w:numId w:val="3"/>
        </w:numPr>
        <w:rPr/>
      </w:pPr>
      <w:r>
        <w:rPr/>
        <w:t xml:space="preserve"> </w:t>
      </w:r>
      <w:r>
        <w:rPr/>
        <w:t>f’sottogruppi magħmula minn 12 sa 14-il ċittadin. Erbgħa sa ħames lingwi kienu mitkellma f’kull sottogrupp, li fih iċ-ċittadini setgħu jesprimu ruħhom bil-lingwa tagħhom stess. Il-ħidma tas-sottogruppi kienet iggwidata minn faċilitaturi professjonali magħżula mill-konsorzju ta’ fornituri esterni tas-servizzi.</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Qafas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SESSJONI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JUM 1 </w:t>
                                  </w:r>
                                </w:p>
                                <w:p>
                                  <w:pPr>
                                    <w:pStyle w:val="P68B1DB1Contenudetableau9"/>
                                    <w:spacing w:before="57" w:after="57"/>
                                    <w:jc w:val="center"/>
                                    <w:rPr>
                                      <w:sz w:val="16"/>
                                    </w:rPr>
                                  </w:pPr>
                                  <w:r>
                                    <w:rPr/>
                                    <w:t>Laqgħa ġdida għall-panel u t-tħejjija għall-weekend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JUM 2 </w:t>
                                  </w:r>
                                </w:p>
                                <w:p>
                                  <w:pPr>
                                    <w:pStyle w:val="P68B1DB1Contenudetableau9"/>
                                    <w:spacing w:before="57" w:after="57"/>
                                    <w:jc w:val="center"/>
                                    <w:rPr>
                                      <w:sz w:val="16"/>
                                    </w:rPr>
                                  </w:pPr>
                                  <w:r>
                                    <w:rPr/>
                                    <w:t>Input espert, Identifikazzjoni tal-problemi, Produzzjoni ta’ gwida</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JUM 3 </w:t>
                                  </w:r>
                                </w:p>
                                <w:p>
                                  <w:pPr>
                                    <w:pStyle w:val="P68B1DB1Contenudetableau9"/>
                                    <w:spacing w:before="57" w:after="57"/>
                                    <w:jc w:val="center"/>
                                    <w:rPr>
                                      <w:sz w:val="16"/>
                                    </w:rPr>
                                  </w:pPr>
                                  <w:r>
                                    <w:rPr/>
                                    <w:t>Finalizzazzjoni tal-Linji Gwida, Kummenti Finali</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Kontribut mill-esperti dwar is-sottotemi</w:t>
                                  </w:r>
                                </w:p>
                              </w:tc>
                              <w:tc>
                                <w:tcPr>
                                  <w:tcW w:w="3120" w:type="dxa"/>
                                  <w:gridSpan w:val="2"/>
                                  <w:tcBorders/>
                                  <w:shd w:fill="0000FF" w:val="clear"/>
                                </w:tcPr>
                                <w:p>
                                  <w:pPr>
                                    <w:pStyle w:val="P68B1DB1Contenudetableau9"/>
                                    <w:spacing w:before="57" w:after="57"/>
                                    <w:jc w:val="center"/>
                                    <w:rPr>
                                      <w:sz w:val="16"/>
                                    </w:rPr>
                                  </w:pPr>
                                  <w:r>
                                    <w:rPr/>
                                    <w:t>Kontribut addizzjonali mill-esperti</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Merħba, </w:t>
                                  </w:r>
                                </w:p>
                                <w:p>
                                  <w:pPr>
                                    <w:pStyle w:val="P68B1DB1Contenudetableau9"/>
                                    <w:spacing w:before="57" w:after="57"/>
                                    <w:jc w:val="center"/>
                                    <w:rPr>
                                      <w:sz w:val="16"/>
                                    </w:rPr>
                                  </w:pPr>
                                  <w:r>
                                    <w:rPr/>
                                    <w:t xml:space="preserve">Kliem lill-ambaxxaturi taċ-ċittadini għall-feedback tagħhom, </w:t>
                                    <w:br/>
                                    <w:t>Aġġornament tal-Pjattaforma, Aġenda</w:t>
                                  </w:r>
                                </w:p>
                              </w:tc>
                              <w:tc>
                                <w:tcPr>
                                  <w:tcW w:w="3120" w:type="dxa"/>
                                  <w:gridSpan w:val="2"/>
                                  <w:tcBorders/>
                                  <w:shd w:fill="00FF00" w:val="clear"/>
                                </w:tcPr>
                                <w:p>
                                  <w:pPr>
                                    <w:pStyle w:val="P68B1DB1Contenudetableau9"/>
                                    <w:spacing w:before="57" w:after="57"/>
                                    <w:jc w:val="center"/>
                                    <w:rPr>
                                      <w:sz w:val="16"/>
                                    </w:rPr>
                                  </w:pPr>
                                  <w:r>
                                    <w:rPr/>
                                    <w:t>Produzzjoni ta’ linji gwida</w:t>
                                  </w:r>
                                </w:p>
                              </w:tc>
                              <w:tc>
                                <w:tcPr>
                                  <w:tcW w:w="3120" w:type="dxa"/>
                                  <w:gridSpan w:val="2"/>
                                  <w:tcBorders/>
                                  <w:shd w:fill="00FF00" w:val="clear"/>
                                </w:tcPr>
                                <w:p>
                                  <w:pPr>
                                    <w:pStyle w:val="P68B1DB1Contenudetableau9"/>
                                    <w:spacing w:before="57" w:after="57"/>
                                    <w:jc w:val="center"/>
                                    <w:rPr>
                                      <w:sz w:val="16"/>
                                    </w:rPr>
                                  </w:pPr>
                                  <w:r>
                                    <w:rPr/>
                                    <w:t xml:space="preserve"> </w:t>
                                  </w:r>
                                  <w:r>
                                    <w:rPr/>
                                    <w:t>Finalizzazzjoni tal-linji gwida</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Il-qsim ta’ ċerti orjentazzjonijiet, </w:t>
                                    <w:br/>
                                    <w:t>Rimarki finali</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Sessjoni plenarja</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Il-Plenarja tat-tema</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Sessjoni ta’ sottogrupp</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Qafas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SESSJONI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JUM 1 </w:t>
                            </w:r>
                          </w:p>
                          <w:p>
                            <w:pPr>
                              <w:pStyle w:val="P68B1DB1Contenudetableau9"/>
                              <w:spacing w:before="57" w:after="57"/>
                              <w:jc w:val="center"/>
                              <w:rPr>
                                <w:sz w:val="16"/>
                              </w:rPr>
                            </w:pPr>
                            <w:r>
                              <w:rPr/>
                              <w:t>Laqgħa ġdida għall-panel u t-tħejjija għall-weekend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JUM 2 </w:t>
                            </w:r>
                          </w:p>
                          <w:p>
                            <w:pPr>
                              <w:pStyle w:val="P68B1DB1Contenudetableau9"/>
                              <w:spacing w:before="57" w:after="57"/>
                              <w:jc w:val="center"/>
                              <w:rPr>
                                <w:sz w:val="16"/>
                              </w:rPr>
                            </w:pPr>
                            <w:r>
                              <w:rPr/>
                              <w:t>Input espert, Identifikazzjoni tal-problemi, Produzzjoni ta’ gwida</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JUM 3 </w:t>
                            </w:r>
                          </w:p>
                          <w:p>
                            <w:pPr>
                              <w:pStyle w:val="P68B1DB1Contenudetableau9"/>
                              <w:spacing w:before="57" w:after="57"/>
                              <w:jc w:val="center"/>
                              <w:rPr>
                                <w:sz w:val="16"/>
                              </w:rPr>
                            </w:pPr>
                            <w:r>
                              <w:rPr/>
                              <w:t>Finalizzazzjoni tal-Linji Gwida, Kummenti Finali</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Kontribut mill-esperti dwar is-sottotemi</w:t>
                            </w:r>
                          </w:p>
                        </w:tc>
                        <w:tc>
                          <w:tcPr>
                            <w:tcW w:w="3120" w:type="dxa"/>
                            <w:gridSpan w:val="2"/>
                            <w:tcBorders/>
                            <w:shd w:fill="0000FF" w:val="clear"/>
                          </w:tcPr>
                          <w:p>
                            <w:pPr>
                              <w:pStyle w:val="P68B1DB1Contenudetableau9"/>
                              <w:spacing w:before="57" w:after="57"/>
                              <w:jc w:val="center"/>
                              <w:rPr>
                                <w:sz w:val="16"/>
                              </w:rPr>
                            </w:pPr>
                            <w:r>
                              <w:rPr/>
                              <w:t>Kontribut addizzjonali mill-esperti</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Merħba, </w:t>
                            </w:r>
                          </w:p>
                          <w:p>
                            <w:pPr>
                              <w:pStyle w:val="P68B1DB1Contenudetableau9"/>
                              <w:spacing w:before="57" w:after="57"/>
                              <w:jc w:val="center"/>
                              <w:rPr>
                                <w:sz w:val="16"/>
                              </w:rPr>
                            </w:pPr>
                            <w:r>
                              <w:rPr/>
                              <w:t xml:space="preserve">Kliem lill-ambaxxaturi taċ-ċittadini għall-feedback tagħhom, </w:t>
                              <w:br/>
                              <w:t>Aġġornament tal-Pjattaforma, Aġenda</w:t>
                            </w:r>
                          </w:p>
                        </w:tc>
                        <w:tc>
                          <w:tcPr>
                            <w:tcW w:w="3120" w:type="dxa"/>
                            <w:gridSpan w:val="2"/>
                            <w:tcBorders/>
                            <w:shd w:fill="00FF00" w:val="clear"/>
                          </w:tcPr>
                          <w:p>
                            <w:pPr>
                              <w:pStyle w:val="P68B1DB1Contenudetableau9"/>
                              <w:spacing w:before="57" w:after="57"/>
                              <w:jc w:val="center"/>
                              <w:rPr>
                                <w:sz w:val="16"/>
                              </w:rPr>
                            </w:pPr>
                            <w:r>
                              <w:rPr/>
                              <w:t>Produzzjoni ta’ linji gwida</w:t>
                            </w:r>
                          </w:p>
                        </w:tc>
                        <w:tc>
                          <w:tcPr>
                            <w:tcW w:w="3120" w:type="dxa"/>
                            <w:gridSpan w:val="2"/>
                            <w:tcBorders/>
                            <w:shd w:fill="00FF00" w:val="clear"/>
                          </w:tcPr>
                          <w:p>
                            <w:pPr>
                              <w:pStyle w:val="P68B1DB1Contenudetableau9"/>
                              <w:spacing w:before="57" w:after="57"/>
                              <w:jc w:val="center"/>
                              <w:rPr>
                                <w:sz w:val="16"/>
                              </w:rPr>
                            </w:pPr>
                            <w:r>
                              <w:rPr/>
                              <w:t xml:space="preserve"> </w:t>
                            </w:r>
                            <w:r>
                              <w:rPr/>
                              <w:t>Finalizzazzjoni tal-linji gwida</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Il-qsim ta’ ċerti orjentazzjonijiet, </w:t>
                              <w:br/>
                              <w:t>Rimarki finali</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Sessjoni plenarja</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Il-Plenarja tat-tema</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Sessjoni ta’ sottogrupp</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fil-plenarja, bil-parteċipanti kollha. Is-sessjonijiet plenarji tmexxew minn żewġ moderaturi ewlenin. It-temi ta’ prijorità li rriżultaw mid-diskussjonijiet kienu suddiviżi f’“assi” (li tikkorrispondi għar-raggruppamenti tematiċi) u “sottoassi” u servew bħala l-bażi għat-tieni serje ta’ sessjonijiet. Għal dan il-għan, il-parteċipanti rċevew informazzjoni ta’ sfond dwar it-temi, kif ukoll kontributi rilevanti, inklużi analiżijiet u skemi kunċettwali, mill-ewwel rapport interim tal-Pjattaforma Diġitali Multilingwi u preżentazzjonijiet minn esperti esterni ta’ livell għoli.</w:t>
      </w:r>
    </w:p>
    <w:p>
      <w:pPr>
        <w:pStyle w:val="Corpsdetexte"/>
        <w:rPr/>
      </w:pPr>
      <w:r>
        <w:rPr/>
        <w:t>Matul l-ewwel sessjonijiet, l-20 persuna li ntalbu jirrappreżentaw kull wieħed mill-panels fil-plenarja ntgħażlu minn fost iċ-ċittadini volontarji; B’dan il-mod, kien segwit mid-diversità tal-età u s-sess.</w:t>
      </w:r>
    </w:p>
    <w:p>
      <w:pPr>
        <w:pStyle w:val="Titre4"/>
        <w:numPr>
          <w:ilvl w:val="3"/>
          <w:numId w:val="2"/>
        </w:numPr>
        <w:rPr/>
      </w:pPr>
      <w:bookmarkStart w:id="12" w:name="__RefHeading___Toc298198_1346298689"/>
      <w:bookmarkEnd w:id="12"/>
      <w:r>
        <w:rPr/>
        <w:t>IT-TIENI RAWND TA’ SESSJONIJIET TAL-PANEL</w:t>
      </w:r>
    </w:p>
    <w:p>
      <w:pPr>
        <w:pStyle w:val="Corpsdetexte"/>
        <w:rPr/>
      </w:pPr>
      <w:r>
        <w:rPr/>
        <w:t>Il-Panels taċ-Ċittadini Ewropej komplew il-ħidma tagħhom billi ltaqgħu online matul Novembru. Ġiet stabbilita skema speċjali għal dan il-għan: studjo fi Brussell ospita l-moderazzjoni ewlenija u s-sessjonijiet plenarji, filwaqt li ċ-ċittadini parteċipanti minn madwar l-UE setgħu jintervjenu permezz ta’ sistema ta’ konnessjoni u interpretazzjoni.</w:t>
      </w:r>
    </w:p>
    <w:p>
      <w:pPr>
        <w:pStyle w:val="Corpsdetexte"/>
        <w:rPr/>
      </w:pPr>
      <w:r>
        <w:rPr/>
        <w:t>Fit-tieni ċiklu ta’ sessjonijiet, bl-appoġġ ta’ esperti u verifikaturi tal-fatti, iċ-ċittadini identifikaw u ddiskutew serje ta’ kwistjonijiet speċifiċi u żviluppaw linji gwida għal kull wieħed mill-assi tematiċi li kienu identifikaw matul l-ewwel sessjoni. Ingħatat attenzjoni partikolari lill-bilanċ bejn is-sessi u dak ġeografiku fi ħdan il-grupp ta’ esperti, u li kull wieħed minn dawn l-esperti, permezz tal-kontribuzzjonijiet tagħhom, jinforma liċ-ċittadini fil-fond billi jikkomunika l-fatti u/jew il-progress fid-dibattitu u ma jagħtix opinjonijiet personali. Iċ-ċittadini ngħataw ukoll ir-rapporti interim tal-pjattaforma diġitali multilingwi.</w:t>
      </w:r>
    </w:p>
    <w:p>
      <w:pPr>
        <w:pStyle w:val="Corpsdetexte"/>
        <w:rPr/>
      </w:pPr>
      <w:r>
        <w:rPr/>
        <w:t>Għalhekk huma setgħu jidentifikaw u jiddiskutu kwistjonijiet relatati mat-temi assenjati lilhom, filwaqt li jibnu fuq il-kontribut tal-esperti dwar is-suġġetti koperti u l-għarfien u l-esperjenzi tagħhom stess, matul id-deliberazzjonijiet li saru matul it-tieni ċiklu ta’ sessjonijiet. Il-problemi ġew definiti bħala problemi li jeħtieġu soluzzjonijiet jew sitwazzjonijiet li jeħtieġu bidla.</w:t>
      </w:r>
    </w:p>
    <w:p>
      <w:pPr>
        <w:pStyle w:val="Corpsdetexte"/>
        <w:rPr/>
      </w:pPr>
      <w:r>
        <w:rPr/>
        <w:t>Iċ-ċittadini mbagħad indirizzaw dawn il-kwistjonijiet billi żviluppaw linji gwida, l-ewwel pass lejn il-formulazzjoni tar-rakkomandazzjonijiet, li kien l-objettiv tat-tielet serje ta’ sessjonijiet. Iċ-ċittadini ntalbu wkoll jiġġustifikaw dawn il-linji gwida.</w:t>
      </w:r>
    </w:p>
    <w:p>
      <w:pPr>
        <w:pStyle w:val="Corpsdetexte"/>
        <w:rPr/>
      </w:pPr>
      <w:r>
        <w:rPr/>
        <w:t>Id-diskussjonijiet u l-ħidma kollettiva saru fi tliet formati:</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Qafas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SESSJONI 3</w:t>
                                  </w:r>
                                </w:p>
                              </w:tc>
                            </w:tr>
                            <w:tr>
                              <w:trPr/>
                              <w:tc>
                                <w:tcPr>
                                  <w:tcW w:w="3138" w:type="dxa"/>
                                  <w:tcBorders/>
                                  <w:shd w:fill="0000FF" w:val="clear"/>
                                </w:tcPr>
                                <w:p>
                                  <w:pPr>
                                    <w:pStyle w:val="P68B1DB1Contenudetableau10"/>
                                    <w:spacing w:before="57" w:after="57"/>
                                    <w:jc w:val="center"/>
                                    <w:rPr>
                                      <w:b/>
                                      <w:b/>
                                    </w:rPr>
                                  </w:pPr>
                                  <w:r>
                                    <w:rPr/>
                                    <w:t xml:space="preserve">JUM 1 </w:t>
                                  </w:r>
                                </w:p>
                                <w:p>
                                  <w:pPr>
                                    <w:pStyle w:val="Contenudetableau"/>
                                    <w:spacing w:before="57" w:after="57"/>
                                    <w:jc w:val="center"/>
                                    <w:rPr/>
                                  </w:pPr>
                                  <w:r>
                                    <w:rPr/>
                                    <w:t>Konnessjoni mill-ġdid, prijoritizzazzjoni u bidu tax-xogħol</w:t>
                                  </w:r>
                                </w:p>
                              </w:tc>
                              <w:tc>
                                <w:tcPr>
                                  <w:tcW w:w="3138" w:type="dxa"/>
                                  <w:tcBorders/>
                                  <w:shd w:fill="0000FF" w:val="clear"/>
                                </w:tcPr>
                                <w:p>
                                  <w:pPr>
                                    <w:pStyle w:val="P68B1DB1Contenudetableau10"/>
                                    <w:spacing w:before="57" w:after="57"/>
                                    <w:jc w:val="center"/>
                                    <w:rPr>
                                      <w:b/>
                                      <w:b/>
                                    </w:rPr>
                                  </w:pPr>
                                  <w:r>
                                    <w:rPr/>
                                    <w:t xml:space="preserve">JUM 2 </w:t>
                                  </w:r>
                                </w:p>
                                <w:p>
                                  <w:pPr>
                                    <w:pStyle w:val="Contenudetableau"/>
                                    <w:jc w:val="center"/>
                                    <w:rPr/>
                                  </w:pPr>
                                  <w:r>
                                    <w:rPr/>
                                    <w:t xml:space="preserve">Trasformazzjoni tal-linji gwida </w:t>
                                  </w:r>
                                </w:p>
                                <w:p>
                                  <w:pPr>
                                    <w:pStyle w:val="Contenudetableau"/>
                                    <w:spacing w:before="57" w:after="57"/>
                                    <w:jc w:val="center"/>
                                    <w:rPr/>
                                  </w:pPr>
                                  <w:r>
                                    <w:rPr/>
                                    <w:t>rakkomandazzjonijiet finali</w:t>
                                  </w:r>
                                </w:p>
                              </w:tc>
                              <w:tc>
                                <w:tcPr>
                                  <w:tcW w:w="3138" w:type="dxa"/>
                                  <w:tcBorders/>
                                  <w:shd w:fill="0000FF" w:val="clear"/>
                                </w:tcPr>
                                <w:p>
                                  <w:pPr>
                                    <w:pStyle w:val="P68B1DB1Contenudetableau10"/>
                                    <w:spacing w:before="57" w:after="57"/>
                                    <w:jc w:val="center"/>
                                    <w:rPr>
                                      <w:b/>
                                      <w:b/>
                                    </w:rPr>
                                  </w:pPr>
                                  <w:r>
                                    <w:rPr/>
                                    <w:t xml:space="preserve">JUM 3 </w:t>
                                  </w:r>
                                </w:p>
                                <w:p>
                                  <w:pPr>
                                    <w:pStyle w:val="Contenudetableau"/>
                                    <w:spacing w:before="57" w:after="57"/>
                                    <w:jc w:val="center"/>
                                    <w:rPr/>
                                  </w:pPr>
                                  <w:r>
                                    <w:rPr/>
                                    <w:t>Votazzjoni dwar ir-rakkomandazzjonijiet finali</w:t>
                                  </w:r>
                                </w:p>
                              </w:tc>
                            </w:tr>
                            <w:tr>
                              <w:trPr/>
                              <w:tc>
                                <w:tcPr>
                                  <w:tcW w:w="3138" w:type="dxa"/>
                                  <w:tcBorders/>
                                  <w:shd w:fill="800000" w:val="clear"/>
                                </w:tcPr>
                                <w:p>
                                  <w:pPr>
                                    <w:pStyle w:val="Contenudetableau"/>
                                    <w:spacing w:before="57" w:after="57"/>
                                    <w:jc w:val="center"/>
                                    <w:rPr/>
                                  </w:pPr>
                                  <w:r>
                                    <w:rPr/>
                                    <w:t>Merħba u għanijiet tal-weekend</w:t>
                                  </w:r>
                                </w:p>
                              </w:tc>
                              <w:tc>
                                <w:tcPr>
                                  <w:tcW w:w="3138" w:type="dxa"/>
                                  <w:tcBorders/>
                                  <w:shd w:fill="00FF00" w:val="clear"/>
                                </w:tcPr>
                                <w:p>
                                  <w:pPr>
                                    <w:pStyle w:val="Contenudetableau"/>
                                    <w:spacing w:before="57" w:after="57"/>
                                    <w:jc w:val="center"/>
                                    <w:rPr/>
                                  </w:pPr>
                                  <w:r>
                                    <w:rPr/>
                                    <w:t>It-trasformazzjoni tal-gwida f’rakkomandazzjonijiet</w:t>
                                  </w:r>
                                </w:p>
                              </w:tc>
                              <w:tc>
                                <w:tcPr>
                                  <w:tcW w:w="3138" w:type="dxa"/>
                                  <w:tcBorders/>
                                  <w:shd w:fill="800000" w:val="clear"/>
                                </w:tcPr>
                                <w:p>
                                  <w:pPr>
                                    <w:pStyle w:val="Contenudetableau"/>
                                    <w:spacing w:before="57" w:after="57"/>
                                    <w:jc w:val="center"/>
                                    <w:rPr/>
                                  </w:pPr>
                                  <w:r>
                                    <w:rPr/>
                                    <w:t>Votazzjoni dwar ir-rakkomandazzjonijiet finali</w:t>
                                  </w:r>
                                </w:p>
                              </w:tc>
                            </w:tr>
                            <w:tr>
                              <w:trPr/>
                              <w:tc>
                                <w:tcPr>
                                  <w:tcW w:w="3138" w:type="dxa"/>
                                  <w:tcBorders/>
                                  <w:shd w:fill="0000FF" w:val="clear"/>
                                </w:tcPr>
                                <w:p>
                                  <w:pPr>
                                    <w:pStyle w:val="Contenudetableau"/>
                                    <w:spacing w:before="57" w:after="57"/>
                                    <w:jc w:val="center"/>
                                    <w:rPr/>
                                  </w:pPr>
                                  <w:r>
                                    <w:rPr/>
                                    <w:t xml:space="preserve">Forum Miftuħ, </w:t>
                                  </w:r>
                                </w:p>
                                <w:p>
                                  <w:pPr>
                                    <w:pStyle w:val="Contenudetableau"/>
                                    <w:spacing w:before="57" w:after="57"/>
                                    <w:jc w:val="center"/>
                                    <w:rPr/>
                                  </w:pPr>
                                  <w:r>
                                    <w:rPr/>
                                    <w:t>Qari u prijoritizzazzjoni tal-linji gwida</w:t>
                                  </w:r>
                                </w:p>
                              </w:tc>
                              <w:tc>
                                <w:tcPr>
                                  <w:tcW w:w="3138" w:type="dxa"/>
                                  <w:tcBorders/>
                                  <w:shd w:fill="00FF00" w:val="clear"/>
                                </w:tcPr>
                                <w:p>
                                  <w:pPr>
                                    <w:pStyle w:val="Contenudetableau"/>
                                    <w:spacing w:before="57" w:after="57"/>
                                    <w:jc w:val="center"/>
                                    <w:rPr/>
                                  </w:pPr>
                                  <w:r>
                                    <w:rPr/>
                                    <w:t>Feedback lil gruppi oħra, Finalizzazzjoni tar-rakkomandazzjonijiet</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It-trasformazzjoni tal-gwida f’rakkomandazzjonijiet</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Sessjoni plenarja</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Forum Miftuħ</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Xogħol ta’ sottogrupp</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Qafas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SESSJONI 3</w:t>
                            </w:r>
                          </w:p>
                        </w:tc>
                      </w:tr>
                      <w:tr>
                        <w:trPr/>
                        <w:tc>
                          <w:tcPr>
                            <w:tcW w:w="3138" w:type="dxa"/>
                            <w:tcBorders/>
                            <w:shd w:fill="0000FF" w:val="clear"/>
                          </w:tcPr>
                          <w:p>
                            <w:pPr>
                              <w:pStyle w:val="P68B1DB1Contenudetableau10"/>
                              <w:spacing w:before="57" w:after="57"/>
                              <w:jc w:val="center"/>
                              <w:rPr>
                                <w:b/>
                                <w:b/>
                              </w:rPr>
                            </w:pPr>
                            <w:r>
                              <w:rPr/>
                              <w:t xml:space="preserve">JUM 1 </w:t>
                            </w:r>
                          </w:p>
                          <w:p>
                            <w:pPr>
                              <w:pStyle w:val="Contenudetableau"/>
                              <w:spacing w:before="57" w:after="57"/>
                              <w:jc w:val="center"/>
                              <w:rPr/>
                            </w:pPr>
                            <w:r>
                              <w:rPr/>
                              <w:t>Konnessjoni mill-ġdid, prijoritizzazzjoni u bidu tax-xogħol</w:t>
                            </w:r>
                          </w:p>
                        </w:tc>
                        <w:tc>
                          <w:tcPr>
                            <w:tcW w:w="3138" w:type="dxa"/>
                            <w:tcBorders/>
                            <w:shd w:fill="0000FF" w:val="clear"/>
                          </w:tcPr>
                          <w:p>
                            <w:pPr>
                              <w:pStyle w:val="P68B1DB1Contenudetableau10"/>
                              <w:spacing w:before="57" w:after="57"/>
                              <w:jc w:val="center"/>
                              <w:rPr>
                                <w:b/>
                                <w:b/>
                              </w:rPr>
                            </w:pPr>
                            <w:r>
                              <w:rPr/>
                              <w:t xml:space="preserve">JUM 2 </w:t>
                            </w:r>
                          </w:p>
                          <w:p>
                            <w:pPr>
                              <w:pStyle w:val="Contenudetableau"/>
                              <w:jc w:val="center"/>
                              <w:rPr/>
                            </w:pPr>
                            <w:r>
                              <w:rPr/>
                              <w:t xml:space="preserve">Trasformazzjoni tal-linji gwida </w:t>
                            </w:r>
                          </w:p>
                          <w:p>
                            <w:pPr>
                              <w:pStyle w:val="Contenudetableau"/>
                              <w:spacing w:before="57" w:after="57"/>
                              <w:jc w:val="center"/>
                              <w:rPr/>
                            </w:pPr>
                            <w:r>
                              <w:rPr/>
                              <w:t>rakkomandazzjonijiet finali</w:t>
                            </w:r>
                          </w:p>
                        </w:tc>
                        <w:tc>
                          <w:tcPr>
                            <w:tcW w:w="3138" w:type="dxa"/>
                            <w:tcBorders/>
                            <w:shd w:fill="0000FF" w:val="clear"/>
                          </w:tcPr>
                          <w:p>
                            <w:pPr>
                              <w:pStyle w:val="P68B1DB1Contenudetableau10"/>
                              <w:spacing w:before="57" w:after="57"/>
                              <w:jc w:val="center"/>
                              <w:rPr>
                                <w:b/>
                                <w:b/>
                              </w:rPr>
                            </w:pPr>
                            <w:r>
                              <w:rPr/>
                              <w:t xml:space="preserve">JUM 3 </w:t>
                            </w:r>
                          </w:p>
                          <w:p>
                            <w:pPr>
                              <w:pStyle w:val="Contenudetableau"/>
                              <w:spacing w:before="57" w:after="57"/>
                              <w:jc w:val="center"/>
                              <w:rPr/>
                            </w:pPr>
                            <w:r>
                              <w:rPr/>
                              <w:t>Votazzjoni dwar ir-rakkomandazzjonijiet finali</w:t>
                            </w:r>
                          </w:p>
                        </w:tc>
                      </w:tr>
                      <w:tr>
                        <w:trPr/>
                        <w:tc>
                          <w:tcPr>
                            <w:tcW w:w="3138" w:type="dxa"/>
                            <w:tcBorders/>
                            <w:shd w:fill="800000" w:val="clear"/>
                          </w:tcPr>
                          <w:p>
                            <w:pPr>
                              <w:pStyle w:val="Contenudetableau"/>
                              <w:spacing w:before="57" w:after="57"/>
                              <w:jc w:val="center"/>
                              <w:rPr/>
                            </w:pPr>
                            <w:r>
                              <w:rPr/>
                              <w:t>Merħba u għanijiet tal-weekend</w:t>
                            </w:r>
                          </w:p>
                        </w:tc>
                        <w:tc>
                          <w:tcPr>
                            <w:tcW w:w="3138" w:type="dxa"/>
                            <w:tcBorders/>
                            <w:shd w:fill="00FF00" w:val="clear"/>
                          </w:tcPr>
                          <w:p>
                            <w:pPr>
                              <w:pStyle w:val="Contenudetableau"/>
                              <w:spacing w:before="57" w:after="57"/>
                              <w:jc w:val="center"/>
                              <w:rPr/>
                            </w:pPr>
                            <w:r>
                              <w:rPr/>
                              <w:t>It-trasformazzjoni tal-gwida f’rakkomandazzjonijiet</w:t>
                            </w:r>
                          </w:p>
                        </w:tc>
                        <w:tc>
                          <w:tcPr>
                            <w:tcW w:w="3138" w:type="dxa"/>
                            <w:tcBorders/>
                            <w:shd w:fill="800000" w:val="clear"/>
                          </w:tcPr>
                          <w:p>
                            <w:pPr>
                              <w:pStyle w:val="Contenudetableau"/>
                              <w:spacing w:before="57" w:after="57"/>
                              <w:jc w:val="center"/>
                              <w:rPr/>
                            </w:pPr>
                            <w:r>
                              <w:rPr/>
                              <w:t>Votazzjoni dwar ir-rakkomandazzjonijiet finali</w:t>
                            </w:r>
                          </w:p>
                        </w:tc>
                      </w:tr>
                      <w:tr>
                        <w:trPr/>
                        <w:tc>
                          <w:tcPr>
                            <w:tcW w:w="3138" w:type="dxa"/>
                            <w:tcBorders/>
                            <w:shd w:fill="0000FF" w:val="clear"/>
                          </w:tcPr>
                          <w:p>
                            <w:pPr>
                              <w:pStyle w:val="Contenudetableau"/>
                              <w:spacing w:before="57" w:after="57"/>
                              <w:jc w:val="center"/>
                              <w:rPr/>
                            </w:pPr>
                            <w:r>
                              <w:rPr/>
                              <w:t xml:space="preserve">Forum Miftuħ, </w:t>
                            </w:r>
                          </w:p>
                          <w:p>
                            <w:pPr>
                              <w:pStyle w:val="Contenudetableau"/>
                              <w:spacing w:before="57" w:after="57"/>
                              <w:jc w:val="center"/>
                              <w:rPr/>
                            </w:pPr>
                            <w:r>
                              <w:rPr/>
                              <w:t>Qari u prijoritizzazzjoni tal-linji gwida</w:t>
                            </w:r>
                          </w:p>
                        </w:tc>
                        <w:tc>
                          <w:tcPr>
                            <w:tcW w:w="3138" w:type="dxa"/>
                            <w:tcBorders/>
                            <w:shd w:fill="00FF00" w:val="clear"/>
                          </w:tcPr>
                          <w:p>
                            <w:pPr>
                              <w:pStyle w:val="Contenudetableau"/>
                              <w:spacing w:before="57" w:after="57"/>
                              <w:jc w:val="center"/>
                              <w:rPr/>
                            </w:pPr>
                            <w:r>
                              <w:rPr/>
                              <w:t>Feedback lil gruppi oħra, Finalizzazzjoni tar-rakkomandazzjonijiet</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It-trasformazzjoni tal-gwida f’rakkomandazzjonijiet</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Sessjoni plenarja</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Forum Miftuħ</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Xogħol ta’ sottogrupp</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fis-sottogruppi. Kull wieħed mill-ħmistax-il sottogrupp kien jikkonsisti minn tnax sa erbatax-il ċittadin. F’kull sottogrupp intużaw minn erba’ sa ħames lingwi biex iċ-ċittadini jkunu jistgħu jesprimu ruħhom bil-lingwa tagħhom jew b’lingwa li ħassewhom komdi biha. Kull sottogrupp kellu faċilitatur professjonali mill-konsorzju ta’ fornituri esterni tas-servizzi.</w:t>
      </w:r>
    </w:p>
    <w:p>
      <w:pPr>
        <w:pStyle w:val="Alineanegatifpuce"/>
        <w:numPr>
          <w:ilvl w:val="0"/>
          <w:numId w:val="3"/>
        </w:numPr>
        <w:rPr/>
      </w:pPr>
      <w:r>
        <w:rPr/>
        <w:t xml:space="preserve"> </w:t>
      </w:r>
      <w:r>
        <w:rPr/>
        <w:t>F’sessjoni plenarja ddedikata għal fluss ta’ ħidma. Kull sessjoni plenarja ddedikata għal assi ta’ ħidma laqqgħet flimkien is-sottogruppi li jaħdmu fuq l-istess assi tematiku. Is-sessjonijiet plenarji ddedikati għal fluss ta’ ħidma ġew iffaċilitati minn faċilitaturi professjonali, b’interpretazzjoni li tkopri l-lingwi kollha meħtieġa mill-parteċipanti.</w:t>
      </w:r>
    </w:p>
    <w:p>
      <w:pPr>
        <w:pStyle w:val="Alineanegatifpuce"/>
        <w:numPr>
          <w:ilvl w:val="0"/>
          <w:numId w:val="3"/>
        </w:numPr>
        <w:rPr/>
      </w:pPr>
      <w:r>
        <w:rPr/>
        <w:t xml:space="preserve"> </w:t>
      </w:r>
      <w:r>
        <w:rPr/>
        <w:t>fil-plenarja, biċ-ċittadini parteċipanti kollha, għandha tippreżenta u tagħlaq is-sessjoni. Is-sessjonijiet plenarji tmexxew minn żewġ moderaturi ewlenin tal-konsorzju, b’interpretazzjoni fl-24 lingwa uffiċjali tal-UE.</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IT-TIELET RAWND TA’ SESSJONIJIET TAL-PANEL</w:t>
      </w:r>
    </w:p>
    <w:p>
      <w:pPr>
        <w:pStyle w:val="Corpsdetexte"/>
        <w:rPr/>
      </w:pPr>
      <w:r>
        <w:rPr/>
        <w:t>It-tielet u l-aħħar rawnd ta’ sessjonijiet tal-panels saru personalment f’istituzzjonijiet edukattivi f’erba’ Stati Membri. Minħabba l-pandemija tal-COVID-19 u miżuri relatati fl-Irlanda u fin-Netherlands, it-tielet sessjoni tal-panels 1 (Ekonomija aktar b’saħħitha, ġustizzja soċjali u impjiegi); l-edukazzjoni, il-kultura, iż-żgħażagħ u l-isport; trasformazzjoni diġitali) u 4 (l-UE fid-dinja; migrazzjoni) kellha tiġi posposta sa Frar 2022, f’konsultazzjoni mal-awtoritajiet nazzjonali u s-sħab assoċjati.</w:t>
      </w:r>
    </w:p>
    <w:p>
      <w:pPr>
        <w:pStyle w:val="Corpsdetexte"/>
        <w:rPr/>
      </w:pPr>
      <w:r>
        <w:rPr/>
        <w:t xml:space="preserve">Id-diskussjonijiet u l-ħidma kollettiva saru fil-formati li ġejjin: </w:t>
      </w:r>
    </w:p>
    <w:p>
      <w:pPr>
        <w:pStyle w:val="Alineanegatifpuce"/>
        <w:numPr>
          <w:ilvl w:val="0"/>
          <w:numId w:val="3"/>
        </w:numPr>
        <w:rPr/>
      </w:pPr>
      <w:r>
        <w:rPr/>
        <w:t xml:space="preserve"> </w:t>
      </w:r>
      <w:r>
        <w:rPr/>
        <w:t>fil-plenarja, bil-parteċipanti kollha, fil-bidu tas-sessjoni jippreżentaw il-programm u fl-aħħar tas-sessjoni, kif spjegat hawn taħt. Is-sessjonijiet plenarji tmexxew minn żewġ moderaturi ewlenin tal-grupp ta’ deliberazzjoni, b’interpretazzjoni fl-24 lingwa uffiċjali tal-UE.</w:t>
      </w:r>
    </w:p>
    <w:p>
      <w:pPr>
        <w:pStyle w:val="Alineanegatifpuce"/>
        <w:numPr>
          <w:ilvl w:val="0"/>
          <w:numId w:val="3"/>
        </w:numPr>
        <w:rPr/>
      </w:pPr>
      <w:r>
        <w:rPr/>
        <w:t xml:space="preserve"> </w:t>
      </w:r>
      <w:r>
        <w:rPr/>
        <w:t>Iċ-ċittadini bdew billi eżaminaw il-gwida kollha żviluppata mill-bord matul is-Sessjoni 2 bħala parti minn “forum miftuħ”. Kull ċittadin imbagħad ta prijorità lil massimu ta’ għaxar orjentazzjonijiet għal kull assi ta’ xogħol. Ladarba dan il-proċess ta’ prijoritizzazzjoni tlesta fil-livell tal-bord, iċ-ċittadini ngħaqdu mas-sottogrupp li fih kienu diġà ħadmu matul is-Sessjoni 2 u kollettivament ħadu nota tal-gwida tal-grupp li kienet ingħatat prijorità mill-bqija tal-bord — opportunità biex din l-għażla titqabbel mal-valutazzjoni tagħhom stess. Għat-tħejjija tar-rakkomandazzjonijiet, kull sottogrupp ingħata firxa indikattiva tan-numru ta’ rakkomandazzjonijiet li għandhom jiġu abbozzati: minn wieħed għal tlieta, b’massimu ta’ ħamsa.</w:t>
      </w:r>
    </w:p>
    <w:p>
      <w:pPr>
        <w:pStyle w:val="Alineanegatifpuce"/>
        <w:numPr>
          <w:ilvl w:val="0"/>
          <w:numId w:val="3"/>
        </w:numPr>
        <w:rPr/>
      </w:pPr>
      <w:r>
        <w:rPr/>
        <w:t xml:space="preserve"> </w:t>
      </w:r>
      <w:r>
        <w:rPr/>
        <w:t xml:space="preserve">Kull wieħed mill-15-il sottogrupp ħadem biex jiżviluppa gwida għar-rakkomandazzjonijiet. Iċ-ċittadini ddiskutew il-linji gwida li kienu rċevew l-aktar appoġġ (fl-ordni ta’ prijorità tagħhom) u bdew il-proċess ta’ abbozzar tar-rakkomandazzjonijiet. </w:t>
      </w:r>
    </w:p>
    <w:p>
      <w:pPr>
        <w:pStyle w:val="Normal"/>
        <w:rPr/>
      </w:pPr>
      <w:r>
        <w:rPr/>
        <w:t>Matul it-tielet serje ta’ sessjonijiet, l-għarfien espert u l-informazzjoni ma ddaħħlux f’interazzjoni diretta maċ-ċittadini, iżda permezz ta’ sistema mfassla b’mod speċjali, “Punt tar-Riżorsi u l-Informazzjoni”. Din is-sistema ntużat biex tiċċentralizza t-talbiet kollha għal informazzjoni u verifika tal-fatti fuq il-post u biex tipprovdi tweġibiet fil-qosor u fattwali minn esperti u verifikaturi tal-fatti lis-sottogruppi. Din is-sistema tfasslet biex tiżgura li l-inputs tal-esperti u tal-verifikaturi tal-fatti jitħejjew skont l-ogħla standards ta’ kwalità u biex tiġi evitata influwenza mhux xierqa f’dan l-istadju tal-proċess. Iċ-ċittadini ngħataw ukoll ir-rapporti interim tal-pjattaforma diġitali multilingwi.</w:t>
      </w:r>
    </w:p>
    <w:p>
      <w:pPr>
        <w:pStyle w:val="Corpsdetexte"/>
        <w:rPr/>
      </w:pPr>
      <w:r>
        <w:rPr/>
        <w:t>Matul il-ħidma tas-sottogrupp, ġew organizzati sessjonijiet ta’ feedback biex jgħinu lill-parteċipanti jifhmu l-ħidma tas-sottogruppi l-oħra u jsaħħu r-rakkomandazzjonijiet tagħhom.</w:t>
      </w:r>
    </w:p>
    <w:p>
      <w:pPr>
        <w:pStyle w:val="Corpsdetexte"/>
        <w:rPr/>
      </w:pPr>
      <w:r>
        <w:rPr/>
        <w:t>Ir-rakkomandazzjonijiet ta’ kull sottogrupp imbagħad ġew ivvutati mill-bord fl-aħħar jum tas-sessjoni. Qabel il-votazzjoni, il-parteċipanti kollha rċevew dokument li fih l-abbozzi ta’ rakkomandazzjonijiet kollha prodotti l-ġurnata ta’ qabel sabiex ikunu jistgħu jaqrawhom bil-lingwa tagħhom stess (traduzzjoni awtomatika mill-Ingliż). Kull rakkomandazzjoni nqrat bl-Ingliż fil-plenarja biex iċ-ċittadini jkunu jistgħu jisimgħu l-interpretazzjoni fl-istess ħin. Waħda wara l-oħra, ir-rakkomandazzjonijiet tressqu għall-votazzjoni tal-parteċipanti permezz ta’ formola online.</w:t>
      </w:r>
    </w:p>
    <w:p>
      <w:pPr>
        <w:pStyle w:val="Corpsdetexte"/>
        <w:rPr/>
      </w:pPr>
      <w:r>
        <w:rPr/>
        <w:t>Abbażi tar-riżultati tal-votazzjonijiet finali, ir-rakkomandazzjonijiet ġew ikklassifikati kif ġej:</w:t>
      </w:r>
    </w:p>
    <w:p>
      <w:pPr>
        <w:pStyle w:val="Corpsdetexte"/>
        <w:rPr/>
      </w:pPr>
      <w:r>
        <w:rPr/>
        <w:t>Ir-rakkomandazzjonijiet li rċevew 70 % jew aktar tal-voti mitfugħa ġew adottati mill-bord; ir-rakkomandazzjonijiet li ma laħqux dan il-limitu ġew ikkunsidrati bħala mhux ivvalidati mill-bord. B’kollox, il-Panels taċ-Ċittadini Ewropej adottaw 178 rakkomandazzjoni.</w:t>
      </w:r>
    </w:p>
    <w:p>
      <w:pPr>
        <w:pStyle w:val="Corpsdetexte"/>
        <w:rPr/>
      </w:pPr>
      <w:r>
        <w:rPr/>
        <w:t>Il-proċedura ta’ votazzjoni kienet issorveljata minn kumitat ta’ votazzjoni magħmul minn żewġ ċittadini li kienu pproponew li jwettqu dan ir-rwol.</w:t>
      </w:r>
    </w:p>
    <w:p>
      <w:pPr>
        <w:pStyle w:val="Titre4"/>
        <w:numPr>
          <w:ilvl w:val="3"/>
          <w:numId w:val="2"/>
        </w:numPr>
        <w:rPr/>
      </w:pPr>
      <w:bookmarkStart w:id="14" w:name="__RefHeading___Toc298202_1346298689"/>
      <w:bookmarkEnd w:id="14"/>
      <w:r>
        <w:rPr/>
        <w:t>RAPPREŻENTANTI TAL-PANELS TAĊ-ĊITTADINI EWROPEJ FIL-PLENARJA</w:t>
      </w:r>
    </w:p>
    <w:p>
      <w:pPr>
        <w:pStyle w:val="Corpsdetexte"/>
        <w:rPr/>
      </w:pPr>
      <w:r>
        <w:rPr/>
        <w:t>Ir-rakkomandazzjonijiet adottati mill-erba’ Panels taċ-Ċittadini Ewropej imbagħad ġew ippreżentati u diskussi mit-80 rappreżentant tal-Panels taċ-Ċittadini Ewropej fil-Plenarja tal-Konferenza u fil-Gruppi ta’ Ħidma fil-21–22 ta’ Jannar 2022 (Panel 2 u 3) u fil-11–12 ta’ Marzu 2022 (Panel 1 u 4). It-80 rappreżentant tal-Panels taċ-Ċittadini Ewropej (medja ta’ 70 fuq il-post u 10 online) imbagħad komplew jippromwovu u jispjegaw ir-rakkomandazzjonijiet tal-Panels taċ-Ċittadini Ewropej fi tliet laqgħat konsekuttivi tal-Assemblea Plenarja u tal-Gruppi ta’ Ħidma (fil-25–26 ta’ Marzu, fit-8–9 ta’ April u fid-29–30 ta’ April).</w:t>
      </w:r>
    </w:p>
    <w:p>
      <w:pPr>
        <w:pStyle w:val="Corpsdetexte"/>
        <w:rPr/>
      </w:pPr>
      <w:r>
        <w:rPr/>
        <w:t>Huma kellhom ukoll skambji regolari ta’ fehmiet f’laqgħat taħt il-“komponent taċ-ċittadini” (f’laqgħat preparatorji online u laqgħat plenarji fuq il-post), ma’ xulxin u mas-27 rappreżentant ta’ avvenimenti nazzjonali u/jew panels nazzjonali. Fit-23 ta’ April, ir-rappreżentanti tal-Panels taċ-Ċittadini Ewropej iltaqgħu online mal-kontropartijiet kollha tagħhom biex jispjegaw kif ir-rakkomandazzjonijiet ġew diskussi u inkorporati fil-proposti tal-plenarja, u biex jirċievu feedback minn parteċipanti oħra tal-panel. Grupp ta’ membri tas-segretarjat konġunt u l-konsorzju appoġġaw il-komponent taċ-ċittadini matul il-plenarja.</w:t>
      </w:r>
    </w:p>
    <w:p>
      <w:pPr>
        <w:pStyle w:val="Titre4"/>
        <w:numPr>
          <w:ilvl w:val="3"/>
          <w:numId w:val="2"/>
        </w:numPr>
        <w:rPr/>
      </w:pPr>
      <w:bookmarkStart w:id="15" w:name="__RefHeading___Toc298204_1346298689"/>
      <w:bookmarkEnd w:id="15"/>
      <w:r>
        <w:rPr/>
        <w:t>TRASPARENZA TAL-PROĊESS</w:t>
      </w:r>
    </w:p>
    <w:p>
      <w:pPr>
        <w:pStyle w:val="Corpsdetexte"/>
        <w:rPr/>
      </w:pPr>
      <w:r>
        <w:rPr/>
        <w:t xml:space="preserve"> </w:t>
      </w:r>
      <w:r>
        <w:rPr/>
        <w:t>Il-proċess kollu sar b’mod trasparenti. Il-laqgħat plenarji tal-Panels taċ-Ċittadini Ewropej ġew imxandra b’mod dirett, filwaqt li d-dokumenti li rriżultaw mid-diskussjonijiet u d-deliberazzjonijiet tagħhom saru disponibbli għall-pubbliku fuq il-pjattaforma diġitali multilingwi. Ir-rapport finali ta’ kull sessjoni tal-bord huwa disponibbli fuq il-pjattaforma, flimkien mar-rakkomandazzjonijiet. Ir-rapporti fihom ukoll informazzjoni dwar l-esperti kollha li appoġġjaw il-ħidma tal-bordijiet.</w:t>
      </w:r>
    </w:p>
    <w:p>
      <w:pPr>
        <w:pStyle w:val="Corpsdetexte"/>
        <w:rPr/>
      </w:pPr>
      <w:r>
        <w:rPr/>
        <w:t>Bħala innovazzjoni tassew demokratika, il-panels taċ-ċittadini Ewropej irċevew ħafna attenzjoni mill-komunità xjentifika. Ir-riċerkaturi setgħu jattendu l-laqgħat tal-Panels taċ-Ċittadini Ewropej u josservaw l-imġiba, skont ċerti regoli, tax-xogħol imwettaq u l-privatezza tal-parteċipanti.</w:t>
      </w:r>
    </w:p>
    <w:p>
      <w:pPr>
        <w:pStyle w:val="Corpsdetexte"/>
        <w:rPr/>
      </w:pPr>
      <w:r>
        <w:rPr/>
      </w:r>
      <w:r>
        <w:br w:type="page"/>
      </w:r>
    </w:p>
    <w:p>
      <w:pPr>
        <w:pStyle w:val="Titre4"/>
        <w:numPr>
          <w:ilvl w:val="3"/>
          <w:numId w:val="2"/>
        </w:numPr>
        <w:rPr/>
      </w:pPr>
      <w:bookmarkStart w:id="16" w:name="__RefHeading___Toc298206_1346298689"/>
      <w:bookmarkEnd w:id="16"/>
      <w:r>
        <w:rPr/>
        <w:t xml:space="preserve">Panel 1 </w:t>
        <w:br/>
        <w:t>Ekonomija aktar b’saħħitha, ġustizzja soċjali u impjiegi; l-edukazzjoni, il-kultura, iż-żgħażagħ u l-isport; trasformazzjoni diġitali</w:t>
      </w:r>
    </w:p>
    <w:p>
      <w:pPr>
        <w:pStyle w:val="Corpsdetexte"/>
        <w:rPr/>
      </w:pPr>
      <w:r>
        <w:rPr/>
        <w:t>L-ewwel sessjoni tal-panel dwar “Ekonomija aktar b’saħħitha, ġustizzja soċjali u impjiegi; l-edukazzjoni, il-kultura, iż-żgħażagħ u l-isport; trasformazzjoni diġitali" saret mis-17 sad-19 ta’ Settembru 2021 fi Strasburgu. Dan il-bord indirizza l-futur tal-ekonomiji u l-impjiegi tagħna, speċjalment wara l-pandemija, filwaqt li ta attenzjoni dovuta lil kwistjonijiet relatati tal-ġustizzja soċjali. Huwa indirizza wkoll l-opportunitajiet u l-isfidi tat-trasformazzjoni diġitali, wieħed mill-aktar suġġetti importanti għad-diskussjoni fost dawk li jikkonċernaw il-futur.</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Qafas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rPr>
                              <w:t xml:space="preserve">Fotografija: panel 1 ta’ ċittadini Ewropej </w:t>
                              <w:tab/>
                              <w:t>Fotografija: panel 2 ta’ ċittadini Ewropej</w:t>
                            </w:r>
                          </w:p>
                        </w:txbxContent>
                      </wps:txbx>
                      <wps:bodyPr lIns="0" rIns="0" tIns="0" bIns="0">
                        <a:noAutofit/>
                      </wps:bodyPr>
                    </wps:wsp>
                  </a:graphicData>
                </a:graphic>
              </wp:anchor>
            </w:drawing>
          </mc:Choice>
          <mc:Fallback>
            <w:pict>
              <v:rect id="shape_0" ID="Qafas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rPr>
                        <w:t xml:space="preserve">Fotografija: panel 1 ta’ ċittadini Ewropej </w:t>
                        <w:tab/>
                        <w:t>Fotografija: panel 2 ta’ ċittadini Ewropej</w:t>
                      </w:r>
                    </w:p>
                  </w:txbxContent>
                </v:textbox>
              </v:rect>
            </w:pict>
          </mc:Fallback>
        </mc:AlternateContent>
      </w:r>
      <w:r>
        <w:rPr/>
        <w:t>Il-bord iddiskuta wkoll il-futur tal-Ewropa fl-oqsma taż-żgħażagħ, l-isport, il-kultura u l-edukazzjoni. Iċ-ċittadini li pparteċipaw fil-bord intlaqgħu tajjeb mill-Kopresident Guy Verhofstadt. Il-ħidma tal-ewwel sessjoni kkonkludiet dwar l-approvazzjoni tal-ħames linji ta’ ħidma: “Naħdmu fl-Ewropa”, “Ekonomija għall-Futur”, “Soċjetà Ġusta”, “Tagħlim fl-Ewropa” u “Trasformazzjoni Diġitali Etika u Sikura”.</w:t>
      </w:r>
    </w:p>
    <w:p>
      <w:pPr>
        <w:pStyle w:val="Corpsdetexte"/>
        <w:rPr/>
      </w:pPr>
      <w:r>
        <w:rPr/>
        <w:t>Mill-5 sas-7 ta’ Novembru 2021, il-Panel 1 iltaqa’ għat-tieni darba, din id-darba f’format virtwali, u kompla d-deliberazzjonijiet tal-ewwel sessjoni. Matul it-tieni sessjoni, il-membri tal-panel stabbilixxew “linji gwida” biex jiżviluppaw rakkomandazzjonijiet konkreti (fit-tielet sessjoni tagħhom) għal kull wieħed mill-ħames assi identifikati fl-ewwel sessjoni. B’kollox, iċ-ċittadini li jipparteċipaw fil-Panel 1 ipproduċew 142 grupp ta’ gwida.</w:t>
      </w:r>
    </w:p>
    <w:p>
      <w:pPr>
        <w:pStyle w:val="Corpsdetexte"/>
        <w:rPr/>
      </w:pPr>
      <w:r>
        <w:rPr/>
        <w:t>Mill-25 sas-27 ta’ Frar 2022, iċ-ċittadini li pparteċipaw fil-Panel 1 iltaqgħu għat-tielet darba, u komplew id-deliberazzjonijiet li saru matul is-sessjonijiet 1 u 2. Għal din is-sessjoni finali, il-panel 1 parteċipanti ġew ospitati fil-Kastell ta’ Dublin mill-Istitut tal-Affarijiet Internazzjonali u Ewropej (IIEA), bl-opportunità li jipparteċipaw online.</w:t>
      </w:r>
    </w:p>
    <w:p>
      <w:pPr>
        <w:pStyle w:val="Corpsdetexte"/>
        <w:rPr/>
      </w:pPr>
      <w:r>
        <w:rPr/>
        <w:t>fuq il-bażi tal-gwida li kienu żviluppaw fis-Sessjoni 2 bħala bażi għall-ħidma tagħhom, iċ-ċittadini żviluppaw u approvaw 48 rakkomandazzjoni finali.</w:t>
      </w:r>
    </w:p>
    <w:p>
      <w:pPr>
        <w:pStyle w:val="Titre4"/>
        <w:numPr>
          <w:ilvl w:val="3"/>
          <w:numId w:val="2"/>
        </w:numPr>
        <w:rPr/>
      </w:pPr>
      <w:bookmarkStart w:id="17" w:name="__RefHeading___Toc298208_1346298689"/>
      <w:bookmarkEnd w:id="17"/>
      <w:r>
        <w:rPr/>
        <w:t xml:space="preserve">Panel 2 </w:t>
        <w:br/>
        <w:t>Id-demokrazija Ewropea; valuri u drittijiet, stat tad-dritt, sigurtà</w:t>
      </w:r>
    </w:p>
    <w:p>
      <w:pPr>
        <w:pStyle w:val="Corpsdetexte"/>
        <w:rPr/>
      </w:pPr>
      <w:r>
        <w:rPr/>
        <w:t>L-ewwel sessjoni tal-panel dwar “Id-demokrazija Ewropea; il-valuri u d-drittijiet, l-istat tad-dritt, is-sigurtà" saret mill-24 sas-26 ta’ Settembru fi Strasburgu. Il-bord iffoka fuq kwistjonijiet relatati mad-demokrazija, bħall-elezzjonijiet, il-parteċipazzjoni barra l-perjodi elettorali, id-distanza perċepita bejn iċ-ċittadini u r-rappreżentanti eletti tagħhom, il-libertà tal-media u d-diżinformazzjoni. Hija indirizzat ukoll kwistjonijiet relatati mad-drittijiet u l-valuri fundamentali, l-istat tad-dritt u l-ġlieda kontra l-forom kollha ta’ diskriminazzjoni. Fl-istess ħin, huwa ffoka fuq is-sigurtà interna tal-UE, bħall-protezzjoni tal-Ewropej minn atti ta’ terroriżmu u reati oħra. Il-kelliema ntlaqgħu mill-Kopresident Gašper Dovžan.</w:t>
      </w:r>
    </w:p>
    <w:p>
      <w:pPr>
        <w:pStyle w:val="Corpsdetexte"/>
        <w:rPr/>
      </w:pPr>
      <w:r>
        <w:rPr/>
        <w:t>Il-ħidma ta’ din l-ewwel sessjoni kkonkludiet dwar l-approvazzjoni tal-ħames linji ta’ ħidma: “L-iżgurar tar-rispett għad-drittijiet u n-nondiskriminazzjoni”, “Il-protezzjoni tad-demokrazija u l-istat tad-dritt”, “Ir-Riforma tal-UE”, “Il-bini tal-identità Ewropea” u “It-tisħiħ tal-parteċipazzjoni taċ-ċittadini”.</w:t>
      </w:r>
    </w:p>
    <w:p>
      <w:pPr>
        <w:pStyle w:val="Corpsdetexte"/>
        <w:rPr/>
      </w:pPr>
      <w:r>
        <w:rPr/>
        <w:t>Mit-12 sal-14 ta’ Novembru 2021, il-Bord 2 iltaqa’ għat-tieni darba, f’format virtwali, u kompla d-deliberazzjonijiet tal-ewwel sessjoni. Matul it-tieni sessjoni, il-membri tal-panel stabbilixxew “linji gwida” biex jiżviluppaw rakkomandazzjonijiet konkreti (fit-tielet sessjoni tagħhom) għal kull wieħed mill-ħames assi identifikati fl-ewwel sessjoni. B’kollox, iċ-ċittadini li jipparteċipaw fil-Panel 2 ipproduċew 124 grupp ta’ gwida.</w:t>
      </w:r>
    </w:p>
    <w:p>
      <w:pPr>
        <w:pStyle w:val="Corpsdetexte"/>
        <w:rPr/>
      </w:pPr>
      <w:r>
        <w:rPr/>
        <w:t>Mill-10 sat-12 ta’ Diċembru 2021, iċ-ċittadini li pparteċipaw fil-Panel 2 iltaqgħu għas-sessjoni finali tagħhom organizzata fl-Istitut Universitarju Ewropew f’Firenze, bl-opportunità li jipparteċipaw online. Fuq il-bażi tal-gwida li kienu żviluppaw fis-Sessjoni 2 bħala bażi għall-ħidma tagħhom, iċ-ċittadini żviluppaw u approvaw 39 rakkomandazzjoni finali.</w:t>
      </w:r>
    </w:p>
    <w:p>
      <w:pPr>
        <w:pStyle w:val="Titre4"/>
        <w:numPr>
          <w:ilvl w:val="3"/>
          <w:numId w:val="2"/>
        </w:numPr>
        <w:rPr/>
      </w:pPr>
      <w:bookmarkStart w:id="18" w:name="__RefHeading___Toc298210_1346298689"/>
      <w:bookmarkEnd w:id="18"/>
      <w:r>
        <w:rPr/>
        <w:t>Panel 3 It-tibdil fil-klima u l-ambjent; saħħa</w:t>
      </w:r>
    </w:p>
    <w:p>
      <w:pPr>
        <w:pStyle w:val="Corpsdetexte"/>
        <w:rPr/>
      </w:pPr>
      <w:r>
        <w:rPr/>
        <w:t>Il-bord dwar “It-tibdil fil-klima u l-ambjent”; saħħa" organizzat l-ewwel sessjoni tagħha mill-1</w:t>
      </w:r>
      <w:r>
        <w:rPr>
          <w:vertAlign w:val="superscript"/>
        </w:rPr>
        <w:t>sat-</w:t>
      </w:r>
      <w:r>
        <w:rPr/>
        <w:t xml:space="preserve"> 3 ta’ Ottubru fi Strasburgu. Il-bord iffoka fuq l-effetti tat-tibdil fil-klima, il-kwistjonijiet ambjentali u l-isfidi ġodda tas-saħħa għall-Unjoni Ewropea. Din kopriet ukoll l-objettivi u l-istrateġiji tal-UE, bħall-agrikoltura, it-trasport u l-mobbiltà, l-enerġija u t-tranżizzjoni lejn soċjetajiet ta’ wara l-karbonju, ir-riċerka, is-sistemi tas-saħħa, ir-rispons għall-kriżijiet tas-saħħa, il-prevenzjoni u stili ta’ ħajja tajbin għas-saħħa. Il-ħidma ta’ din l-ewwel sessjoni ntemmet fuq l-approvazzjoni tal-ħames oqsma ta’ ħidma: “Stili ta’ ħajja aħjar”, “Nipproteġu l-ambjent u s-saħħa tagħna”, “Norjentaw mill-ġdid l-ekonomija u l-konsum tagħna”, “Lejn soċjetà sostenibbli” u “Kura għal kulħadd”. Ir-rapport finali tas-sessjoni huwa disponibbli fuq il-pjattaforma diġitali multilingwi.</w:t>
      </w:r>
    </w:p>
    <w:p>
      <w:pPr>
        <w:pStyle w:val="Corpsdetexte"/>
        <w:rPr/>
      </w:pPr>
      <w:r>
        <w:rPr/>
        <w:t>Mid-19 sal-21 ta’ Novembru 2021, il-Panel 3 ltaqa’ għat-tieni darba, din id-darba f’format virtwali, biex ikompli d-deliberazzjonijiet tal-ewwel sessjoni. Matul it-tieni sessjoni, il-membri tal-panel stabbilixxew “linji gwida” biex jiżviluppaw rakkomandazzjonijiet konkreti (fit-tielet sessjoni tagħhom) għal kull wieħed mill-ħames assi identifikati fl-ewwel sessjoni. B’kollox, iċ-ċittadini li jipparteċipaw fil-Panel 3 pproduċew 130 grupp ta’ gwida.</w:t>
      </w:r>
    </w:p>
    <w:p>
      <w:pPr>
        <w:pStyle w:val="Corpsdetexte"/>
        <w:rPr/>
      </w:pPr>
      <w:r>
        <w:rPr/>
        <w:t>Mis-7 sad-9 ta’ Jannar 2022, iċ-ċittadini tal-panel 3 nġabru għas-sessjoni finali li organizzaw fil-Kulleġġ tal-Ewropa f’Natolin u fil-Palazz tal-Kultura u x-Xjenza, bl-appoġġ tal-belt ta’ Varsavja. Kien possibbli li wieħed jipparteċipa online. Fuq il-bażi tal-gwida li kienu żviluppaw fis-Sessjoni 2 bħala bażi għall-ħidma tagħhom, iċ-ċittadini żviluppaw u approvaw 51 rakkomandazzjoni finali.</w:t>
      </w:r>
    </w:p>
    <w:p>
      <w:pPr>
        <w:pStyle w:val="Titre4"/>
        <w:numPr>
          <w:ilvl w:val="3"/>
          <w:numId w:val="2"/>
        </w:numPr>
        <w:rPr/>
      </w:pPr>
      <w:bookmarkStart w:id="19" w:name="__RefHeading___Toc298212_1346298689"/>
      <w:bookmarkEnd w:id="19"/>
      <w:r>
        <w:rPr/>
        <w:t>Panel 4 L-UE fid-dinja; migrazzjoni</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Qafas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Immaġni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ġni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rPr>
                              <w:t>Fotografija: panel 3 ta’ Ċittadini Ewropej</w:t>
                            </w:r>
                          </w:p>
                        </w:txbxContent>
                      </wps:txbx>
                      <wps:bodyPr lIns="0" rIns="0" tIns="0" bIns="0">
                        <a:noAutofit/>
                      </wps:bodyPr>
                    </wps:wsp>
                  </a:graphicData>
                </a:graphic>
              </wp:anchor>
            </w:drawing>
          </mc:Choice>
          <mc:Fallback>
            <w:pict>
              <v:rect id="shape_0" ID="Qafas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Immaġni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ġni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rPr>
                        <w:t>Fotografija: panel 3 ta’ Ċittadini Ewropej</w:t>
                      </w:r>
                    </w:p>
                  </w:txbxContent>
                </v:textbox>
              </v:rect>
            </w:pict>
          </mc:Fallback>
        </mc:AlternateContent>
      </w:r>
    </w:p>
    <w:p>
      <w:pPr>
        <w:pStyle w:val="Corpsdetexte"/>
        <w:rPr/>
      </w:pPr>
      <w:r>
        <w:rPr/>
        <w:t>Ir-raba’ panel, intitolat “L-UE fid-dinja”; migrazzjoni" iltaqgħet għall-ewwel darba mill-15 sas-17 ta’ Ottubru fi Strasburgu, li matulha l-parteċipanti ddiskutew b’mod partikolari r-rwol tal-UE fl-arena internazzjonali.</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Qafas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Immaġni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ġni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rPr>
                              <w:t>Fotografija: panel 4 ta’ ċittadini Ewropej</w:t>
                              <w:br/>
                            </w:r>
                          </w:p>
                        </w:txbxContent>
                      </wps:txbx>
                      <wps:bodyPr lIns="0" rIns="0" tIns="0" bIns="0">
                        <a:noAutofit/>
                      </wps:bodyPr>
                    </wps:wsp>
                  </a:graphicData>
                </a:graphic>
              </wp:anchor>
            </w:drawing>
          </mc:Choice>
          <mc:Fallback>
            <w:pict>
              <v:rect id="shape_0" ID="Qafas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Immaġni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ġni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rPr>
                        <w:t>Fotografija: panel 4 ta’ ċittadini Ewropej</w:t>
                        <w:br/>
                      </w:r>
                    </w:p>
                  </w:txbxContent>
                </v:textbox>
              </v:rect>
            </w:pict>
          </mc:Fallback>
        </mc:AlternateContent>
      </w:r>
      <w:r>
        <w:rPr/>
        <w:t>B’mod partikolari, ġew diskussi l-objettivi u l-istrateġiji tal-UE dwar is-sigurtà, id-difiża, il-politika kummerċjali, l-għajnuna umanitarja u l-kooperazzjoni għall-iżvilupp, il-politika barranija, il-politika tal-viċinat tal-UE u t-tkabbir, u kif l-UE għandha tittratta l-migrazzjoni. Iċ-ċittadini ntlaqgħu mill-Kopresident Dubravka Šuica. Il-ħidma ta’ din l-ewwel sessjoni kkonkludiet dwar l-approvazzjoni tal-ħames linji ta’ ħidma: “L-awtosuffiċjenza u l-istabbiltà”, “L-UE bħala sieħeb internazzjonali”, “UE b’saħħitha f’dinja ta’ paċi”, “Migrazzjoni mill-perspettiva umana” u “Responsabbiltà u solidarjetà madwar l-UE”. Ir-rapport finali tas-sessjoni huwa disponibbli fuq il-pjattaforma diġitali multilingwi.</w:t>
      </w:r>
    </w:p>
    <w:p>
      <w:pPr>
        <w:pStyle w:val="Corpsdetexte"/>
        <w:rPr/>
      </w:pPr>
      <w:r>
        <w:rPr/>
        <w:t>Mis-16 sat-28 ta’ Novembru 2021, il-Panel 4 kellu t-tieni sessjoni online tiegħu, abbażi tal-ħidma li saret matul l-ewwel sessjoni. Matul it-tieni sessjoni, il-membri tal-panel stabbilixxew “linji gwida” biex jiżviluppaw rakkomandazzjonijiet konkreti (fit-tielet sessjoni tagħhom) għal kull wieħed mill-ħames assi identifikati fl-ewwel sessjoni. B’kollox, iċ-ċittadini li jipparteċipaw fil-panel 4 ipproduċew 95 grupp ta’ gwida.</w:t>
      </w:r>
    </w:p>
    <w:p>
      <w:pPr>
        <w:pStyle w:val="Corpsdetexte"/>
        <w:rPr/>
      </w:pPr>
      <w:r>
        <w:rPr/>
        <w:t>Mill-11 sat-13 ta’ Frar 2022, panel 4 ċittadini nġabru għas-sessjoni finali tagħhom, organizzata fiċ-Ċentru tal-Wirja u l-Konferenzi ta’ Maastricht (MECC) minn Studio Europa Maastricht, f’kooperazzjoni mal-Università ta’ Maastricht u l-Istitut Ewropew tal-Amministrazzjoni Pubblika (IEAP). Kien possibbli li wieħed jipparteċipa online.</w:t>
      </w:r>
    </w:p>
    <w:p>
      <w:pPr>
        <w:pStyle w:val="Corpsdetexte"/>
        <w:rPr/>
      </w:pPr>
      <w:r>
        <w:rPr/>
        <w:t>fuq il-bażi tal-gwida li kienu żviluppaw fis-Sessjoni 2 bħala bażi għall-ħidma tagħhom, iċ-ċittadini żviluppaw u approvaw 40 rakkomandazzjoni finali.</w:t>
      </w:r>
    </w:p>
    <w:p>
      <w:pPr>
        <w:pStyle w:val="Normal"/>
        <w:rPr/>
      </w:pPr>
      <w:r>
        <w:rPr/>
      </w:r>
    </w:p>
    <w:p>
      <w:pPr>
        <w:pStyle w:val="Titre3"/>
        <w:numPr>
          <w:ilvl w:val="2"/>
          <w:numId w:val="2"/>
        </w:numPr>
        <w:rPr/>
      </w:pPr>
      <w:bookmarkStart w:id="20" w:name="__RefHeading___Toc298214_1346298689"/>
      <w:bookmarkEnd w:id="20"/>
      <w:r>
        <w:rPr/>
        <w:t>2.</w:t>
        <w:tab/>
        <w:t>Il-Panels Nazzjonali taċ-Ċittadini</w:t>
      </w:r>
    </w:p>
    <w:p>
      <w:pPr>
        <w:pStyle w:val="Corpsdetexte"/>
        <w:rPr/>
      </w:pPr>
      <w:r>
        <w:rPr/>
        <w:t>F’konformità mad-Dikjarazzjoni Konġunta, il-Plenarja tal-Konferenza ddiskutiet rakkomandazzjonijiet minn panels taċ-ċittadini nazzjonali u Ewropej, miġbura skont it-tema. Biex jassistu lill-Istati Membri li qed jippjanaw li jorganizzaw panels nazzjonali taċ-ċittadini, il-linji gwida ġew approvati mill-Kopresidenti u ntbagħtu lill-Bord Eżekuttiv fis-26 ta’ Mejju 2021. Huma segwew l-istess prinċipji bħall-Panels taċ-Ċittadini Ewropej u inkludew prinċipji ta’ deliberazzjoni tajba, abbażi ta’ rapport tal-OECD</w:t>
      </w:r>
      <w:r>
        <w:rPr>
          <w:rStyle w:val="Ancredenotedebasdepage"/>
          <w:rStyle w:val="Ancredenotedebasdepage"/>
        </w:rPr>
        <w:footnoteReference w:id="5"/>
      </w:r>
      <w:r>
        <w:rPr/>
        <w:t>.</w:t>
      </w:r>
    </w:p>
    <w:p>
      <w:pPr>
        <w:pStyle w:val="Corpsdetexte"/>
        <w:rPr/>
      </w:pPr>
      <w:r>
        <w:rPr/>
        <w:t>Sitt Stati Membri — il-Belġju, Franza, il-Ġermanja, l-Italja, il-Litwanja u l-Pajjiżi l-Baxxi — organizzaw panels ta’ ċittadini nazzjonali li jirrispettaw il-prinċipji stabbiliti f’dawn il-linji gwida. Ir-rakkomandazzjonijiet li saru minn dawn il-panels nazzjonali taċ-ċittadini ġew ippreżentati u diskussi fil-laqgħat plenarji ta’ Jannar u Marzu, kif ukoll fil-gruppi ta’ ħidma plenarji, b’mod parallel mar-rakkomandazzjonijiet tal-Panels taċ-Ċittadini Ewropej dwar l-istess suġġetti.</w:t>
      </w:r>
    </w:p>
    <w:p>
      <w:pPr>
        <w:pStyle w:val="Titre4"/>
        <w:numPr>
          <w:ilvl w:val="3"/>
          <w:numId w:val="2"/>
        </w:numPr>
        <w:rPr/>
      </w:pPr>
      <w:bookmarkStart w:id="21" w:name="__RefHeading___Toc298216_1346298689"/>
      <w:bookmarkEnd w:id="21"/>
      <w:r>
        <w:rPr/>
        <w:t>1)</w:t>
        <w:tab/>
        <w:t>IL-BELĠJU</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Qafas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Immaġni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ġni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rPr>
                              <w:t>Ritratt: Il-Panel taċ-Ċittadini Belġjani</w:t>
                            </w:r>
                          </w:p>
                        </w:txbxContent>
                      </wps:txbx>
                      <wps:bodyPr lIns="0" rIns="0" tIns="0" bIns="0">
                        <a:noAutofit/>
                      </wps:bodyPr>
                    </wps:wsp>
                  </a:graphicData>
                </a:graphic>
              </wp:anchor>
            </w:drawing>
          </mc:Choice>
          <mc:Fallback>
            <w:pict>
              <v:rect id="shape_0" ID="Qafas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Immaġni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ġni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rPr>
                        <w:t>Ritratt: Il-Panel taċ-Ċittadini Belġjani</w:t>
                      </w:r>
                    </w:p>
                  </w:txbxContent>
                </v:textbox>
              </v:rect>
            </w:pict>
          </mc:Fallback>
        </mc:AlternateContent>
      </w:r>
    </w:p>
    <w:p>
      <w:pPr>
        <w:pStyle w:val="Corpsdetexte"/>
        <w:rPr/>
      </w:pPr>
      <w:r>
        <w:rPr/>
        <w:t>F’Ottubru 2021, panel taċ-ċittadini laqqa’ flimkien matul tliet tmiem il-ġimgħa 50 ċittadin magħżula b’mod aleatorju, li jirrappreżentaw il-popolazzjoni ġenerali, biex jiddiskutu s-suġġett tad-demokrazija Ewropea u kif iċ-ċittadini jistgħu jkunu aktar involuti fl-affarijiet Ewropej.</w:t>
      </w:r>
    </w:p>
    <w:p>
      <w:pPr>
        <w:pStyle w:val="Corpsdetexte"/>
        <w:rPr/>
      </w:pPr>
      <w:r>
        <w:rPr/>
        <w:t>Dan il-bord ġie organizzat taħt il-patroċinju ta’ Sophie Wilmès, Viċi Prim Ministru Belġjan u Ministru għall-Affarijiet Barranin u Ewropej.</w:t>
      </w:r>
    </w:p>
    <w:p>
      <w:pPr>
        <w:pStyle w:val="Corpsdetexte"/>
        <w:rPr/>
      </w:pPr>
      <w:r>
        <w:rPr/>
        <w:t>Iċ-ċittadini għamlu rakkomandazzjonijiet dwar ħames temi li kienu għażlu, jiġifieri:</w:t>
      </w:r>
    </w:p>
    <w:p>
      <w:pPr>
        <w:pStyle w:val="Alineanegatifpuce"/>
        <w:numPr>
          <w:ilvl w:val="0"/>
          <w:numId w:val="3"/>
        </w:numPr>
        <w:rPr/>
      </w:pPr>
      <w:r>
        <w:rPr/>
        <w:t xml:space="preserve"> </w:t>
      </w:r>
      <w:r>
        <w:rPr/>
        <w:t>it-titjib tal-komunikazzjoni dwar l-Unjoni Ewropea,</w:t>
      </w:r>
    </w:p>
    <w:p>
      <w:pPr>
        <w:pStyle w:val="Alineanegatifpuce"/>
        <w:numPr>
          <w:ilvl w:val="0"/>
          <w:numId w:val="3"/>
        </w:numPr>
        <w:rPr/>
      </w:pPr>
      <w:r>
        <w:rPr/>
        <w:t xml:space="preserve"> </w:t>
      </w:r>
      <w:r>
        <w:rPr/>
        <w:t>l-identifikazzjoni u l-ġlieda kontra d-diżinformazzjoni dwar l-UE,</w:t>
      </w:r>
    </w:p>
    <w:p>
      <w:pPr>
        <w:pStyle w:val="Alineanegatifpuce"/>
        <w:numPr>
          <w:ilvl w:val="0"/>
          <w:numId w:val="3"/>
        </w:numPr>
        <w:rPr/>
      </w:pPr>
      <w:r>
        <w:rPr/>
        <w:t xml:space="preserve"> </w:t>
      </w:r>
      <w:r>
        <w:rPr/>
        <w:t>panels taċ-ċittadini bħala għodda għall-parteċipazzjoni,</w:t>
      </w:r>
    </w:p>
    <w:p>
      <w:pPr>
        <w:pStyle w:val="Alineanegatifpuce"/>
        <w:numPr>
          <w:ilvl w:val="0"/>
          <w:numId w:val="3"/>
        </w:numPr>
        <w:rPr/>
      </w:pPr>
      <w:r>
        <w:rPr/>
        <w:t xml:space="preserve"> </w:t>
      </w:r>
      <w:r>
        <w:rPr/>
        <w:t>ir-referendum dwar l-affarijiet Ewropej,</w:t>
      </w:r>
    </w:p>
    <w:p>
      <w:pPr>
        <w:pStyle w:val="Alineanegatifpuce"/>
        <w:numPr>
          <w:ilvl w:val="0"/>
          <w:numId w:val="3"/>
        </w:numPr>
        <w:rPr/>
      </w:pPr>
      <w:r>
        <w:rPr/>
        <w:t xml:space="preserve"> </w:t>
      </w:r>
      <w:r>
        <w:rPr/>
        <w:t>it-titjib tal-istrumenti parteċipatorji eżistenti fl-Unjoni Ewropea.</w:t>
      </w:r>
    </w:p>
    <w:p>
      <w:pPr>
        <w:pStyle w:val="Corpsdetexte"/>
        <w:rPr/>
      </w:pPr>
      <w:r>
        <w:rPr/>
        <w:t>Il-ħidma tal-Panel taċ-Ċittadini Belġjan irriżultat f’115-il rakkomandazzjoni, li ġew abbozzati, diskussi u vvutati mill-50 ċittadin Belġjan magħżula b’mod aleatorju.</w:t>
      </w:r>
    </w:p>
    <w:p>
      <w:pPr>
        <w:pStyle w:val="Corpsdetexte"/>
        <w:rPr/>
      </w:pPr>
      <w:r>
        <w:rPr/>
      </w:r>
    </w:p>
    <w:p>
      <w:pPr>
        <w:pStyle w:val="Titre4"/>
        <w:numPr>
          <w:ilvl w:val="3"/>
          <w:numId w:val="2"/>
        </w:numPr>
        <w:rPr/>
      </w:pPr>
      <w:bookmarkStart w:id="22" w:name="__RefHeading___Toc298218_1346298689"/>
      <w:bookmarkEnd w:id="22"/>
      <w:r>
        <w:rPr/>
        <w:t>2)</w:t>
        <w:tab/>
        <w:t>IL-ĠERMANJA</w:t>
      </w:r>
    </w:p>
    <w:p>
      <w:pPr>
        <w:pStyle w:val="Corpsdetexte"/>
        <w:rPr/>
      </w:pPr>
      <w:r>
        <w:rPr/>
        <w:t>F’Jannar 2022, il-Ministeru tal-Affarijiet Barranin Ġermaniż organizza bord ta’ ċittadini nazzjonali. 100 ċittadin magħżula b’mod każwali, rappreżentattivi tal-popolazzjoni, ipparteċipaw f’dan il-panel online.</w:t>
      </w:r>
    </w:p>
    <w:p>
      <w:pPr>
        <w:pStyle w:val="Corpsdetexte"/>
        <w:rPr/>
      </w:pPr>
      <w:r>
        <w:rPr/>
        <w:t>Fil-5 u t-8 ta’ Jannar 2022, ġew organizzati ħames sessjonijiet ta’ ħidma ta’ tnedija online, li kull wieħed minnhom ġabar flimkien 20 parteċipant dwar it-temi li ġejjin:</w:t>
      </w:r>
    </w:p>
    <w:p>
      <w:pPr>
        <w:pStyle w:val="Corpsdetexte"/>
        <w:rPr/>
      </w:pPr>
      <w:r>
        <w:rPr/>
        <w:t xml:space="preserve">— </w:t>
      </w:r>
      <w:r>
        <w:rPr/>
        <w:t>ir-rwol tal-Ewropa fid-dinja, il-klima u l-ambjent,</w:t>
      </w:r>
    </w:p>
    <w:p>
      <w:pPr>
        <w:pStyle w:val="Corpsdetexte"/>
        <w:rPr/>
      </w:pPr>
      <w:r>
        <w:rPr/>
        <w:t xml:space="preserve">— </w:t>
      </w:r>
      <w:r>
        <w:rPr/>
        <w:t>l-istat tad-dritt u l-valuri,</w:t>
      </w:r>
    </w:p>
    <w:p>
      <w:pPr>
        <w:pStyle w:val="Corpsdetexte"/>
        <w:rPr/>
      </w:pPr>
      <w:r>
        <w:rPr/>
        <w:t xml:space="preserve">— </w:t>
      </w:r>
      <w:r>
        <w:rPr/>
        <w:t>ekonomija aktar b’saħħitha u ġustizzja soċjali.</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Qafas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Fotografija: Il-Panel taċ-Ċittadini Ġermaniżi</w:t>
                            </w:r>
                          </w:p>
                        </w:txbxContent>
                      </wps:txbx>
                      <wps:bodyPr lIns="0" rIns="0" tIns="0" bIns="0">
                        <a:noAutofit/>
                      </wps:bodyPr>
                    </wps:wsp>
                  </a:graphicData>
                </a:graphic>
              </wp:anchor>
            </w:drawing>
          </mc:Choice>
          <mc:Fallback>
            <w:pict>
              <v:rect id="shape_0" ID="Qafas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Fotografija: Il-Panel taċ-Ċittadini Ġermaniżi</w:t>
                      </w:r>
                    </w:p>
                  </w:txbxContent>
                </v:textbox>
              </v:rect>
            </w:pict>
          </mc:Fallback>
        </mc:AlternateContent>
      </w:r>
    </w:p>
    <w:p>
      <w:pPr>
        <w:pStyle w:val="Corpsdetexte"/>
        <w:rPr/>
      </w:pPr>
      <w:r>
        <w:rPr/>
        <w:t>Il-100 ċittadin magħżula b’mod aleatorju ltaqgħu fil-15 u s-16 ta’ Jannar 2022 biex jiddiskutu l-isfidi relatati ma’ dawn il-kwistjonijiet u s-soluzzjonijiet possibbli, u adottaw ir-rakkomandazzjonijiet tagħhom. Il-parteċipanti żviluppaw żewġ proposti speċifiċi għal kull waħda mit-temi ta’ hawn fuq.</w:t>
      </w:r>
    </w:p>
    <w:p>
      <w:pPr>
        <w:pStyle w:val="Corpsdetexte"/>
        <w:rPr/>
      </w:pPr>
      <w:r>
        <w:rPr/>
        <w:t>Ir-riżultati ġew ippreżentati fis-16 ta’ Jannar waqt konferenza online finali li għaliha attendew Annalena Baerbock, Ministru tal-Affarijiet Barranin Ġermaniż, u Anna Lührmann, Viċi Ministru għall-Ewropa u l-Klima.</w:t>
      </w:r>
    </w:p>
    <w:p>
      <w:pPr>
        <w:pStyle w:val="Corpsdetexte"/>
        <w:rPr/>
      </w:pPr>
      <w:r>
        <w:rPr/>
      </w:r>
    </w:p>
    <w:p>
      <w:pPr>
        <w:pStyle w:val="Titre4"/>
        <w:numPr>
          <w:ilvl w:val="3"/>
          <w:numId w:val="2"/>
        </w:numPr>
        <w:rPr/>
      </w:pPr>
      <w:bookmarkStart w:id="23" w:name="__RefHeading___Toc298220_1346298689"/>
      <w:bookmarkEnd w:id="23"/>
      <w:r>
        <w:rPr/>
        <w:t>3)</w:t>
        <w:tab/>
        <w:t>FRANZA</w:t>
      </w:r>
    </w:p>
    <w:p>
      <w:pPr>
        <w:pStyle w:val="Corpsdetexte"/>
        <w:rPr/>
      </w:pPr>
      <w:r>
        <w:rPr/>
        <w:t>Il-panels taċ-ċittadini ġew organizzati fi Franza mill-Ministeru Franċiż tal-Ewropa u l-Affarijiet Barranin, bl-appoġġ tal-Ministeru għar-Relazzjonijiet mal-Parlament u l-Parteċipazzjoni taċ-Ċittadini.</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Qafas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Immaġni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ġni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rPr>
                              <w:t>Fotografija: panel ta’ Ċittadini Franċiżi</w:t>
                            </w:r>
                          </w:p>
                        </w:txbxContent>
                      </wps:txbx>
                      <wps:bodyPr lIns="0" rIns="0" tIns="0" bIns="0">
                        <a:noAutofit/>
                      </wps:bodyPr>
                    </wps:wsp>
                  </a:graphicData>
                </a:graphic>
              </wp:anchor>
            </w:drawing>
          </mc:Choice>
          <mc:Fallback>
            <w:pict>
              <v:rect id="shape_0" ID="Qafas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Immaġni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ġni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rPr>
                        <w:t>Fotografija: panel ta’ Ċittadini Franċiżi</w:t>
                      </w:r>
                    </w:p>
                  </w:txbxContent>
                </v:textbox>
              </v:rect>
            </w:pict>
          </mc:Fallback>
        </mc:AlternateContent>
      </w:r>
    </w:p>
    <w:p>
      <w:pPr>
        <w:pStyle w:val="Corpsdetexte"/>
        <w:rPr/>
      </w:pPr>
      <w:r>
        <w:rPr/>
        <w:t>Tmintax-il panel taċ-ċittadini ġew organizzati f’Settembru u fil-bidu ta’ Ottubru 2021 fir-reġjuni kollha ta’ Franza, metropolitani u extra-Ewropej. Kull panel laqqa’ flimkien bejn 30 u 50 ċittadin magħżula b’mod aleatorju, li jirrappreżentaw id-diversità tal-popolazzjoni tar-reġjuni. B’kollox, aktar minn 700 ċittadin ipparteċipaw fil-panels. Il-ħidma tal-panels reġjonali wasslet għal lista ta’ 101 aspirazzjonijiet, b’515-il emenda u 1 301 proposta speċifika.</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Qafas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Immaġni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maġni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rPr>
                              <w:t>Fotografija: Il-Panel taċ-Ċittadini Taljani</w:t>
                            </w:r>
                          </w:p>
                        </w:txbxContent>
                      </wps:txbx>
                      <wps:bodyPr lIns="0" rIns="0" tIns="0" bIns="0">
                        <a:noAutofit/>
                      </wps:bodyPr>
                    </wps:wsp>
                  </a:graphicData>
                </a:graphic>
              </wp:anchor>
            </w:drawing>
          </mc:Choice>
          <mc:Fallback>
            <w:pict>
              <v:rect id="shape_0" ID="Qafas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Immaġni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maġni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rPr>
                        <w:t>Fotografija: Il-Panel taċ-Ċittadini Taljani</w:t>
                      </w:r>
                    </w:p>
                  </w:txbxContent>
                </v:textbox>
              </v:rect>
            </w:pict>
          </mc:Fallback>
        </mc:AlternateContent>
      </w:r>
      <w:r>
        <w:rPr/>
        <w:t>Total ta’ 100 ċittadin li jirrappreżentaw il-bordijiet iltaqgħu f’Pariġi fis-16–17 ta’ Ottubru 2021 biex il-Konferenza Nazzjonali ta’ Sinteżi tabbozza u tadotta r-rakkomandazzjonijiet. Total ta’ 14-il rakkomandazzjoni ta’ prijorità ġew identifikati bħala parti minn dan il-proċess. Ir-rakkomandazzjonijiet, li jkopru d-disa’ temi tal-konferenza, ġew ippreżentati lill-gvern Franċiż, inkluż lis-Segretarju tal-Istat Clément Beaune, u kienu jikkostitwixxu l-kontribut tal-gvern Franċiż għall-konferenza.</w:t>
      </w:r>
    </w:p>
    <w:p>
      <w:pPr>
        <w:pStyle w:val="Titre4"/>
        <w:numPr>
          <w:ilvl w:val="3"/>
          <w:numId w:val="2"/>
        </w:numPr>
        <w:rPr/>
      </w:pPr>
      <w:bookmarkStart w:id="24" w:name="__RefHeading___Toc298222_1346298689"/>
      <w:bookmarkEnd w:id="24"/>
      <w:r>
        <w:rPr/>
        <w:t>4)</w:t>
        <w:tab/>
        <w:t>L-ITALJA</w:t>
      </w:r>
    </w:p>
    <w:p>
      <w:pPr>
        <w:pStyle w:val="Corpsdetexte"/>
        <w:rPr/>
      </w:pPr>
      <w:r>
        <w:rPr/>
        <w:t>F’Marzu 2022 ġie organizzat panel taċ-ċittadini minn parti terza indipendenti, taħt is-superviżjoni tad-Dipartiment Taljan tal-Politiki Ewropej tal-Presidenza tal-Kunsill tal-Ministri.</w:t>
      </w:r>
    </w:p>
    <w:p>
      <w:pPr>
        <w:pStyle w:val="Corpsdetexte"/>
        <w:rPr/>
      </w:pPr>
      <w:r>
        <w:rPr/>
      </w:r>
    </w:p>
    <w:p>
      <w:pPr>
        <w:pStyle w:val="Corpsdetexte"/>
        <w:rPr/>
      </w:pPr>
      <w:r>
        <w:rPr/>
        <w:t>Ħadu sehem total ta’ 55 ċittadin magħżula b’mod aleatorju, li jirrappreżentaw is-soċjetà Taljana u r-reġjuni tagħha. Il-parteċipanti ntgħażlu b’mod każwali biex tiġi żgurata l-preżenza ta’ sess, età, oriġini soċjali, post ta’ residenza u status professjonali differenti.</w:t>
      </w:r>
    </w:p>
    <w:p>
      <w:pPr>
        <w:pStyle w:val="Corpsdetexte"/>
        <w:rPr/>
      </w:pPr>
      <w:r>
        <w:rPr/>
        <w:t>Iċ-ċittadini ltaqgħu online fil-11 u t-12 ta’ Marzu 2022 biex jiddiskutu żewġ temi tal-konferenza:</w:t>
      </w:r>
    </w:p>
    <w:p>
      <w:pPr>
        <w:pStyle w:val="Alineanegatifpuce"/>
        <w:numPr>
          <w:ilvl w:val="0"/>
          <w:numId w:val="3"/>
        </w:numPr>
        <w:rPr/>
      </w:pPr>
      <w:r>
        <w:rPr/>
        <w:t xml:space="preserve"> “</w:t>
      </w:r>
      <w:r>
        <w:rPr/>
        <w:t>Ekonomija aktar b’saħħitha, ġustizzja soċjali u impjiegi”, u</w:t>
      </w:r>
    </w:p>
    <w:p>
      <w:pPr>
        <w:pStyle w:val="Alineanegatifpuce"/>
        <w:numPr>
          <w:ilvl w:val="0"/>
          <w:numId w:val="3"/>
        </w:numPr>
        <w:rPr/>
      </w:pPr>
      <w:r>
        <w:rPr/>
        <w:t xml:space="preserve"> “</w:t>
      </w:r>
      <w:r>
        <w:rPr/>
        <w:t>L-Ewropa fid-dinja”.</w:t>
      </w:r>
    </w:p>
    <w:p>
      <w:pPr>
        <w:pStyle w:val="Corpsdetexte"/>
        <w:rPr/>
      </w:pPr>
      <w:r>
        <w:rPr/>
        <w:t>Fit-12 ta’ Marzu 2022, il-bord adotta total ta’ 58 rakkomandazzjoni, inklużi 33 dwar “Ekonomija aktar b’saħħitha, ġustizzja soċjali u impjiegi” u 25 dwar “Ewropa Globali”. Fl-aħħar jum, il-parteċipanti wettqu l-verifika u l-validazzjoni tal-ewwel abbozz tar-rakkomandazzjonijiet li saru matul l-ewwel fażi tax-xogħol.</w:t>
      </w:r>
    </w:p>
    <w:p>
      <w:pPr>
        <w:pStyle w:val="Corpsdetexte"/>
        <w:rPr/>
      </w:pPr>
      <w:r>
        <w:rPr/>
      </w:r>
    </w:p>
    <w:p>
      <w:pPr>
        <w:pStyle w:val="Titre4"/>
        <w:numPr>
          <w:ilvl w:val="3"/>
          <w:numId w:val="2"/>
        </w:numPr>
        <w:rPr/>
      </w:pPr>
      <w:bookmarkStart w:id="25" w:name="__RefHeading___Toc298224_1346298689"/>
      <w:bookmarkEnd w:id="25"/>
      <w:r>
        <w:rPr/>
        <w:t>5)</w:t>
        <w:tab/>
        <w:t>IL-LITWANJA</w:t>
      </w:r>
    </w:p>
    <w:p>
      <w:pPr>
        <w:pStyle w:val="Corpsdetexte"/>
        <w:rPr/>
      </w:pPr>
      <w:r>
        <w:rPr/>
        <w:t>F’isem il-Ministeru għall-Affarijiet Barranin, f’Jannar 2022 ġie organizzat bord nazzjonali taċ-ċittadini minn parti terza indipendenti.</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Qafas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Immaġni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maġni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rPr>
                              <w:t>Fotografija: Il-Panel taċ-Ċittadini Litwan</w:t>
                            </w:r>
                          </w:p>
                        </w:txbxContent>
                      </wps:txbx>
                      <wps:bodyPr lIns="0" rIns="0" tIns="0" bIns="0">
                        <a:noAutofit/>
                      </wps:bodyPr>
                    </wps:wsp>
                  </a:graphicData>
                </a:graphic>
              </wp:anchor>
            </w:drawing>
          </mc:Choice>
          <mc:Fallback>
            <w:pict>
              <v:rect id="shape_0" ID="Qafas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Immaġni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maġni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rPr>
                        <w:t>Fotografija: Il-Panel taċ-Ċittadini Litwan</w:t>
                      </w:r>
                    </w:p>
                  </w:txbxContent>
                </v:textbox>
              </v:rect>
            </w:pict>
          </mc:Fallback>
        </mc:AlternateContent>
      </w:r>
    </w:p>
    <w:p>
      <w:pPr>
        <w:pStyle w:val="Corpsdetexte"/>
        <w:rPr/>
      </w:pPr>
      <w:r>
        <w:rPr/>
        <w:t>Dan ġabar flimkien total ta’ 25 ċittadin magħżul b’mod aleatorju ta’ bejn it-18 u l-65 sena, li jirrappreżentaw il-gruppi u r-reġjuni soċjoekonomiċi differenti tal-Litwanja.</w:t>
      </w:r>
    </w:p>
    <w:p>
      <w:pPr>
        <w:pStyle w:val="Corpsdetexte"/>
        <w:rPr/>
      </w:pPr>
      <w:r>
        <w:rPr/>
        <w:t>Fl-4 ta’ Jannar 2022, ġiet organizzata sessjoni ta’ ftuħ online u ċ-ċittadini ddiskutew żewġ suġġetti:</w:t>
      </w:r>
    </w:p>
    <w:p>
      <w:pPr>
        <w:pStyle w:val="Alineanegatifpuce"/>
        <w:numPr>
          <w:ilvl w:val="0"/>
          <w:numId w:val="3"/>
        </w:numPr>
        <w:rPr/>
      </w:pPr>
      <w:r>
        <w:rPr/>
        <w:t xml:space="preserve"> </w:t>
      </w:r>
      <w:r>
        <w:rPr/>
        <w:t>ir-rwol u l-kompetenzi tal-UE fil-politika barranija;</w:t>
      </w:r>
    </w:p>
    <w:p>
      <w:pPr>
        <w:pStyle w:val="Alineanegatifpuce"/>
        <w:numPr>
          <w:ilvl w:val="0"/>
          <w:numId w:val="3"/>
        </w:numPr>
        <w:rPr/>
      </w:pPr>
      <w:r>
        <w:rPr/>
        <w:t xml:space="preserve"> </w:t>
      </w:r>
      <w:r>
        <w:rPr/>
        <w:t>ir-rwol ekonomiku tal-UE.</w:t>
      </w:r>
    </w:p>
    <w:p>
      <w:pPr>
        <w:pStyle w:val="Normal"/>
        <w:rPr/>
      </w:pPr>
      <w:r>
        <w:rPr/>
      </w:r>
    </w:p>
    <w:p>
      <w:pPr>
        <w:pStyle w:val="Corpsdetexte"/>
        <w:rPr/>
      </w:pPr>
      <w:r>
        <w:rPr/>
        <w:t>Fil-15 ta’ Jannar 2022, il-parteċipanti ltaqgħu personalment biex jifformulaw il-konklużjonijiet ewlenin tad-diskussjonijiet tagħhom. Fil-25 ta’ Jannar 2022, huma adottaw 21 rakkomandazzjoni f’sessjoni virtwali, li 10 minnhom iffukaw fuq ir-rwol u l-kompetenzi tal-UE fil-politika barranija u 11 dwar ir-rwol ekonomiku tal-UE.</w:t>
      </w:r>
    </w:p>
    <w:p>
      <w:pPr>
        <w:pStyle w:val="Corpsdetexte"/>
        <w:rPr/>
      </w:pPr>
      <w:r>
        <w:rPr/>
      </w:r>
    </w:p>
    <w:p>
      <w:pPr>
        <w:pStyle w:val="Titre4"/>
        <w:numPr>
          <w:ilvl w:val="3"/>
          <w:numId w:val="2"/>
        </w:numPr>
        <w:rPr/>
      </w:pPr>
      <w:bookmarkStart w:id="26" w:name="__RefHeading___Toc298226_1346298689"/>
      <w:bookmarkEnd w:id="26"/>
      <w:r>
        <w:rPr/>
        <w:t>6)</w:t>
        <w:tab/>
        <w:t>IN-NETHERLANDS</w:t>
      </w:r>
    </w:p>
    <w:p>
      <w:pPr>
        <w:pStyle w:val="Corpsdetexte"/>
        <w:rPr/>
      </w:pPr>
      <w:r>
        <w:rPr/>
        <w:t>Il-bord taċ-ċittadini ġie organizzat minn parti terza indipendenti, bid-djalogi intitolati “Viżjonijiet tal-Ewropa” li jibdew fl-</w:t>
      </w:r>
      <w:r>
        <w:rPr>
          <w:vertAlign w:val="superscript"/>
        </w:rPr>
        <w:t>1 ta’</w:t>
      </w:r>
      <w:r>
        <w:rPr/>
        <w:t xml:space="preserve"> Settembru. Huma kienu maqsuma f’diversi partijiet.</w:t>
      </w:r>
    </w:p>
    <w:p>
      <w:pPr>
        <w:pStyle w:val="Corpsdetexte"/>
        <w:rPr/>
      </w:pPr>
      <w:r>
        <w:rPr/>
        <w:t>Imnedija fl-</w:t>
      </w:r>
      <w:r>
        <w:rPr>
          <w:vertAlign w:val="superscript"/>
        </w:rPr>
        <w:t>1</w:t>
      </w:r>
      <w:r>
        <w:rPr/>
        <w:t xml:space="preserve"> ta’ Settembru 2021, it-taqsima online inkludiet kwestjonarju u għodda</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Immaġni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maġni16" descr=""/>
                    <pic:cNvPicPr>
                      <a:picLocks noChangeAspect="1" noChangeArrowheads="1"/>
                    </pic:cNvPicPr>
                  </pic:nvPicPr>
                  <pic:blipFill>
                    <a:blip r:embed="rId46"/>
                    <a:stretch>
                      <a:fillRect/>
                    </a:stretch>
                  </pic:blipFill>
                  <pic:spPr bwMode="auto">
                    <a:xfrm>
                      <a:off x="0" y="0"/>
                      <a:ext cx="3610610" cy="2474595"/>
                    </a:xfrm>
                    <a:prstGeom prst="rect">
                      <a:avLst/>
                    </a:prstGeom>
                  </pic:spPr>
                </pic:pic>
              </a:graphicData>
            </a:graphic>
          </wp:anchor>
        </w:drawing>
      </w:r>
      <w:r>
        <w:rPr/>
        <w:t>t</w:t>
      </w:r>
      <w:r>
        <w:rPr/>
        <w:t>a’ għażla simplifikata li tippermetti liċ-ċittadini jesprimu l-preferenzi, ix-xewqat u r-rakkomandazzjonijiet tagħhom dwar id-disa’ temi tal-konferenza. Il-kwestjonarju tqassam lil grupp rappreżentattiv u inklużiv magħżul ta’ 4,000 ċittadin.</w:t>
      </w:r>
    </w:p>
    <w:p>
      <w:pPr>
        <w:pStyle w:val="Corpsdetexte"/>
        <w:rPr/>
      </w:pPr>
      <w:r>
        <w:rPr/>
      </w:r>
    </w:p>
    <w:p>
      <w:pPr>
        <w:pStyle w:val="Corpsdetexte"/>
        <w:rPr/>
      </w:pPr>
      <w:r>
        <w:rPr/>
        <w:t>F’Ottubru u Novembru 2021, saru dibattiti fil-fond online u offline maċ-ċittadini, b’mod partikolari biex jintlaħqu ż-żgħażagħ u l-gruppi fil-mira li diffiċli jintlaħqu.</w:t>
      </w:r>
    </w:p>
    <w:p>
      <w:pPr>
        <w:pStyle w:val="Corpsdetexte"/>
        <w:rPr/>
      </w:pPr>
      <w:r>
        <w:rPr/>
        <w:t>Ġew ippubblikati żewġ rapporti, bl-isem “Il-viżjoni tagħna għall-Ewropa”; opinjonijiet, ideat u rakkomandazzjonijiet (Elze kijk op Europa; Meningen, ideeën en Aanbevelingen) u li jlaqqa’ flimkien it-30 rakkomandazzjoni magħmula miċ-ċittadini dwar id-disa’ temi tal-konferenza.</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Qafas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t>Il-</w:t>
                            </w:r>
                            <w:r>
                              <w:rPr>
                                <w:color w:val="auto"/>
                              </w:rPr>
                              <w:drawing>
                                <wp:inline distT="0" distB="0" distL="0" distR="0">
                                  <wp:extent cx="2970530" cy="2017395"/>
                                  <wp:effectExtent l="0" t="0" r="0" b="0"/>
                                  <wp:docPr id="55"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rPr>
                              <w:t>Panel taċ-Ċittadini Olandiż</w:t>
                            </w:r>
                          </w:p>
                        </w:txbxContent>
                      </wps:txbx>
                      <wps:bodyPr lIns="0" rIns="0" tIns="0" bIns="0">
                        <a:noAutofit/>
                      </wps:bodyPr>
                    </wps:wsp>
                  </a:graphicData>
                </a:graphic>
              </wp:anchor>
            </w:drawing>
          </mc:Choice>
          <mc:Fallback>
            <w:pict>
              <v:rect id="shape_0" ID="Qafas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t>Il-</w:t>
                      </w:r>
                      <w:r>
                        <w:rPr>
                          <w:color w:val="auto"/>
                        </w:rPr>
                        <w:drawing>
                          <wp:inline distT="0" distB="0" distL="0" distR="0">
                            <wp:extent cx="2970530" cy="2017395"/>
                            <wp:effectExtent l="0" t="0" r="0" b="0"/>
                            <wp:docPr id="56"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rPr>
                        <w:t>Panel taċ-Ċittadini Olandiż</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Avvenimenti organizzati fil-qafas tal-konferenza</w:t>
      </w:r>
    </w:p>
    <w:p>
      <w:pPr>
        <w:pStyle w:val="Titre3"/>
        <w:numPr>
          <w:ilvl w:val="2"/>
          <w:numId w:val="2"/>
        </w:numPr>
        <w:rPr/>
      </w:pPr>
      <w:bookmarkStart w:id="28" w:name="__RefHeading___Toc298230_1346298689"/>
      <w:bookmarkEnd w:id="28"/>
      <w:r>
        <w:rPr/>
        <w:t>1.</w:t>
        <w:tab/>
        <w:t>Avvenimenti nazzjonali</w:t>
      </w:r>
    </w:p>
    <w:p>
      <w:pPr>
        <w:pStyle w:val="Corpsdetexte"/>
        <w:rPr/>
      </w:pPr>
      <w:r>
        <w:rPr/>
        <w:t xml:space="preserve">L-Istati Membri kkontribwew għall-konferenza permezz ta’ firxa wiesgħa ta’ avvenimenti u inizjattivi. Bosta eluf ta’ ċittadini minn madwar l-UE pparteċipaw f’dawn l-avvenimenti. Intestatura </w:t>
      </w:r>
      <w:hyperlink r:id="rId48">
        <w:r>
          <w:rPr>
            <w:rStyle w:val="LienInternet"/>
          </w:rPr>
          <w:t>speċifika tal</w:t>
        </w:r>
      </w:hyperlink>
      <w:r>
        <w:rPr/>
        <w:t xml:space="preserve"> -Pjattaforma Diġitali Multilingwi tipprovdi ħarsa ġenerali lejn l-attivitajiet ewlenin li l-awtoritajiet tal-Istati Membri organizzaw jew appoġġaw. L-avvenimenti ġew ippreżentati fl-assembleji plenarji tal-konferenza fit-23 ta’ Ottubru 2021 u fil-25 ta’ Marzu 2022 minn rappreżentanti ta’ avvenimenti nazzjonali u/jew minn panels nazzjonali taċ-ċittadini, iżda dawn ikkontribwew ukoll għall-konferenza permezz ta’ </w:t>
      </w:r>
      <w:hyperlink r:id="rId49">
        <w:r>
          <w:rPr>
            <w:rStyle w:val="LienInternet"/>
          </w:rPr>
          <w:t>rapporti tal-Pjattaforma</w:t>
        </w:r>
      </w:hyperlink>
      <w:r>
        <w:rPr/>
        <w:t>, u b’hekk jarrikkixxu d-dibattitu fil-livell Ewropew.</w:t>
      </w:r>
    </w:p>
    <w:p>
      <w:pPr>
        <w:pStyle w:val="Corpsdetexte"/>
        <w:rPr/>
      </w:pPr>
      <w:r>
        <w:rPr/>
        <w:t xml:space="preserve"> </w:t>
      </w:r>
      <w:r>
        <w:rPr/>
        <w:t>L-għan ewlieni ta’ dawn l-avvenimenti u l-inizjattivi kien li jisimgħu liċ-ċittadini u jinvolvuhom f’dibattiti dwar l-Unjoni Ewropea. L-inklużjoni u d-djalogu maċ-ċittadini kienu wkoll prijorità, bi sforzi biex jiġu inklużi persuni li normalment ma jkunux involuti f’dibattiti relatati mal-UE.</w:t>
      </w:r>
    </w:p>
    <w:p>
      <w:pPr>
        <w:pStyle w:val="Corpsdetexte"/>
        <w:rPr/>
      </w:pPr>
      <w:r>
        <w:rPr/>
        <w:t>Seħħew tipi differenti ta’ avvenimenti, li jikkombinaw approċċi ċentralizzati u deċentralizzati, inkluż ma’ diversi forom ta’ appoġġ għal inizjattivi minn isfel għal fuq. L-attivitajiet u l-avvenimenti fl-Istati Membri ġew organizzati minn istituzzjonijiet u atturi differenti, inklużi l-awtoritajiet nazzjonali, reġjonali u lokali, l-organizzazzjonijiet tas-soċjetà ċivili, l-imsieħba soċjali, l-assoċjazzjonijiet u ċ-ċittadini. F’xi każijiet, organizzazzjonijiet mhux governattivi, istituzzjonijiet kulturali, gruppi ta’ riflessjoni, universitajiet u istituti ta’ riċerka wkoll ipparteċipaw b’mod attiv fl-organizzazzjoni ta’ avvenimenti dwar il-konferenza. F’ħafna minn dawn l-attivitajiet u avvenimenti, saret enfasi speċjali fuq il-parteċipazzjoni tal-ġenerazzjoni żagħżugħa.</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7" descr=""/>
                    <pic:cNvPicPr>
                      <a:picLocks noChangeAspect="1" noChangeArrowheads="1"/>
                    </pic:cNvPicPr>
                  </pic:nvPicPr>
                  <pic:blipFill>
                    <a:blip r:embed="rId50"/>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Ħarsa ġenerali lejn l-avvenimenti u l-inizjattivi ewlenin fl-Istati Membri:</w:t>
      </w:r>
    </w:p>
    <w:p>
      <w:pPr>
        <w:pStyle w:val="P68B1DB1Corpsdetexte12"/>
        <w:rPr>
          <w:b/>
          <w:b/>
          <w:i/>
          <w:i/>
          <w:u w:val="single"/>
        </w:rPr>
      </w:pPr>
      <w:r>
        <w:rPr/>
        <w:t>1 Il-Belġju</w:t>
      </w:r>
    </w:p>
    <w:p>
      <w:pPr>
        <w:pStyle w:val="Corpsdetexte"/>
        <w:rPr/>
      </w:pPr>
      <w:r>
        <w:rPr/>
        <w:t>Ġew organizzati diversi avvenimenti mill-awtoritajiet federali u reġjonali. Saru diversi dibattiti maċ-ċittadini, pereżempju dwar l-UE fid-dinja u dwar it-tibdil fil-klima u l-ambjent. Sar ukoll djalogu strutturat maċ-ċittadini dwar “Ngħixu f’reġjun tal-fruntiera” u hackathon dwar “L-impatt ta’ stili ta’ ħajja tajbin għas-saħħa u t-tibdil fil-klima fuq il-kwalità tal-ħajja” u “ostakoli għall-impjieg taż-żgħażagħ”.</w:t>
      </w:r>
    </w:p>
    <w:p>
      <w:pPr>
        <w:pStyle w:val="Corpsdetexte"/>
        <w:rPr/>
      </w:pPr>
      <w:r>
        <w:rPr/>
        <w:t>Barra minn hekk, ġie organizzat avveniment dwar id-diġitalizzazzjoni u l-ekonomija sostenibbli, u saru sensiela ta’ dibattiti bejn iż-żgħażagħ u l-politiċi dwar it-tema “L-Ewropa tismagħkom”.</w:t>
      </w:r>
    </w:p>
    <w:p>
      <w:pPr>
        <w:pStyle w:val="P68B1DB1Corpsdetexte12"/>
        <w:rPr>
          <w:b/>
          <w:b/>
          <w:i/>
          <w:i/>
          <w:u w:val="single"/>
        </w:rPr>
      </w:pPr>
      <w:r>
        <w:rPr/>
        <w:t>2 Il-Bulgarija</w:t>
      </w:r>
    </w:p>
    <w:p>
      <w:pPr>
        <w:pStyle w:val="Corpsdetexte"/>
        <w:rPr/>
      </w:pPr>
      <w:r>
        <w:rPr/>
        <w:t>L-eżerċizzju Bulgaru tnieda f’ċerimonja intitolata “Kif tisma’ l-vuċi taċ-ċittadini permezz tal-Konferenza dwar il-Futur tal-Ewropa?” bl-involviment tal-awtoritajiet pubbliċi u r-rappreżentanti taċ-ċittadini. Bħala parti mill-avvenimenti organizzati, ġie stabbilit djalogu dwar id-demografija u d-demokrazija.</w:t>
      </w:r>
    </w:p>
    <w:p>
      <w:pPr>
        <w:pStyle w:val="Corpsdetexte"/>
        <w:rPr/>
      </w:pPr>
      <w:r>
        <w:rPr/>
        <w:t>Saru diversi avvenimenti lokali fi bliet universitarji ewlenin, bl-għajnuna taċ-Ċentri Europe Direct.</w:t>
      </w:r>
    </w:p>
    <w:p>
      <w:pPr>
        <w:pStyle w:val="P68B1DB1Corpsdetexte12"/>
        <w:rPr>
          <w:b/>
          <w:b/>
          <w:i/>
          <w:i/>
          <w:u w:val="single"/>
        </w:rPr>
      </w:pPr>
      <w:r>
        <w:rPr/>
        <w:t>3 Ir-Repubblika Ċeka</w:t>
      </w:r>
    </w:p>
    <w:p>
      <w:pPr>
        <w:pStyle w:val="Corpsdetexte"/>
        <w:rPr/>
      </w:pPr>
      <w:r>
        <w:rPr/>
        <w:t>Ir-Repubblika Ċeka organizzat diskussjonijiet ċentrali mal-pubbliku ġenerali u avvenimenti ta’ informazzjoni għall-partijiet interessati rilevanti. Dawn l-avvenimenti ġew ikkumplimentati minn avvenimenti u avvenimenti għaż-żgħażagħ b’parteċipazzjoni internazzjonali. B’mod partikolari, ġie organizzat avveniment transnazzjonali maċ-ċittadini Ġermaniżi u Ċeki. Saru diversi dibattiti reġjonali fil-pajjiż kollu, kif ukoll seminars reġjonali għall-istudenti tal-iskejjel sekondarji dwar it-tema “Decide on Europe”.</w:t>
      </w:r>
    </w:p>
    <w:p>
      <w:pPr>
        <w:pStyle w:val="Normal"/>
        <w:rPr/>
      </w:pPr>
      <w:r>
        <w:rPr/>
      </w:r>
    </w:p>
    <w:p>
      <w:pPr>
        <w:pStyle w:val="P68B1DB1Corpsdetexte12"/>
        <w:tabs>
          <w:tab w:val="left" w:pos="1391" w:leader="none"/>
        </w:tabs>
        <w:rPr>
          <w:b/>
          <w:b/>
          <w:i/>
          <w:i/>
          <w:u w:val="single"/>
        </w:rPr>
      </w:pPr>
      <w:r>
        <w:rPr/>
        <w:t>4 Id-Danimarka</w:t>
      </w:r>
    </w:p>
    <w:p>
      <w:pPr>
        <w:pStyle w:val="Corpsdetexte"/>
        <w:rPr/>
      </w:pPr>
      <w:r>
        <w:rPr/>
        <w:t>Ġie organizzat dibattitu nazzjonali wiesa’ u inklużiv, li fih is-soċjetà ċivili u atturi mhux governattivi oħra kellhom rwol ċentrali. Grupp magħżul ta’ fondi pubbliċi ngħata lil grupp ta’ diversi organizzazzjonijiet, inklużi NGOs, il-midja, organizzazzjonijiet taż-żgħażagħ, istituzzjonijiet kulturali, gruppi ta’ riflessjoni u istituti ta’ riċerka biex jappoġġaw dibattiti u inizjattivi stabbiliti minn organizzazzjonijiet mhux governattivi. Saru aktar minn 180 dibattitu, li madwar nofshom kienu mmirati speċifikament lejn iż-żgħażagħ. Barra minn hekk, il-gvern u l-parlament organizzaw serje ta’ avvenimenti uffiċjali, bħal konsultazzjonijiet u dibattiti maċ-ċittadini.</w:t>
      </w:r>
    </w:p>
    <w:p>
      <w:pPr>
        <w:pStyle w:val="P68B1DB1Corpsdetexte12"/>
        <w:rPr>
          <w:b/>
          <w:b/>
          <w:i/>
          <w:i/>
          <w:u w:val="single"/>
        </w:rPr>
      </w:pPr>
      <w:r>
        <w:rPr/>
        <w:t>5 Il-Ġermanja</w:t>
      </w:r>
    </w:p>
    <w:p>
      <w:pPr>
        <w:pStyle w:val="Corpsdetexte"/>
        <w:rPr/>
      </w:pPr>
      <w:r>
        <w:rPr/>
        <w:t>Avvenimenti fil-Ġermanja involvew il-gvern federali, il-Bundestag, l-istati federali u s-soċjetà ċivili. Minbarra l-avvenimenti stabbiliti mill-gvern federali, aktar minn 50 avveniment reġjonali ġew organizzati mis-sittax-il stat federali tal-Ġermanja u madwar 300 mis-soċjetà ċivili.</w:t>
      </w:r>
    </w:p>
    <w:p>
      <w:pPr>
        <w:pStyle w:val="Corpsdetexte"/>
        <w:rPr/>
      </w:pPr>
      <w:r>
        <w:rPr/>
        <w:t>Avvenimenti u djalogi transkonfinali mal-istudenti u ż-żgħażagħ kienu element ċentrali ta’ ħafna inizjattivi, li jpoġġu liż-żgħażagħ fuq quddiem nett fid-diskussjonijiet immirati lejn it-tiswir tal-futur tal-Ewropa.</w:t>
      </w:r>
    </w:p>
    <w:p>
      <w:pPr>
        <w:pStyle w:val="P68B1DB1Corpsdetexte12"/>
        <w:rPr>
          <w:b/>
          <w:b/>
          <w:i/>
          <w:i/>
          <w:u w:val="single"/>
        </w:rPr>
      </w:pPr>
      <w:r>
        <w:rPr/>
        <w:t>6 L-Estonja</w:t>
      </w:r>
    </w:p>
    <w:p>
      <w:pPr>
        <w:pStyle w:val="Corpsdetexte"/>
        <w:rPr/>
      </w:pPr>
      <w:r>
        <w:rPr/>
        <w:t>Ġew organizzati diversi avvenimenti, seminars u dibattiti mill-Kanċellerija tal-Istat b’kollaborazzjoni mar-Rappreżentanza tal-Kummissjoni Ewropea fl-Estonja, il-Ministeru tal-Affarijiet Barranin u ministeri oħra, kif ukoll is-soċjetà ċivili u l-organizzazzjonijiet taż-żgħażagħ, fost l-oħrajn. B’mod partikolari, saret diskussjoni għall-istudenti tal-iskejjel sekondarji dwar kwistjonijiet ewlenin relatati mat-tibdil fil-klima, il-politiki dwar l-enerġija u l-konferenza b’mod ġenerali. Inbdiet ukoll diskussjoni dwar “Id-diplomazija Estonjana għall-kisba tal-għanijiet klimatiċi”.</w:t>
      </w:r>
    </w:p>
    <w:p>
      <w:pPr>
        <w:pStyle w:val="P68B1DB1Corpsdetexte12"/>
        <w:rPr>
          <w:b/>
          <w:b/>
          <w:i/>
          <w:i/>
          <w:u w:val="single"/>
        </w:rPr>
      </w:pPr>
      <w:r>
        <w:rPr/>
        <w:t>7 L-Irlanda</w:t>
      </w:r>
    </w:p>
    <w:p>
      <w:pPr>
        <w:pStyle w:val="Corpsdetexte"/>
        <w:rPr/>
      </w:pPr>
      <w:r>
        <w:rPr/>
        <w:t>L-inklużjoni u d-djalogu mal-popolazzjoni kollha, speċjalment iż-żgħażagħ, kienu t-tema ċentrali tal-attivitajiet organizzati fl-Irlanda.</w:t>
      </w:r>
    </w:p>
    <w:p>
      <w:pPr>
        <w:pStyle w:val="Corpsdetexte"/>
        <w:rPr/>
      </w:pPr>
      <w:r>
        <w:rPr/>
        <w:t>F’kooperazzjoni mal-Moviment Ewropew tal-Irlanda (EMI), tnieda programm ta’ impenji reġjonali u settorjali fl-2021 u l-2022. L-ewwel fażi tal-laqgħat reġjonali saret f’Ġunju u Lulju fil-forma ta’ konsultazzjonijiet virtwali. It-tieni fażi tal-avvenimenti reġjonali ħadet il-forma ta’ laqgħat pubbliċi wiċċ imb’wiċċ għall-bidu tal-2022. Minn Lulju, beda programm ta’ avvenimenti mmexxija mill-gvern.</w:t>
      </w:r>
    </w:p>
    <w:p>
      <w:pPr>
        <w:pStyle w:val="P68B1DB1Corpsdetexte12"/>
        <w:rPr>
          <w:b/>
          <w:b/>
          <w:i/>
          <w:i/>
          <w:u w:val="single"/>
        </w:rPr>
      </w:pPr>
      <w:r>
        <w:rPr/>
        <w:t>8 Il-Greċja</w:t>
      </w:r>
    </w:p>
    <w:p>
      <w:pPr>
        <w:pStyle w:val="Corpsdetexte"/>
        <w:rPr/>
      </w:pPr>
      <w:r>
        <w:rPr/>
        <w:t>Il-Ministeru tal-Affarijiet Barranin kien responsabbli għall-koordinazzjoni tad-djalogu nazzjonali. L-aġenziji tal-gvern ċentrali u lokali u s-soċjetà ċivili ġew imħeġġa bil-qawwa biex jorganizzaw diskussjonijiet u avvenimenti oħra. Pereżempju, seħħew avvenimenti dwar il-kooperazzjoni Ewro-Mediterranja, il-Balkani tal-Punent, l-isfida demografika, il-migrazzjoni u d-demokrazija, bl-involviment taċ-ċittadini u diversi partijiet interessati.</w:t>
      </w:r>
    </w:p>
    <w:p>
      <w:pPr>
        <w:pStyle w:val="P68B1DB1Corpsdetexte12"/>
        <w:rPr>
          <w:b/>
          <w:b/>
          <w:i/>
          <w:i/>
          <w:u w:val="single"/>
        </w:rPr>
      </w:pPr>
      <w:r>
        <w:rPr/>
        <w:t>9 Spanja</w:t>
      </w:r>
    </w:p>
    <w:p>
      <w:pPr>
        <w:pStyle w:val="Corpsdetexte"/>
        <w:rPr/>
      </w:pPr>
      <w:r>
        <w:rPr/>
        <w:t>Il-qafas Spanjol inkluda sitt avvenimenti fil-livell nazzjonali (eż. konsultazzjoni taċ-ċittadini Spanjoli dwar il-futur tal-Ewropa) u madwar 20 fil-livell reġjonali. Ġie organizzat ukoll avveniment maċ-ċittadini Portugiżi u Spanjoli biex jiddiskutu suġġetti ewlenin ta’ interess għall-futur tar-reġjuni tagħhom u għall-UE. Fil-livell reġjonali u lokali, ġew organizzati avvenimenti mill-awtoritajiet dwar diversi suġġetti, bħall-kooperazzjoni transkonfinali, l-impatt tat-tibdil demografiku, it-trasport u l-mobbiltà sostenibbli, it-tibdil fil-klima, il-migrazzjoni u l-futur tar-reġjuni ultraperiferiċi.</w:t>
      </w:r>
    </w:p>
    <w:p>
      <w:pPr>
        <w:pStyle w:val="Normal"/>
        <w:rPr/>
      </w:pPr>
      <w:r>
        <w:rPr/>
      </w:r>
    </w:p>
    <w:p>
      <w:pPr>
        <w:pStyle w:val="P68B1DB1Corpsdetexte12"/>
        <w:rPr>
          <w:b/>
          <w:b/>
          <w:i/>
          <w:i/>
          <w:u w:val="single"/>
        </w:rPr>
      </w:pPr>
      <w:r>
        <w:rPr/>
        <w:t>10 Franza</w:t>
      </w:r>
    </w:p>
    <w:p>
      <w:pPr>
        <w:pStyle w:val="Corpsdetexte"/>
        <w:rPr/>
      </w:pPr>
      <w:r>
        <w:rPr/>
        <w:t>Il-gvern Franċiż wettaq konsultazzjoni online estensiva għaż-żgħażagħ minn Mejju sa Lulju 2021. Ħamsin elf żagħżugħ u żagħżugħa Franċiżi esprimew il-fehmiet tagħhom, u approvaw sittax-il idea ewlenija għall-futur tal-Ewropa. Ir-riżultati ta’ dan l-eżerċizzju nġabru, flimkien mar-riżultati tal-Panel taċ-Ċittadini Franċiżi, f’rapport finali, li jikkostitwixxi l-kontribut ta’ Franza għall-konferenza. Il-gvern Franċiż ħeġġeġ ukoll lill-atturi Franċiżi kollha li xtaqu jagħmlu dan (assoċjazzjonijiet, awtoritajiet lokali, uffiċjali eletti, rappreżentanti tas-soċjetà ċivili) biex jorganizzaw avvenimenti.</w:t>
      </w:r>
    </w:p>
    <w:p>
      <w:pPr>
        <w:pStyle w:val="P68B1DB1Corpsdetexte12"/>
        <w:rPr>
          <w:b/>
          <w:b/>
          <w:i/>
          <w:i/>
          <w:u w:val="single"/>
        </w:rPr>
      </w:pPr>
      <w:r>
        <w:rPr/>
        <w:t>11 Il-Kroazja</w:t>
      </w:r>
    </w:p>
    <w:p>
      <w:pPr>
        <w:pStyle w:val="Corpsdetexte"/>
        <w:rPr/>
      </w:pPr>
      <w:r>
        <w:rPr/>
        <w:t>Ġie stabbilit grupp ta’ ħidma għall-koordinazzjoni tal-attivitajiet u ġabar ideat u pjanijiet biex iwettaq attivitajiet fil-livell nazzjonali. Il-ministeri, l-uffiċċji ċentrali tal-istat, l-aġenziji tal-iżvilupp reġjonali, l-universitajiet, l-NGOs u l-istituti organizzaw avvenimenti fil-forma ta’ konferenzi, djalogi taċ-ċittadini u dibattiti maċ-ċittadini, diskussjonijiet pubbliċi u workshops edukattivi, b’enfasi partikolari fuq iż-żgħażagħ.</w:t>
      </w:r>
    </w:p>
    <w:p>
      <w:pPr>
        <w:pStyle w:val="Corpsdetexte"/>
        <w:rPr/>
      </w:pPr>
      <w:r>
        <w:rPr/>
        <w:t>Is-suġġetti koperti jinkludu l-migrazzjoni, id-demografija, in-newtralità klimatika u l-ekonomija ċirkolari. Ġew organizzati xi avvenimenti ma’ Stati Membri oħra u ma’ pajjiżi ġirien li mhumiex fl-UE.</w:t>
      </w:r>
    </w:p>
    <w:p>
      <w:pPr>
        <w:pStyle w:val="P68B1DB1Corpsdetexte12"/>
        <w:rPr>
          <w:b/>
          <w:b/>
          <w:i/>
          <w:i/>
          <w:u w:val="single"/>
        </w:rPr>
      </w:pPr>
      <w:r>
        <w:rPr/>
        <w:t>12 L-Italja</w:t>
      </w:r>
    </w:p>
    <w:p>
      <w:pPr>
        <w:pStyle w:val="Corpsdetexte"/>
        <w:rPr/>
      </w:pPr>
      <w:r>
        <w:rPr/>
        <w:t>Diversi avvenimenti, li jiffukaw b’mod partikolari fuq iż-żgħażagħ, ġew stabbiliti biex jilħqu kemm jista’ jkun ċittadini, inkluż bl-appoġġ attiv tal-awtoritajiet lokali. Tnediet kampanja tal-midja biex kemm jista’ jkun titqajjem kuxjenza dwar dawn l-avvenimenti. Dawn l-attivitajiet jinkludu l-Forum taż-Żgħażagħ bejn l-UE u l-Balkani, organizzat ma’ żgħażagħ mill-Balkani tal-Punent, il-Forum taż-Żgħażagħ “Djalogi Mediċi”, li jinvolvi żgħażagħ mill-Viċinat tan-Nofsinhar, kif ukoll kompetizzjonijiet għal studenti sekondarji u universitarji intitolati “L-Ewropa hija f’idejk”.</w:t>
      </w:r>
    </w:p>
    <w:p>
      <w:pPr>
        <w:pStyle w:val="P68B1DB1Corpsdetexte12"/>
        <w:rPr>
          <w:b/>
          <w:b/>
          <w:i/>
          <w:i/>
          <w:u w:val="single"/>
        </w:rPr>
      </w:pPr>
      <w:r>
        <w:rPr/>
        <w:t>13 ta’ Ċipru</w:t>
      </w:r>
    </w:p>
    <w:p>
      <w:pPr>
        <w:pStyle w:val="Corpsdetexte"/>
        <w:rPr/>
      </w:pPr>
      <w:r>
        <w:rPr/>
        <w:t>Ġew organizzati għadd ta’ attivitajiet iffukati fuq iż-żgħażagħ, li jinvolvu ħafna atturi. Seħħ avveniment ta’ tnedija, inkluża diskussjoni mal-ġenerazzjoni żagħżugħa dwar l-aspettattivi, it-tħassib u l-viżjoni tagħhom għall-Ewropa u Ċipru fl-UE. Sar ukoll djalogu miftuħ dwar ir-rwol taż-żgħażagħ fid-dibattitu dwar l-Ewropa u l-problemi li jiffaċċjaw fil-livell nazzjonali u Ewropew. Seħħ ukoll avveniment biex jiġi diskuss il-futur tas-sigurtà u d-difiża Ewropea.</w:t>
      </w:r>
    </w:p>
    <w:p>
      <w:pPr>
        <w:pStyle w:val="P68B1DB1Corpsdetexte12"/>
        <w:rPr>
          <w:b/>
          <w:b/>
          <w:i/>
          <w:i/>
          <w:u w:val="single"/>
        </w:rPr>
      </w:pPr>
      <w:r>
        <w:rPr/>
        <w:t>14 Latvja</w:t>
      </w:r>
    </w:p>
    <w:p>
      <w:pPr>
        <w:pStyle w:val="Corpsdetexte"/>
        <w:rPr/>
      </w:pPr>
      <w:r>
        <w:rPr/>
        <w:t>Ġew organizzati diversi avvenimenti, inkluża diskussjoni online mal-pajjiż kollu mal-istudenti intitolati “Il-Futur huwa f’idejk” dwar kwistjonijiet ekonomiċi, soċjali u ta’ sigurtà. Ġew stabbiliti stħarriġ u diskussjonijiet nazzjonali fi gruppi ta’ riflessjoni biex tinġabar l-opinjoni pubblika dwar il-fehmiet taċ-ċittadini dwar il-prijoritajiet futuri tal-Unjoni Ewropea dwar it-temi kollha tal-konferenza. Saru diskussjonijiet reġjonali wiċċ imb’wiċċ biex titqajjem kuxjenza dwar il-konferenza fost il-persuni li għandhom 55 sena u aktar u saru diskussjonijiet wiċċ imb wiċċ ma’ studenti tal-iskola sekondarja.</w:t>
      </w:r>
    </w:p>
    <w:p>
      <w:pPr>
        <w:pStyle w:val="P68B1DB1Corpsdetexte12"/>
        <w:rPr>
          <w:b/>
          <w:b/>
          <w:i/>
          <w:i/>
          <w:u w:val="single"/>
        </w:rPr>
      </w:pPr>
      <w:r>
        <w:rPr/>
        <w:t>15 Il-Litwanja</w:t>
      </w:r>
    </w:p>
    <w:p>
      <w:pPr>
        <w:pStyle w:val="Corpsdetexte"/>
        <w:rPr/>
      </w:pPr>
      <w:r>
        <w:rPr/>
        <w:t>L-avvenimenti ġew organizzati prinċipalment fuq bażi deċentralizzata u saret enfasi fuq ir-reġjuni differenti tal-Litwanja u ż-żgħażagħ (eż. fil-qafas tad-dibattitu dwar iż-żgħażagħ fl-Istati Baltiċi). Saru sensiela ta’ djalogi maċ-ċittadini (dwar id-demokrazija, id-diġitalizzazzjoni, it-tibdil fil-klima, eċċ.), djalogi transnazzjonali (eż. ma’ Franza, l-Irlanda u l-Italja) u avvenimenti tas-soċjetà ċivili. Barra minn hekk, l-iskejjel ġew imħeġġa jindirizzaw il-kwistjoni tal-futur tal-Ewropa.</w:t>
      </w:r>
    </w:p>
    <w:p>
      <w:pPr>
        <w:pStyle w:val="Normal"/>
        <w:rPr/>
      </w:pPr>
      <w:r>
        <w:rPr/>
      </w:r>
    </w:p>
    <w:p>
      <w:pPr>
        <w:pStyle w:val="P68B1DB1Corpsdetexte12"/>
        <w:rPr>
          <w:b/>
          <w:b/>
          <w:i/>
          <w:i/>
          <w:u w:val="single"/>
        </w:rPr>
      </w:pPr>
      <w:r>
        <w:rPr/>
        <w:t>16 Il-Lussemburgu</w:t>
      </w:r>
    </w:p>
    <w:p>
      <w:pPr>
        <w:pStyle w:val="Corpsdetexte"/>
        <w:rPr/>
      </w:pPr>
      <w:r>
        <w:rPr/>
        <w:t>Ġew organizzati għadd ta’ avvenimenti fil-livell nazzjonali b’approċċ miftuħ, inklużiv u trasparenti. Pereżempju, il-parlament organizza għadd ta’ avvenimenti f’formati ġodda, bħal “taħditiet bistrot”. Ġiet organizzata wkoll hackathon għall-istudenti u l-intraprendituri żgħażagħ biex jiġu diskussi l-boxxla diġitali u l-istrateġija industrijali tal-UE.</w:t>
      </w:r>
    </w:p>
    <w:p>
      <w:pPr>
        <w:pStyle w:val="Corpsdetexte"/>
        <w:rPr/>
      </w:pPr>
      <w:r>
        <w:rPr/>
        <w:t>Barra minn hekk, sar skambju trinazzjonali bejn l-istudenti tal-iskola għolja Ġermaniżi, Franċiżi u Lussemburgiżi.</w:t>
      </w:r>
    </w:p>
    <w:p>
      <w:pPr>
        <w:pStyle w:val="P68B1DB1Corpsdetexte12"/>
        <w:rPr>
          <w:b/>
          <w:b/>
          <w:i/>
          <w:i/>
          <w:u w:val="single"/>
        </w:rPr>
      </w:pPr>
      <w:r>
        <w:rPr/>
        <w:t>17 L-Ungerija</w:t>
      </w:r>
    </w:p>
    <w:p>
      <w:pPr>
        <w:pStyle w:val="Corpsdetexte"/>
        <w:rPr/>
      </w:pPr>
      <w:r>
        <w:rPr/>
        <w:t>Ġew organizzati firxa wiesgħa ta’ avvenimenti fis-soċjetà kollha (aktar minn 800). Avvenimenti istituzzjonali jinkludu konferenzi internazzjonali ta’ livell għoli organizzati minn diversi ministeri (eż. dwar it-tkabbir tal-UE u l-aġenda diġitali) u round tables ma’ studenti u organizzazzjonijiet taż-żgħażagħ (eż. dwar l-integrazzjoni Ewropea). Diversi organizzazzjonijiet kellhom panels biex jiddiskutu s-suġġetti li ġejjin: l-istituzzjonijiet tal-UE; ekonomija aktar b’saħħitha, ġustizzja soċjali u impjiegi, trasformazzjoni diġitali, edukazzjoni, kultura, żgħażagħ u sport; il-valuri u d-drittijiet, l-istat tad-dritt u s-sigurtà; NGOs; il-migrazzjoni; kif ukoll id-demografija, il-familja, is-saħħa, it-tibdil fil-klima u l-ambjent.</w:t>
      </w:r>
    </w:p>
    <w:p>
      <w:pPr>
        <w:pStyle w:val="P68B1DB1Corpsdetexte12"/>
        <w:rPr>
          <w:b/>
          <w:b/>
          <w:i/>
          <w:i/>
          <w:u w:val="single"/>
        </w:rPr>
      </w:pPr>
      <w:r>
        <w:rPr/>
        <w:t>18 Malta</w:t>
      </w:r>
    </w:p>
    <w:p>
      <w:pPr>
        <w:pStyle w:val="Corpsdetexte"/>
        <w:rPr/>
      </w:pPr>
      <w:r>
        <w:rPr/>
        <w:t>Wara avveniment ta’ tnedija, twaqqaf Kumitat Nazzjonali ta’ Koordinazzjoni biex jippromwovi l-inizjattiva permezz ta’ kanali ta’ komunikazzjoni differenti u għen biex jiggwida d-dibattitu permezz ta’ avvenimenti nazzjonali u lokali.</w:t>
      </w:r>
    </w:p>
    <w:p>
      <w:pPr>
        <w:pStyle w:val="Corpsdetexte"/>
        <w:rPr/>
      </w:pPr>
      <w:r>
        <w:rPr/>
        <w:t>Djalogi pubbliċi tematiċi (eż. dwar is-saħħa, il-valuri Ewropej u l-futur tax-xogħol għal soċjetà ġusta), konferenzi stampa, konsultazzjonijiet mal-partijiet interessati mis-setturi rilevanti u sessjonijiet interattivi mat-tfal u l-istudenti ġew organizzati f’format fiżiku jew ibridu.</w:t>
      </w:r>
    </w:p>
    <w:p>
      <w:pPr>
        <w:pStyle w:val="Corpsdetexte"/>
        <w:rPr/>
      </w:pPr>
      <w:r>
        <w:rPr/>
      </w:r>
    </w:p>
    <w:p>
      <w:pPr>
        <w:pStyle w:val="P68B1DB1Corpsdetexte12"/>
        <w:rPr>
          <w:b/>
          <w:b/>
          <w:i/>
          <w:i/>
          <w:u w:val="single"/>
        </w:rPr>
      </w:pPr>
      <w:r>
        <w:rPr/>
        <w:t>19 Il-Pajjiżi l-Baxxi</w:t>
      </w:r>
    </w:p>
    <w:p>
      <w:pPr>
        <w:pStyle w:val="Corpsdetexte"/>
        <w:rPr/>
      </w:pPr>
      <w:r>
        <w:rPr/>
        <w:t>Fil-Pajjiżi l-Baxxi, saret enfasi fuq l-organizzazzjoni tal-bord nazzjonali taċ-ċittadini “Viżjonijiet tal-Ewropa — Kijk op Europa”, li sar kemm online kif ukoll wiċċ imb’wiċċ. Dan kien ibbażat fuq approċċ b’żewġ fażijiet: l-ewwel waħda kienet li jinġabru r-riflessjonijiet u l-opinjonijiet taċ-ċittadini dwar “x’kien”, jiġifieri dak li kienu jistennew u riedu; it-tieni fażi mbagħad fittxet li tifhem il-fehmiet sottostanti tagħhom (ir-“raġuni” u “kif”) permezz ta’ djalogi fi gruppi.</w:t>
      </w:r>
    </w:p>
    <w:p>
      <w:pPr>
        <w:pStyle w:val="Corpsdetexte"/>
        <w:rPr/>
      </w:pPr>
      <w:r>
        <w:rPr/>
      </w:r>
    </w:p>
    <w:p>
      <w:pPr>
        <w:pStyle w:val="P68B1DB1Corpsdetexte12"/>
        <w:rPr>
          <w:b/>
          <w:b/>
          <w:i/>
          <w:i/>
          <w:u w:val="single"/>
        </w:rPr>
      </w:pPr>
      <w:r>
        <w:rPr/>
        <w:t>20 L-Awstrija</w:t>
      </w:r>
    </w:p>
    <w:p>
      <w:pPr>
        <w:pStyle w:val="Corpsdetexte"/>
        <w:rPr/>
      </w:pPr>
      <w:r>
        <w:rPr/>
        <w:t>Id-diskussjonijiet saru f’formati differenti, fil-livelli federali, reġjonali u lokali. “Laboratorji futuri” u “djalogi futuri” ppermettew skambji fil-fond ma’ esperti ta’ livell għoli dwar suġġetti differenti u biex jinstabu soluzzjonijiet aktar komprensivi għall-futur. Barra minn hekk, ġew organizzati għadd ta’ avvenimenti minn u għall-kunsilliera muniċipali Awstrijaċi inkarigati mill-affarijiet Ewropej. Diversi avvenimenti indirizzati direttament liż-żgħażagħ u lill-istudenti.</w:t>
      </w:r>
    </w:p>
    <w:p>
      <w:pPr>
        <w:pStyle w:val="P68B1DB1Corpsdetexte12"/>
        <w:rPr>
          <w:b/>
          <w:b/>
          <w:i/>
          <w:i/>
          <w:u w:val="single"/>
        </w:rPr>
      </w:pPr>
      <w:r>
        <w:rPr/>
        <w:t>21 Il-Polonja</w:t>
      </w:r>
    </w:p>
    <w:p>
      <w:pPr>
        <w:pStyle w:val="Corpsdetexte"/>
        <w:rPr/>
      </w:pPr>
      <w:r>
        <w:rPr/>
        <w:t>L-avvenimenti kienu fil-biċċa l-kbira organizzati bħala parti minn approċċ deċentralizzat. Fil-livell reġjonali, iċ-ċentri reġjonali għad-dibattitu internazzjonali organizzaw avvenimenti pubbliċi fis-16-il reġjun Pollakk f’format fiżiku u virtwali. Is-suġġetti għad-diskussjoni koprew l-oqsma tematiċi tal-konferenza, bħas-solidarjetà fi żminijiet ta’ kriżi, l-agrikoltura u t-teknoloġiji l-ġodda.</w:t>
      </w:r>
    </w:p>
    <w:p>
      <w:pPr>
        <w:pStyle w:val="Corpsdetexte"/>
        <w:rPr/>
      </w:pPr>
      <w:r>
        <w:rPr/>
        <w:t>Sar ukoll dibattitu nazzjonali dwar il-klima, id-diġitalizzazzjoni, is-suq intern, is-saħħa, l-UE fid-dinja u l-migrazzjoni.</w:t>
      </w:r>
    </w:p>
    <w:p>
      <w:pPr>
        <w:pStyle w:val="P68B1DB1Corpsdetexte12"/>
        <w:rPr>
          <w:b/>
          <w:b/>
          <w:i/>
          <w:i/>
          <w:u w:val="single"/>
        </w:rPr>
      </w:pPr>
      <w:r>
        <w:rPr/>
        <w:t>22 Il-Portugall</w:t>
      </w:r>
    </w:p>
    <w:p>
      <w:pPr>
        <w:pStyle w:val="Corpsdetexte"/>
        <w:rPr/>
      </w:pPr>
      <w:r>
        <w:rPr/>
        <w:t>Wara l-ewwel avveniment taċ-ċittadini f’Lisbona, li ta bidu għall-parteċipazzjoni taċ-ċittadini fil-konferenza, ġew organizzati ħafna avvenimenti fi sħubija mal-awtoritajiet lokali, l-universitajiet, l-iskejjel, l-imsieħba soċjali, l-organizzazzjonijiet taż-żgħażagħ u l-organizzazzjonijiet tas-soċjetà ċivili lokali, fost l-oħrajn. Pereżempju, ġie organizzat avveniment transnazzjonali ma’ Spanja biex jiġu diskussi suġġetti ewlenin ta’ interess għall-futur tar-reġjuni taż-żewġ pajjiżi u tal-UE. Barra minn hekk, seħħew avvenimenti nazzjonali deċentralizzati dwar diversi suġġetti bħall-migrazzjoni u s-sħubijiet internazzjonali, il-futur tad-demokrazija Ewropea u t-trasformazzjoni diġitali.</w:t>
      </w:r>
    </w:p>
    <w:p>
      <w:pPr>
        <w:pStyle w:val="P68B1DB1Corpsdetexte12"/>
        <w:rPr>
          <w:b/>
          <w:b/>
          <w:i/>
          <w:i/>
          <w:u w:val="single"/>
        </w:rPr>
      </w:pPr>
      <w:r>
        <w:rPr/>
        <w:t>23 Rumanija</w:t>
      </w:r>
    </w:p>
    <w:p>
      <w:pPr>
        <w:pStyle w:val="Corpsdetexte"/>
        <w:rPr/>
      </w:pPr>
      <w:r>
        <w:rPr/>
        <w:t>L-avvenimenti kienu prinċipalment organizzati jew koorganizzati mill-amministrazzjoni u l-istituti b’mod partikolari, bil-parteċipazzjoni attiva tas-soċjetà ċivili u l-organizzazzjonijiet taż-żgħażagħ.</w:t>
      </w:r>
    </w:p>
    <w:p>
      <w:pPr>
        <w:pStyle w:val="Corpsdetexte"/>
        <w:rPr/>
      </w:pPr>
      <w:r>
        <w:rPr/>
        <w:t>Id-diskussjonijiet iffukaw fuq firxa wiesgħa ta’ suġġetti, bħat-tranżizzjoni diġitali, l-edukazzjoni, is-saħħa, l-ambjent, l-iżvilupp sostenibbli, l-ekonomija, l-agrikoltura u s-sħubijiet strateġiċi tal-UE. L-avvenimenti seħħew fil-belt kapitali u fil-livell lokali, u ħadu sehem il-gruppi ta’ età kollha.</w:t>
      </w:r>
    </w:p>
    <w:p>
      <w:pPr>
        <w:pStyle w:val="P68B1DB1Corpsdetexte12"/>
        <w:rPr>
          <w:b/>
          <w:b/>
          <w:i/>
          <w:i/>
          <w:u w:val="single"/>
        </w:rPr>
      </w:pPr>
      <w:r>
        <w:rPr/>
        <w:t>24 Is-Slovenja</w:t>
      </w:r>
    </w:p>
    <w:p>
      <w:pPr>
        <w:pStyle w:val="Corpsdetexte"/>
        <w:rPr/>
      </w:pPr>
      <w:r>
        <w:rPr/>
        <w:t>L-idea kienet li jitħeġġeġ dibattitu wiesa’ li fih is-soċjetà ċivili kellha rwol ċentrali, kif ukoll il-parteċipazzjoni taż-żgħażagħ b’mod partikolari.</w:t>
      </w:r>
    </w:p>
    <w:p>
      <w:pPr>
        <w:pStyle w:val="Corpsdetexte"/>
        <w:rPr/>
      </w:pPr>
      <w:r>
        <w:rPr/>
        <w:t>Il-gvern organizza avveniment ta’ tnedija, li kien segwit minn diversi inizjattivi, bħall-Forum Strateġiku ta’ Bled, li t-tema ewlenija tiegħu kienet il-futur tal-Ewropa, b’enfasi partikolari fuq it-tkabbir tal-UE u l-Balkani tal-Punent. Avvenimenti oħra ffukaw fuq suġġetti bħall-politika monetarja, in-newtralità klimatika, iż-żgħażagħ u r-rwol tal-UE f’ambjent internazzjonali multipolari.</w:t>
      </w:r>
    </w:p>
    <w:p>
      <w:pPr>
        <w:pStyle w:val="P68B1DB1Corpsdetexte12"/>
        <w:rPr>
          <w:b/>
          <w:b/>
          <w:i/>
          <w:i/>
          <w:u w:val="single"/>
        </w:rPr>
      </w:pPr>
      <w:r>
        <w:rPr/>
        <w:t>25 Is-Slovakkja</w:t>
      </w:r>
    </w:p>
    <w:p>
      <w:pPr>
        <w:pStyle w:val="Corpsdetexte"/>
        <w:rPr/>
      </w:pPr>
      <w:r>
        <w:rPr/>
        <w:t>L-avvenimenti organizzati kienu organizzati madwar żewġ pilastri ewlenin. L-ewwel pilastru kien il-proġett “WeAreEU”, iffukat fuq il-pubbliku ġenerali, inklużi diskussjonijiet ma’ studenti u konsultazzjonijiet pubbliċi, u jinkludi sensiela ta’ avvenimenti reġjonali organizzati bħala parti mill-Wirja tat-Triq WeAreEU. It-tieni pilastru kien il-konvenzjoni nazzjonali dwar l-UE, li tiffoka fuq kontributi u analiżijiet esperti dwar suġġetti bħas-suq uniku, id-diżinformazzjoni u l-populiżmu, u t-tranżizzjonijiet diġitali u ekoloġiċi.</w:t>
      </w:r>
    </w:p>
    <w:p>
      <w:pPr>
        <w:pStyle w:val="P68B1DB1Corpsdetexte12"/>
        <w:rPr>
          <w:b/>
          <w:b/>
          <w:i/>
          <w:i/>
          <w:u w:val="single"/>
        </w:rPr>
      </w:pPr>
      <w:r>
        <w:rPr/>
        <w:t>26 Il-Finlandja</w:t>
      </w:r>
    </w:p>
    <w:p>
      <w:pPr>
        <w:pStyle w:val="Corpsdetexte"/>
        <w:rPr/>
      </w:pPr>
      <w:r>
        <w:rPr/>
        <w:t>Serje ta’ konsultazzjonijiet reġjonali, inkluż “l-avveniment tal-aktar konferenza tat-Tramuntana fl-UE”, ġiet organizzata mill-gvern dwar diversi suġġetti, bħat-tkabbir sostenibbli, l-edukazzjoni u l-istat tad-dritt. Ġie stabbilit ukoll stħarriġ biex jinforma d-diskussjoni.</w:t>
      </w:r>
    </w:p>
    <w:p>
      <w:pPr>
        <w:pStyle w:val="Corpsdetexte"/>
        <w:spacing w:before="6264" w:after="57"/>
        <w:rPr/>
      </w:pPr>
      <w:r>
        <w:rPr/>
        <w:t xml:space="preserve">Ġew organizzati avvenimenti mill-gvern f’kooperazzjoni mal-bliet, l-awtoritajiet lokali, l-universitajiet, l-NGOs u l-organizzazzjonijiet taż-żgħażagħ, kif ukoll mal-Parlament Finlandiż, il-Parlament Ewropew u l-Uffiċċji tal-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Immaġni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maġni18" descr=""/>
                    <pic:cNvPicPr>
                      <a:picLocks noChangeAspect="1" noChangeArrowheads="1"/>
                    </pic:cNvPicPr>
                  </pic:nvPicPr>
                  <pic:blipFill>
                    <a:blip r:embed="rId51"/>
                    <a:stretch>
                      <a:fillRect/>
                    </a:stretch>
                  </pic:blipFill>
                  <pic:spPr bwMode="auto">
                    <a:xfrm>
                      <a:off x="0" y="0"/>
                      <a:ext cx="6120130" cy="3977640"/>
                    </a:xfrm>
                    <a:prstGeom prst="rect">
                      <a:avLst/>
                    </a:prstGeom>
                  </pic:spPr>
                </pic:pic>
              </a:graphicData>
            </a:graphic>
          </wp:anchor>
        </w:drawing>
      </w:r>
      <w:r>
        <w:rPr/>
        <w:t>I</w:t>
      </w:r>
      <w:r>
        <w:rPr/>
        <w:t>nformazzjoni tal-Kummissjoni Ewropea fil-Finlandja.</w:t>
      </w:r>
    </w:p>
    <w:p>
      <w:pPr>
        <w:pStyle w:val="Normal"/>
        <w:rPr/>
      </w:pPr>
      <w:r>
        <w:rPr/>
      </w:r>
    </w:p>
    <w:p>
      <w:pPr>
        <w:pStyle w:val="P68B1DB1Corpsdetexte12"/>
        <w:rPr>
          <w:b/>
          <w:b/>
          <w:i/>
          <w:i/>
          <w:u w:val="single"/>
        </w:rPr>
      </w:pPr>
      <w:r>
        <w:rPr/>
        <w:t>27 Svezja</w:t>
      </w:r>
    </w:p>
    <w:p>
      <w:pPr>
        <w:pStyle w:val="Corpsdetexte"/>
        <w:rPr/>
      </w:pPr>
      <w:r>
        <w:rPr/>
        <w:t>L-avvenimenti kienu prinċipalment organizzati fuq bażi deċentralizzata bħala eżerċizzju konġunt bejn il-gvern, il-parlament nazzjonali, il-partiti politiċi, l-imsieħba soċjali, ir-rappreżentanti lokali u reġjonali, l-organizzazzjonijiet tas-soċjetà ċivili u atturi rilevanti oħra fis-soċjetà.</w:t>
      </w:r>
    </w:p>
    <w:p>
      <w:pPr>
        <w:pStyle w:val="Corpsdetexte"/>
        <w:rPr/>
      </w:pPr>
      <w:r>
        <w:rPr/>
        <w:t>Pereżempju, il-Ministru Svediż għall-Affarijiet Ewropej iddiskuta l-futur tal-Ewropa ma’ studenti minn skejjel differenti u pparteċipa f’laqgħat fil-livell muniċipali biex jiddiskutu l-futur tal-Ewropa u d-demokrazija maċ-ċittadini. Il-midja diġitali ntużat ukoll biex tipparteċipa fi djalogi maċ-ċittadini permezz ta’, pereżempju, sessjonijiet ta’ mistoqsijiet u tweġibiet.</w:t>
      </w:r>
    </w:p>
    <w:p>
      <w:pPr>
        <w:pStyle w:val="Corpsdetexte"/>
        <w:rPr/>
      </w:pPr>
      <w:r>
        <w:rPr/>
        <w:t>Id-deskrizzjonijiet ta’ hawn fuq mhumiex eżawrjenti. Aktar informazzjoni dwar avvenimenti nazzjonali tista’ tinstab f’taqsima speċifika tal-Pjattaforma Diġitali Multilingwi.</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Laqgħa taż-żgħażagħ Ewropej </w:t>
      </w:r>
    </w:p>
    <w:p>
      <w:pPr>
        <w:pStyle w:val="Normal"/>
        <w:rPr/>
      </w:pPr>
      <w:r>
        <w:rPr/>
        <w:t xml:space="preserve">L- </w:t>
      </w:r>
      <w:hyperlink r:id="rId52">
        <w:r>
          <w:rPr>
            <w:rStyle w:val="LienInternet"/>
          </w:rPr>
          <w:t>Avveniment Ewropew taż-Żgħażagħ (EYE 2021)</w:t>
        </w:r>
      </w:hyperlink>
      <w:r>
        <w:rPr/>
        <w:t xml:space="preserve"> sar fit-8–9 ta’ Ottubru 2021 u laqqa’ flimkien 10,000 żagħżugħ u żagħżugħa online u l-Parlament Ewropew fi Strasburgu biex isawru u jiskambjaw ideat dwar il-futur tal-Ewropa. L-EYE </w:t>
      </w:r>
      <w:r>
        <w:rPr>
          <w:i/>
        </w:rPr>
        <w:t>kienet opportunità unika għaż-żgħażagħ ta’ bejn is-16 u t-30 sena biex jinteraġixxu personalment u online, biex jispiraw lil xulxin u biex jiskambjaw fehmiet ma’ esperti, attivisti, influwenzaturi u dawk li jieħdu d-deċiżjonijiet, fil-qalba tad-demokrazija Ewropea</w:t>
      </w:r>
      <w:r>
        <w:rPr/>
        <w:t>.</w:t>
      </w:r>
    </w:p>
    <w:p>
      <w:pPr>
        <w:pStyle w:val="Normal"/>
        <w:spacing w:before="6132" w:after="57"/>
        <w:rPr/>
      </w:pPr>
      <w:r>
        <w:rPr/>
        <w:t xml:space="preserve">Minn Mejju 2021, f’kollaborazzjoni mal-organizzazzjonijiet taż-żgħażagħ pan-Ewropej, inġabru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Immaġni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maġni19" descr=""/>
                    <pic:cNvPicPr>
                      <a:picLocks noChangeAspect="1" noChangeArrowheads="1"/>
                    </pic:cNvPicPr>
                  </pic:nvPicPr>
                  <pic:blipFill>
                    <a:blip r:embed="rId53"/>
                    <a:stretch>
                      <a:fillRect/>
                    </a:stretch>
                  </pic:blipFill>
                  <pic:spPr bwMode="auto">
                    <a:xfrm>
                      <a:off x="0" y="0"/>
                      <a:ext cx="5980430" cy="3893820"/>
                    </a:xfrm>
                    <a:prstGeom prst="rect">
                      <a:avLst/>
                    </a:prstGeom>
                  </pic:spPr>
                </pic:pic>
              </a:graphicData>
            </a:graphic>
          </wp:anchor>
        </w:drawing>
      </w:r>
      <w:r>
        <w:rPr/>
        <w:t>o</w:t>
      </w:r>
      <w:r>
        <w:rPr/>
        <w:t xml:space="preserve">nline aktar minn 2,000 proposta minn ċittadini żgħażagħ minn madwar l-Unjoni Ewropea. Barra minn hekk, diversi sessjonijiet, kemm online qabel l-avveniment kif ukoll matul l-EYE fi Strasburgu, iffukaw fuq il-Konferenza dwar il-Futur tal-Ewropa. Wara l-avveniment, l-20 idea ewlenija mqajma mill-parteċipanti, żewġ ideat għal kull tema tal-konferenza, inġabru fir- </w:t>
      </w:r>
      <w:hyperlink r:id="rId54">
        <w:r>
          <w:rPr>
            <w:rStyle w:val="LienInternet"/>
          </w:rPr>
          <w:t>Rapport Ideat taż-Żgħażagħ għall</w:t>
        </w:r>
      </w:hyperlink>
      <w:r>
        <w:rPr/>
        <w:t xml:space="preserve"> -Konferenza dwar il-Futur tal-Ewropa, ippubblikat fi 23 lingwa.</w:t>
      </w:r>
    </w:p>
    <w:p>
      <w:pPr>
        <w:pStyle w:val="Normal"/>
        <w:rPr/>
      </w:pPr>
      <w:r>
        <w:rPr/>
        <w:t xml:space="preserve">Ir-Rapport Ideat taż-Żgħażagħ ġie ppreżentat lill-Plenarja tal-Konferenza fit-23 ta’ Ottubru minn parteċipanti żgħażagħ mill-Panels taċ-Ċittadini Ewropej li ħadu sehem ukoll fl-EYE 2021. L-ideat kollha miġbura huma disponibbli fuq: </w:t>
      </w:r>
      <w:hyperlink r:id="rId55">
        <w:r>
          <w:rPr>
            <w:rStyle w:val="LienInternet"/>
          </w:rPr>
          <w:t>search.youthideas.eu.</w:t>
        </w:r>
      </w:hyperlink>
    </w:p>
    <w:p>
      <w:pPr>
        <w:pStyle w:val="Titre3"/>
        <w:numPr>
          <w:ilvl w:val="2"/>
          <w:numId w:val="2"/>
        </w:numPr>
        <w:rPr/>
      </w:pPr>
      <w:bookmarkStart w:id="31" w:name="__RefHeading___Toc298236_1346298689"/>
      <w:bookmarkEnd w:id="31"/>
      <w:r>
        <w:rPr/>
        <w:t>3.</w:t>
        <w:tab/>
        <w:t>Avvenimenti oħra</w:t>
      </w:r>
    </w:p>
    <w:p>
      <w:pPr>
        <w:pStyle w:val="Normal"/>
        <w:rPr/>
      </w:pPr>
      <w:r>
        <w:rPr/>
        <w:t>Minbarra l-avvenimenti ta’ hawn fuq, ħafna istituzzjonijiet u partijiet interessati oħra laqqgħu flimkien liċ-ċittadini biex jiddiskutu l-futur tal-Ewropa</w:t>
      </w:r>
      <w:r>
        <w:rPr>
          <w:rStyle w:val="Ancredenotedebasdepage"/>
          <w:rStyle w:val="Ancredenotedebasdepage"/>
        </w:rPr>
        <w:footnoteReference w:id="6"/>
      </w:r>
      <w:r>
        <w:rPr/>
        <w:t>.</w:t>
      </w:r>
    </w:p>
    <w:p>
      <w:pPr>
        <w:pStyle w:val="Normal"/>
        <w:rPr/>
      </w:pPr>
      <w:r>
        <w:rPr/>
        <w:t>Matul il-Konferenza dwar il-Ġejjieni tal-Ewropa, il-Kumitat Ekonomiku u Soċjali Ewropew (KESE) ħadem biex jagħmilha magħrufa u biex jgħin lin-netwerk estensiv tiegħu ta’ organizzazzjonijiet tas-soċjetà ċivili fl-Istati Membri jorganizza konsultazzjonijiet nazzjonali. B’kollox, huwa appoġġja l-iskjerament ta’ 75 avveniment, inklużi 33 fil-livell nazzjonali u 42 fil-livell ċentrali. Minn dawn l-avvenimenti, 60 % ppubblikaw rapporti fuq il-pjattaforma tal-konferenza u dawn il-45 avveniment waħedhom laqqgħu flimkien aktar minn 7,300 parteċipant. B’mod partikolari, il-KESE nieda l-attivitajiet tiegħu f’Ġunju 2021 b’konferenza ewlenija —</w:t>
      </w:r>
      <w:hyperlink r:id="rId56">
        <w:r>
          <w:rPr>
            <w:rStyle w:val="LienInternet"/>
          </w:rPr>
          <w:t>Inġibu l-proġett Ewropew lura għand iċ-ċittadini</w:t>
        </w:r>
      </w:hyperlink>
      <w:r>
        <w:rPr/>
        <w:t>— u organizza s-seminar “</w:t>
      </w:r>
      <w:hyperlink r:id="rId57">
        <w:r>
          <w:rPr>
            <w:rStyle w:val="LienInternet"/>
          </w:rPr>
          <w:t>Nikkollegaw l-UE</w:t>
        </w:r>
      </w:hyperlink>
      <w:r>
        <w:rPr/>
        <w:t>” f’Lisbona f’Novembru 2021 u avveniment ta’ livell għoli fi Brussell fi Frar 2022</w:t>
      </w:r>
      <w:hyperlink r:id="rId58">
        <w:r>
          <w:rPr>
            <w:rStyle w:val="LienInternet"/>
          </w:rPr>
          <w:t>“Insawru l-Ewropa Flimkien</w:t>
        </w:r>
      </w:hyperlink>
      <w:r>
        <w:rPr/>
        <w:t>”. Il-Kumitat inkoraġġixxa wkoll l-użu tal-pjattaforma online, fejn tella’ 60 idea ġdida, u nieda kampanja estensiva ta’ komunikazzjoni tal-midja soċjali, b’udjenza potenzjali ta’ 32 miljun persuna fuq Twitter biss, biex jippromovi avvenimenti nazzjonali bl-Ingliż u bil-lingwa lokali u pprovda informazzjoni qabel u wara kull assemblea plenarja u laqgħa relatata mal-konferenzi.</w:t>
      </w:r>
    </w:p>
    <w:p>
      <w:pPr>
        <w:pStyle w:val="Normal"/>
        <w:rPr/>
      </w:pPr>
      <w:r>
        <w:rPr/>
        <w:t xml:space="preserve">Il-Kumitat Ewropew tar-Reġjuni (KtR) organizza dibattiti tematiċi fil-kummissjonijiet u s-sessjonijiet plenarji tiegħu, kif ukoll 140 avveniment fil-livell lokali, transkonfinali u interreġjonali li involvew 10,000 ċittadin u 200 politiku lokali. Barra minn hekk, l-ewwel </w:t>
      </w:r>
      <w:hyperlink r:id="rId59">
        <w:r>
          <w:rPr>
            <w:rStyle w:val="LienInternet"/>
          </w:rPr>
          <w:t>stħarriġ li qatt sar ta’ 1.2 miljun politiku lokali</w:t>
        </w:r>
      </w:hyperlink>
      <w:r>
        <w:rPr/>
        <w:t xml:space="preserve"> fl-EU-27 dwar il-fehmiet tagħhom dwar il-futur tal-Ewropa ġie ppubblikat f’Ottubru 2021. Barra minn hekk, is-Cdr ippropona </w:t>
      </w:r>
      <w:hyperlink r:id="rId60">
        <w:r>
          <w:rPr>
            <w:rStyle w:val="LienInternet"/>
          </w:rPr>
          <w:t>44 idea</w:t>
        </w:r>
      </w:hyperlink>
      <w:r>
        <w:rPr/>
        <w:t xml:space="preserve"> fuq il-pjattaforma diġitali multilingwi. Kmieni fl-2022,</w:t>
      </w:r>
      <w:hyperlink r:id="rId61">
        <w:r>
          <w:rPr>
            <w:rStyle w:val="LienInternet"/>
          </w:rPr>
          <w:t xml:space="preserve"> grupp indipendenti ta’ livell għoli dwar id-demokrazija Ewropea</w:t>
        </w:r>
      </w:hyperlink>
      <w:r>
        <w:rPr/>
        <w:t xml:space="preserve"> ppreżenta ideat dwar kif tista’ tittejjeb id-demokrazija fl-UE. Riżoluzzjoni bi proposti għar-rapport finali tal-konferenza ġiet adottata mill-KtR u manifest ta’ </w:t>
      </w:r>
      <w:hyperlink r:id="rId62">
        <w:r>
          <w:rPr>
            <w:rStyle w:val="LienInternet"/>
          </w:rPr>
          <w:t>12-il punt</w:t>
        </w:r>
      </w:hyperlink>
      <w:r>
        <w:rPr/>
        <w:t xml:space="preserve"> abbozzat f’isem il-miljun politiku lokali u reġjonali fl-UE ġie approvat fis- </w:t>
      </w:r>
      <w:hyperlink r:id="rId63">
        <w:r>
          <w:rPr>
            <w:rStyle w:val="LienInternet"/>
          </w:rPr>
          <w:t>Summit Ewropew tar-Reġjuni u l-Bliet</w:t>
        </w:r>
      </w:hyperlink>
      <w:r>
        <w:rPr/>
        <w:t xml:space="preserve"> f’Marzu 2022. Rapport</w:t>
      </w:r>
      <w:hyperlink r:id="rId64">
        <w:r>
          <w:rPr>
            <w:rStyle w:val="LienInternet"/>
          </w:rPr>
          <w:t>intitolat Ċittadini, politiċi lokali u l-futur tal-Ewropa</w:t>
        </w:r>
      </w:hyperlink>
      <w:r>
        <w:rPr/>
        <w:t>(Marzu 2022) jiġbor fil-qosor l-attivitajiet kollha tal-KtR fil-kuntest tal-konferenza.</w:t>
      </w:r>
    </w:p>
    <w:p>
      <w:pPr>
        <w:pStyle w:val="Normal"/>
        <w:rPr/>
      </w:pPr>
      <w:r>
        <w:rPr/>
      </w:r>
    </w:p>
    <w:p>
      <w:pPr>
        <w:pStyle w:val="Normal"/>
        <w:rPr/>
      </w:pPr>
      <w:r>
        <w:rPr/>
        <w:t xml:space="preserve">It-tliet organizzazzjonijiet ta’ min iħaddem assoċjati mas-Sħubija Soċjali tal-UE, </w:t>
      </w:r>
      <w:hyperlink r:id="rId65">
        <w:r>
          <w:rPr>
            <w:rStyle w:val="LienInternet"/>
          </w:rPr>
          <w:t>BusinessEurope</w:t>
        </w:r>
      </w:hyperlink>
      <w:r>
        <w:rPr/>
        <w:t xml:space="preserve">, </w:t>
      </w:r>
      <w:hyperlink r:id="rId66">
        <w:r>
          <w:rPr>
            <w:rStyle w:val="LienInternet"/>
          </w:rPr>
          <w:t>SGI Europe</w:t>
        </w:r>
      </w:hyperlink>
      <w:r>
        <w:rPr/>
        <w:t xml:space="preserve"> u </w:t>
      </w:r>
      <w:hyperlink r:id="rId67">
        <w:r>
          <w:rPr>
            <w:rStyle w:val="LienInternet"/>
          </w:rPr>
          <w:t>UEAPME</w:t>
        </w:r>
      </w:hyperlink>
      <w:r>
        <w:rPr/>
        <w:t>, kollha ppubblikaw il-prijoritajiet u l-kontributi tagħhom fuq il-pjattaforma diġitali u ppreżentawhom lill-gruppi ta’ ħidma u lill-plenarja rilevanti. Barra minn hekk, kollha ppromwovew il-konferenza, kemm internament kif ukoll esternament, u organizzaw avvenimenti u involvew ruħhom fi djalogu mal-partijiet ikkonċernati f’fora differenti. Il-Konfederazzjoni Ewropea tat-Trade Unions (ETUC) immobilizzat biex tikkontribwixxi għall-konferenza u pparteċipat f’laqgħat tal-Assemblea Plenarja u l-Gruppi ta’ Ħidma. L-ETUC identifikat proposti tat-trade unions għal futur aktar ġust għall-Ewropa u ppubblikathom fuq il-pjattaforma online (dawn kienu fost il-proposti l-aktar appoġġati). L-ETUC u l-affiljati tagħha organizzaw avvenimenti u attivitajiet ta’ komunikazzjoni biex jippreżentaw u jiddiskutu l-proposti tat-trejdjunjins.</w:t>
      </w:r>
    </w:p>
    <w:p>
      <w:pPr>
        <w:pStyle w:val="Normal"/>
        <w:rPr/>
      </w:pPr>
      <w:r>
        <w:rPr/>
        <w:t xml:space="preserve">Ir-rappreżentanti tas-soċjetà </w:t>
      </w:r>
      <w:hyperlink r:id="rId68">
        <w:r>
          <w:rPr>
            <w:rStyle w:val="LienInternet"/>
          </w:rPr>
          <w:t>ċivili — il-Konvenzjoni tas-Soċjetà Ċivili għall-Konferenza dwar il-Futur</w:t>
        </w:r>
      </w:hyperlink>
      <w:r>
        <w:rPr/>
        <w:t xml:space="preserve"> tal-Ewropa u l- </w:t>
      </w:r>
      <w:hyperlink r:id="rId69">
        <w:r>
          <w:rPr>
            <w:rStyle w:val="LienInternet"/>
          </w:rPr>
          <w:t>Moviment Internazzjonali Ewropew</w:t>
        </w:r>
      </w:hyperlink>
      <w:r>
        <w:rPr/>
        <w:t xml:space="preserve"> — organizzaw </w:t>
      </w:r>
      <w:hyperlink r:id="rId70">
        <w:r>
          <w:rPr>
            <w:rStyle w:val="LienInternet"/>
          </w:rPr>
          <w:t>bosta avvenimenti</w:t>
        </w:r>
      </w:hyperlink>
      <w:r>
        <w:rPr/>
        <w:t xml:space="preserve"> madwar l-Ewropa u kienu </w:t>
      </w:r>
      <w:hyperlink r:id="rId71">
        <w:r>
          <w:rPr>
            <w:rStyle w:val="LienInternet"/>
          </w:rPr>
          <w:t>attivi fil-livell tal-plenarja</w:t>
        </w:r>
      </w:hyperlink>
      <w:r>
        <w:rPr/>
        <w:t xml:space="preserve">. Is-soċjetà ċivili involviet mijiet ta’ organizzazzjonijiet tas-soċjetà ċivili f’approċċ minn isfel għal fuq permezz </w:t>
      </w:r>
      <w:hyperlink r:id="rId72">
        <w:r>
          <w:rPr>
            <w:rStyle w:val="LienInternet"/>
          </w:rPr>
          <w:t>ta’ gruppi tematiċi</w:t>
        </w:r>
      </w:hyperlink>
      <w:r>
        <w:rPr/>
        <w:t xml:space="preserve"> biex jiżviluppaw proposti konġunti u komprensivi f’ </w:t>
      </w:r>
      <w:hyperlink r:id="rId73">
        <w:r>
          <w:rPr>
            <w:rStyle w:val="LienInternet"/>
          </w:rPr>
          <w:t>diversi oqsma ta’ politika koperti mill-konferenza</w:t>
        </w:r>
      </w:hyperlink>
      <w:r>
        <w:rPr/>
        <w:t>. L-ideat taw il-konferenza permezz tal-pjattaforma, il-gruppi ta’ ħidma, il-laqgħat plenarji u f’kuntatt dirett mal-Bord Eżekuttiv, il-Kopresidenti u s-Segretarjat Konġunt.</w:t>
      </w:r>
    </w:p>
    <w:p>
      <w:pPr>
        <w:pStyle w:val="Normal"/>
        <w:rPr/>
      </w:pPr>
      <w:r>
        <w:rPr/>
        <w:t>Ir-Rappreżentanzi tal-Kummissjoni Ewropea fl-Istati Membri, iċ-Ċentri Europe Direct, iċ-Ċentri Ewropej ta’ Dokumentazzjoni u l-Uffiċċji ta’ Kollegament tal-PE infurmaw b’mod attiv liċ-ċittadini dwar il-Konferenza dwar il-Futur tal-Ewropa. Ir-Rappreżentanzi tal-Kummissjoni Ewropea rrappurtaw 1400 attività li għenu biex jikkomunikaw u jimplimentaw il-konferenza madwar l-Ewropa. Huma organizzaw jew ipparteċipaw b’mod attiv f’aktar minn 850 avveniment, li minnhom madwar 65 % kellhom fil-mira ż-żgħażagħ u n-nisa biex jinkoraġġixxu l-parteċipazzjoni tagħhom fil-konferenza b’mod ġenerali. L-Uffiċċji ta’ Kollegament tal-PE organizzaw aktar minn 1300 attività promozzjonali madwar l-Istati Membri.</w:t>
      </w:r>
    </w:p>
    <w:p>
      <w:pPr>
        <w:pStyle w:val="Normal"/>
        <w:rPr/>
      </w:pPr>
      <w:r>
        <w:rPr/>
        <w:t>Ġew organizzati wkoll sessjonijiet ta’ ħidma tematiċi dwar is-suġġetti ewlenin tal-konferenza fil-preżenza tal-MEPs, iċ-ċittadini, il-partijiet interessati, l-awtoritajiet nazzjonali u reġjonali u l-midja lokali, sabiex tiżdied il-viżibbiltà tal-konferenza. Iċ-Ċentri Ewropej ta’ Dokumentazzjoni rrapportaw aktar minn 120 azzjoni relatati mal-komunikazzjoni tal-konferenza.</w:t>
      </w:r>
    </w:p>
    <w:p>
      <w:pPr>
        <w:pStyle w:val="Normal"/>
        <w:rPr/>
      </w:pPr>
      <w:r>
        <w:rPr/>
        <w:t>Iċ-Ċentri Europe Direct irrapportaw aktar minn 1000 avveniment tematiku dwar il-konferenza u aktar minn 600 attività promozzjonali, inkluża firxa wiesgħa ta’ gruppi u organizzazzjonijiet taż-żgħażagħ. Iċ-Ċentri Ewropej ta’ Dokumentazzjoni rrapportaw aktar minn 120 azzjoni relatati mal-komunikazzjoni tal-konferenza.</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L-Assemblea Plenarja tal-Konferenza</w:t>
      </w:r>
    </w:p>
    <w:p>
      <w:pPr>
        <w:pStyle w:val="Normal"/>
        <w:rPr/>
      </w:pPr>
      <w:r>
        <w:rPr/>
      </w:r>
      <w:r>
        <w:br w:type="page"/>
      </w:r>
    </w:p>
    <w:p>
      <w:pPr>
        <w:pStyle w:val="Titre2"/>
        <w:numPr>
          <w:ilvl w:val="1"/>
          <w:numId w:val="2"/>
        </w:numPr>
        <w:rPr/>
      </w:pPr>
      <w:bookmarkStart w:id="33" w:name="__RefHeading___Toc298240_1346298689"/>
      <w:bookmarkEnd w:id="33"/>
      <w:r>
        <w:rPr/>
        <w:t>A. Ir-rwol u l-funzjonament tal-Assemblea Plenarja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Ġiet stabbilita assemblea plenarja tal-konferenza biex tiddiskuti r-rakkomandazzjonijiet magħmula mill-panels taċ-ċittadini nazzjonali u Ewropej, miġbura skont it-tema, u mingħajr ma r-riżultat tad-dibattiti jiġi determinat minn qabel jew mingħajr ma l-kamp ta’ applikazzjoni tagħhom ikun limitat għal oqsma ta’ politika predefiniti.</w:t>
      </w:r>
    </w:p>
    <w:p>
      <w:pPr>
        <w:pStyle w:val="Corpsdetexte"/>
        <w:rPr/>
      </w:pPr>
      <w:r>
        <w:rPr/>
        <w:t>Il-kontribuzzjonijiet miġbura fuq il-pjattaforma multilingwi ġew diskussi wkoll, kif xieraq. L-assemblea plenarja kellha kompożizzjoni unika: dan kien jinkludi, għall-ewwel darba, ċittadini li jirrappreżentaw avvenimenti u panels taċ-ċittadini Ewropej u nazzjonali, rappreżentanti tal-istituzzjonijiet tal-UE u l-korpi konsultattivi tagħha, rappreżentanti eletti fil-livell nazzjonali, reġjonali u lokali, kif ukoll rappreżentanti tas-soċjetà ċivili u l-imsieħba soċjali.</w:t>
      </w:r>
    </w:p>
    <w:p>
      <w:pPr>
        <w:pStyle w:val="Corpsdetexte"/>
        <w:rPr/>
      </w:pPr>
      <w:r>
        <w:rPr/>
        <w:t>Ir-rakkomandazzjonijiet ġew ippreżentati miċ-ċittadini u diskussi magħhom; il-plenarja mbagħad kellha tippreżenta l-proposti tagħha fuq bażi kunsenswali</w:t>
      </w:r>
      <w:r>
        <w:rPr>
          <w:rStyle w:val="Ancredenotedebasdepage"/>
          <w:rStyle w:val="Ancredenotedebasdepage"/>
        </w:rPr>
        <w:footnoteReference w:id="7"/>
      </w:r>
      <w:r>
        <w:rPr/>
        <w:t xml:space="preserve"> lill-Bord Eżekuttiv. Il-Plenarja tal-Konferenza ltaqgħet seba’ darbiet bejn Ġunju 2021 u April 2022.</w:t>
      </w:r>
    </w:p>
    <w:p>
      <w:pPr>
        <w:pStyle w:val="Corpsdetexte"/>
        <w:rPr/>
      </w:pPr>
      <w:r>
        <w:rPr/>
        <w:t>L-assemblea plenarja tal-konferenza kienet tikkonsisti minn 108 rappreżentant tal-Parlament Ewropew, 54 rappreżentant tal-Kunsill u tliet rappreżentanti tal</w:t>
      </w:r>
      <w:r>
        <w:rPr>
          <w:rStyle w:val="Ancredenotedebasdepage"/>
          <w:rStyle w:val="Ancredenotedebasdepage"/>
        </w:rPr>
        <w:footnoteReference w:id="8"/>
      </w:r>
      <w:r>
        <w:rPr/>
        <w:t>-Kummissjoni Ewropea, kif ukoll 108 rappreżentant tal-parlamenti nazzjonali kollha fuq l-istess livell, u ċ-ċittadini.</w:t>
      </w:r>
    </w:p>
    <w:p>
      <w:pPr>
        <w:pStyle w:val="Corpsdetexte"/>
        <w:rPr/>
      </w:pPr>
      <w:r>
        <w:rPr/>
        <w:t>Tmenin rappreżentant tal-Panels taċ-Ċittadini Ewropej, li mill-inqas terz minnhom kienu taħt il-25 sena, ipparteċipaw ukoll il-President tal-Forum Ewropew taż-Żgħażagħ u 27 rappreżentant ta’ avvenimenti</w:t>
      </w:r>
      <w:r>
        <w:rPr>
          <w:rStyle w:val="Ancredenotedebasdepage"/>
          <w:rStyle w:val="Ancredenotedebasdepage"/>
        </w:rPr>
        <w:footnoteReference w:id="9"/>
      </w:r>
      <w:r>
        <w:rPr/>
        <w:t xml:space="preserve"> nazzjonali u/jew panels nazzjonali taċ-ċittadini.</w:t>
      </w:r>
    </w:p>
    <w:p>
      <w:pPr>
        <w:pStyle w:val="Corpsdetexte"/>
        <w:rPr/>
      </w:pPr>
      <w:r>
        <w:rPr/>
        <w:t>Ipparteċipaw tmintax-il rappreżentant tal-Kumitat tar-Reġjuni u 18-il rappreżentant tal-Kumitat Ekonomiku u Soċjali, sitt rappreżentanti eletti tal-awtoritajiet reġjonali u sitt rappreżentanti eletti tal-awtoritajiet lokali, 12-il rappreżentant tal-imsieħba soċjali u tmien rappreżentanti tas-soċjetà ċivili. Ir-Rappreżentant Għoli tal-Unjoni għall-Affarijiet Barranin u l-Politika ta’ Sigurtà ġie mistieden jiddiskuti r-rwol internazzjonali tal-UE.</w:t>
      </w:r>
    </w:p>
    <w:p>
      <w:pPr>
        <w:pStyle w:val="Corpsdetexte"/>
        <w:rPr/>
      </w:pPr>
      <w:r>
        <w:rPr/>
        <w:t>Ġew mistiedna wkoll rappreżentanti ta’ partijiet interessati ewlenin, bħal rappreżentanti ta’ sħab mill-Balkani tal-Punent, l-Ukrajna, gruppi reliġjużi, filosofiċi u mhux konfessjonali.</w:t>
      </w:r>
    </w:p>
    <w:p>
      <w:pPr>
        <w:pStyle w:val="Corpsdetexte"/>
        <w:rPr/>
      </w:pPr>
      <w:r>
        <w:rPr/>
        <w:t>Il-laqgħat tal-Assemblea Plenarja kienu ppreseduti b’mod konġunt mill-Kopresidenti tal-Konferenza. Il-laqgħat plenarji tal-konferenza saru fil-binjiet tal-Parlament Ewropew fi Strasburgu. Minħabba r-regolamenti applikabbli dwar is-saħħa u s-sigurtà, l-ewwel ħames laqgħat tal-Plenarja tal-Konferenza saru f’format ibridu, filwaqt li l-aħħar tnejn saru personalment. Il-laqgħat plenarji tal-konferenza ġew imxandra b’mod dirett u d-dokumenti kollha tal-laqgħat tqiegħdu għad-dispożizzjoni tal-pubbliku fuq il-pjattaforma diġitali multilingwi.</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Gruppi ta’ ħidma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F’konformità mar-regoli ta’ proċedura tal-Konferenza, il-Kopresidenti pproponew lill-Plenarja tal-Konferenza li jitwaqqfu disa’ gruppi ta’ ħidma tematiċi, abbażi tat-temi tal-Pjattaforma Diġitali Multilingwi, sabiex jingħata kontribut għat-tħejjija tad-dibattiti u l-proposti tal-Plenarja tal-Konferenza, f’konformità mal-parametri tad-Dikjarazzjoni Konġunta. F’Ottubru 2021, il-Kopresidenti qablu dwar il-mandat għall-gruppi ta’ ħidma. Id-diversi gruppi ta’ ħidma koprew it-temi li ġejjin: It-tibdil fil-klima u l-ambjent; Is-saħħa; Ekonomija aktar b’saħħitha, ġustizzja soċjali u impjiegi; L-UE fid-dinja; Il-valuri u d-drittijiet, l-istat tad-dritt, is-sigurtà; It-trasformazzjoni diġitali; Id-demokrazija Ewropea; Il-migrazzjoni; u l-Edukazzjoni, il-Kultura, iż-Żgħażagħ u l-Isport.</w:t>
      </w:r>
    </w:p>
    <w:p>
      <w:pPr>
        <w:pStyle w:val="Normal"/>
        <w:rPr/>
      </w:pPr>
      <w:r>
        <w:rPr/>
        <w:t>Il-Gruppi ta’ Ħidma ppreżentaw il-kontribut tagħhom għall-Plenarja tal-Konferenza billi eżaminaw ir-rakkomandazzjonijiet tal-Panels taċ-Ċittadini nazzjonali u Ewropej rispettivi, kif ukoll il-kontributi ppubblikati fuq il-Pjattaforma Diġitali Multilingwi dwar id-disa’ temi miġbura fil-qafas tal-Konferenza. Il-membri tal-assemblea plenarja tal-konferenza tqassmu bejn id-disa’ gruppi ta’ ħidma kif ġej: tnax-il membru għal kull grupp ta’ ħidma għall-Parlament Ewropew u l-parlamenti nazzjonali, sitta għall-Kunsill, tlieta għar-rappreżentanti tal-panels taċ-ċittadini nazzjonali jew avvenimenti nazzjonali, tnejn għall-Kumitat tar-Reġjuni u tnejn għall-Kumitat Ekonomiku u Soċjali, wieħed jew tnejn għall-imsieħba soċjali, wieħed għas-soċjetà ċivili u wieħed għall-membri eletti tal-awtoritajiet lokali u reġjonali, u r-rappreżentanti tal-panels taċ-ċittadini Ewropej. Ir-rappreżentanti tal-Panels taċ-Ċittadini Ewropej ipparteċipaw fil-ħidma tal-grupp ta’ ħidma responsabbli għall-bord tagħhom. Barra minn hekk, saru arranġamenti speċifiċi biex jippermettu lill-membri tal-Kulleġġ tal-Kummissarji jipparteċipaw fi gruppi ta’ ħidma skont il-portafolli tagħhom.</w:t>
      </w:r>
    </w:p>
    <w:p>
      <w:pPr>
        <w:pStyle w:val="Normal"/>
        <w:rPr/>
      </w:pPr>
      <w:r>
        <w:rPr/>
        <w:t>Il-Gruppi ta’ Ħidma kellhom dibattiti mqanqla u ħadmu fuq abbozzi ta’ proposti mħejjija taħt il-gwida tal-President u l-Kelliem, magħżula minn fost ir-rappreżentanti tal-Panels taċ-Ċittadini Ewropej fil-Grupp ta’ Ħidma, bl-assistenza tas-Segretarjat Konġunt. Il-gruppi ta’ ħidma kellhom jaħdmu abbażi tal-kunsens stabbilit fl-Artikolu 17 tar-Regoli ta’ Proċedura tal-Konferenza. Il-President u l-Kelliem imbagħad ippreżentaw ir-riżultati tal-Grupp ta’ Ħidma lill-Assemblea Plenarja. Il-President tal-Grupp ta’ Ħidma kien assistit mis-Segretarjat Konġunt. Is-segretarjat konġunt tal-konferenza ħejja r-rapporti ta’ sinteżi ta’ kull laqgħa tal-grupp ta’ ħidma taħt il-gwida tal-president u f’konsultazzjoni mal-membri tal-grupp ta’ ħidma.</w:t>
      </w:r>
    </w:p>
    <w:p>
      <w:pPr>
        <w:pStyle w:val="Normal"/>
        <w:rPr/>
      </w:pPr>
      <w:r>
        <w:rPr/>
        <w:t>Il-gruppi ta’ ħidma ltaqgħu fil-marġini tal-laqgħat plenarji tal-Konferenza bejn Ottubru 2021 u t-8 ta’ April 2022, kif ukoll online f’Diċembru 2021. Xi gruppi ta’ ħidma kellhom laqgħat addizzjonali. Il-laqgħat tal-grupp ta’ ħidma ġew imxandra b’mod dirett mill-20 ta’ Jannar 2022. Ir-rapporti ta’ sinteżi tagħhom ġew ippubblikati kif xieraq fit-taqsima “Assemblea Plenarja tal-Konferenza” dwar il-Pjattaforma Diġitali Multilingwi.</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Sommarju kronoloġiku</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ASSEMBLEA PLENARJA INAWGURALI TAL-KONFERENZA, 19 TA’ ĠUNJU 2021</w:t>
      </w:r>
    </w:p>
    <w:p>
      <w:pPr>
        <w:pStyle w:val="Normal"/>
        <w:rPr/>
      </w:pPr>
      <w:r>
        <w:rPr/>
        <w:t>Il-plenarja inawgurali tal-konferenza saret fid-19 ta’ Ġunju 2021 f’format ibridu</w:t>
      </w:r>
      <w:r>
        <w:rPr>
          <w:rStyle w:val="Ancredenotedebasdepage"/>
          <w:rStyle w:val="Ancredenotedebasdepage"/>
        </w:rPr>
        <w:footnoteReference w:id="10"/>
      </w:r>
      <w:r>
        <w:rPr/>
        <w:t>. Dan ippermetta lill-membri tal-plenarja jisimgħu preżentazzjoni u jorganizzaw dibattitu ġenerali dwar l-għan u l-aspettattivi tal-konferenza. Il-Kopresidenti ssottolinjaw in-natura bla preċedent ta’ dan l-eżerċizzju ta’ demokrazija deliberattiva fil-livell tal-UE, li saħħaħ id-demokrazija rappreżentattiva, li jpoġġi liċ-ċittadini fil-qalba tat-tfassil tal-politika fl-Unjoni Ewropea. Il-Kopresidenti ddeskrivew ukoll il-funzjonament tat-tliet pilastri tal-konferenza: il-pjattaforma diġitali multilingwi, il-panels taċ-ċittadini Ewropej u nazzjonali u l-assemblea plenarja.</w:t>
      </w:r>
    </w:p>
    <w:p>
      <w:pPr>
        <w:pStyle w:val="Normal"/>
        <w:rPr/>
      </w:pPr>
      <w:r>
        <w:rPr/>
        <w:t>Barra minn hekk, il-membri tal-plenarja ġew infurmati bl-intenzjoni li jitwaqqfu disa’ gruppi ta’ ħidma tematiċi kif ukoll bil-kalendarju tal-konferenza. Fid-dibattitu sussegwenti, li fih tkellmu aktar minn 150 parteċipant, ġew diskussi varjetà wiesgħa ta’ suġġetti. Peress li l-għażla tal-parteċipanti fil-Panels taċ-Ċittadini Ewropej għadha ma tlestietx, il-President tal-Forum Ewropew taż-Żgħażagħ u 27 rappreżentant ta’ avvenimenti nazzjonali u/jew panels nazzjonali taċ-ċittadini pparteċipaw biex jirrappreżentaw il-komponent taċ-ċittadini.</w:t>
      </w:r>
    </w:p>
    <w:p>
      <w:pPr>
        <w:pStyle w:val="Normal"/>
        <w:rPr/>
      </w:pPr>
      <w:r>
        <w:rPr>
          <w:b/>
          <w:i/>
          <w:u w:val="single"/>
        </w:rPr>
        <w:t>IT-TIENI ASSEMBLEA PLENARJA TAL-KONFERENZA, 22–23 TA’ OTTUBRU 2021</w:t>
      </w:r>
      <w:r>
        <w:rPr/>
        <w:t xml:space="preserve"> </w:t>
      </w:r>
    </w:p>
    <w:p>
      <w:pPr>
        <w:pStyle w:val="Normal"/>
        <w:rPr/>
      </w:pPr>
      <w:r>
        <w:rPr/>
        <w:t>It-tieni assemblea plenarja tal-konferenza saret fit-22–23 ta’ Ottubru 2021 f’format ibridu, bil-parteċipazzjoni, għall-ewwel darba, ta’ rappreżentanti tal-Panels taċ-Ċittadini Ewropej. Il-membri tal-plenarja kellhom l-opportunità li jisimgħu preżentazzjoni dwar is-sitwazzjoni attwali tal-erba’ Panels taċ-Ċittadini Ewropej u jorganizzaw dibattitu. Barra minn hekk, ir-rappreżentanti ta’ avvenimenti u panels nazzjonali setgħu jippreżentaw l-avvenimenti organizzati fil-livell nazzjonali. Ġie ppreżentat rapport dwar l-Avveniment Ewropew taż-Żgħażagħ (EYE) lill-Plenarja tal-Konferenza; hija pprovdiet ħarsa ġenerali lejn l-20 idea konkreta magħżula miċ-ċittadini żgħażagħ li pparteċipaw fil-laqgħa.</w:t>
      </w:r>
    </w:p>
    <w:p>
      <w:pPr>
        <w:pStyle w:val="Normal"/>
        <w:rPr/>
      </w:pPr>
      <w:r>
        <w:rPr/>
        <w:t>Fid-dibattitu sussegwenti, saret enfasi fuq in-natura innovattiva tal-pjattaforma diġitali multilingwi, li tat liċ-ċittadini vuċi fil-kapitolu u post għal dibattitu fil-lingwi uffiċjali kollha tal-UE. Dan id-dibattitu kien ibbażat fuq it-tieni rapport interim dwar il-Pjattaforma. Is-sħab tal-Balkani tal-Punent ġew mistiedna jipparteċipaw f’din il-laqgħa plenarja bħala partijiet ikkonċernati ewlenin.</w:t>
      </w:r>
    </w:p>
    <w:p>
      <w:pPr>
        <w:pStyle w:val="Normal"/>
        <w:rPr/>
      </w:pPr>
      <w:r>
        <w:rPr>
          <w:b/>
          <w:i/>
          <w:u w:val="single"/>
        </w:rPr>
        <w:t>IT-TIELET ASSEMBLEA PLENARJA TAL-KONFERENZA, 21–22 TA’ JANNAR 2022</w:t>
      </w:r>
      <w:r>
        <w:rPr/>
        <w:t xml:space="preserve"> </w:t>
      </w:r>
    </w:p>
    <w:p>
      <w:pPr>
        <w:pStyle w:val="Normal"/>
        <w:rPr/>
      </w:pPr>
      <w:r>
        <w:rPr/>
        <w:t>It-tielet assemblea plenarja tal-konferenza, li saret fil-21–22 ta’ Jannar 2022, kienet l-ewwel waħda ddedikata għall-preżentazzjoni uffiċjali tar-rakkomandazzjonijiet minn panels taċ-ċittadini Ewropej, kif ukoll panels nazzjonali taċ-ċittadini relatati. Din il-plenarja kienet l-ewwel waħda li saret wara l-finalizzazzjoni finali tar-rakkomandazzjonijiet ta’ xi panels taċ-ċittadini Ewropej, jiġifieri: panels 2 (Demokrazija Ewropea; il-valuri u d-drittijiet, l-istat tad-dritt, is-sigurtà) u 3 (It-tibdil fil-klima u l-ambjent; saħħa). Il-plenarja saret f’format ibridu, bil-parteċipazzjoni ta’ aktar minn 400 membru tal-plenarja tal-konferenza fuq il-post jew mill-bogħod.</w:t>
      </w:r>
    </w:p>
    <w:p>
      <w:pPr>
        <w:pStyle w:val="Normal"/>
        <w:rPr/>
      </w:pPr>
      <w:r>
        <w:rPr/>
        <w:t>Din il-plenarja kienet ikkaratterizzata wkoll mill-mewt, ftit qabel, tal-President tal-Parlament Ewropew, David Maria Sassoli. Il-Kopresidenti taw ġieħ lill-memorja tiegħu fil-ftuħ tal-laqgħa. Id-dibattiti ta’ din il-plenarja ġew organizzati b’tema, dwar is-suġġetti koperti mill-Panels taċ-Ċittadini Ewropej 2 u 3.</w:t>
      </w:r>
    </w:p>
    <w:p>
      <w:pPr>
        <w:pStyle w:val="Normal"/>
        <w:rPr/>
      </w:pPr>
      <w:r>
        <w:rPr/>
        <w:t>Id-diskussjonijiet saru f’format interattiv innovattiv, inklużi mumenti ddedikati għall-feedback taċ-ċittadini kif ukoll sistema speċjali ta’ mistoqsijiet ta’ “karta blu” li ppermettew skambji spontanji u vivaċi dwar ir-rakkomandazzjonijiet magħmula miċ-ċittadini.</w:t>
      </w:r>
    </w:p>
    <w:p>
      <w:pPr>
        <w:pStyle w:val="Normal"/>
        <w:rPr/>
      </w:pPr>
      <w:r>
        <w:rPr>
          <w:b/>
          <w:i/>
          <w:u w:val="single"/>
        </w:rPr>
        <w:t>IR-RABA’ ASSEMBLEA PLENARJA TAL-KONFERENZA, 11–12 TA’ MARZU 2022</w:t>
      </w:r>
      <w:r>
        <w:rPr/>
        <w:t xml:space="preserve"> </w:t>
      </w:r>
    </w:p>
    <w:p>
      <w:pPr>
        <w:pStyle w:val="Normal"/>
        <w:rPr/>
      </w:pPr>
      <w:r>
        <w:rPr/>
        <w:t>Ir-raba’ assemblea plenarja tal-konferenza kienet iddedikata wkoll għall-preżentazzjoni ta’ rakkomandazzjonijiet mill-Panels taċ-Ċittadini Ewropej, kif ukoll panels nazzjonali taċ-ċittadini relatati. Din il-plenarja saret wara l-finalizzazzjoni finali tar-rakkomandazzjonijiet taż-żewġ Panels taċ-Ċittadini Ewropej li fadal, jiġifieri: panels 1 (Ekonomija Aktar b’Saħħitha, Ġustizzja Soċjali u Impjiegi; l-edukazzjoni, il-kultura, iż-żgħażagħ u l-isport; trasformazzjoni diġitali) u 4 (l-UE fid-dinja; migrazzjoni).</w:t>
      </w:r>
    </w:p>
    <w:p>
      <w:pPr>
        <w:pStyle w:val="Normal"/>
        <w:rPr/>
      </w:pPr>
      <w:r>
        <w:rPr/>
        <w:t>Bħal fil-plenarja ta’ Jannar, id-dibattiti ta’ din il-plenarja ġew organizzati skont it-tema. Is-suġġetti diskussi din id-darba kienu dawk tal-Panels taċ-Ċittadini Ewropej 1 u 4. Id-diskussjonijiet dwar ir-rakkomandazzjonijiet li saru miċ-ċittadini għal darb’oħra wasslu għal skambji vivaċi u profondi, appoġġjati minn format interattiv innovattiv.</w:t>
      </w:r>
    </w:p>
    <w:p>
      <w:pPr>
        <w:pStyle w:val="Normal"/>
        <w:rPr/>
      </w:pPr>
      <w:r>
        <w:rPr>
          <w:b/>
          <w:i/>
          <w:u w:val="single"/>
        </w:rPr>
        <w:t>IL-ĦAMES ASSEMBLEA PLENARJA TAL-KONFERENZA, 25–26 TA’ MARZU 2022</w:t>
      </w:r>
      <w:r>
        <w:rPr/>
        <w:t xml:space="preserve"> </w:t>
      </w:r>
    </w:p>
    <w:p>
      <w:pPr>
        <w:pStyle w:val="Normal"/>
        <w:rPr/>
      </w:pPr>
      <w:r>
        <w:rPr/>
        <w:t>Il-ħames assemblea plenarja mmarkat id-dħul tal-konferenza fil-fażi li jmiss tagħha, bit-tnedija tal-proċess ta’ definizzjoni tal-proposti tal-plenarja abbażi tar-rakkomandazzjonijiet magħmula miċ-ċittadini. Għalhekk, il-membri tal-plenarja, wara li ħejjew lilhom infushom fil-qafas tematiku iżgħar tal-gruppi ta’ ħidma, organizzaw, għall-ewwel darba, dibattiti dwar id-disa’ temi tal-konferenza: ekonomija aktar b’saħħitha, ġustizzja soċjali u impjiegi; l-edukazzjoni, il-kultura, iż-żgħażagħ u l-isport; it-trasformazzjoni diġitali; Id-demokrazija Ewropea; il-valuri u d-drittijiet, l-istat tad-dritt, is-sigurtà; it-tibdil fil-klima u l-ambjent; is-saħħa; l-UE fid-dinja; migrazzjoni. Din il-plenarja kienet ukoll opportunità għar-rappreżentanti ta’ avvenimenti nazzjonali organizzati fis-27 Stat Membru tal-UE biex jippreżentaw ir-riżultati tal-inizjattivi tagħhom.</w:t>
      </w:r>
    </w:p>
    <w:p>
      <w:pPr>
        <w:pStyle w:val="Normal"/>
        <w:rPr/>
      </w:pPr>
      <w:r>
        <w:rPr>
          <w:b/>
          <w:i/>
          <w:u w:val="single"/>
        </w:rPr>
        <w:t>IS-SITT ASSEMBLEA PLENARJA TAL-KONFERENZA, 8–9 TA’ APRIL 2022</w:t>
      </w:r>
      <w:r>
        <w:rPr/>
        <w:t xml:space="preserve"> </w:t>
      </w:r>
    </w:p>
    <w:p>
      <w:pPr>
        <w:pStyle w:val="Normal"/>
        <w:rPr/>
      </w:pPr>
      <w:r>
        <w:rPr/>
        <w:t>Fis-sitt laqgħa plenarja tal-konferenza, tlestiet il-finalizzazzjoni tal-abbozz ta’ proposti tal-plenarja.</w:t>
      </w:r>
    </w:p>
    <w:p>
      <w:pPr>
        <w:pStyle w:val="Normal"/>
        <w:rPr/>
      </w:pPr>
      <w:r>
        <w:rPr/>
        <w:t>Ladarba tlestew l-aħħar laqgħat tal-gruppi ta’ ħidma tematiċi, il-membri kollha tal-plenarja, permezz ta’ disa’ dibattiti sostantivi, esprimew il-fehmiet u l-kummenti tagħhom dwar l-abbozz ta’ proposti li kienu ħejjew f’dawn l-aħħar xhur. Dan l-iskambju kien ukoll opportunità għalihom biex jirriflettu fuq il-proċess uniku tat-tfassil tal-proposti tal-plenarja, abbażi tar-rakkomandazzjonijiet taċ-ċittadini, u fuq il-ħidma mwettqa sa mill-formulazzjoni tagħhom. Iċ-ċittadini, b’mod partikolari, enfasizzaw l-esperjenza umana unika u l-valur miżjud ta’ dan il-proċess ta’ deliberazzjoni, li għaqqadhom madwar dan il-proġett konġunt. Dan id-dibattitu kkontribwixxa għall-abbozz finali ta’ proposti li għandhom jitressqu quddiem l-assemblea plenarja l-aktar reċenti tal-Konferenza.</w:t>
      </w:r>
    </w:p>
    <w:p>
      <w:pPr>
        <w:pStyle w:val="Normal"/>
        <w:rPr/>
      </w:pPr>
      <w:r>
        <w:rPr>
          <w:b/>
          <w:i/>
          <w:u w:val="single"/>
        </w:rPr>
        <w:t>IS-SEBA’ ASSEMBLEA PLENARJA TAL-KONFERENZA, 29–30 TA’ APRIL 2022</w:t>
      </w:r>
      <w:r>
        <w:rPr/>
        <w:t xml:space="preserve"> </w:t>
      </w:r>
    </w:p>
    <w:p>
      <w:pPr>
        <w:pStyle w:val="Normal"/>
        <w:rPr/>
      </w:pPr>
      <w:r>
        <w:rPr/>
        <w:t>Is-seba’ u l-aħħar assemblea plenarja tal-Konferenza dwar il-Futur tal-Ewropa kienet pass importanti, u kkonkludiet proċess ta’ deliberazzjonijiet intensi li damu diversi xhur bil-formulazzjoni ta’ 49 proposta. Id-49 proposta ġew ippreżentati u fformulati mill-plenarja lill-Bord Eżekuttiv fuq bażi kunsenswali. Dan il-kunsens intlaħaq bejn ir-rappreżentanti tal-Parlament Ewropew, il-Kunsill, il-Kummissjoni Ewropea u l-parlamenti nazzjonali.</w:t>
      </w:r>
    </w:p>
    <w:p>
      <w:pPr>
        <w:pStyle w:val="Normal"/>
        <w:rPr/>
      </w:pPr>
      <w:r>
        <w:rPr/>
        <w:t xml:space="preserve">Ir-rappreżentanti tal-Kumitat tar-Reġjuni u tal-Kumitat Ekonomiku u Soċjali Ewropew, ir-rappreżentanti eletti reġjonali u lokali kif ukoll ir-rappreżentanti tal-imsieħba soċjali u s-soċjetà ċivili esprimew ukoll l-appoġġ tagħhom għall-proċess u appoġġaw il-proposti. </w:t>
      </w:r>
    </w:p>
    <w:p>
      <w:pPr>
        <w:pStyle w:val="Normal"/>
        <w:rPr/>
      </w:pPr>
      <w:r>
        <w:rPr/>
        <w:t>Il-komponent taċ-ċittadini ppreżenta l-pożizzjoni finali tiegħu dwar il-proposti (ara l-messaġġi ewlenin hawn taħt).</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Fil-plenarja tal-għeluq (29–30 ta’ April 2022), il-108 ċittadin tal-komponent taċ-ċittadini ppreżentaw il-pożizzjoni finali tagħhom dwar il-proposti tal-plenarja. Il-preżentazzjoni tagħhom inħolqot b’mod kollettiv u ġiet ippreżentata minn 17 minnhom fil-forma ta’ diskors narrattiv, matul id-dibattitu finali. It-test ta’ hawn taħt huwa sommarju tal-messaġġi ewlenin tal-interventi tagħhom.</w:t>
      </w:r>
    </w:p>
    <w:p>
      <w:pPr>
        <w:pStyle w:val="P68B1DB1Normal14"/>
        <w:shd w:val="clear" w:fill="EEEEEE"/>
        <w:jc w:val="center"/>
        <w:rPr>
          <w:sz w:val="20"/>
        </w:rPr>
      </w:pPr>
      <w:r>
        <w:rPr/>
        <w:t>**</w:t>
      </w:r>
    </w:p>
    <w:p>
      <w:pPr>
        <w:pStyle w:val="P68B1DB1Normal14"/>
        <w:shd w:val="clear" w:fill="EEEEEE"/>
        <w:rPr>
          <w:sz w:val="20"/>
        </w:rPr>
      </w:pPr>
      <w:r>
        <w:rPr/>
        <w:t>Nibdew billi nirringrazzjaw lill-Parlament Ewropew, lill-Kunsill u lill-Kummissjoni talli tawna l-opportunità li nsawru l-futur tal-Ewropa. Iltqajna ma’ kollegi Ewropej minn madwar l-Unjoni, minn panels u avvenimenti differenti, ma’ rappreżentanti politiċi u atturi soċjali, u wessgħet l-orizzonti tagħna. Aħna kibru bħala Ewropej. Għal dan, aħna lkoll għamlu sagrifiċċji: il-membri tal-Panels taċ-Ċittadini Ewropej inħarġu mill-ħajja tagħna ta’ kuljum, ħadu ġranet ta’ mistrieħ u qattgħuna, disa’ tmiem il-ġimgħa ‘l bogħod mill-familji tagħna. Iżda kellna esperjenza inkredibbli u unika. Għalina, ma kienx ħela ta ‘żmien.</w:t>
      </w:r>
    </w:p>
    <w:p>
      <w:pPr>
        <w:pStyle w:val="P68B1DB1Normal14"/>
        <w:shd w:val="clear" w:fill="EEEEEE"/>
        <w:rPr>
          <w:sz w:val="20"/>
        </w:rPr>
      </w:pPr>
      <w:r>
        <w:rPr/>
        <w:t>Kien hemm ups u downs tul it-triq. Mhux dejjem irċevejna tweġiba għall-mistoqsijiet tagħna. Nafu li se jieħu ż-żmien biex il-proposti jiġu implimentati. Iżda aħna konvinti li inti se tagħmel dak li hemm bżonn biex dan jinkiseb, b’rispett għall-ħidma konġunta tagħna. Jekk aħna, iċ-ċittadini, irnexxielna negħlbu d-differenzi tagħna, l-ostakli lingwistiċi, naħdmu flimkien u ngħollu lilna nfusna għal-livell tiegħek, tista’ wkoll.</w:t>
      </w:r>
    </w:p>
    <w:p>
      <w:pPr>
        <w:pStyle w:val="P68B1DB1Normal14"/>
        <w:shd w:val="clear" w:fill="EEEEEE"/>
        <w:jc w:val="center"/>
        <w:rPr>
          <w:sz w:val="20"/>
        </w:rPr>
      </w:pPr>
      <w:r>
        <w:rPr/>
        <w:t>**</w:t>
      </w:r>
    </w:p>
    <w:p>
      <w:pPr>
        <w:pStyle w:val="P68B1DB1Normal14"/>
        <w:shd w:val="clear" w:fill="EEEEEE"/>
        <w:rPr>
          <w:sz w:val="20"/>
        </w:rPr>
      </w:pPr>
      <w:r>
        <w:rPr/>
        <w:t>Ilkoll imxejna ‘l quddiem u issa li spiċċajna l-ħidma tagħna fil-plenarja, nistgħu nkunu kburin biha. Aħna naraw 8 temi trasversali li jagħtu mandat ċar u b’saħħtu għall-futur tal-Ewropa.</w:t>
      </w:r>
    </w:p>
    <w:p>
      <w:pPr>
        <w:pStyle w:val="P68B1DB1Normal14"/>
        <w:shd w:val="clear" w:fill="EEEEEE"/>
        <w:rPr>
          <w:sz w:val="20"/>
        </w:rPr>
      </w:pPr>
      <w:r>
        <w:rPr>
          <w:b/>
        </w:rPr>
        <w:t>L</w:t>
      </w:r>
      <w:r>
        <w:rPr/>
        <w:t xml:space="preserve"> -ewwel, Unjoni Ewropea bbażata fuq is-solidarjetà, il-ġustizzja soċjali u l-ugwaljanza. Tabilħaqq, tħassib kbir għaċ-ċittadini huwa li jsibu kundizzjonijiet u drittijiet ugwali f’oqsma differenti: il-kura tas-saħħa, is-servizzi soċjali, it-tagħlim tul il-ħajja, l-opportunitajiet indaqs għan-nies li jgħixu f’żoni rurali u urbani, filwaqt li jitqiesu l-kunsiderazzjonijiet demografiċi. Fil-futur, l-Ewropej fl-Istati Membri u r-reġjuni kollha m’għandhomx jibqgħu jiġu diskriminati minħabba l-età, il-post ta’ residenza, in-nazzjonalità, is-sess, ir-reliġjon jew il-preferenzi politiċi tagħhom. Għandhom jiġu offruti standards ta’ għajxien deċenti, pagi u kundizzjonijiet tax-xogħol. L-UE għandha tkun aktar minn unjoni ekonomika. Jeħtieġ li l-Istati Membri juru aktar solidarjetà ma’ xulxin. Aħna familja u għandna naġixxu bħala tali f’sitwazzjonijiet ta’ kriżi.</w:t>
      </w:r>
    </w:p>
    <w:p>
      <w:pPr>
        <w:pStyle w:val="P68B1DB1Normal14"/>
        <w:shd w:val="clear" w:fill="EEEEEE"/>
        <w:rPr>
          <w:sz w:val="20"/>
        </w:rPr>
      </w:pPr>
      <w:r>
        <w:rPr>
          <w:b/>
        </w:rPr>
        <w:t>It-tieni nett</w:t>
      </w:r>
      <w:r>
        <w:rPr/>
        <w:t>, l-UE għandha DARE u taġixxi malajr biex issir mexxejja fl-ambjent u l-klima, tħaffef it-tranżizzjoni lejn enerġija ekoloġika, ittejjeb in-netwerk ferrovjarju tagħha, tinkoraġġixxi trasport sostenibbli u ekonomija verament ċirkolari. M’hemm l-ebda ħin għall-iskart. Jeħtieġ li l-UE tixpruna l-bidla f’ħafna oqsma ta’ politika: l-agrikoltura, il-bijodiversità, l-ekonomija, l-enerġija, it-trasport, l-edukazzjoni, is-saħħa, it-trasformazzjoni diġitali u d-diplomazija dwar il-klima. Għandna l-kapaċitajiet ta’ riċerka, is-saħħa ekonomika u l-influwenza ġeopolitika biex nagħmlu dan. Jekk nagħmlu l-klima prijorità, nistgħu nittamaw għal futur prosperu.</w:t>
      </w:r>
    </w:p>
    <w:p>
      <w:pPr>
        <w:pStyle w:val="P68B1DB1Normal14"/>
        <w:shd w:val="clear" w:fill="EEEEEE"/>
        <w:rPr>
          <w:sz w:val="20"/>
        </w:rPr>
      </w:pPr>
      <w:r>
        <w:rPr>
          <w:b/>
        </w:rPr>
        <w:t>It</w:t>
      </w:r>
      <w:r>
        <w:rPr/>
        <w:t xml:space="preserve"> -tielet, l-Ewropa teħtieġ Unjoni aktar demokratika. Iċ-ċittadini Ewropej iħobbu l-UE, iżda ejjew inkunu sinċieri: mhuwiex dejjem faċli. Inti sejjaħna biex jgħinuk u inti staqsejtna: kif għandha tidher id-demokrazija Ewropea fil-futur? U aħna wieġeb inti: Aħna, iċ-ċittadini, irridu Ewropa li fiha d-deċiżjonijiet jittieħdu b’mod trasparenti u rapidu, fejn il-prinċipju tal-unanimità jiġi kkunsidrat mill-ġdid u fejn aħna, iċ-ċittadini, inkunu involuti b’mod regolari u serju.</w:t>
      </w:r>
    </w:p>
    <w:p>
      <w:pPr>
        <w:pStyle w:val="P68B1DB1Normal14"/>
        <w:shd w:val="clear" w:fill="EEEEEE"/>
        <w:rPr>
          <w:sz w:val="20"/>
        </w:rPr>
      </w:pPr>
      <w:r>
        <w:rPr>
          <w:b/>
        </w:rPr>
        <w:t>Ir</w:t>
      </w:r>
      <w:r>
        <w:rPr/>
        <w:t xml:space="preserve"> -raba’, l-UE teħtieġ aktar armonizzazzjoni f’xi oqsma, u biex toqrob bħala Unjoni. Il-gwerra tolqot il-bibien tagħna fil-Lvant, li titlob li nkunu aktar magħqudin minn qatt qabel u li nagħtu lill-UE aktar ħiliet fl-affarijiet barranin. Din il-konferenza tista’ sservi bħala bażi għall-ħolqien ta’ Ewropa aktar magħquda u politikament koerenti. Dan kollu jaqa ‘l isfel għal din il-kelma: Unjoni. Ma nistgħux niddeskrivu lilna nfusna bħala tali jekk ma jirnexxilniex niksbu l-kollaborazzjoni li wriet din il-konferenza.</w:t>
      </w:r>
    </w:p>
    <w:p>
      <w:pPr>
        <w:pStyle w:val="P68B1DB1Normal14"/>
        <w:shd w:val="clear" w:fill="EEEEEE"/>
        <w:rPr>
          <w:sz w:val="20"/>
        </w:rPr>
      </w:pPr>
      <w:r>
        <w:rPr>
          <w:b/>
        </w:rPr>
        <w:t>Il-ħames</w:t>
      </w:r>
      <w:r>
        <w:rPr/>
        <w:t>, l-UE għandha tikseb l-awtonomija u tiżgura l-kompetittività globali tagħha. Matul dan il-proċess, tkellimna dwar il-kisba ta’ dan l-għan f’oqsma strateġiċi ewlenin: l-agrikoltura, l-enerġija, l-industrija, is-saħħa. Għandna nevitaw li nkunu dipendenti fuq pajjiżi terzi għal ħafna prodotti sensittivi. Jeħtieġ li nibnu fuq it-talent tal-forza tax-xogħol tagħna, nipprevjenu l-eżodu ta’ mħuħ u nipprovdu taħriġ adegwat fil-ħiliet liċ-ċittadini fl-istadji kollha ta’ ħajjithom, irrispettivament minn fejn jgħixu fl-UE. Ma jistax ikollna differenzi kbar fi ħdan l-UE u ż-żgħażagħ mingħajr perspettiva f’pajjiż wieħed, imġiegħla jmorru f’pajjiż ieħor.</w:t>
      </w:r>
    </w:p>
    <w:p>
      <w:pPr>
        <w:pStyle w:val="P68B1DB1Normal14"/>
        <w:shd w:val="clear" w:fill="EEEEEE"/>
        <w:rPr>
          <w:sz w:val="20"/>
        </w:rPr>
      </w:pPr>
      <w:r>
        <w:rPr>
          <w:b/>
        </w:rPr>
        <w:t>Is</w:t>
      </w:r>
      <w:r>
        <w:rPr/>
        <w:t xml:space="preserve"> -sitt, il-futur tal-UE huwa bbażat fuq il-valuri tagħha. Dawn ggwidaw ix-xogħol tagħna. Meta bdejna, ħadd ma seta’ jimmaġina li gwerra kienet se tkisser fil-kontinent tagħna. Din il-ġlieda għal-libertà tagħmilna konxji taċ-ċans li ngħixu f’unjoni paċifika. Wara l-proposti kollha tagħna, dawn il-valuri huma espressi: akkoljenza umana u dinjituża tal-migranti, aċċess ugwali għas-saħħa, il-ġlieda kontra l-korruzzjoni, is-sejħa għall-protezzjoni tan-natura u l-bijodiversità, u Unjoni aktar demokratika.</w:t>
      </w:r>
    </w:p>
    <w:p>
      <w:pPr>
        <w:pStyle w:val="P68B1DB1Normal14"/>
        <w:shd w:val="clear" w:fill="EEEEEE"/>
        <w:rPr>
          <w:sz w:val="20"/>
        </w:rPr>
      </w:pPr>
      <w:r>
        <w:rPr>
          <w:b/>
        </w:rPr>
        <w:t>Is</w:t>
      </w:r>
      <w:r>
        <w:rPr/>
        <w:t xml:space="preserve"> -seba’, fil-futur, iċ-ċittadini għandhom iħossuhom aktar Ewropej u jsiru jafu aħjar l-UE. Din hija kwistjoni trasversali li saħħet ix-xogħol tal-panels kollha. It-trasformazzjoni diġitali, l-edukazzjoni, il-mobbiltà u l-iskambji jistgħu jagħtu sustanza lil din l-identità Ewropea, li tikkomplementa, mingħajr ma tqajjem dubji dwarhom, l-identitajiet nazzjonali tagħna. Ħafna minna ma ħassewx Ewropew qabel din il-Konferenza: dan ħareġ hawn, bil-mod, bl-iskambju ma ‘xulxin. Konna xxurtjati biżżejjed li jkollhom din l-opportunità, iżda ħafna ma. Huwa għalhekk li l-informazzjoni, il-komunikazzjoni u l-għarfien huma daqshekk importanti.</w:t>
      </w:r>
    </w:p>
    <w:p>
      <w:pPr>
        <w:pStyle w:val="P68B1DB1Normal14"/>
        <w:shd w:val="clear" w:fill="EEEEEE"/>
        <w:rPr>
          <w:sz w:val="20"/>
        </w:rPr>
      </w:pPr>
      <w:r>
        <w:rPr/>
        <w:t xml:space="preserve">Fl-aħħar nett, </w:t>
      </w:r>
      <w:r>
        <w:rPr>
          <w:b/>
        </w:rPr>
        <w:t>it</w:t>
      </w:r>
      <w:r>
        <w:rPr/>
        <w:t xml:space="preserve"> -tmien tema trasversali, importanti ħafna għalina, hija l-edukazzjoni u l-għoti tas-setgħa liċ-ċittadini b’mod ġenerali. Għal din il-konferenza, iddeċidejt li tistieden ċittadini mill-età ta’ 16-il sena. Aħna grati għal dan għaliex, aktar minn qatt qabel, huwa meħtieġ li ż-żgħażagħ jingħataw is-setgħa. Ir-rata għolja ta’ astensjoni fost iż-żgħażagħ turina li r-rabta bejn iż-żgħażagħ u l-politika jeħtieġ li tiġi konnessa mill-ġdid. Għandhom ikunu wkoll ekonomikament u soċjalment responsabbli: għadu diffiċli wisq biex wieħed jidħol fis-suq tax-xogħol, biex jasserixxi d-drittijiet soċjali tiegħu. Matul il-pandemija tal-COVID-19, huma ħassewhom abbandunati u ħafna għadhom ibatu l-konsegwenzi għas-saħħa mentali tagħhom. Iżda jeħtieġ li l-Ewropej kollha jingħataw is-setgħa, mhux biss iż-żgħażagħ: permezz ta’ programmi ta’ mobilità u tagħlim tul il-ħajja, jeħtieġ li nwessgħu l-orizzonti tal-Ewropej kollha. Irridu wkoll inħarrġu liċ-ċittadini fid-demokrazija, il-parteċipazzjoni ċivika u l-litteriżmu medjatiku. Neħtieġu approċċ verament olistiku.</w:t>
      </w:r>
    </w:p>
    <w:p>
      <w:pPr>
        <w:pStyle w:val="P68B1DB1Normal14"/>
        <w:shd w:val="clear" w:fill="EEEEEE"/>
        <w:jc w:val="center"/>
        <w:rPr>
          <w:sz w:val="20"/>
        </w:rPr>
      </w:pPr>
      <w:r>
        <w:rPr/>
        <w:t>**</w:t>
      </w:r>
    </w:p>
    <w:p>
      <w:pPr>
        <w:pStyle w:val="P68B1DB1Normal14"/>
        <w:shd w:val="clear" w:fill="EEEEEE"/>
        <w:rPr>
          <w:sz w:val="20"/>
        </w:rPr>
      </w:pPr>
      <w:r>
        <w:rPr/>
        <w:t>Ħadd ma kien jaf x’kien ikun ir-riżultat. 27 pajjiż, 24 lingwa, etajiet differenti. U għadhom, meta ħdimna flimkien, ħassejna konnessi: imħuħ tagħna, ħsibijiet tagħna, esperjenzi tagħna. M’aħniex esperti mill-UE jew waħda mit-temi tal-konferenza, iżda aħna esperti fil-ħajja reali, u għandna l-istejjer tagħna. Immorru naħdmu, ngħixu fil-kampanja u fis-subborgi, naħdmu billejl, nistudjaw, għandna t-tfal, nieħdu t-trasport pubbliku. Nistgħu niddependu fuq id-diversità tagħna. Intlaħaq kunsens dwar il-proposti bejn l-erba’ komponenti differenti, u fi ħdan il-komponent taċ-ċittadini. Naqblu u nappoġġaw il-proposti kollha li issa qegħdin f’idejk. Aħna nesprimu pożizzjoni diverġenti dwar il-Miżura 38.4, it-tielet punt, għaliex ma toħroġx minn panels Ewropej jew panels nazzjonali u ma ġietx diskussa biżżejjed fil-Grupp ta’ Ħidma sħiħ. Huwa għalhekk li ma nikkummentawx dwar is-sustanza jew ir-rilevanza ta’ din il-miżura. B’dan f’moħħna, nistednuk tikkunsidra dawn il-proposti kollha kemm huma, biex timplimentahom, u mhux biss dawk li huma adattati għalik u li huma faċilment applikabbli. Agħmel dan b’mod trasparenti. Ħdimna fuq dawn il-proposti b’dedikazzjoni u passjoni, aħna kburin bil-ħidma tagħna: rispett lilu.</w:t>
      </w:r>
    </w:p>
    <w:p>
      <w:pPr>
        <w:pStyle w:val="P68B1DB1Normal14"/>
        <w:shd w:val="clear" w:fill="EEEEEE"/>
        <w:rPr>
          <w:sz w:val="20"/>
        </w:rPr>
      </w:pPr>
      <w:r>
        <w:rPr/>
        <w:t>Il-Konferenza dwar il-Futur tal-Ewropa għaddiet minn pandemija u rat gwerra fl-Ewropa, li wriet is-solidarjetà sħiħa tagħha mal-poplu Ukrain. Is-sena kienet hectic għall-parteċipanti, u għall-Ewropej kollha. Iżda l-Konferenza kompliet il-ħidma tagħha, kontra l-irjieħ u l-mareat. F’isem iċ-ċittadini tal-Konferenza, ippermettielna nikkonkludu billi nibagħtulek messaġġ sempliċi: aħna nħossuna Ewropea, inħossuna impenjati u semajna fil-proċess ta’ demokratizzazzjoni, nemmnu fl-UE u rridu nkomplu nemmnu fih. Għalhekk, mill-qiegħ ta’ qalbna, aqra l-proposti sew u timplimentahom, għall-futur tal-Ewropa.</w:t>
      </w:r>
    </w:p>
    <w:p>
      <w:pPr>
        <w:pStyle w:val="Normal"/>
        <w:shd w:val="clear" w:fill="EEEEEE"/>
        <w:rPr/>
      </w:pPr>
      <w:r>
        <w:rPr/>
      </w:r>
      <w:r>
        <w:br w:type="page"/>
      </w:r>
    </w:p>
    <w:p>
      <w:pPr>
        <w:pStyle w:val="Corpsdetexte"/>
        <w:rPr/>
      </w:pPr>
      <w:r>
        <w:rPr/>
        <w:t>Ir-rappreżentanti tal-komponent tal-Kunsill tal-Assemblea Plenarja astjenew milli jikkummentaw dwar is-sustanza tal-proposti, iżda minflok appoġġaw u ħeġġew l-attivitajiet taċ-ċittadini u ħadu nota tar-rakkomandazzjonijiet tagħhom. Wara d-9 ta’ Mejju 2022, il-Kunsill ser jiddetermina kif għandu jingħata segwitu għall-eżitu tal-Konferenza, fl-isfera ta’ kompetenza tiegħu stess u f’konformità mat-Trattati.</w:t>
      </w:r>
    </w:p>
    <w:p>
      <w:pPr>
        <w:pStyle w:val="Normal"/>
        <w:rPr/>
      </w:pPr>
      <w:r>
        <w:rPr/>
      </w:r>
    </w:p>
    <w:p>
      <w:pPr>
        <w:pStyle w:val="Corpsdetexte"/>
        <w:rPr/>
      </w:pPr>
      <w:r>
        <w:rPr/>
        <w:t>Il-Bord Eżekuttiv tal-Konferenza dwar il-Futur tal-Ewropa jieħu nota tal-proposti magħmula mill-Assemblea Plenarja u jippreżentahom bħala l-eżitu finali tal-Konferenza. Dawn il-proposti, li jipprovdu gwida dwar il-futur tal-Ewropa, inkisbu wara kważi sena ta’ deliberazzjonijiet, fil-qafas stabbilit mid-Dikjarazzjoni Konġunta u r-Regoli ta’ Proċedura tal-Konferenza.</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Immaġni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maġni20" descr=""/>
                    <pic:cNvPicPr>
                      <a:picLocks noChangeAspect="1" noChangeArrowheads="1"/>
                    </pic:cNvPicPr>
                  </pic:nvPicPr>
                  <pic:blipFill>
                    <a:blip r:embed="rId74"/>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Il-proposti tal-Assemblea Plenarja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1"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It-tibdil fil-klima u l-ambjent</w:t>
      </w:r>
    </w:p>
    <w:p>
      <w:pPr>
        <w:pStyle w:val="Titre3"/>
        <w:numPr>
          <w:ilvl w:val="2"/>
          <w:numId w:val="2"/>
        </w:numPr>
        <w:rPr/>
      </w:pPr>
      <w:bookmarkStart w:id="38" w:name="__RefHeading___Toc298250_1346298689"/>
      <w:bookmarkEnd w:id="38"/>
      <w:r>
        <w:rPr/>
        <w:t>1. Proposta: L-agrikoltura, il-produzzjoni tal-ikel, il-bijodiversità u l-ekosistemi, it-tniġġis</w:t>
      </w:r>
    </w:p>
    <w:p>
      <w:pPr>
        <w:pStyle w:val="P68B1DB1Normal15"/>
        <w:rPr>
          <w:b/>
          <w:b/>
        </w:rPr>
      </w:pPr>
      <w:r>
        <w:rPr/>
        <w:t>Għan: Produzzjoni tal-ikel sikura, sostenibbli, ġusta, reattiva għall-klima u affordabbli li tirrispetta l-prinċipji tas-sostenibbiltà u l-ambjent u tipproteġi l-bijodiversità u l-ekosistemi filwaqt li tiżgura s-sigurtà tal-ikel.</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p>
    <w:p>
      <w:pPr>
        <w:pStyle w:val="Puce3"/>
        <w:rPr/>
      </w:pPr>
      <w:r>
        <w:rPr/>
        <w:t>1.</w:t>
        <w:tab/>
        <w:t>Iġġib il-kunċetti ta’ ekonomiji ekoloġiċi u blu fuq quddiem nett billi tippromwovi agrikoltura u sajd effiċjenti u li ma jagħmlux ħsara lill-ambjent u lill-klima fl-UE u madwar id-dinja, inkluż il-biedja organika u forom innovattivi u sostenibbli oħra ta’ agrikoltura, bħall-agrikoltura vertikali, li jippermettu aktar produzzjoni b’inqas inputs filwaqt li jnaqqsu l-emissjonijiet u l-impatti ambjentali, iżda billi jkomplu jiżguraw il-produttività u s-sigurtà tal-ikel (Panel 3 — Rakkomandazzjonijiet 1, 2 u 10; panel 2 — Rakkomandazzjoni 4).</w:t>
      </w:r>
    </w:p>
    <w:p>
      <w:pPr>
        <w:pStyle w:val="Puce3"/>
        <w:rPr/>
      </w:pPr>
      <w:r>
        <w:rPr/>
        <w:t>2.</w:t>
        <w:tab/>
        <w:t>Id-direzzjoni mill-ġdid tas-sussidji u t-tisħiħ tal-inċentivi għal agrikoltura organika u sostenibbli li jissodisfaw standards ambjentali speċifiċi u jikkontribwixxu għall-kisba tal-għanijiet klimatiċi globali (il-Panel 3 — Rakkomandazzjonijiet 1 u 12).</w:t>
      </w:r>
    </w:p>
    <w:p>
      <w:pPr>
        <w:pStyle w:val="Puce3"/>
        <w:rPr/>
      </w:pPr>
      <w:r>
        <w:rPr/>
        <w:t>3.</w:t>
        <w:tab/>
        <w:t>L-applikazzjoni tal-prinċipji tal-ekonomija ċirkolari għall-agrikoltura u l-inkoraġġiment ta’ miżuri għall-ġlieda kontra l-ħela tal-ikel (dibattitu fil-Grupp ta’ Ħidma, Pjattaforma Diġitali Multilingwi — NPC).</w:t>
      </w:r>
    </w:p>
    <w:p>
      <w:pPr>
        <w:pStyle w:val="Puce3"/>
        <w:rPr/>
      </w:pPr>
      <w:r>
        <w:rPr/>
        <w:t>4.</w:t>
        <w:tab/>
        <w:t>Tnaqqas b’mod sinifikanti l-użu ta’ pestiċidi u fertilizzanti kimiċi, f’konformità mal-objettivi eżistenti, filwaqt li tkompli tiżgura s-sikurezza tal-ikel, u tappoġġa r-riċerka biex jiġu żviluppati alternattivi aktar sostenibbli u bbażati fuq in-natura (il-panel 3 — Rakkomandazzjoni 10, dibattitu fil-Grupp ta’ Ħidma).</w:t>
      </w:r>
    </w:p>
    <w:p>
      <w:pPr>
        <w:pStyle w:val="Puce3"/>
        <w:rPr/>
      </w:pPr>
      <w:r>
        <w:rPr/>
        <w:t>5.</w:t>
        <w:tab/>
        <w:t>L-introduzzjoni ta’ ċertifikazzjoni tal-assorbimenti tal-karbonju abbażi ta’ kontabilità tal-karbonju robusta, robusta u trasparenti (dibattitu plenarju).</w:t>
      </w:r>
    </w:p>
    <w:p>
      <w:pPr>
        <w:pStyle w:val="Puce3"/>
        <w:rPr/>
      </w:pPr>
      <w:r>
        <w:rPr/>
        <w:t>6.</w:t>
        <w:tab/>
        <w:t>Jiżdiedu r-riċerka u l-innovazzjoni, b’mod partikolari f’soluzzjonijiet teknoloġiċi relatati mal-produzzjoni sostenibbli, ir-reżistenza għall-pesti u l-agrikoltura ta’ preċiżjoni, kif ukoll il-komunikazzjoni, is-sistemi konsultattivi u t-taħriġ għall-bdiewa u mill-bdiewa (il-panel 3 — ir-rakkomandazzjoni 10, id-dibattitu fil-Grupp ta’ Ħidma, id-dibattitu fil-plenarja).</w:t>
      </w:r>
    </w:p>
    <w:p>
      <w:pPr>
        <w:pStyle w:val="Puce3"/>
        <w:rPr/>
      </w:pPr>
      <w:r>
        <w:rPr/>
        <w:t>7.</w:t>
        <w:tab/>
        <w:t>Jiġi eliminat id-dumping soċjali u tiġi promossa tranżizzjoni ekoloġika ġusta għal impjiegi aħjar fis-settur agrikolu, b’kundizzjonijiet ta’ sikurezza, saħħa u xogħol ta’ kwalità għolja (dibattitu fil-Grupp ta’ Ħidma).</w:t>
      </w:r>
    </w:p>
    <w:p>
      <w:pPr>
        <w:pStyle w:val="Puce3"/>
        <w:rPr/>
      </w:pPr>
      <w:r>
        <w:rPr/>
        <w:t>8.</w:t>
        <w:tab/>
        <w:t>Jiddiskutu aspetti bħall-użu tal-plastik f’films agrikoli u modi kif jitnaqqas il-konsum tal-ilma fl-agrikoltura (PNM).</w:t>
      </w:r>
    </w:p>
    <w:p>
      <w:pPr>
        <w:pStyle w:val="Puce3"/>
        <w:rPr/>
      </w:pPr>
      <w:r>
        <w:rPr/>
        <w:t>9.</w:t>
        <w:tab/>
        <w:t>It-trobbija u l-produzzjoni motivati tal-laħam iffukaw fuq il-benessri u s-sostenibbiltà tal-annimali permezz ta’ miżuri bħal tikkettar ċar, kwalità għolja u standards komuni tat-trobbija tal-annimali u tat-trasport, li jsaħħu r-rabta bejn il-bhejjem u l-għalf (il-panel 3 — ir-Rakkomandazzjonijiet 16 u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Proposta: L-agrikoltura, il-produzzjoni tal-ikel, il-bijodiversità u l-ekosistemi, it-tniġġis</w:t>
      </w:r>
    </w:p>
    <w:p>
      <w:pPr>
        <w:pStyle w:val="P68B1DB1Normal15"/>
        <w:rPr>
          <w:b/>
          <w:b/>
        </w:rPr>
      </w:pPr>
      <w:r>
        <w:rPr/>
        <w:t>Għan: Il-protezzjoni u r-restawr tal-bijodiversità, il-pajsaġġ u l-oċeani, u l-eliminazzjoni tat-tniġġis.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Miżuri:</w:t>
      </w:r>
    </w:p>
    <w:p>
      <w:pPr>
        <w:pStyle w:val="Puce3"/>
        <w:tabs>
          <w:tab w:val="clear" w:pos="720"/>
        </w:tabs>
        <w:rPr/>
      </w:pPr>
      <w:r>
        <w:rPr/>
        <w:t>1.</w:t>
        <w:tab/>
        <w:t>Il-ħolqien, ir-restawr, il-ġestjoni u l-espansjoni ta’ żoni protetti għall-konservazzjoni tal-bijodiversità (Rakkomandazzjoni FR, Panel 3 — Rakkomandazzjoni 11).</w:t>
      </w:r>
    </w:p>
    <w:p>
      <w:pPr>
        <w:pStyle w:val="Puce3"/>
        <w:tabs>
          <w:tab w:val="clear" w:pos="720"/>
        </w:tabs>
        <w:rPr/>
      </w:pPr>
      <w:r>
        <w:rPr/>
        <w:t>2.</w:t>
        <w:tab/>
        <w:t>It-twaqqif ta’ sistema ta’ koerċizzjoni u ppremjar għall-ġlieda kontra t-tniġġis, bl-applikazzjoni tal-prinċipju ta’ min iniġġes iħallas, li għandha tiġi integrata wkoll f’miżuri tat-taxxa u b’aktar sensibilizzazzjoni u inċentivi (il-panel 3 — ir-rakkomandazzjoni 32, ir-rakkomandazzjoni FR, id-dibattitu fil-plenarja).</w:t>
      </w:r>
    </w:p>
    <w:p>
      <w:pPr>
        <w:pStyle w:val="Puce3"/>
        <w:tabs>
          <w:tab w:val="clear" w:pos="720"/>
        </w:tabs>
        <w:rPr/>
      </w:pPr>
      <w:r>
        <w:rPr/>
        <w:t>3.</w:t>
        <w:tab/>
        <w:t>It-twessigħ tar-rwol tal-muniċipalitajiet fl-ippjanar urban u l-kostruzzjoni ta’ bini ġdid li jappoġġa l-infrastruttura blu u ekoloġika, jevita l-issiġillar ulterjuri tal-art u jtemmha, spazji ekoloġiċi obbligatorji għal kostruzzjonijiet ġodda sabiex jiġu promossi l-bijodiversità u l-foresti urbani (il-panel 3 — rakkomandazzjoni 5, panel 1 — Rakkomandazzjoni 18, rakkomandazzjoni FR).</w:t>
      </w:r>
    </w:p>
    <w:p>
      <w:pPr>
        <w:pStyle w:val="Puce3"/>
        <w:tabs>
          <w:tab w:val="clear" w:pos="720"/>
        </w:tabs>
        <w:rPr/>
      </w:pPr>
      <w:r>
        <w:rPr/>
        <w:t>4.</w:t>
        <w:tab/>
        <w:t>Jipproteġu l-insetti, b’mod partikolari l-ispeċijiet indiġeni u dakkara, inkluż permezz ta’ protezzjoni kontra speċijiet invażivi u infurzar aħjar tar-regoli eżistenti (il-panel 1 — Rakkomandazzjoni 18).</w:t>
      </w:r>
    </w:p>
    <w:p>
      <w:pPr>
        <w:pStyle w:val="Puce3"/>
        <w:tabs>
          <w:tab w:val="clear" w:pos="720"/>
        </w:tabs>
        <w:rPr/>
      </w:pPr>
      <w:r>
        <w:rPr/>
        <w:t>5.</w:t>
        <w:tab/>
        <w:t>L-appoġġ għall-afforestazzjoni u r-riforestazzjoni, inklużi l-foresti meqruda bin-nar, l-applikazzjoni ta’ ġestjoni responsabbli tal-foresti u l-inkoraġġiment ta’ użu aħjar tal-injam biex jissostitwixxi materjali oħra. Jiġu stabbiliti miri nazzjonali vinkolanti fl-Istati Membri kollha tal-UE għar-riforestazzjoni permezz ta’ siġar indiġeni u flora lokali, filwaqt li jitqiesu s-sitwazzjonijiet u l-ispeċifiċitajiet nazzjonali differenti (il-panel 3 — rakkomandazzjoni 14, panel 1 — rakkomandazzjoni 18).</w:t>
      </w:r>
    </w:p>
    <w:p>
      <w:pPr>
        <w:pStyle w:val="Puce3"/>
        <w:tabs>
          <w:tab w:val="clear" w:pos="720"/>
        </w:tabs>
        <w:rPr/>
      </w:pPr>
      <w:r>
        <w:rPr/>
        <w:t>6.</w:t>
        <w:tab/>
        <w:t>L-infurzar u l-estensjoni tal-projbizzjoni fuq il-plastik li jintuża darba biss (SMP).</w:t>
      </w:r>
    </w:p>
    <w:p>
      <w:pPr>
        <w:pStyle w:val="Puce3"/>
        <w:tabs>
          <w:tab w:val="clear" w:pos="720"/>
        </w:tabs>
        <w:rPr/>
      </w:pPr>
      <w:r>
        <w:rPr/>
        <w:t>7.</w:t>
        <w:tab/>
        <w:t>Il-protezzjoni tas-sorsi tal-ilma u l-ġlieda kontra t-tniġġis tax-xmajjar u tal-oċeani, inkluż permezz tar-riċerka u l-ġlieda kontra t-tniġġis mikroplastik, u l-promozzjoni ta’ trasport li ma jagħmilx ħsara lill-ambjent bl-użu tal-aħjar teknoloġiji disponibbli u l-istabbiliment ta’ riċerka u finanzjament tal-Unjoni għal fjuwils u teknoloġiji marittimi alternattivi (NMP, dibattitu fil-WG).</w:t>
      </w:r>
    </w:p>
    <w:p>
      <w:pPr>
        <w:pStyle w:val="Puce3"/>
        <w:tabs>
          <w:tab w:val="clear" w:pos="720"/>
        </w:tabs>
        <w:rPr/>
      </w:pPr>
      <w:r>
        <w:rPr/>
        <w:t>8.</w:t>
        <w:tab/>
        <w:t>Illimita t-tniġġis tad-dawl (dibattitu fil-WG).</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Proposta: It-tibdil fil-klima, l-enerġija, it-trasport</w:t>
      </w:r>
    </w:p>
    <w:p>
      <w:pPr>
        <w:pStyle w:val="P68B1DB1Normal15"/>
        <w:rPr>
          <w:b/>
          <w:b/>
        </w:rPr>
      </w:pPr>
      <w:r>
        <w:rPr/>
        <w:t>Għan: Iż-żieda tas-sigurtà tal-enerġija Ewropea u l-kisba tal-indipendenza enerġetika tal-Unjoni filwaqt li tiġi żgurata tranżizzjoni ġusta u tiġi pprovduta biżżejjed enerġija sostenibbli u affordabbli għall-Ewropej. L-indirizzar tat-tibdil fil-klima billi l-UE tingħata rwol ta’ tmexxija globali fil-politika tal-enerġija sostenibbli u jiġu rrispettati l-objettivi globali għall-protezzjoni tal-klima.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Miżuri:</w:t>
      </w:r>
    </w:p>
    <w:p>
      <w:pPr>
        <w:pStyle w:val="Puce3"/>
        <w:tabs>
          <w:tab w:val="clear" w:pos="720"/>
        </w:tabs>
        <w:rPr/>
      </w:pPr>
      <w:r>
        <w:rPr/>
        <w:t>1.</w:t>
        <w:tab/>
        <w:t>Tinkiseb u, fejn possibbli, titħaffef it-tranżizzjoni ekoloġika, inkluż billi jsir aktar investiment fl-enerġija rinnovabbli, sabiex titnaqqas id-dipendenza esterna fuq l-enerġija, filwaqt li jiġi rikonoxxut ukoll ir-rwol tal-awtoritajiet lokali u reġjonali fit-tranżizzjoni ekoloġika (dibattitu fil-Grupp ta’ Ħidma).</w:t>
      </w:r>
    </w:p>
    <w:p>
      <w:pPr>
        <w:pStyle w:val="Puce3"/>
        <w:tabs>
          <w:tab w:val="clear" w:pos="720"/>
        </w:tabs>
        <w:rPr/>
      </w:pPr>
      <w:r>
        <w:rPr/>
        <w:t>2.</w:t>
        <w:tab/>
        <w:t>Teżamina, fi ħdan il-politiki tal-enerġija, l-implikazzjonijiet ġeopolitiċi u ta’ sigurtà tal-fornituri kollha tal-enerġija minn pajjiżi terzi, b’mod partikolari f’termini tad-drittijiet tal-bniedem, l-ekoloġija, il-governanza tajba u l-istat tad-dritt (dibattitu fil-Grupp ta’ Ħidma).</w:t>
      </w:r>
    </w:p>
    <w:p>
      <w:pPr>
        <w:pStyle w:val="Puce3"/>
        <w:tabs>
          <w:tab w:val="clear" w:pos="720"/>
        </w:tabs>
        <w:rPr/>
      </w:pPr>
      <w:r>
        <w:rPr/>
        <w:t>3.</w:t>
        <w:tab/>
        <w:t>Jitnaqqsu d-dipendenzi fuq l-importazzjonijiet taż-żejt u l-gass permezz ta’ proġetti ta’ effiċjenza enerġetika, appoġġ għal trasport pubbliku affordabbli, netwerk ferrovjarju tal-merkanzija b’veloċità għolja u l-espansjoni ta’ provvista ta’ enerġija nadifa u rinnovabbli (rakkomandazzjonijiet tal-panel 4 — rakkomandazzjoni 2, panel 1 — rakkomandazzjoni 10, FR u DE).</w:t>
      </w:r>
    </w:p>
    <w:p>
      <w:pPr>
        <w:pStyle w:val="Puce3"/>
        <w:tabs>
          <w:tab w:val="clear" w:pos="720"/>
        </w:tabs>
        <w:rPr/>
      </w:pPr>
      <w:r>
        <w:rPr/>
        <w:t>4.</w:t>
        <w:tab/>
        <w:t>Ittejjeb il-kwalità u l-interkonnettività, tiżgura l-manutenzjoni u tittrasforma l-infrastruttura u l-grilji tal-elettriku sabiex ittejjeb is-sigurtà u tippermetti t-tranżizzjoni lejn sorsi tal-enerġija rinnovabbli (il-panel 1 — rakkomandazzjoni 10, dibattitu fil-Grupp ta’ Ħidma).</w:t>
      </w:r>
    </w:p>
    <w:p>
      <w:pPr>
        <w:pStyle w:val="Puce3"/>
        <w:tabs>
          <w:tab w:val="clear" w:pos="720"/>
        </w:tabs>
        <w:rPr/>
      </w:pPr>
      <w:r>
        <w:rPr/>
        <w:t>5.</w:t>
        <w:tab/>
        <w:t>Jinvestu f’teknoloġiji li kapaċi jipproduċu enerġija rinnovabbli, bħall-produzzjoni effiċjenti tal-idroġenu ekoloġiku, speċjalment f’setturi li diffiċli jiġu elettrifikati (il-panel 3 — Rakkomandazzjoni 31, dibattitu fil-Grupp ta’ Ħidma).</w:t>
      </w:r>
    </w:p>
    <w:p>
      <w:pPr>
        <w:pStyle w:val="Puce3"/>
        <w:tabs>
          <w:tab w:val="clear" w:pos="720"/>
        </w:tabs>
        <w:rPr/>
      </w:pPr>
      <w:r>
        <w:rPr/>
        <w:t>6.</w:t>
        <w:tab/>
        <w:t>Jinvestu fl-esplorazzjoni ta’ sorsi ġodda tal-enerġija u metodi ta’ ħżin li ma jagħmlux ħsara lill-ambjent u, sakemm tinstab soluzzjoni tanġibbli, jagħmlu investimenti addizzjonali f’soluzzjonijiet eżistenti ta’ produzzjoni u ħżin ottimali tal-enerġija (Panel 3 — Rakkomandazzjonijiet 9 u 31).</w:t>
      </w:r>
    </w:p>
    <w:p>
      <w:pPr>
        <w:pStyle w:val="Puce3"/>
        <w:tabs>
          <w:tab w:val="clear" w:pos="720"/>
        </w:tabs>
        <w:rPr/>
      </w:pPr>
      <w:r>
        <w:rPr/>
        <w:t>7.</w:t>
        <w:tab/>
        <w:t>Il-filtri tas-</w:t>
      </w:r>
      <w:r>
        <w:rPr>
          <w:vertAlign w:val="subscript"/>
        </w:rPr>
        <w:t>CO2 isiru obbligatorji</w:t>
      </w:r>
      <w:r>
        <w:rPr/>
        <w:t xml:space="preserve"> fl-impjanti tal-enerġija mill-fjuwils fossili u jingħata appoġġ finanzjarju lill-Istati Membri li m’għandhomx riżorsi finanzjarji biex jimplimentaw il-filtri tas-CO2 (il-</w:t>
      </w:r>
      <w:r>
        <w:rPr>
          <w:vertAlign w:val="subscript"/>
        </w:rPr>
        <w:t>panel</w:t>
      </w:r>
      <w:r>
        <w:rPr/>
        <w:t xml:space="preserve"> 3 — ir-Rakkomandazzjoni 29).</w:t>
      </w:r>
    </w:p>
    <w:p>
      <w:pPr>
        <w:pStyle w:val="Puce3"/>
        <w:tabs>
          <w:tab w:val="clear" w:pos="720"/>
        </w:tabs>
        <w:rPr/>
      </w:pPr>
      <w:r>
        <w:rPr/>
        <w:t>8.</w:t>
        <w:tab/>
        <w:t>L-iżgurar ta’ tranżizzjoni ġusta, il-protezzjoni tal-ħaddiema u l-impjiegi permezz ta’ finanzjament adegwat għat-tranżizzjoni u r-riċerka ulterjuri, ir-riforma tas-sistema tat-taxxa permezz ta’ miżuri ta’ tassazzjoni u frodi kontra t-taxxa aktar ġusti u l-iżgurar ta’ approċċ inklużiv għall-governanza fit-tfassil tal-politika fil-livelli kollha (eż. miżuri ambizzjużi ta’ taħriġ mill-ġdid u titjib tal-ħiliet, protezzjoni soċjali b’saħħitha, iż-żamma tas-servizzi pubbliċi f’idejn l-istat, iż-żamma tar-regoli dwar is-saħħa u s-sikurezza fuq il-post tax-xogħol) (Dibattitu plenarja, dibattitu fil-Grupp ta’ Ħidma, NPC).</w:t>
      </w:r>
    </w:p>
    <w:p>
      <w:pPr>
        <w:pStyle w:val="Puce3"/>
        <w:tabs>
          <w:tab w:val="clear" w:pos="720"/>
        </w:tabs>
        <w:rPr/>
      </w:pPr>
      <w:r>
        <w:rPr/>
        <w:t>9.</w:t>
        <w:tab/>
        <w:t>L-introduzzjoni ta’ pakkett ta’ investiment għal teknoloġiji u innovazzjonijiet li ma jagħmlux ħsara lill-klima, li għandu jiġi ffinanzjat permezz ta’ dazji fuq l-importazzjoni relatati mal-klima u imposti ta’ aġġustament tal-karbonju relatati mal-klima (Rakkomandazzjoni DE).</w:t>
      </w:r>
    </w:p>
    <w:p>
      <w:pPr>
        <w:pStyle w:val="Puce3"/>
        <w:tabs>
          <w:tab w:val="clear" w:pos="720"/>
        </w:tabs>
        <w:rPr/>
      </w:pPr>
      <w:r>
        <w:rPr/>
        <w:t>10.</w:t>
        <w:tab/>
        <w:t>Fi tmiem perjodu ta’ tranżizzjoni, il-fjuwils fossili ma għandhomx jibqgħu jirċievu sussidji u ma għandu jsir l-ebda finanzjament għall-infrastruttura tradizzjonali tal-gass (dibattitu fil-Grupp ta’ Ħidma).</w:t>
      </w:r>
    </w:p>
    <w:p>
      <w:pPr>
        <w:pStyle w:val="Puce3"/>
        <w:tabs>
          <w:tab w:val="clear" w:pos="720"/>
        </w:tabs>
        <w:rPr/>
      </w:pPr>
      <w:r>
        <w:rPr/>
        <w:t>11.</w:t>
        <w:tab/>
        <w:t>Li jiżdiedu t-tmexxija u r-rwol u r-responsabbiltà tal-UE li tippromwovi azzjoni klimatika ambizzjuża u tranżizzjoni ġusta u li tikkontribwixxi għar-rispons għat-telf u l-ħsara fix-xena internazzjonali, fejn in-NU trid tkun fil-qalba tal-azzjoni (ir-Rakkomandazzjoni NL, dibattitu tal-Grupp ta’ Ħidma).</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Proposta: It-tibdil fil-klima, l-enerġija, it-trasport</w:t>
      </w:r>
    </w:p>
    <w:p>
      <w:pPr>
        <w:pStyle w:val="P68B1DB1Normal15"/>
        <w:rPr>
          <w:b/>
          <w:b/>
        </w:rPr>
      </w:pPr>
      <w:r>
        <w:rPr/>
        <w:t>Għan: Jipprovdu infrastruttura moderna, sikura, ekoloġika u ta’ kwalità li tiżgura l-konnettività, inkluż f’żoni rurali u gżejjer, inkluż permezz ta’ trasport pubbliku affordabbli.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Miżuri:</w:t>
      </w:r>
    </w:p>
    <w:p>
      <w:pPr>
        <w:pStyle w:val="Puce3"/>
        <w:tabs>
          <w:tab w:val="clear" w:pos="720"/>
        </w:tabs>
        <w:rPr/>
      </w:pPr>
      <w:r>
        <w:rPr/>
        <w:t>1.</w:t>
        <w:tab/>
        <w:t>L-appoġġ għat-trasport pubbliku u l-iżvilupp ta’ netwerk Ewropew tat-trasport pubbliku effiċjenti, affidabbli u affordabbli, b’mod partikolari fiż-żoni rurali u tal-gżejjer, permezz ta’ inċentivi addizzjonali għall-użu tat-trasport pubbliku (il-panel 3 — Rakkomandazzjoni 36, panel 4 — Rakkomandazzjoni 2).</w:t>
      </w:r>
    </w:p>
    <w:p>
      <w:pPr>
        <w:pStyle w:val="Puce3"/>
        <w:tabs>
          <w:tab w:val="clear" w:pos="720"/>
        </w:tabs>
        <w:rPr/>
      </w:pPr>
      <w:r>
        <w:rPr/>
        <w:t>2.</w:t>
        <w:tab/>
        <w:t>Jinvestu f’ferroviji ta’ billejl ta’ veloċità għolja u jistabbilixxu standard uniku ta’ teknoloġija ferrovjarja li ma tagħmilx ħsara lill-ambjent fl-Ewropa biex joffru alternattiva kredibbli u jiffaċilitaw il-possibbiltà li jiġu sostitwiti u skoraġġuti titjiriet qosra (dibattitu fil-WG, NPM).</w:t>
      </w:r>
    </w:p>
    <w:p>
      <w:pPr>
        <w:pStyle w:val="Puce3"/>
        <w:tabs>
          <w:tab w:val="clear" w:pos="720"/>
        </w:tabs>
        <w:rPr/>
      </w:pPr>
      <w:r>
        <w:rPr/>
        <w:t>3.</w:t>
        <w:tab/>
        <w:t>Jinkoraġġixxu x-xiri, b’kont meħud tal-affordabbiltà tagħhom għall-unitajiet domestiċi, u l-użu (imqassam) ta’ vetturi elettriċi li jissodisfaw standard tajjeb tal-ħajja tal-batterija kif ukoll investimenti fl-infrastruttura tal-iċċarġjar meħtieġa u investimenti fl-iżvilupp ta’ teknoloġiji nodfa oħra għall-vetturi li l-elettrifikazzjoni tagħhom hija diffiċli li tinkiseb (il-panel 3 — rakkomandazzjoni 38).</w:t>
      </w:r>
    </w:p>
    <w:p>
      <w:pPr>
        <w:pStyle w:val="Puce3"/>
        <w:tabs>
          <w:tab w:val="clear" w:pos="720"/>
        </w:tabs>
        <w:rPr/>
      </w:pPr>
      <w:r>
        <w:rPr/>
        <w:t>4.</w:t>
        <w:tab/>
        <w:t>L-istabbiliment ta’ konnettività tal-broadband mal-internet u n-netwerk mobbli f’żoni rurali u insulari (panel 3 — Rakkomandazzjoni 36).</w:t>
      </w:r>
    </w:p>
    <w:p>
      <w:pPr>
        <w:pStyle w:val="Puce3"/>
        <w:tabs>
          <w:tab w:val="clear" w:pos="720"/>
        </w:tabs>
        <w:rPr/>
      </w:pPr>
      <w:r>
        <w:rPr/>
        <w:t>5.</w:t>
        <w:tab/>
        <w:t>It-titjib tal-infrastruttura tat-trasport eżistenti mil-lat ekoloġiku (il-panel 3 — ir-Rakkomandazzjoni 37).</w:t>
      </w:r>
    </w:p>
    <w:p>
      <w:pPr>
        <w:pStyle w:val="Puce3"/>
        <w:tabs>
          <w:tab w:val="clear" w:pos="720"/>
        </w:tabs>
        <w:rPr/>
      </w:pPr>
      <w:r>
        <w:rPr/>
        <w:t>6.</w:t>
        <w:tab/>
        <w:t>Il-ħtieġa ta’ programmi ta’ żvilupp urban għal bliet “aktar ekoloġiċi” b’inqas emissjonijiet, b’żoni speċifiċi mingħajr karozzi fil-bliet, mingħajr ma ssir ħsara liż-żoni kummerċjali (il-panel 3 — rakkomandazzjoni 6).</w:t>
      </w:r>
    </w:p>
    <w:p>
      <w:pPr>
        <w:pStyle w:val="Puce3"/>
        <w:tabs>
          <w:tab w:val="clear" w:pos="720"/>
        </w:tabs>
        <w:rPr/>
      </w:pPr>
      <w:r>
        <w:rPr/>
        <w:t>7.</w:t>
        <w:tab/>
        <w:t>Ittejjeb l-infrastruttura għar-roti u tagħti aktar drittijiet u protezzjoni legali liċ-ċiklisti u lill-persuni mexjin fit-triq, speċjalment f’każ ta’ inċidenti b’vettura bil-mutur, tiżgura s-sikurezza fit-toroq u tipprovdi taħriġ dwar il-kodiċi tat-triq (Panel 3 — Rakkomandazzjoni 4).</w:t>
      </w:r>
    </w:p>
    <w:p>
      <w:pPr>
        <w:pStyle w:val="Puce3"/>
        <w:tabs>
          <w:tab w:val="clear" w:pos="720"/>
        </w:tabs>
        <w:rPr/>
      </w:pPr>
      <w:r>
        <w:rPr/>
        <w:t>8.</w:t>
        <w:tab/>
        <w:t>Tirregola l-estrazzjoni tal-kriptovaluti, li jużaw ammont konsiderevoli ta’ enerġija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Proposta: Konsum, imballaġġ u produzzjoni sostenibbli</w:t>
      </w:r>
    </w:p>
    <w:p>
      <w:pPr>
        <w:pStyle w:val="P68B1DB1Normal15"/>
        <w:rPr>
          <w:b/>
          <w:b/>
        </w:rPr>
      </w:pPr>
      <w:r>
        <w:rPr/>
        <w:t>Għan: Ittejjeb l-użu u l-ġestjoni tal-materjali fl-Unjoni sabiex trawwem l-ekonomija ċirkolari, issir aktar awtonoma u tkun inqas dipendenti. L-iżvilupp ta’ ekonomija ċirkolari billi jiġu mħeġġa l-produzzjoni u l-prodotti sostenibbli fl-Unjoni. Jiżguraw li l-prodotti kollha mqiegħda fis-suq tal-Unjoni jikkonformaw mal-istandards ambjentali komuni tal-Unjoni.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Miżuri:</w:t>
      </w:r>
    </w:p>
    <w:p>
      <w:pPr>
        <w:pStyle w:val="Puce3"/>
        <w:tabs>
          <w:tab w:val="clear" w:pos="720"/>
        </w:tabs>
        <w:rPr/>
      </w:pPr>
      <w:r>
        <w:rPr/>
        <w:t>1.</w:t>
        <w:tab/>
        <w:t>Standards tal-produzzjoni tal-Unjoni aktar stretti u armonizzati u skema ta’ tikkettar trasparenti għall-prodotti kollha mibjugħa fis-suq tal-UE fir-rigward tal-impronta tas-sostenibbiltà/ambjentali tagħhom u l-lonġevità tagħhom permezz ta’ kodiċi QR u passaport tal-prodott ekoscore jew diġitali (panel 3 — rakkomandazzjonijiet 8, 13, 20 u 21, panel 1 — rakkomandazzjoni 16, panel 4 — rakkomandazzjoni 13).</w:t>
      </w:r>
    </w:p>
    <w:p>
      <w:pPr>
        <w:pStyle w:val="Puce3"/>
        <w:tabs>
          <w:tab w:val="clear" w:pos="720"/>
        </w:tabs>
        <w:rPr/>
      </w:pPr>
      <w:r>
        <w:rPr/>
        <w:t>2.</w:t>
        <w:tab/>
        <w:t>Tirrevedi l-ktajjen tal-provvista globali, inkluż fil-produzzjoni agrikola, biex tnaqqas id-dipendenza tal-UE u tqassar iċ-ċirkwiti (PNM).</w:t>
      </w:r>
    </w:p>
    <w:p>
      <w:pPr>
        <w:pStyle w:val="Puce3"/>
        <w:tabs>
          <w:tab w:val="clear" w:pos="720"/>
        </w:tabs>
        <w:rPr/>
      </w:pPr>
      <w:r>
        <w:rPr/>
        <w:t>3.</w:t>
        <w:tab/>
        <w:t>Il-prevenzjoni ulterjuri tal-ġenerazzjoni tal-iskart billi jiġu stabbiliti miri ta’ prevenzjoni u użu mill-ġdid u billi jiġu stabbiliti standards ta’ kwalità għal sistemi ta’ separazzjoni tal-iskart (dibattitu fil-WG, Rakkomandazzjoni FR).</w:t>
      </w:r>
    </w:p>
    <w:p>
      <w:pPr>
        <w:pStyle w:val="Puce3"/>
        <w:tabs>
          <w:tab w:val="clear" w:pos="720"/>
        </w:tabs>
        <w:rPr/>
      </w:pPr>
      <w:r>
        <w:rPr/>
        <w:t>4.</w:t>
        <w:tab/>
        <w:t>It-tneħħija gradwali ta’ forom mhux sostenibbli ta’ imballaġġ, ir-regolazzjoni tal-imballaġġ li ma jagħmilx ħsara lill-ambjent u l-evitar tal-iskart ta’ materjali fl-imballaġġ permezz ta’ inċentivi u sanzjonijiet finanzjarji kif ukoll l-investiment f’riċerka alternattiva (il-panel 3 — rakkomandazzjonijiet 15 u 25, panel 1 — rakkomandazzjoni 12, panel 4 — rakkomandazzjoni 16).</w:t>
      </w:r>
    </w:p>
    <w:p>
      <w:pPr>
        <w:pStyle w:val="Puce3"/>
        <w:tabs>
          <w:tab w:val="clear" w:pos="720"/>
        </w:tabs>
        <w:rPr/>
      </w:pPr>
      <w:r>
        <w:rPr/>
        <w:t>5.</w:t>
        <w:tab/>
        <w:t>L-introduzzjoni ta’ sistema Ewropea ta’ depożitu tal-imballaġġ u standards avvanzati għall-kontenituri (panel 3 — rakkomandazzjonijiet 22 u 23, NPC).</w:t>
      </w:r>
    </w:p>
    <w:p>
      <w:pPr>
        <w:pStyle w:val="Puce3"/>
        <w:tabs>
          <w:tab w:val="clear" w:pos="720"/>
        </w:tabs>
        <w:rPr/>
      </w:pPr>
      <w:r>
        <w:rPr/>
        <w:t>6.</w:t>
        <w:tab/>
        <w:t>Tniedi pjattaforma ta’ għarfien tal-UE dwar kif jiġi żgurat l-użu sostenibbli u fit-tul tal-prodotti u kif dawn jistgħu “jitranġaw”, inkluża l-informazzjoni disponibbli mill-assoċjazzjonijiet tal-konsumaturi (il-panel 3 — ir-Rakkomandazzjoni 20).</w:t>
      </w:r>
    </w:p>
    <w:p>
      <w:pPr>
        <w:pStyle w:val="Puce3"/>
        <w:tabs>
          <w:tab w:val="clear" w:pos="720"/>
        </w:tabs>
        <w:rPr/>
      </w:pPr>
      <w:r>
        <w:rPr/>
        <w:t>7.</w:t>
        <w:tab/>
        <w:t>L-introduzzjoni ta’ miżuri għall-ġlieda kontra l-obsolexxenza bikrija jew prematura, inkluża l-obsolexxenza ppjanata, l-iżgurar ta’ salvagwardji itwal, il-promozzjoni tad-dritt għat-tiswija u l-iżgurar tad-disponibbiltà u l-aċċessibbiltà ta’ spare parts kompatibbli (il-panel 3 — ir-rakkomandazzjoni 20, ir-rakkomandazzjoni FR, ir-rakkomandazzjoni DE, il-panel 1 — ir-rakkomandazzjoni 14).</w:t>
      </w:r>
    </w:p>
    <w:p>
      <w:pPr>
        <w:pStyle w:val="Puce3"/>
        <w:tabs>
          <w:tab w:val="clear" w:pos="720"/>
        </w:tabs>
        <w:rPr/>
      </w:pPr>
      <w:r>
        <w:rPr/>
        <w:t>8.</w:t>
        <w:tab/>
        <w:t>Jinħoloq suq għall-materja prima sekondarja filwaqt li jitqiesu r-rati obbligatorji tal-kontenut riċiklat billi jitħeġġeġ l-użu mnaqqas tal-materja prima (dibattitu fil-WG).</w:t>
      </w:r>
    </w:p>
    <w:p>
      <w:pPr>
        <w:pStyle w:val="Puce3"/>
        <w:tabs>
          <w:tab w:val="clear" w:pos="720"/>
        </w:tabs>
        <w:rPr/>
      </w:pPr>
      <w:r>
        <w:rPr/>
        <w:t>9.</w:t>
        <w:tab/>
        <w:t>Implimentazzjoni rapida ta’ strateġija ambizzjuża dwar it-tessuti u definizzjoni ta’ mekkaniżmu għall-konsumaturi biex ikunu jafu li l-prodott jissodisfa l-kriterji ta’ sostenibbiltà (il-panel 3 — rakkomandazzjoni 28, dibattitu fil-Grupp ta’ Ħidma).</w:t>
      </w:r>
    </w:p>
    <w:p>
      <w:pPr>
        <w:pStyle w:val="Puce3"/>
        <w:tabs>
          <w:tab w:val="clear" w:pos="720"/>
        </w:tabs>
        <w:rPr/>
      </w:pPr>
      <w:r>
        <w:rPr/>
        <w:t>10.</w:t>
        <w:tab/>
        <w:t>Miżuri tal-UE li jippermettu lill-konsumaturi jużaw il-prodotti aktar fit-tul u jħeġġuhom jagħmlu dan (il-panel 3 — Rakkomandazzjoni 20).</w:t>
      </w:r>
    </w:p>
    <w:p>
      <w:pPr>
        <w:pStyle w:val="Puce3"/>
        <w:tabs>
          <w:tab w:val="clear" w:pos="720"/>
        </w:tabs>
        <w:rPr/>
      </w:pPr>
      <w:r>
        <w:rPr/>
        <w:t>11.</w:t>
        <w:tab/>
        <w:t>Jissaħħu l-istandards ambjentali u jiġu infurzati r-regolamenti dwar l-esportazzjoni tal-iskart fl-UE u lejn pajjiżi terzi (il-panel 4 — Rakkomandazzjoni 15, NPC).</w:t>
      </w:r>
    </w:p>
    <w:p>
      <w:pPr>
        <w:pStyle w:val="Puce3"/>
        <w:tabs>
          <w:tab w:val="clear" w:pos="720"/>
        </w:tabs>
        <w:rPr/>
      </w:pPr>
      <w:r>
        <w:rPr/>
        <w:t>12.</w:t>
        <w:tab/>
        <w:t>Tintroduċi miżuri biex tillimita r-reklamar ta’ prodotti li jagħmlu ħsara lill-ambjent billi tintroduċi dikjarazzjoni obbligatorja ta’ ċaħda ta’ responsabbiltà għal prodotti li huma partikolarment ta’ ħsara għall-ambjent (panel 3 — Rakkomandazzjoni 22).</w:t>
      </w:r>
    </w:p>
    <w:p>
      <w:pPr>
        <w:pStyle w:val="Puce3"/>
        <w:tabs>
          <w:tab w:val="clear" w:pos="720"/>
        </w:tabs>
        <w:rPr/>
      </w:pPr>
      <w:r>
        <w:rPr/>
        <w:t>13.</w:t>
        <w:tab/>
        <w:t>Japplikaw standards tal-manifattura aktar stretti u kundizzjonijiet tax-xogħol ġusti tul il-katina kollha tal-produzzjoni u tal-valur (il-panel 3 — ir-Rakkomandazzjoni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Proposta: L-informazzjoni, l-għarfien, id-djalogu u l-istil ta’ ħajja</w:t>
      </w:r>
    </w:p>
    <w:p>
      <w:pPr>
        <w:pStyle w:val="P68B1DB1Normal15"/>
        <w:rPr>
          <w:b/>
          <w:b/>
        </w:rPr>
      </w:pPr>
      <w:r>
        <w:rPr/>
        <w:t>Għan: Jinkoraġġixxu l-għarfien, is-sensibilizzazzjoni, l-edukazzjoni u d-djalogu dwar l-ambjent, it-tibdil fil-klima, l-użu tal-enerġija u s-sostenibbiltà.</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Miżuri:</w:t>
      </w:r>
    </w:p>
    <w:p>
      <w:pPr>
        <w:pStyle w:val="Puce3"/>
        <w:tabs>
          <w:tab w:val="clear" w:pos="720"/>
        </w:tabs>
        <w:rPr/>
      </w:pPr>
      <w:r>
        <w:rPr/>
        <w:t>1.</w:t>
        <w:tab/>
        <w:t>Toħloq pjattaforma interattiva li l-fatti tagħha ġew ivverifikati sabiex tipprovdi informazzjoni xjentifika diversa u aġġornata regolarment fil-qasam tal-ambjent (il-panel 3 — rakkomandazzjoni 33).</w:t>
      </w:r>
    </w:p>
    <w:p>
      <w:pPr>
        <w:pStyle w:val="Puce3"/>
        <w:tabs>
          <w:tab w:val="clear" w:pos="720"/>
        </w:tabs>
        <w:rPr/>
      </w:pPr>
      <w:r>
        <w:rPr/>
        <w:t>2.</w:t>
        <w:tab/>
        <w:t>Appoġġ għal kampanji ta’ sensibilizzazzjoni ekoloġika, inkluża kampanja Ewropea fit-tul għal konsum u stil ta’ ħajja sostenibbli (Rakkomandazzjonijiet DE, NL u FR, Panel 3 — Rakkomandazzjoni 7).</w:t>
      </w:r>
    </w:p>
    <w:p>
      <w:pPr>
        <w:pStyle w:val="Puce3"/>
        <w:tabs>
          <w:tab w:val="clear" w:pos="720"/>
        </w:tabs>
        <w:rPr/>
      </w:pPr>
      <w:r>
        <w:rPr/>
        <w:t>3.</w:t>
        <w:tab/>
        <w:t>Jinkoraġġixxu u jiffaċilitaw id-djalogu u l-konsultazzjonijiet bejn il-livelli kollha tat-teħid tad-deċiżjonijiet, b’mod partikolari maż-żgħażagħ u fil-livell lokali (Rakkomandazzjonijiet DE, NL u FR, Panel 3 — Rakkomandazzjonijiet 27 u 35, dibattitu fil-plenarja).</w:t>
      </w:r>
    </w:p>
    <w:p>
      <w:pPr>
        <w:pStyle w:val="Puce3"/>
        <w:tabs>
          <w:tab w:val="clear" w:pos="720"/>
        </w:tabs>
        <w:rPr/>
      </w:pPr>
      <w:r>
        <w:rPr/>
        <w:t>4.</w:t>
        <w:tab/>
        <w:t>Definizzjoni mill-Unjoni, bl-għajnuna tal-Istati Membri, ta’ Karta Ewropea komuni mmirata lejn kwistjonijiet ambjentali u l-promozzjoni tal-għarfien ambjentali fost iċ-ċittadini kollha (il-panel 3 — rakkomandazzjoni 7).</w:t>
      </w:r>
    </w:p>
    <w:p>
      <w:pPr>
        <w:pStyle w:val="Puce3"/>
        <w:tabs>
          <w:tab w:val="clear" w:pos="720"/>
        </w:tabs>
        <w:rPr/>
      </w:pPr>
      <w:r>
        <w:rPr/>
        <w:t>5.</w:t>
        <w:tab/>
        <w:t>Tipprovdi korsijiet ta’ taħriġ u materjal ta’ tagħlim għal kulħadd sabiex ittejjeb l-għarfien dwar il-klima u s-sostenibbiltà u tippermetti t-tagħlim tul il-ħajja dwar kwistjonijiet ambjentali (il-panel 1 — rakkomandazzjonijiet 15 u 35, panel 3 — rakkomandazzjoni 24, dibattitu tal-Grupp ta’ Ħidma).</w:t>
      </w:r>
    </w:p>
    <w:p>
      <w:pPr>
        <w:pStyle w:val="Puce3"/>
        <w:tabs>
          <w:tab w:val="clear" w:pos="720"/>
        </w:tabs>
        <w:rPr/>
      </w:pPr>
      <w:r>
        <w:rPr/>
        <w:t>6.</w:t>
        <w:tab/>
        <w:t>L-integrazzjoni tal-produzzjoni tal-ikel u l-protezzjoni tal-bijodiversità fis-sistema edukattiva, inklużi l-benefiċċji tal-ikel mhux ipproċessat fuq l-ikel ipproċessat, u l-inkoraġġiment tal-ħolqien ta’ ġonna fl-iskejjel u għotjiet għal proġetti ta’ ġardinaġġ urban u agrikoltura vertikali (il-panel 3 — rakkomandazzjoni 5, panel 1 — rakkomandazzjoni 18). Tikkunsidra li tagħmel il-bijodiversità suġġett obbligatorju fl-iskejjel u tqajjem kuxjenza pubblika dwar il-bijodiversità permezz ta’ kampanji tal-midja u “kompetizzjonijiet” promossi madwar l-UE (kompetizzjonijiet tal-gvern lokali) (panel 3 — rakkomandazzjoni 5, panel 1 — rakkomandazzjoni 18).</w:t>
      </w:r>
    </w:p>
    <w:p>
      <w:pPr>
        <w:pStyle w:val="Puce3"/>
        <w:tabs>
          <w:tab w:val="clear" w:pos="720"/>
        </w:tabs>
        <w:rPr/>
      </w:pPr>
      <w:r>
        <w:rPr/>
        <w:t>7.</w:t>
        <w:tab/>
        <w:t>Issaħħaħ ir-rwol u l-azzjoni tal-Unjoni fil-qasam tal-ambjent u l-edukazzjoni billi testendi l-kompetenzi tal-Unjoni fil-qasam tal-edukazzjoni għat-tibdil fil-klima u l-ambjent u billi testendi t-teħid tad-deċiżjonijiet b’maġġoranza kwalifikata għal suġġetti definiti bħala “interess Ewropew”, bħall-ambjent (rakkomandazzjonijiet NL u FR).</w:t>
      </w:r>
    </w:p>
    <w:p>
      <w:pPr>
        <w:pStyle w:val="Puce3"/>
        <w:tabs>
          <w:tab w:val="clear" w:pos="720"/>
        </w:tabs>
        <w:rPr/>
      </w:pPr>
      <w:r>
        <w:rPr/>
        <w:t>8.</w:t>
        <w:tab/>
        <w:t>Il-promozzjoni ta’ dieta tal-pjanti għal raġunijiet ta’ protezzjoni tal-klima u l-preservazzjoni ambjentali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Immaġni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maġni22"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Saħħa”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 Proposta: Dieta tajba għas-saħħa u stil ta’ ħajja b’saħħtu </w:t>
      </w:r>
    </w:p>
    <w:p>
      <w:pPr>
        <w:pStyle w:val="P68B1DB1Normal15"/>
        <w:rPr>
          <w:b/>
          <w:b/>
        </w:rPr>
      </w:pPr>
      <w:r>
        <w:rPr/>
        <w:t>Għan: Jiżguraw li l-Ewropej kollha jkollhom aċċess għal edukazzjoni dwar l-ikel tajjeb għas-saħħa u aċċess għal ikel tajjeb għas-saħħa u affordabbli bħala bażi għal stil ta’ ħajja tajjeb għas-saħħa, b’mod partikolari permezz tal-miżuri li ġejjin: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Miżuri</w:t>
      </w:r>
      <w:r>
        <w:rPr>
          <w:rStyle w:val="Ancredenotedefin"/>
          <w:rStyle w:val="Ancredenotedefin"/>
        </w:rPr>
        <w:endnoteReference w:id="2"/>
      </w:r>
      <w:r>
        <w:rPr/>
        <w:t>:</w:t>
      </w:r>
    </w:p>
    <w:p>
      <w:pPr>
        <w:pStyle w:val="Puce3"/>
        <w:tabs>
          <w:tab w:val="clear" w:pos="720"/>
        </w:tabs>
        <w:rPr/>
      </w:pPr>
      <w:r>
        <w:rPr/>
        <w:t>1.</w:t>
        <w:tab/>
        <w:t>Tistabbilixxi standards minimi ta’ kwalità u traċċabbiltà tal-ikel, b’mod partikolari billi tillimita l-użu ta’ antibijotiċi u prodotti mediċinali veterinarji oħra għal dak li huwa strettament meħtieġ għall-protezzjoni tas-saħħa u l-benessri tal-annimali, minflok ma tużahom b’mod preventiv, u biex tiżgura t-tisħiħ tal-kontrolli f’dan ir-rigward. [#23, #17]</w:t>
      </w:r>
    </w:p>
    <w:p>
      <w:pPr>
        <w:pStyle w:val="Puce3"/>
        <w:tabs>
          <w:tab w:val="clear" w:pos="720"/>
        </w:tabs>
        <w:rPr/>
      </w:pPr>
      <w:r>
        <w:rPr/>
        <w:t>2.</w:t>
        <w:tab/>
        <w:t>Jedukaw liċ-ċittadini dwar drawwiet tajbin għas-saħħa biex jadottaw minn età bikrija, u jinkoraġġihom jagħmlu għażliet sikuri u tajbin għas-saħħa billi jintaxxaw ikel ipproċessat li mhuwiex u jagħmlu l-informazzjoni dwar is-saħħa dwar l-ikel faċilment aċċessibbli; għal dan il-għan, tistabbilixxi sistema ta’ valutazzjoni madwar l-Ewropa kollha għall-ikel ipproċessat ibbażata fuq għarfien espert xjentifiku u indipendenti, kif ukoll tikketta dwar l-użu ta’ sustanzi ormonali u interferenti endokrinali fil-produzzjoni tal-ikel, u f’dan ir-rigward issaħħaħ il-monitoraġġ u l-infurzar tar-regoli eżistenti u tikkunsidra li ssaħħaħhom. [#18, #19, GT]</w:t>
      </w:r>
    </w:p>
    <w:p>
      <w:pPr>
        <w:pStyle w:val="Puce3"/>
        <w:tabs>
          <w:tab w:val="clear" w:pos="720"/>
        </w:tabs>
        <w:rPr/>
      </w:pPr>
      <w:r>
        <w:rPr/>
        <w:t>3.</w:t>
        <w:tab/>
        <w:t>Jitħeġġeġ id-djalogu mal-atturi fil-katina tal-ikel, mill-produzzjoni sal-bejgħ, bħala parti mir-responsabbiltà soċjali korporattiva għal ikel tajjeb għas-saħħa. [#19, GT]</w:t>
      </w:r>
    </w:p>
    <w:p>
      <w:pPr>
        <w:pStyle w:val="Puce3"/>
        <w:tabs>
          <w:tab w:val="clear" w:pos="720"/>
        </w:tabs>
        <w:rPr/>
      </w:pPr>
      <w:r>
        <w:rPr/>
        <w:t>4.</w:t>
        <w:tab/>
        <w:t>Tappoġġa, fil-livell tal-Unjoni, il-forniment ta’ ikel tajjeb għas-saħħa, varjat u affordabbli fi stabbilimenti tas-servizz pubbliku, bħal kantins tal-iskejjel, sptarijiet jew faċilitajiet tal-kura tas-saħħa, inkluż permezz ta’ finanzjament speċifiku. [#3, Plenarja, Grupp ta’ Ħidma]</w:t>
      </w:r>
    </w:p>
    <w:p>
      <w:pPr>
        <w:pStyle w:val="Puce3"/>
        <w:tabs>
          <w:tab w:val="clear" w:pos="720"/>
        </w:tabs>
        <w:rPr/>
      </w:pPr>
      <w:r>
        <w:rPr/>
        <w:t>5.</w:t>
        <w:tab/>
        <w:t>Jinvestu fir-riċerka dwar il-konsegwenzi tal-użu tal-antibijotiċi u l-effetti tas-sustanzi ormonali u l-interferenti endokrinali fuq is-saħħa tal-bniedem.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Proposta: It-tisħiħ tas-sistema tal-kura tas-saħħa</w:t>
      </w:r>
    </w:p>
    <w:p>
      <w:pPr>
        <w:pStyle w:val="P68B1DB1Normal15"/>
        <w:rPr>
          <w:b/>
          <w:b/>
        </w:rPr>
      </w:pPr>
      <w:r>
        <w:rPr/>
        <w:t>Għan: It-tisħiħ tar-reżiljenza u l-kwalità tas-sistemi tas-saħħa tagħna, inkluż permezz ta’: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Miżuri</w:t>
      </w:r>
      <w:r>
        <w:rPr>
          <w:rStyle w:val="Ancredenotedefin"/>
          <w:rStyle w:val="Ancredenotedefin"/>
        </w:rPr>
        <w:endnoteReference w:id="4"/>
      </w:r>
      <w:r>
        <w:rPr/>
        <w:t>:</w:t>
      </w:r>
    </w:p>
    <w:p>
      <w:pPr>
        <w:pStyle w:val="Puce3"/>
        <w:tabs>
          <w:tab w:val="clear" w:pos="720"/>
        </w:tabs>
        <w:rPr/>
      </w:pPr>
      <w:r>
        <w:rPr/>
        <w:t>1.</w:t>
        <w:tab/>
        <w:t>Il-ħolqien ta’ Żona Ewropea tad-Data dwar is-Saħħa, li tiffaċilita l-iskambju ta’ data dwar is-saħħa; ir-rekords mediċi individwali jistgħu jkunu disponibbli — fuq bażi volontarja — bl-użu ta’ passaport tas-saħħa elettroniku individwali tal-UE, f’konformità mar-regoli dwar il-protezzjoni tad-data. [#41, GT]</w:t>
      </w:r>
    </w:p>
    <w:p>
      <w:pPr>
        <w:pStyle w:val="Puce3"/>
        <w:tabs>
          <w:tab w:val="clear" w:pos="720"/>
        </w:tabs>
        <w:rPr/>
      </w:pPr>
      <w:r>
        <w:rPr/>
        <w:t>2.</w:t>
        <w:tab/>
        <w:t>Kundizzjonijiet tax-xogħol adegwati, b’mod partikolari permezz ta’ djalogu soċjali b’saħħtu, inklużi l-pagi u l-arranġamenti tax-xogħol, u l-armonizzazzjoni tal-istandards tat-taħriġ u ċ-ċertifikazzjoni għall-professjonisti tas-saħħa; għandhom jiġu żviluppati programmi ta’ netwerking u ta’ skambju, bħal Erasmus għall-iskejjel mediċi, li jikkontribwixxi b’mod sinifikanti għall-iżvilupp tal-ħiliet. Sabiex jinżamm it-talent fl-Ewropa u l-professjonisti żgħażagħ ikunu jistgħu jwessgħu l-għarfien tagħhom u jiksbu esperjenza professjonali, għandhom jiġu stabbiliti programmi ta’ skambju tal-UE biex jiġi żgurat li l-aħjar imħuħ tagħna tax-xjenzi tal-ħajja ma jiġux attirati lejn pajjiżi terzi. [#39, GT]</w:t>
      </w:r>
    </w:p>
    <w:p>
      <w:pPr>
        <w:pStyle w:val="Puce3"/>
        <w:tabs>
          <w:tab w:val="clear" w:pos="720"/>
        </w:tabs>
        <w:rPr/>
      </w:pPr>
      <w:r>
        <w:rPr/>
        <w:t>3.</w:t>
        <w:tab/>
        <w:t>Jiżguraw awtonomija strateġika fil-livell tal-Unjoni sabiex tiġi evitata d-dipendenza fuq pajjiżi terzi [NL2]</w:t>
      </w:r>
      <w:r>
        <w:rPr>
          <w:rStyle w:val="Ancredenotedefin"/>
          <w:rStyle w:val="Ancredenotedefin"/>
        </w:rPr>
        <w:endnoteReference w:id="5"/>
      </w:r>
      <w:r>
        <w:rPr/>
        <w:t xml:space="preserve"> għall-prodotti mediċinali (b’mod partikolari l-ingredjenti attivi) u l-apparati mediċi (inkluża l-materja prima); B’mod partikolari, għandha tiġi stabbilita lista ta’ mediċini u trattamenti essenzjali u prijoritarji, iżda wkoll ta’ mediċini u trattamenti innovattivi (bħal soluzzjonijiet bijoteknoloġiċi) fil-livell tal-Unjoni, li tibni fuq l-aġenziji Ewropej eżistenti u l-HERA, sabiex tiġi żgurata d-disponibbiltà tagħhom għaċ-ċittadini. Tikkunsidra l-organizzazzjoni ta’ ħżin strateġiku kkoordinat fl-Unjoni kollha. Sabiex tinkiseb l-azzjoni kkoordinata u fit-tul meħtieġa fil-livell tal-Unjoni, jiġu inklużi s-saħħa u l-kura tas-saħħa fost il-kompetenzi kondiviżi bejn l-Unjoni u l-Istati Membri tagħha billi jiġi emendat l-Artikolu 4 TFUE. [#40, #49, plenarja, Grupp ta’ Ħidma]</w:t>
      </w:r>
    </w:p>
    <w:p>
      <w:pPr>
        <w:pStyle w:val="Puce3"/>
        <w:tabs>
          <w:tab w:val="clear" w:pos="720"/>
        </w:tabs>
        <w:rPr/>
      </w:pPr>
      <w:r>
        <w:rPr/>
        <w:t>4.</w:t>
        <w:tab/>
        <w:t>Jitkompla l-iżvilupp, il-koordinazzjoni u l-finanzjament ta’ programmi eżistenti ta’ riċerka u innovazzjoni dwar is-saħħa mingħajr ma jiġu kompromessi programmi oħra relatati mas-saħħa, b’mod partikolari għan-Netwerks Ewropej ta’ Referenza, peress li dawn jiffurmaw il-bażi għall-iżvilupp ta’ netwerks tal-kura tas-saħħa għal trattamenti speċjalizzati u kumplessi ħafna. [#42, #43, GT]</w:t>
      </w:r>
    </w:p>
    <w:p>
      <w:pPr>
        <w:pStyle w:val="Puce3"/>
        <w:tabs>
          <w:tab w:val="clear" w:pos="720"/>
        </w:tabs>
        <w:rPr/>
      </w:pPr>
      <w:r>
        <w:rPr/>
        <w:t>5.</w:t>
        <w:tab/>
        <w:t>Jinvestu fis-sistemi tas-saħħa, b’mod partikolari fil-qasam pubbliku u mingħajr skop ta’ qligħ, fl-infrastruttura u fis-saħħa diġitali u jiżguraw li l-fornituri tal-kura tas-saħħa jirrispettaw il-prinċipji ta’ aċċessibbiltà sħiħa, l-affordabbiltà u l-kwalità tas-servizzi, u b’hekk jiġi żgurat li r-riżorsi ma jiġux eżawriti mill-professjonisti tas-saħħa bi ftit jew xejn tħassib għall-interess pubbliku. [#51, GT]</w:t>
      </w:r>
    </w:p>
    <w:p>
      <w:pPr>
        <w:pStyle w:val="Puce3"/>
        <w:tabs>
          <w:tab w:val="clear" w:pos="720"/>
        </w:tabs>
        <w:rPr/>
      </w:pPr>
      <w:r>
        <w:rPr/>
        <w:t>6.</w:t>
        <w:tab/>
        <w:t>Tagħmel rakkomandazzjonijiet sodi lill-Istati Membri biex jinvestu f’sistemi tas-saħħa effiċjenti, aċċessibbli, affordabbli, ta’ kwalità u reżiljenti, inkluż fil-kuntest tas-Semestru Ewropew. L-impatt tal-gwerra fl-Ukrajna fuq is-saħħa pubblika juri l-ħtieġa għal aktar żvilupp ta’ sistemi tas-saħħa reżiljenti u mekkaniżmi ta’ solidarjetà.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Proposta: Ħarsa usa’ lejn is-saħħa</w:t>
      </w:r>
    </w:p>
    <w:p>
      <w:pPr>
        <w:pStyle w:val="P68B1DB1Normal15"/>
        <w:rPr>
          <w:b/>
          <w:b/>
        </w:rPr>
      </w:pPr>
      <w:r>
        <w:rPr/>
        <w:t>Għan: Tadotta approċċ olistiku għas-saħħa billi tindirizza, flimkien mal-mard u t-trattamenti, il-kultura u l-prevenzjoni tas-saħħa, u billi tippromwovi fehim komuni tal-problemi li jiffaċċjaw il-persuni morda jew b’diżabbiltà, f’konformità mal-approċċ “Saħħa Waħda”, li għandu jiġi sottolinjat bħala prinċipju trasversali u fundamentali li jinkludi l-politiki kollha tal-Unjoni.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Miżuri</w:t>
      </w:r>
      <w:r>
        <w:rPr>
          <w:rStyle w:val="Ancredenotedefin"/>
          <w:rStyle w:val="Ancredenotedefin"/>
        </w:rPr>
        <w:endnoteReference w:id="6"/>
      </w:r>
      <w:r>
        <w:rPr/>
        <w:t>:</w:t>
      </w:r>
    </w:p>
    <w:p>
      <w:pPr>
        <w:pStyle w:val="Puce3"/>
        <w:tabs>
          <w:tab w:val="clear" w:pos="720"/>
        </w:tabs>
        <w:rPr/>
      </w:pPr>
      <w:r>
        <w:rPr/>
        <w:t>1.</w:t>
        <w:tab/>
        <w:t>Ittejjeb il-fehim ta’ kwistjonijiet ta’ saħħa mentali u kif dawn għandhom jiġu indirizzati, inkluż it-tfulija bikrija u d-dijanjożi bikrija, filwaqt li tibni fuq prattiki tajbin stabbiliti madwar l-Unjoni, li għandhom ikunu faċilment aċċessibbli permezz tal-Portal ta’ Prattika Tajba tas-Saħħa Pubblika. Sabiex titqajjem kuxjenza, l-istituzzjonijiet tal-Unjoni u l-partijiet interessati rilevanti għandhom jorganizzaw avvenimenti għall-iskambju tal-aħjar prattiki u jgħinu lill-membri tagħhom biex ixerrduhom fil-kostitwenza tagħhom stess. Għandu jiġi żviluppat pjan ta’ azzjoni tal-UE dwar is-saħħa mentali, li jipprovdi strateġija fit-tul dwar is-saħħa mentali, inkluża r-riċerka, u jindirizza wkoll id-disponibbiltà ta’ professjonisti, inkluż għall-minorenni, u l-istabbiliment ta’ Sena Ewropea tas-Saħħa Mentali fil-futur qrib.</w:t>
      </w:r>
    </w:p>
    <w:p>
      <w:pPr>
        <w:pStyle w:val="Puce3"/>
        <w:tabs>
          <w:tab w:val="clear" w:pos="720"/>
        </w:tabs>
        <w:rPr/>
      </w:pPr>
      <w:r>
        <w:rPr/>
        <w:t>2.</w:t>
        <w:tab/>
        <w:t>Tiżviluppa, fil-livell tal-UE, programm edukattiv standard dwar stili ta’ ħajja tajbin għas-saħħa, li jkopri wkoll l-edukazzjoni sesswali. Il-programm għandu jinkludi wkoll azzjonijiet immirati kemm lejn stil ta’ ħajja tajjeb għas-saħħa kif ukoll lejn il-ħarsien tal-ambjent, u kif jistgħu jgħinu fil-prevenzjoni ta’ ħafna mard, bħaċ-ċikliżmu bħala mezz tajjeb għas-saħħa tal-ivvjaġġar ta’ kuljum. Din tkun disponibbli mingħajr ħlas għall-Istati Membri u l-iskejjel li jistgħu, fejn xieraq, jużawha fil-programmi tagħhom. Programm bħal dan jindirizza l-isterjotipi dwar in-nies li huma morda jew b’diżabilità. [#46, GT]</w:t>
      </w:r>
    </w:p>
    <w:p>
      <w:pPr>
        <w:pStyle w:val="Puce3"/>
        <w:tabs>
          <w:tab w:val="clear" w:pos="720"/>
        </w:tabs>
        <w:rPr/>
      </w:pPr>
      <w:r>
        <w:rPr/>
        <w:t>3.</w:t>
        <w:tab/>
        <w:t>Tiżviluppa taħriġ prattiku tal-ewwel għajnuna, li jkun offrut mingħajr ħlas liċ-ċittadini kollha, u tikkunsidra l-possibbiltà ta’ korsijiet regolari bħala prattika komuni għall-istudenti kif ukoll fuq il-post tax-xogħol. Għadd minimu ta’ defibrillaturi għandu jkun disponibbli wkoll f’postijiet pubbliċi fl-Istati Membri kollha. [#50]</w:t>
      </w:r>
    </w:p>
    <w:p>
      <w:pPr>
        <w:pStyle w:val="Puce3"/>
        <w:tabs>
          <w:tab w:val="clear" w:pos="720"/>
        </w:tabs>
        <w:rPr/>
      </w:pPr>
      <w:r>
        <w:rPr/>
        <w:t>4.</w:t>
        <w:tab/>
        <w:t>Tespandi l-inizjattiva tal-Ġimgħa tas-Saħħa, li se ssir madwar l-Unjoni fl-istess ġimgħa u li matulha għandhom jiġu indirizzati u diskussi l-kwistjonijiet kollha tas-saħħa. Tikkunsidra wkoll inizjattivi tas-Sena tas-Saħħa, li tibda mis-Sena tas-Saħħa Mentali. [#44, GT]</w:t>
      </w:r>
    </w:p>
    <w:p>
      <w:pPr>
        <w:pStyle w:val="Puce3"/>
        <w:tabs>
          <w:tab w:val="clear" w:pos="720"/>
        </w:tabs>
        <w:rPr/>
      </w:pPr>
      <w:r>
        <w:rPr/>
        <w:t>5.</w:t>
        <w:tab/>
        <w:t>Jirrikonoxxu bħala trattament mediku regolari għat-tassazzjoni prodotti kontraċettivi ormonali użati għal raġunijiet mediċi, pereżempju f’każijiet ta ‘fibromyalgia u endometrijożi, kif ukoll prodotti iġjeniċi femminili. Jiżguraw aċċess għal trattamenti riproduttivi għall-persuni kollha bi problemi ta’ fertilità.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Proposta: Aċċess ugwali għas-saħħa għal kulħadd</w:t>
      </w:r>
    </w:p>
    <w:p>
      <w:pPr>
        <w:pStyle w:val="Normal"/>
        <w:rPr/>
      </w:pPr>
      <w:r>
        <w:rPr/>
        <w:t>Għan: L-istabbiliment ta’ “dritt għas-saħħa” billi jiġi garantit aċċess ugwali u universali lill-Ewropej kollha għal kura tas-saħħa affordabbli, preventiva, kurattiva u ta’ kwalità.</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7"/>
      </w:r>
      <w:r>
        <w:rPr/>
        <w:t>:</w:t>
      </w:r>
    </w:p>
    <w:p>
      <w:pPr>
        <w:pStyle w:val="Puce3"/>
        <w:tabs>
          <w:tab w:val="clear" w:pos="720"/>
        </w:tabs>
        <w:rPr/>
      </w:pPr>
      <w:r>
        <w:rPr/>
        <w:t>1.</w:t>
        <w:tab/>
        <w:t>Jistabbilixxu standards minimi komuni tas-saħħa fil-livell tal-Unjoni, li jkopru wkoll il-prevenzjoni u l-aċċessibbiltà tal-kura kif ukoll il-prossimità għall-kura, u jipprovdu appoġġ għall-istabbiliment ta’ tali standards. [#39, GT]</w:t>
      </w:r>
    </w:p>
    <w:p>
      <w:pPr>
        <w:pStyle w:val="Puce3"/>
        <w:tabs>
          <w:tab w:val="clear" w:pos="720"/>
        </w:tabs>
        <w:rPr/>
      </w:pPr>
      <w:r>
        <w:rPr/>
        <w:t>2.</w:t>
        <w:tab/>
        <w:t>Jirrikonoxxu l-ħtieġa li jittieħed kont sħiħ tal-prinċipju tas-sussidjarjetà u r-rwol ewlieni tal-atturi tas-saħħa lokali, reġjonali u nazzjonali [NL3], biex jiġi żgurat li tista’ tittieħed azzjoni fil-livell tal-Unjoni meta d-dritt għas-saħħa jiġi indirizzat aħjar. Tippermetti teħid ta’ deċiżjonijiet aktar rapidu u aktar sod dwar kwistjonijiet ewlenin u ttejjeb l-effettività tal-governanza Ewropea għall-iżvilupp tal-Unjoni Ewropea tas-Saħħa (eż. pandemija jew mard rari). [#49, FRsouhait11, pjattaforma diġitali]</w:t>
      </w:r>
    </w:p>
    <w:p>
      <w:pPr>
        <w:pStyle w:val="Puce3"/>
        <w:tabs>
          <w:tab w:val="clear" w:pos="720"/>
        </w:tabs>
        <w:rPr/>
      </w:pPr>
      <w:r>
        <w:rPr/>
        <w:t>3.</w:t>
        <w:tab/>
        <w:t>Issaħħaħ l-Unjoni Ewropea tas-Saħħa billi tisfrutta l-potenzjal sħiħ tal-qafas attwali u tinkludi s-saħħa u l-kura tas-saħħa fost il-kompetenzi kondiviżi bejn l-Unjoni u l-Istati Membri tagħha billi temenda l-Artikolu 4 TFUE. [#49, FRsouhait11, pjattaforma diġitali, GT]</w:t>
      </w:r>
      <w:r>
        <w:rPr>
          <w:rStyle w:val="Ancredenotedefin"/>
          <w:rStyle w:val="Ancredenotedefin"/>
        </w:rPr>
        <w:endnoteReference w:id="8"/>
      </w:r>
      <w:r>
        <w:rPr/>
        <w:t>.</w:t>
      </w:r>
    </w:p>
    <w:p>
      <w:pPr>
        <w:pStyle w:val="Puce3"/>
        <w:tabs>
          <w:tab w:val="clear" w:pos="720"/>
        </w:tabs>
        <w:rPr/>
      </w:pPr>
      <w:r>
        <w:rPr/>
        <w:t>4.</w:t>
        <w:tab/>
        <w:t>Tiżgura li kulħadd ikollu aċċess għal trattamenti eżistenti fl-ewwel pajjiż tal-UE fejn ikunu disponibbli; għal dan il-għan, ittejjeb il-kooperazzjoni transkonfinali, b’mod partikolari dwar il-mard rari, il-kanċer, il-mard kardjovaskulari u t-trattamenti speċjalizzati ħafna, bħat-trapjanti tal-organi u t-trattament ta’ ħruq serju. Għandu jitwaqqaf netwerk Ewropew ta’ trapjanti u donazzjoni ta’ organi għall-pazjenti Ewropej kollha li jeħtieġu trapjant. [Plenarja u TG]</w:t>
      </w:r>
    </w:p>
    <w:p>
      <w:pPr>
        <w:pStyle w:val="Puce3"/>
        <w:tabs>
          <w:tab w:val="clear" w:pos="720"/>
        </w:tabs>
        <w:rPr/>
      </w:pPr>
      <w:r>
        <w:rPr/>
        <w:t>5.</w:t>
        <w:tab/>
        <w:t>Jiżguraw kura affordabbli, permezz ta’ investimenti akbar fil-kura tas-saħħa, b’mod partikolari l-kura dentali, inkluża l-profilassi u jiżguraw li l-kura dentali affordabbli tkun aċċessibbli għal kulħadd fi żmien 15–20 sena. [#48, GT]</w:t>
      </w:r>
    </w:p>
    <w:p>
      <w:pPr>
        <w:pStyle w:val="Puce3"/>
        <w:tabs>
          <w:tab w:val="clear" w:pos="720"/>
        </w:tabs>
        <w:rPr/>
      </w:pPr>
      <w:r>
        <w:rPr/>
        <w:t>6.</w:t>
        <w:tab/>
        <w:t>Jiżguraw li t-trattamenti u l-mediċini madwar l-Unjoni jkunu ta’ kwalità ugwali u jkollhom spiża lokali ġusta, inkluż billi tiġi indirizzata l-frammentazzjoni attwali tas-suq intern. [#40, NL3, Grupp ta’ Ħidma, plenarja]</w:t>
      </w:r>
    </w:p>
    <w:p>
      <w:pPr>
        <w:pStyle w:val="Puce3"/>
        <w:tabs>
          <w:tab w:val="clear" w:pos="720"/>
        </w:tabs>
        <w:rPr/>
      </w:pPr>
      <w:r>
        <w:rPr/>
        <w:t>7.</w:t>
        <w:tab/>
        <w:t>Tiġġieled kontra n-nuqqas ta’ sigurtà tas-saħħa billi tinkoraġġixxi l-għoti ta’ kura dentali b’xejn lit-tfal, lill-gruppi bi dħul baxx u lil gruppi vulnerabbli oħra, bħall-persuni b’diżabilità. Jistudja wkoll il-konsegwenzi fuq is-saħħa ta’ akkomodazzjoni fqira. [#48, GT]</w:t>
      </w:r>
    </w:p>
    <w:p>
      <w:pPr>
        <w:pStyle w:val="Puce3"/>
        <w:tabs>
          <w:tab w:val="clear" w:pos="720"/>
        </w:tabs>
        <w:rPr/>
      </w:pPr>
      <w:r>
        <w:rPr/>
        <w:t>8.</w:t>
        <w:tab/>
        <w:t>Tqis id-dimensjoni internazzjonali tas-saħħa u tirrikonoxxi li l-mediċini għandhom ikunu disponibbli b’mod universali, inkluż fl-ifqar pajjiżi.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23"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Ekonomija Aktar b’Saħħitha, Ġustizzja Soċjali u Impjiegi</w:t>
      </w:r>
    </w:p>
    <w:p>
      <w:pPr>
        <w:pStyle w:val="P68B1DB1Normal15"/>
        <w:rPr>
          <w:b/>
          <w:b/>
        </w:rPr>
      </w:pPr>
      <w:r>
        <w:rPr/>
        <w:t>Introduzzjoni</w:t>
      </w:r>
    </w:p>
    <w:p>
      <w:pPr>
        <w:pStyle w:val="Normal"/>
        <w:rPr/>
      </w:pPr>
      <w:r>
        <w:rPr/>
        <w:t>Aħna ngħixu f’ċirkostanzi eċċezzjonali u l-Unjoni Ewropea se tiġi ġġudikata fuq l-isforzi tagħha biex toħroġ aktar b’saħħitha mill-kriżijiet attwali, b’mudell ta’ tkabbir aktar sostenibbli, inklużiv, kompetittiv u reżiljenti. L-invażjoni tar-Russja tal-Ukrajna u l-pandemija tal-COVID-19 biddlu l-wiċċ tal-UE. Il-konferenza se jkollha tindirizza wkoll il-konsegwenzi soċjali u ekonomiċi ta’ din il-gwerra f’kuntest ta’ wara l-pandemija li diġà huwa diffiċli ħafna. Fl-istess ħin, it-tibdil fil-klima għadu ta’ theddida għall-umanità u se jkollu impatt drammatiku fuq l-ekonomija u s-soċjetajiet tagħna. Huwa ċar mir-rakkomandazzjonijiet li waslu li ċ-ċittadini jitolbu azzjoni aktar b’saħħitha mill-UE. Sfidi transnazzjonali mhux solvuti, bħall-inugwaljanza, il-kompetittività, is-saħħa, it-tibdil fil-klima, il-migrazzjoni, id-diġitalizzazzjoni jew it-tassazzjoni ġusta, jeħtieġu soluzzjonijiet Ewropej xierqa. Huwa ċar ukoll mir-rakkomandazzjonijiet u d-diskussjonijiet li neħtieġu strateġija komprensiva biex niżguraw benesseri akbar għaċ-ċittadini Ewropej f’aspetti differenti ta’ ħajjithom. Xi elementi ta’ din l-istrateġija huma inklużi fil-politiki eżistenti u jistgħu jinkisbu billi jsir użu sħiħ mill-qafas istituzzjonali eżistenti fil-livell Ewropew u nazzjonali; oħrajn se jeħtieġu politiki ġodda u, f’xi każijiet, bidliet fit-trattati. Madankollu, il-politiki l-ġodda u l-bidliet fit-trattati għandhom jitqiesu bħala mezzi biex jittejjeb il-benesseri u mhux bħala għanijiet fihom infushom. Huwa kemm possibbli kif ukoll neċessarju li l-Unjoni tiġi definita mill-ġdid sabiex tiggarantixxi l-awtonomija strateġika tagħha, it-tkabbir sostenibbli tagħha, it-titjib tal-kundizzjonijiet tal-għajxien u tax-xogħol u l-progress uman, mingħajr ma jiġu eżawriti jew meqruda r-riżorsi tal-pjaneta tagħna, taħt kuntratt soċjali mġedded. Dawn ir-rakkomandazzjonijiet għandhom l-għan li jilħqu dawn l-għanijiet. Il-proposti ta’ hawn taħt għandhom jinqraw filwaqt li jitqies li ċ-ċittadini madwar l-Ewropa għamlu varjetà ta’ fehmiet u rakkomandazzjonijiet. Hija din id-diversità ta’ fehmiet li hija waħda mill-assi inkomparabbli tal-Ewropa.</w:t>
      </w:r>
    </w:p>
    <w:p>
      <w:pPr>
        <w:pStyle w:val="Normal"/>
        <w:rPr/>
      </w:pPr>
      <w:r>
        <w:rPr/>
      </w:r>
      <w:r>
        <w:br w:type="page"/>
      </w:r>
    </w:p>
    <w:p>
      <w:pPr>
        <w:pStyle w:val="Titre3"/>
        <w:numPr>
          <w:ilvl w:val="2"/>
          <w:numId w:val="2"/>
        </w:numPr>
        <w:rPr/>
      </w:pPr>
      <w:bookmarkStart w:id="58" w:name="__RefHeading___Toc298290_1346298689"/>
      <w:bookmarkEnd w:id="58"/>
      <w:r>
        <w:rPr/>
        <w:t>11. Proposta: It-tkabbir sostenibbli u l-innovazzjoni</w:t>
      </w:r>
    </w:p>
    <w:p>
      <w:pPr>
        <w:pStyle w:val="P68B1DB1Normal15"/>
        <w:rPr>
          <w:b/>
          <w:b/>
        </w:rPr>
      </w:pPr>
      <w:r>
        <w:rPr/>
        <w:t>Għan: Nipproponu li l-UE tappoġġa t-tranżizzjoni lejn mudell ta’ tkabbir sostenibbli u reżiljenti, filwaqt li tqis it-tranżizzjonijiet ekoloġiċi u diġitali b’dimensjoni soċjali b’saħħitha fis-Semestru Ewropew u tagħti s-setgħa liċ-ċittadini, lit-trade unions u lin-negozji. L-indikaturi makroekonomiċi konvenzjonali u l-PDG jistgħu jiġu kkomplementati b’indikaturi ġodda biex jirrispondu għal prijoritajiet Ewropej ġodda, bħall-Patt Ekoloġiku Ewropew jew il-Pilastru Ewropew tad-Drittijiet Soċjali, u biex jirriflettu aħjar it-tranżizzjonijiet ekoloġiċi u diġitali u l-benesseri tan-nies. Dan jista’ jinkiseb permezz tal-miżuri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9"/>
      </w:r>
      <w:r>
        <w:rPr/>
        <w:t>:</w:t>
      </w:r>
    </w:p>
    <w:p>
      <w:pPr>
        <w:pStyle w:val="Puce3"/>
        <w:rPr/>
      </w:pPr>
      <w:r>
        <w:rPr/>
        <w:t>1.</w:t>
        <w:tab/>
        <w:t>Tippromwovi proċessi ta’ produzzjoni aktar ekoloġiċi mill-kumpaniji, tgħin lill-kumpaniji jsibu l-aħjar soluzzjonijiet u tipprovdi inċentivi pożittivi u negattivi. (PCE 11 u 12), u żieda fil-produzzjoni u l-konsum lokali (diskussjonijiet).</w:t>
      </w:r>
    </w:p>
    <w:p>
      <w:pPr>
        <w:pStyle w:val="Puce3"/>
        <w:tabs>
          <w:tab w:val="clear" w:pos="720"/>
        </w:tabs>
        <w:rPr/>
      </w:pPr>
      <w:r>
        <w:rPr/>
        <w:t>2.</w:t>
        <w:tab/>
        <w:t>Ħidma lejn ekonomija aktar sostenibbli u ċirkolari billi tiġi indirizzata l-problema tal-obsolexxenza ppjanata u jiġi ggarantit id-dritt għal riparazzjoni (PCE 14).</w:t>
      </w:r>
    </w:p>
    <w:p>
      <w:pPr>
        <w:pStyle w:val="Puce3"/>
        <w:tabs>
          <w:tab w:val="clear" w:pos="720"/>
        </w:tabs>
        <w:rPr/>
      </w:pPr>
      <w:r>
        <w:rPr/>
        <w:t>3.</w:t>
        <w:tab/>
        <w:t>Teżamina l-governanza ekonomika tal-Unjoni u s-Semestru Ewropew biex tiżgura li t-tranżizzjonijiet ekoloġiċi u diġitali, il-ġustizzja soċjali u l-progress soċjali jimxu id f’id mal-kompetittività ekonomika, mingħajr ma tiġi injorata n-natura ekonomika u baġitarja tas-Semestru Ewropew. Barra minn hekk, hemm bżonn li l-imsieħba soċjali u l-awtoritajiet lokali u reġjonali jiġu involuti aħjar fl-implimentazzjoni tas-Semestru Ewropew sabiex jittejbu l-applikazzjoni u r-responsabbiltà tiegħu (pjattaforma elettronika, diskussjonijiet).</w:t>
      </w:r>
    </w:p>
    <w:p>
      <w:pPr>
        <w:pStyle w:val="Puce3"/>
        <w:tabs>
          <w:tab w:val="clear" w:pos="720"/>
        </w:tabs>
        <w:rPr/>
      </w:pPr>
      <w:r>
        <w:rPr/>
        <w:t>4.</w:t>
        <w:tab/>
        <w:t>Jiġi miġġieled l-użu ta’ imballaġġ/kontenituri tal-plastik li jintużaw darba biss (PCE 12).</w:t>
      </w:r>
    </w:p>
    <w:p>
      <w:pPr>
        <w:pStyle w:val="Puce3"/>
        <w:tabs>
          <w:tab w:val="clear" w:pos="720"/>
        </w:tabs>
        <w:rPr/>
      </w:pPr>
      <w:r>
        <w:rPr/>
        <w:t>5.</w:t>
        <w:tab/>
        <w:t>Jespandu l-użu tat-teknoloġija Ewropea u jagħmluha alternattiva vijabbli għat-teknoloġija barranija (diskussjonijiet).</w:t>
      </w:r>
    </w:p>
    <w:p>
      <w:pPr>
        <w:pStyle w:val="Puce3"/>
        <w:tabs>
          <w:tab w:val="clear" w:pos="720"/>
        </w:tabs>
        <w:rPr/>
      </w:pPr>
      <w:r>
        <w:rPr/>
        <w:t>6.</w:t>
        <w:tab/>
        <w:t>Il-promozzjoni tar-riċerka f’materjali u teknoloġiji ġodda, kif ukoll l-użu innovattiv ta’ materjali eżistenti, filwaqt li tiġi evitata d-duplikazzjoni tal-isforzi ta’ riċerka (PCE 9, NL 1).</w:t>
      </w:r>
    </w:p>
    <w:p>
      <w:pPr>
        <w:pStyle w:val="Puce3"/>
        <w:tabs>
          <w:tab w:val="clear" w:pos="720"/>
        </w:tabs>
        <w:rPr/>
      </w:pPr>
      <w:r>
        <w:rPr/>
        <w:t>7.</w:t>
        <w:tab/>
        <w:t>Jikkunsidraw is-sostenibbiltà, l-affordabbiltà u l-aċċessibbiltà tal-enerġija, filwaqt li jqisu l-faqar enerġetiku u d-dipendenza fuq pajjiżi terzi, billi jżidu s-sehem tal-enerġija prodotta b’mod sostenibbli (CEP 10, LT 3, IT 1.1).</w:t>
      </w:r>
    </w:p>
    <w:p>
      <w:pPr>
        <w:pStyle w:val="Puce3"/>
        <w:tabs>
          <w:tab w:val="clear" w:pos="720"/>
        </w:tabs>
        <w:rPr/>
      </w:pPr>
      <w:r>
        <w:rPr/>
        <w:t>8.</w:t>
        <w:tab/>
        <w:t>Iqajmu kuxjenza fost in-negozji u ċ-ċittadini biex jadottaw imġiba aktar sostenibbli u jiżguraw tranżizzjoni ġusta bbażata fuq id-djalogu soċjali u l-impjiegi ta’ kwalità (CEP 12 u pjattaforma online).</w:t>
      </w:r>
    </w:p>
    <w:p>
      <w:pPr>
        <w:pStyle w:val="Puce3"/>
        <w:tabs>
          <w:tab w:val="clear" w:pos="720"/>
        </w:tabs>
        <w:rPr/>
      </w:pPr>
      <w:r>
        <w:rPr/>
        <w:t>9.</w:t>
        <w:tab/>
        <w:t>L-inklużjoni ta’ standards soċjali, tax-xogħol u tas-saħħa ambizzjużi, inklużi s-saħħa u s-sigurtà fuq il-post tax-xogħol, fi ftehimiet kummerċjali ġodda tal-UE.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Proposta: It-tisħiħ tal-kompetittività tal-Unjoni u l-approfondiment ulterjuri tas-suq uniku</w:t>
      </w:r>
    </w:p>
    <w:p>
      <w:pPr>
        <w:pStyle w:val="Normal"/>
        <w:rPr/>
      </w:pPr>
      <w:r>
        <w:rPr/>
        <w:t>Għan: Nipproponu li jissaħħu l-kompetittività u r-reżiljenza tal-ekonomija, is-suq uniku u l-industrija tal-UE u li jiġu indirizzati d-dipendenzi strateġiċi. Jeħtieġ li nippromwovu kultura intraprenditorjali fl-UE, li fiha kumpaniji innovattivi ta’ kull daqs, b’mod partikolari intrapriżi mikro, żgħar u ta’ daqs medju u negozji ġodda, huma mħeġġa u jistgħu jirnexxu sabiex jikkontribwixxu għal soċjetajiet aktar reżiljenti u inklużivi. Ekonomija tas-suq b’saħħitha u vijabbli hija meħtieġa biex tiffaċilita l-viżjoni ta’ Ewropa aktar soċjali. Dan jista’ jinkiseb permezz tal-miżuri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10"/>
      </w:r>
      <w:r>
        <w:rPr/>
        <w:t>:</w:t>
      </w:r>
    </w:p>
    <w:p>
      <w:pPr>
        <w:pStyle w:val="Puce3"/>
        <w:tabs>
          <w:tab w:val="clear" w:pos="720"/>
        </w:tabs>
        <w:rPr/>
      </w:pPr>
      <w:r>
        <w:rPr/>
        <w:t>1.</w:t>
        <w:tab/>
        <w:t>Tiżviluppa viżjoni ċara tal-ekonomija Ewropea u tibni fuq is-saħħiet, il-kwalità u d-diversità tal-Ewropa, filwaqt li tqis id-differenzi ekonomiċi u oħrajn bejn l-Istati Membri, u tippromwovi l-kooperazzjoni u l-kompetizzjoni bejn in-negozji. (NL 1 &amp; 2)</w:t>
      </w:r>
    </w:p>
    <w:p>
      <w:pPr>
        <w:pStyle w:val="Puce3"/>
        <w:tabs>
          <w:tab w:val="clear" w:pos="720"/>
        </w:tabs>
        <w:rPr/>
      </w:pPr>
      <w:r>
        <w:rPr/>
        <w:t>2.</w:t>
        <w:tab/>
        <w:t>Jikkonsolida dak li sar fir-rigward tal-munita unika u l-interkonnessjoni tas-sistemi ta’ pagament u t-telekomunikazzjoni. (Hija 4.a.2)</w:t>
      </w:r>
    </w:p>
    <w:p>
      <w:pPr>
        <w:pStyle w:val="Puce3"/>
        <w:tabs>
          <w:tab w:val="clear" w:pos="720"/>
        </w:tabs>
        <w:rPr/>
      </w:pPr>
      <w:r>
        <w:rPr/>
        <w:t>3.</w:t>
        <w:tab/>
        <w:t>Titnaqqas l-istandardizzazzjoni tal-prodotti u jiġu rikonoxxuti l-ispeċifiċitajiet lokali u reġjonali f’termini ta’ kultura u produzzjoni (rispett għat-tradizzjonijiet tal-produzzjoni). (IT-TAQSIMA 2.2)</w:t>
      </w:r>
    </w:p>
    <w:p>
      <w:pPr>
        <w:pStyle w:val="Puce3"/>
        <w:tabs>
          <w:tab w:val="clear" w:pos="720"/>
        </w:tabs>
        <w:rPr/>
      </w:pPr>
      <w:r>
        <w:rPr/>
        <w:t>4.</w:t>
        <w:tab/>
        <w:t>It-tisħiħ tal-konverġenza soċjali u ekonomika ‘l fuq fi ħdan is-Suq Uniku, it-tlestija ta’ inizjattivi eżistenti bħall-Unjoni Bankarja u l-Unjoni tas-Swieq Kapitali u l-implimentazzjoni ta’ riforma li tħares’il quddiem tal-Unjoni Ekonomika u Monetarja tagħna (diskussjonijiet).</w:t>
      </w:r>
    </w:p>
    <w:p>
      <w:pPr>
        <w:pStyle w:val="Puce3"/>
        <w:tabs>
          <w:tab w:val="clear" w:pos="720"/>
        </w:tabs>
        <w:rPr/>
      </w:pPr>
      <w:r>
        <w:rPr/>
        <w:t>5.</w:t>
        <w:tab/>
        <w:t>Il-promozzjoni ta’ politiki għal bażi industrijali b’saħħitha u innovazzjoni f’teknoloġiji abilitanti essenzjali, kif ukoll politika dwar il-klima li tħares’il quddiem, flimkien ma’ kompetittività industrijali b’dimensjoni soċjali b’saħħitha, ibbażata fuq djalogu soċjali u relazzjonijiet industrijali li jiffunzjonaw tajjeb (diskussjonijiet).</w:t>
      </w:r>
    </w:p>
    <w:p>
      <w:pPr>
        <w:pStyle w:val="Puce3"/>
        <w:tabs>
          <w:tab w:val="clear" w:pos="720"/>
        </w:tabs>
        <w:rPr/>
      </w:pPr>
      <w:r>
        <w:rPr/>
        <w:t>6.</w:t>
        <w:tab/>
        <w:t>Fl-inizjattivi l-ġodda kollha, nagħtu attenzjoni partikolari lill-SMEs, li huma s-sinsla tal-ekonomija tagħna. Il-prinċipju li “l-ewwel naħsbu l-SMEs” għandu jiġi rispettat fil-proposti leġislattivi kollha tal-UE u t-test tal-SMEs għandu jissaħħaħ fil-valutazzjonijiet tal-impatt tal-Kummissjoni, f’konformità ma’ prinċipji ċari, filwaqt li jiġu rispettati bis-sħiħ l-istandards soċjali u ambjentali u d-drittijiet tal-konsumatur (diskussjonijiet).</w:t>
      </w:r>
    </w:p>
    <w:p>
      <w:pPr>
        <w:pStyle w:val="Puce3"/>
        <w:tabs>
          <w:tab w:val="clear" w:pos="720"/>
        </w:tabs>
        <w:rPr/>
      </w:pPr>
      <w:r>
        <w:rPr/>
        <w:t>7.</w:t>
        <w:tab/>
        <w:t>Tiżgura l-parteċipazzjoni tal-SMEs fl-applikazzjonijiet għall-finanzjament, fis-sejħiet għall-offerti u fin-netwerks, bl-inqas sforz amministrattiv possibbli. L-aċċess għall-finanzi għall-SMEs bi proġetti ta’ innovazzjoni b’riskju għoli għandu jiġi żviluppat aktar minn entitajiet bħall-Kunsill Ewropew tal-Innovazzjoni u l-Bank Ewropew tal-Investiment (diskussjonijiet).</w:t>
      </w:r>
    </w:p>
    <w:p>
      <w:pPr>
        <w:pStyle w:val="Puce3"/>
        <w:tabs>
          <w:tab w:val="clear" w:pos="720"/>
        </w:tabs>
        <w:rPr/>
      </w:pPr>
      <w:r>
        <w:rPr/>
        <w:t>8.</w:t>
        <w:tab/>
        <w:t>Jinħoloq qafas aħjar għall-investiment fir-R &amp; I biex jinbnew mudelli ta’ negozju aktar sostenibbli u rikki fil-bijodiversità (CEP 10, 11 u 14); tiffoka fuq it-teknoloġija u l-innovazzjoni bħala muturi tat-tkabbir. (HUWA 1.3)</w:t>
      </w:r>
    </w:p>
    <w:p>
      <w:pPr>
        <w:pStyle w:val="Puce3"/>
        <w:tabs>
          <w:tab w:val="clear" w:pos="720"/>
        </w:tabs>
        <w:rPr/>
      </w:pPr>
      <w:r>
        <w:rPr/>
        <w:t>9.</w:t>
        <w:tab/>
        <w:t>Il-promozzjoni tal-prestazzjoni ekonomika kollettiva permezz ta’ industrija awtonoma u kompetittiva. (FR3)</w:t>
      </w:r>
    </w:p>
    <w:p>
      <w:pPr>
        <w:pStyle w:val="Puce3"/>
        <w:tabs>
          <w:tab w:val="clear" w:pos="720"/>
        </w:tabs>
        <w:rPr/>
      </w:pPr>
      <w:r>
        <w:rPr/>
        <w:t>10.</w:t>
        <w:tab/>
        <w:t>L-identifikazzjoni u l-iżvilupp ta’ setturi strateġiċi, inklużi l-ispazju, ir-robotika u l-IA. (EN 3 &amp; 9)</w:t>
      </w:r>
    </w:p>
    <w:p>
      <w:pPr>
        <w:pStyle w:val="Puce3"/>
        <w:tabs>
          <w:tab w:val="clear" w:pos="720"/>
        </w:tabs>
        <w:rPr/>
      </w:pPr>
      <w:r>
        <w:rPr/>
        <w:t>11.</w:t>
        <w:tab/>
        <w:t>Ninvestu fl-ekonomija tat-turiżmu u kulturali, u nivvalorizzaw ukoll il-ħafna destinazzjonijiet żgħar fl-Ewropa. (IT-TAQSIMA 1.2)</w:t>
      </w:r>
    </w:p>
    <w:p>
      <w:pPr>
        <w:pStyle w:val="Puce3"/>
        <w:tabs>
          <w:tab w:val="clear" w:pos="720"/>
        </w:tabs>
        <w:rPr/>
      </w:pPr>
      <w:r>
        <w:rPr/>
        <w:t>12.</w:t>
        <w:tab/>
        <w:t>Tiżgura s-sigurtà tal-provvista billi tiddiversifika s-sorsi ta’ input/materja prima u żżid il-manifattura ta’ prodotti essenzjali fl-Ewropa, bħas-saħħa, l-ikel, l-enerġija, id-difiża u t-trasport. (EN 9, LT 1, IT 1.4)</w:t>
      </w:r>
    </w:p>
    <w:p>
      <w:pPr>
        <w:pStyle w:val="Puce3"/>
        <w:tabs>
          <w:tab w:val="clear" w:pos="720"/>
        </w:tabs>
        <w:rPr/>
      </w:pPr>
      <w:r>
        <w:rPr/>
        <w:t>13.</w:t>
        <w:tab/>
        <w:t>Il-promozzjoni tad-diġitalizzazzjoni tan-negozji Ewropej, pereżempju permezz ta’ tabella ta’ valutazzjoni speċifika li tippermetti lill-kumpaniji jqabblu l-grad ta’ diġitalizzazzjoni tagħhom, bil-għan ġenerali li jżidu l-kompetittività tagħhom. (MINN 2.1)</w:t>
      </w:r>
    </w:p>
    <w:p>
      <w:pPr>
        <w:pStyle w:val="Puce3"/>
        <w:tabs>
          <w:tab w:val="clear" w:pos="720"/>
        </w:tabs>
        <w:rPr/>
      </w:pPr>
      <w:r>
        <w:rPr/>
        <w:t>14.</w:t>
        <w:tab/>
        <w:t>Tippromwovi l-koeżjoni diġitali sabiex tikkontribwixxi għall-koeżjoni ekonomika, soċjali u territorjali kif definita fit-Trattat dwar il-Funzjonament tal-Unjoni Ewropea (diskussjonijiet).</w:t>
      </w:r>
    </w:p>
    <w:p>
      <w:pPr>
        <w:pStyle w:val="Puce3"/>
        <w:tabs>
          <w:tab w:val="clear" w:pos="720"/>
        </w:tabs>
        <w:rPr/>
      </w:pPr>
      <w:r>
        <w:rPr/>
        <w:t>15.</w:t>
        <w:tab/>
        <w:t>Tissaħħaħ il-kooperazzjoni transfruntiera sabiex jissaħħu l-koeżjoni u r-reżiljenza fir-reġjuni u barra minnhom, billi jitħeġġeġ il-mekkaniżmu transfruntier Ewropew u għodod simili (diskussjonijiet).</w:t>
      </w:r>
    </w:p>
    <w:p>
      <w:pPr>
        <w:pStyle w:val="Puce3"/>
        <w:tabs>
          <w:tab w:val="clear" w:pos="720"/>
        </w:tabs>
        <w:rPr/>
      </w:pPr>
      <w:r>
        <w:rPr/>
        <w:t>16.</w:t>
        <w:tab/>
        <w:t>Issaħħaħ u tippromwovi opportunitajiet ta’ taħriġ transkonfinali sabiex ittejjeb il-ħiliet tal-forza tax-xogħol Ewropea u żżid il-kompetittività, filwaqt li ssaħħaħ il-ħiliet taċ-ċittadini fil-qasam ekonomiku. (DE 2.2, LT7). Il-promozzjoni tal-kummerċ bejn il-ħaddiema fl-Ewropa permezz ta’ Ċentru Ewropew għall-Impjiegi; (It 6.1) jinkoraġġixxu liż-żgħażagħ jistudjaw suġġetti xjentifiċi. (HIJA 1.5)</w:t>
      </w:r>
    </w:p>
    <w:p>
      <w:pPr>
        <w:pStyle w:val="Puce3"/>
        <w:tabs>
          <w:tab w:val="clear" w:pos="720"/>
        </w:tabs>
        <w:rPr/>
      </w:pPr>
      <w:r>
        <w:rPr/>
        <w:t>17.</w:t>
        <w:tab/>
        <w:t>It-tnaqqis tal-burokrazija (awtorizzazzjonijiet, ċertifikazzjonijiet) fejn dan mhuwiex essenzjali. (IT-TAQSIMA 2.1)</w:t>
      </w:r>
    </w:p>
    <w:p>
      <w:pPr>
        <w:pStyle w:val="Puce3"/>
        <w:tabs>
          <w:tab w:val="clear" w:pos="720"/>
        </w:tabs>
        <w:rPr/>
      </w:pPr>
      <w:r>
        <w:rPr/>
        <w:t>18.</w:t>
        <w:tab/>
        <w:t>Il-ġlieda kontra l-falsifikazzjoni u l-kompetizzjoni inġusta. (HIJA 2.4)</w:t>
      </w:r>
    </w:p>
    <w:p>
      <w:pPr>
        <w:pStyle w:val="Puce3"/>
        <w:tabs>
          <w:tab w:val="clear" w:pos="720"/>
        </w:tabs>
        <w:rPr/>
      </w:pPr>
      <w:r>
        <w:rPr/>
        <w:t>19.</w:t>
        <w:tab/>
        <w:t>Jiżguraw parteċipazzjoni akbar ta’ negozji ġodda u SMEs fi proġetti ta’ innovazzjoni, peress li dan isaħħaħ is-saħħa tal-innovazzjoni, il-kompetittività u n-netwerking tagħhom (pjattaforma elettronika, diskussjonijiet).</w:t>
      </w:r>
    </w:p>
    <w:p>
      <w:pPr>
        <w:pStyle w:val="Puce3"/>
        <w:tabs>
          <w:tab w:val="clear" w:pos="720"/>
        </w:tabs>
        <w:rPr/>
      </w:pPr>
      <w:r>
        <w:rPr/>
        <w:t>20.</w:t>
        <w:tab/>
        <w:t>Il-konsolidazzjoni u l-protezzjoni tas-suq uniku għandhom jibqgħu prijorità; il-miżuri u l-inizjattivi meħuda fil-livell nazzjonali u tal-Unjoni jenħtieġ li ma jippreġudikawx is-suq uniku u jenħtieġ li jikkontribwixxu għall-moviment liberu tal-persuni, tal-oġġetti, tas-servizzi u tal-kapital (diskussjonijiet).</w:t>
      </w:r>
    </w:p>
    <w:p>
      <w:pPr>
        <w:pStyle w:val="Puce3"/>
        <w:tabs>
          <w:tab w:val="clear" w:pos="720"/>
        </w:tabs>
        <w:rPr/>
      </w:pPr>
      <w:r>
        <w:rPr/>
        <w:t>21.</w:t>
        <w:tab/>
        <w:t>Inizjattivi ġodda ta’ politika tal-UE għandhom ikunu soġġetti għal “kontroll tal-kompetittività” sabiex jiġi analizzat l-impatt tagħhom fuq in-negozji u l-ambjent tan-negozju tagħhom (l-ispiża tal-attività ekonomika, il-kapaċità tal-innovazzjoni, il-kompetittività internazzjonali, il-kundizzjonijiet ekwi, eċċ.). Dan il-monitoraġġ huwa konformi mal-Ftehim ta’ Pariġi u l-Għanijiet ta’ Żvilupp Sostenibbli, inkluża l-ugwaljanza bejn is-sessi, u ma jdgħajjifx il-protezzjoni tad-drittijiet tal-bniedem, id-drittijiet soċjali u tax-xogħol, jew l-istandards ambjentali u tal-protezzjoni tal-konsumatur. Għal dan il-għan, nipproponu wkoll il-ħolqien ta’ Korp Konsultattiv Ewropew għall-Kompetittività biex jimmonitorja kif jitwettaq il-monitoraġġ tal-kompetittività u, b’mod partikolari, biex jivvaluta l-effetti kumulattivi tal-leġiżlazzjoni, kif ukoll biex iressaq proposti biex jittejbu l-kundizzjonijiet qafas xierqa għall-kompetittività tan-negozji tal-UE. Dan il-korp għandu jinkludi s-soċjetà ċivili organizzata u l-imsieħba soċjali fil-governanza tiegħu; (diskussjonijiet)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Proposta: Swieq tax-xogħol inklużivi</w:t>
      </w:r>
    </w:p>
    <w:p>
      <w:pPr>
        <w:pStyle w:val="P68B1DB1Normal15"/>
        <w:rPr>
          <w:b/>
          <w:b/>
        </w:rPr>
      </w:pPr>
      <w:r>
        <w:rPr/>
        <w:t>Għan: Nipproponu li jittejjeb il-funzjonament tas-swieq tax-xogħol biex jiġu żgurati kundizzjonijiet tax-xogħol aktar ġusti u jiġu promossi l-ugwaljanza bejn is-sessi u l-impjiegi, speċjalment għaż-żgħażagħ u l-gruppi vulnerabbli. L-UE, l-Istati Membri u s-sħab soċjali jeħtieġ li jaħdmu biex itemmu l-faqar tal-ħaddiema, isaħħu d-drittijiet tal-ħaddiema tal-pjattaformi, jipprojbixxu t-traineeships mingħajr ħlas u jiżguraw mobilità ġusta tal-forza tax-xogħol fl-Unjoni. Għandna nippromwovu d-djalogu soċjali u n-negozjar kollettiv. Jeħtieġ li niżguraw l-implimentazzjoni sħiħa tal-Pilastru Ewropew tad-Drittijiet Soċjali, inklużi l-miri ewlenin rilevanti tiegħu għall-2030, fil-livelli Ewropej, nazzjonali, reġjonali u lokali fl-oqsma ta’ “opportunitajiet indaqs u aċċess għas-suq tax-xogħol” u “kundizzjonijiet tax-xogħol ġusti”, filwaqt li nirrispettaw il-kompetenzi u l-prinċipji tas-sussidjarjetà u l-proporzjonalità, u ninkludu Protokoll dwar il-progress soċjali fit-Trattati. B’hekk, jeħtieġ li jiġu rispettati t-tradizzjonijiet nazzjonali u l-awtonomija tal-imsieħba soċjali u li jkun hemm kooperazzjoni mas-soċjetà ċivili. Dan jista’ jinkiseb permezz tal-miżuri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11"/>
      </w:r>
      <w:r>
        <w:rPr/>
        <w:t>:</w:t>
      </w:r>
    </w:p>
    <w:p>
      <w:pPr>
        <w:pStyle w:val="Puce3"/>
        <w:tabs>
          <w:tab w:val="clear" w:pos="720"/>
        </w:tabs>
        <w:rPr/>
      </w:pPr>
      <w:r>
        <w:rPr/>
        <w:t>1.</w:t>
        <w:tab/>
        <w:t>Jiżguraw li l-pagi minimi statutorji jiggarantixxu lil kull ħaddiem kwalità tal-ħajja deċenti u simili fl-Istati Membri kollha. Kriterji ċari (eż. l-għoli tal-ħajja, l-inflazzjoni, livell ogħla mil-linja tal-faqar, il-pagi medji u medjani fil-livell nazzjonali) għandhom jiġu definiti biex jitqiesu meta jiġi stabbilit il-livell tal-paga minima. Il-livelli tal-pagi minimi statutorji għandhom jiġu riveduti regolarment fid-dawl ta’ dawn il-kriterji sabiex tiġi żgurata l-adegwatezza tagħhom. Għandha tingħata attenzjoni partikolari għall-implimentazzjoni effettiva ta’ dawn ir-regoli u għall-monitoraġġ u l-monitoraġġ tat-titjib tal-istandards tal-għajxien. Fl-istess ħin, in-negozjar kollettiv għandu jissaħħaħ u jiġi promoss fl-Unjoni kollha (PCE 1 u 30; 4.2; pjattaforma online).</w:t>
      </w:r>
    </w:p>
    <w:p>
      <w:pPr>
        <w:pStyle w:val="Puce3"/>
        <w:tabs>
          <w:tab w:val="clear" w:pos="720"/>
        </w:tabs>
        <w:rPr/>
      </w:pPr>
      <w:r>
        <w:rPr/>
        <w:t>2.</w:t>
        <w:tab/>
        <w:t>Tevalwa u tkompli ssaħħaħ l-implimentazzjoni tad-Direttiva dwar il-Ħin tax-Xogħol (id-Direttiva 2003/88/KE) u leġiżlazzjoni rilevanti oħra li tiżgura bilanċ tajjeb bejn ix-xogħol u l-ħajja privata, filwaqt li tikkunsidra politiki nazzjonali ġodda f’dan il-qasam (CEP 2).</w:t>
      </w:r>
    </w:p>
    <w:p>
      <w:pPr>
        <w:pStyle w:val="Puce3"/>
        <w:tabs>
          <w:tab w:val="clear" w:pos="720"/>
        </w:tabs>
        <w:rPr/>
      </w:pPr>
      <w:r>
        <w:rPr/>
        <w:t>3.</w:t>
        <w:tab/>
        <w:t>L-introduzzjoni jew it-tisħiħ tal-leġiżlazzjoni eżistenti dwar “xogħol intelliġenti”, u l-inkoraġġiment lill-kumpaniji biex jippromwovu dan il-mod ġdid ta’ ħidma. (PCE 7) Jenħtieġ li l-Unjoni tiggarantixxi d-dritt ta’ skonnessjoni, tagħmel aktar biex tindirizza d-distakk diġitali fuq il-post tax-xogħol u tivvaluta l-implikazzjonijiet fuq is-saħħa, il-ħin tax-xogħol u l-prestazzjoni tax-xogħol mill-bogħod. Hemm bżonn li tiġi żgurata diġitalizzazzjoni ġusta bbażata fuq id-drittijiet tal-bniedem, kundizzjonijiet tax-xogħol imtejba u negozjar kollettiv (diskussjonijiet).</w:t>
      </w:r>
    </w:p>
    <w:p>
      <w:pPr>
        <w:pStyle w:val="Puce3"/>
        <w:tabs>
          <w:tab w:val="clear" w:pos="720"/>
        </w:tabs>
        <w:rPr/>
      </w:pPr>
      <w:r>
        <w:rPr/>
        <w:t>4.</w:t>
        <w:tab/>
        <w:t>L-integrazzjoni tal-politiki dwar l-impjiegi fil-livell tal-UE, fejn il-politiki attivi tas-suq tax-xogħol jibqgħu ċentrali u dejjem aktar ikkoordinati (IT 6.2), filwaqt li l-Istati Membri jiffukaw fuq aktar sforzi ta’ riforma biex jinħolqu kundizzjonijiet favorevoli għall-ħolqien ta’ impjiegi ta’ kwalità (diskussjonijiet).</w:t>
      </w:r>
    </w:p>
    <w:p>
      <w:pPr>
        <w:pStyle w:val="Puce3"/>
        <w:tabs>
          <w:tab w:val="clear" w:pos="720"/>
        </w:tabs>
        <w:rPr/>
      </w:pPr>
      <w:r>
        <w:rPr/>
        <w:t>5.</w:t>
        <w:tab/>
        <w:t>Tieħu miżuri biex tiżgura li d-drittijiet soċjali jkunu protetti bis-sħiħ u jieħdu preċedenza fuq il-libertajiet ekonomiċi f’każ ta’ kunflitt, inkluż billi tintroduċi protokoll dwar il-progress soċjali fit-trattati (pjattaforma online, diskussjonijiet).</w:t>
      </w:r>
    </w:p>
    <w:p>
      <w:pPr>
        <w:pStyle w:val="Puce3"/>
        <w:tabs>
          <w:tab w:val="clear" w:pos="720"/>
        </w:tabs>
        <w:rPr/>
      </w:pPr>
      <w:r>
        <w:rPr/>
        <w:t>6.</w:t>
        <w:tab/>
        <w:t>L-iżgurar tal-ugwaljanza bejn il-ġeneri, f’konformità mal-Istrateġija tal-UE dwar l-Ugwaljanza bejn il-Ġeneri 2020–2025. L-Unjoni għandha tkompli tkejjel l-ugwaljanza bejn is-sessi permezz ta’ indiċi tal-ugwaljanza bejn is-sessi (l-attitudnijiet, id-differenza fil-pagi, l-impjiegi, it-tmexxija, eċċ.), timmonitorja l-istrateġija kull sena, tkun trasparenti dwar ir-riżultati miksuba, tinkoraġġixxi l-kondiviżjoni tal-għarfien espert u l-aħjar prattiki, u tistabbilixxi mekkaniżmu dirett possibbli għall-feedback taċ-ċittadini (eż. ombudsperson) (ECP 28; It 5.a.1). Hemm bżonn li tiġi indirizzata d-differenza bejn il-pagi tal-irġiel u n-nisa u li jiġu introdotti kwoti għal karigi ta’ maniġment superjuri. L-intraprendituri nisa għandhom jibbenefikaw minn aktar appoġġ fl-ambjent tan-negozju, kif ukoll in-nisa fix-xjenza, it-teknoloġija, l-inġinerija u l-matematika (diskussjonijiet).</w:t>
      </w:r>
    </w:p>
    <w:p>
      <w:pPr>
        <w:pStyle w:val="Puce3"/>
        <w:tabs>
          <w:tab w:val="clear" w:pos="720"/>
        </w:tabs>
        <w:rPr/>
      </w:pPr>
      <w:r>
        <w:rPr/>
        <w:t>7.</w:t>
        <w:tab/>
        <w:t>Jippromwovu l-impjieg taż-żgħażagħ, fost l-oħrajn permezz ta’ appoġġ finanzjarju għan-negozji, iżda wkoll billi jipprovdu appoġġ addizzjonali lil min iħaddem u lill-ħaddiema (NL 4) u appoġġ lill-intraprendituri żgħażagħ u lill-ħaddiema żgħażagħ li jaħdmu għal rashom, pereżempju permezz ta’ għodod u korsijiet edukattivi (diskussjonijiet).</w:t>
      </w:r>
    </w:p>
    <w:p>
      <w:pPr>
        <w:pStyle w:val="Puce3"/>
        <w:tabs>
          <w:tab w:val="clear" w:pos="720"/>
        </w:tabs>
        <w:rPr/>
      </w:pPr>
      <w:r>
        <w:rPr/>
        <w:t>8.</w:t>
        <w:tab/>
        <w:t>Il-promozzjoni tal-impjieg ta’ gruppi żvantaġġati (NL 4), speċjalment għall-persuni b’diżabilità (pjattaforma online).</w:t>
      </w:r>
    </w:p>
    <w:p>
      <w:pPr>
        <w:pStyle w:val="Puce3"/>
        <w:tabs>
          <w:tab w:val="clear" w:pos="720"/>
        </w:tabs>
        <w:rPr/>
      </w:pPr>
      <w:r>
        <w:rPr/>
        <w:t>9.</w:t>
        <w:tab/>
        <w:t>Jiġu promossi l-impjiegi u l-mobilità soċjali sabiex in-nies ikollhom kull opportunità għall-iżvilupp personali u l-awtodeterminazzjoni. (It 5.a.4 u l-IT 6.1) Jista’ jkun hemm strateġija fit-tul biex jiġi żgurat li kull persuna fis-soċjetà tagħna jkollha l-ħiliet xierqa biex issib impjieg u tkabbar it-talent tagħha, speċjalment il-ġenerazzjoni żagħżugħa (diskussjonijiet). Huwa importanti li jsir investiment fil-ħiliet adattati għall-ħtiġijiet tas-suq tax-xogħol li qed jinbidlu u li jiġi promoss it-tagħlim tul il-ħajja permezz, fost l-oħrajn, ta’ programm ta’ skambju fl-istadji kollha tal-ħajja, u li jiġi ggarantit id-dritt għat-tagħlim tul il-ħajja u d-dritt għat-taħriġ. (FR 6; Għal dan il-għan, jeħtieġ li tissaħħaħ il-kooperazzjoni bejn in-negozji, it-trejdjunjins u l-fornituri ta’ servizzi ta’ edukazzjoni u taħriġ vokazzjonali (diskussjonijiet).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Proposta: Politiki soċjali aktar b’saħħithom</w:t>
      </w:r>
    </w:p>
    <w:p>
      <w:pPr>
        <w:pStyle w:val="Normal"/>
        <w:rPr/>
      </w:pPr>
      <w:r>
        <w:rPr/>
        <w:t>Għan: Nipproponu li jitnaqqsu l-inugwaljanzi, jiġu miġġielda l-esklużjoni soċjali u l-faqar. Jeħtieġ li nistabbilixxu strateġija komprensiva kontra l-faqar li tista’ tinkludi, fost l-oħrajn, it-tisħiħ tal-Garanzija għat-Tfal u l-Garanzija għaż-Żgħażagħ, l-introduzzjoni ta’ pagi minimi, qafas Ewropew komuni għal skemi ta’ introjtu minimu u akkomodazzjoni soċjali deċenti. Jeħtieġ li niżguraw l-implimentazzjoni sħiħa tal-Pilastru Ewropew tad-Drittijiet Soċjali, inklużi l-miri ewlenin rilevanti tiegħu għall-2030, fil-livelli Ewropej, nazzjonali, reġjonali u lokali fl-oqsma tal-“protezzjoni u l-inklużjoni soċjali”, filwaqt li nirrispettaw il-kompetenzi rispettivi u l-prinċipji tas-sussidjarjetà u l-proporzjonalità, u ninkludu Protokoll dwar il-progress soċjali fit-Trattati. Dan jista’ jinkiseb permezz tal-miżuri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12"/>
      </w:r>
      <w:r>
        <w:rPr/>
        <w:t>:</w:t>
      </w:r>
    </w:p>
    <w:p>
      <w:pPr>
        <w:pStyle w:val="Puce3"/>
        <w:tabs>
          <w:tab w:val="clear" w:pos="720"/>
        </w:tabs>
        <w:rPr/>
      </w:pPr>
      <w:r>
        <w:rPr/>
        <w:t>1.</w:t>
        <w:tab/>
        <w:t>Issaħħaħ il-kompetenzi tal-Unjoni fil-qasam tal-politiki soċjali u tipproponi leġiżlazzjoni armonizzata madwar l-Unjoni kollha biex tippromwovi l-politiki soċjali u tiżgura drittijiet ugwali, inklużi d-drittijiet tas-saħħa, b’kont meħud tar-regolamenti adottati u r-rekwiżiti minimi fit-territorju kollu. (CEP 19 &amp; 21) L-UE tista’ tappoġġa u tikkomplementa l-politiki tal-Istati Membri, inter alia billi tipproponi qafas komuni biex tiżgura dħul minimu sabiex ħadd ma jitħalla jibqa’ lura. Dawn l-azzjonijiet għandhom jitwettqu bħala parti mill-implimentazzjoni sħiħa tal-Pilastru Ewropew tad-Drittijiet Soċjali u l-Pjan ta’ Azzjoni tiegħu (diskussjonijiet).</w:t>
      </w:r>
    </w:p>
    <w:p>
      <w:pPr>
        <w:pStyle w:val="Puce3"/>
        <w:tabs>
          <w:tab w:val="clear" w:pos="720"/>
        </w:tabs>
        <w:rPr/>
      </w:pPr>
      <w:r>
        <w:rPr/>
        <w:t>2.</w:t>
        <w:tab/>
        <w:t>Ma jikkompromettux id-drittijiet soċjali (is-saħħa pubblika, l-edukazzjoni pubblika, il-politiki tax-xogħol). (Hija 4.a.1)</w:t>
      </w:r>
    </w:p>
    <w:p>
      <w:pPr>
        <w:pStyle w:val="Puce3"/>
        <w:tabs>
          <w:tab w:val="clear" w:pos="720"/>
        </w:tabs>
        <w:rPr/>
      </w:pPr>
      <w:r>
        <w:rPr/>
        <w:t>3.</w:t>
        <w:tab/>
        <w:t>Tippromwovi r-riċerka soċjali u tas-saħħa fl-UE, billi ssegwi linji ta’ prijorità meqjusa bħala ta’ interess pubbliku u approvati mill-Istati Membri, u tipprovdi għal finanzjament xieraq. Dan jista’ jinkiseb parzjalment billi tissaħħaħ il-kooperazzjoni bejn l-oqsma ta’ kompetenza, il-pajjiżi u ċ-ċentri ta’ studju (universitajiet, eċċ.) (CEP 20).</w:t>
      </w:r>
    </w:p>
    <w:p>
      <w:pPr>
        <w:pStyle w:val="Puce3"/>
        <w:tabs>
          <w:tab w:val="clear" w:pos="720"/>
        </w:tabs>
        <w:rPr/>
      </w:pPr>
      <w:r>
        <w:rPr/>
        <w:t>4.</w:t>
        <w:tab/>
        <w:t>Jingħata aċċess għas-servizzi mediċi lill-persuni kollha taħt l-età ta’ 16-il sena madwar l-UE jekk dawn is-servizzi ma jkunux disponibbli fil-kuntest nazzjonali (diskussjonijiet).</w:t>
      </w:r>
    </w:p>
    <w:p>
      <w:pPr>
        <w:pStyle w:val="Puce3"/>
        <w:tabs>
          <w:tab w:val="clear" w:pos="720"/>
        </w:tabs>
        <w:rPr/>
      </w:pPr>
      <w:r>
        <w:rPr/>
        <w:t>5.</w:t>
        <w:tab/>
        <w:t>Jiżguraw li l-UE, flimkien mal-imsieħba soċjali u l-gvernijiet nazzjonali, tappoġġja aċċess immirat għal akkomodazzjoni soċjali deċenti għaċ-ċittadini, skont il-ħtiġijiet speċifiċi tagħhom; l-isforz finanzjarju għandu jinqasam bejn id-donaturi privati, is-sidien tad-djar, il-benefiċjarji tad-djar, il-gvernijiet ta’ l-Istati Membri fil-livell ċentrali u lokali u l-Unjoni Ewropea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Proposta: Tranżizzjoni demografika</w:t>
      </w:r>
    </w:p>
    <w:p>
      <w:pPr>
        <w:pStyle w:val="P68B1DB1Normal15"/>
        <w:rPr>
          <w:b/>
          <w:b/>
        </w:rPr>
      </w:pPr>
      <w:r>
        <w:rPr/>
        <w:t>Għan: nipproponu li nindirizzaw l-isfidi li jirriżultaw mit-tranżizzjoni demografika bħala komponent kritiku tar-reżiljenza ġenerali tal-Ewropa, b’mod partikolari r-rati baxxi tat-twelid u t-tixjiħ kostanti tal-popolazzjoni, filwaqt li jiġi pprovdut appoġġ lin-nies tul ħajjithom kollha. Din għandha tkun azzjoni komprensiva mmirata lejn il-ġenerazzjonijiet kollha, mit-tfal u ż-żgħażagħ sal-familji, il-popolazzjoni fl-età tax-xogħol, l-anzjani li għadhom lesti għax-xogħol u dawk li huma rtirati jew li jeħtieġu l-kura. Dan jista’ jinkiseb permezz tal-miżuri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13"/>
      </w:r>
      <w:r>
        <w:rPr/>
        <w:t>:</w:t>
      </w:r>
    </w:p>
    <w:p>
      <w:pPr>
        <w:pStyle w:val="Puce3"/>
        <w:tabs>
          <w:tab w:val="clear" w:pos="720"/>
        </w:tabs>
        <w:rPr/>
      </w:pPr>
      <w:r>
        <w:rPr/>
        <w:t>1.</w:t>
        <w:tab/>
        <w:t>L-iżgurar ta’ servizzi tal-indukrar tat-tfal ta’ kwalità, affordabbli u aċċessibbli madwar l-UE, sabiex l-ommijiet u l-missirijiet ikunu jistgħu jirrikonċiljaw ix-xogħol u l-ħajja tal-familja b’fiduċja. Fejn xieraq, dan jista’ jinkludi opportunitajiet ta’ kura tat-tfal fuq il-post tax-xogħol jew qribu. F’xi Stati Membri, il-kura tat-tfal matul il-lejl hija disponibbli wkoll, li għandha sservi ta’ eżempju. Barra minn hekk, dawn il-miżuri jistgħu jkunu akkumpanjati minn miżuri ta’ appoġġ bħar-rati mnaqqsa tal-VAT fuq it-tagħmir meħtieġ għat-tfal. Huwa essenzjali li jiġu evitati l-faqar fost it-tfal u l-esklużjoni soċjali. (CEP 22–26) It-tisħiħ tal-Garanzija għat-Tfal, billi jiġi żgurat l-aċċess għat-tfal fil-bżonn għal servizzi bħall-edukazzjoni u l-indukrar tat-tfal, il-kura tas-saħħa, in-nutrizzjoni u l-akkomodazzjoni, tista’ tkun strument biex jinkiseb dan (pjattaforma elettronika, diskussjonijiet).</w:t>
      </w:r>
    </w:p>
    <w:p>
      <w:pPr>
        <w:pStyle w:val="Puce3"/>
        <w:tabs>
          <w:tab w:val="clear" w:pos="720"/>
        </w:tabs>
        <w:rPr/>
      </w:pPr>
      <w:r>
        <w:rPr/>
        <w:t>2.</w:t>
        <w:tab/>
        <w:t>L-istabbiliment ta’ appoġġ speċifiku u protezzjoni tax-xogħol għaż-żgħażagħ. Il-miżuri mmirati lejn il-popolazzjoni fl-età tax-xogħol għandhom jinkludu l-aċċess għall-għarfien għall-ommijiet u l-missirijiet mar-ritorn għax-xogħol (CEP 22). It-tisħiħ tal-Garanzija għaż-Żgħażagħ jista’ jkun strument biex jittejjeb l-aċċess għaż-żgħażagħ taħt l-età ta’ 30 sena għal offerta ta’ impjieg ta’ kwalità tajba, edukazzjoni kontinwa, apprendistati jew traineeships. (diskussjonijiet)</w:t>
      </w:r>
    </w:p>
    <w:p>
      <w:pPr>
        <w:pStyle w:val="Puce3"/>
        <w:tabs>
          <w:tab w:val="clear" w:pos="720"/>
        </w:tabs>
        <w:rPr/>
      </w:pPr>
      <w:r>
        <w:rPr/>
        <w:t>3.</w:t>
        <w:tab/>
        <w:t>Jippromwovu d-dritt għall-moviment liberu tal-edukazzjoni fl-Unjoni, b’mod partikolari permezz tar-rikonoxximent reċiproku ta’ diplomi, gradi, kompetenzi u kwalifiki. (diskussjonijiet)</w:t>
      </w:r>
    </w:p>
    <w:p>
      <w:pPr>
        <w:pStyle w:val="Puce3"/>
        <w:tabs>
          <w:tab w:val="clear" w:pos="720"/>
        </w:tabs>
        <w:rPr/>
      </w:pPr>
      <w:r>
        <w:rPr/>
        <w:t>4.</w:t>
        <w:tab/>
        <w:t>Ittejjeb il-leġiżlazzjoni u l-implimentazzjoni tagħha sabiex tipprovdi appoġġ lill-familji fl-Istati Membri kollha, pereżempju fir-rigward tal-liv tal-ġenituri u l-allowances għat-twelid u l-indukrar tat-tfal. (PCE 26 u IT 5.a.1) L-akkomodazzjoni għandha rwol kruċjali fl-appoġġ tal-familji u għandha tiġi indirizzata (pjattaforma online, diskussjonijiet).</w:t>
      </w:r>
    </w:p>
    <w:p>
      <w:pPr>
        <w:pStyle w:val="Puce3"/>
        <w:tabs>
          <w:tab w:val="clear" w:pos="720"/>
        </w:tabs>
        <w:rPr/>
      </w:pPr>
      <w:r>
        <w:rPr/>
        <w:t>5.</w:t>
        <w:tab/>
        <w:t>Tieħu miżuri biex tiżgura li l-familji kollha jgawdu l-istess drittijiet tal-familja fl-Istati Membri kollha. Dan għandu jinkludi d-dritt għaż-żwieġ u l-adozzjoni. (PCE 27)</w:t>
      </w:r>
    </w:p>
    <w:p>
      <w:pPr>
        <w:pStyle w:val="Puce3"/>
        <w:tabs>
          <w:tab w:val="clear" w:pos="720"/>
        </w:tabs>
        <w:rPr/>
      </w:pPr>
      <w:r>
        <w:rPr/>
        <w:t>6.</w:t>
        <w:tab/>
        <w:t>Il-promozzjoni ta’ età tal-irtirar flessibbli filwaqt li titqies is-sitwazzjoni speċifika tal-persuni akbar fl-età. Meta tiġi ddeterminata l-età tal-irtirar, jeħtieġ li ssir distinzjoni skont il-professjoni u, għalhekk, li jittieħed inkunsiderazzjoni xogħol partikolarment impenjattiv, kemm mentali kif ukoll fiżiku. (PCE 21 u IT 5.a.1)</w:t>
      </w:r>
    </w:p>
    <w:p>
      <w:pPr>
        <w:pStyle w:val="Puce3"/>
        <w:tabs>
          <w:tab w:val="clear" w:pos="720"/>
        </w:tabs>
        <w:rPr/>
      </w:pPr>
      <w:r>
        <w:rPr/>
        <w:t>7.</w:t>
        <w:tab/>
        <w:t>Il-prevenzjoni tal-faqar fost l-anzjani billi jiġu introdotti pensjonijiet minimi. Dawk il-livelli minimi għandhom iqisu l-istandard tal-għajxien, il-linja tal-faqar u l-kapaċità tal-akkwist fl-Istat Membru kkonċernat. (PCE 21)</w:t>
      </w:r>
    </w:p>
    <w:p>
      <w:pPr>
        <w:pStyle w:val="Puce3"/>
        <w:tabs>
          <w:tab w:val="clear" w:pos="720"/>
        </w:tabs>
        <w:rPr/>
      </w:pPr>
      <w:r>
        <w:rPr/>
        <w:t>8.</w:t>
        <w:tab/>
        <w:t>L-iżgurar ta’ assistenza soċjali u kura tas-saħħa xierqa għall-anzjani. B’hekk, huwa importanti li wieħed jiffoka kemm fuq il-kura komunitarja kif ukoll fuq il-kura residenzjali. Bl-istess mod, il-miżuri għandhom iqisu kemm dawk li jirċievu l-kura kif ukoll dawk li jipprovdu l-kura. (PCE 23)</w:t>
      </w:r>
    </w:p>
    <w:p>
      <w:pPr>
        <w:pStyle w:val="Puce3"/>
        <w:tabs>
          <w:tab w:val="clear" w:pos="720"/>
        </w:tabs>
        <w:rPr/>
      </w:pPr>
      <w:r>
        <w:rPr/>
        <w:t>9.</w:t>
        <w:tab/>
        <w:t>Jiżguraw l-iżvilupp sostenibbli u r-reżiljenza demografika tar-reġjuni li għadhom lura sabiex isiru aktar dinamiċi u attraenti, inkluż permezz tal-politika ta’ koeżjoni. (pjattaforma online u diskussjonijiet)</w:t>
      </w:r>
    </w:p>
    <w:p>
      <w:pPr>
        <w:pStyle w:val="Puce3"/>
        <w:tabs>
          <w:tab w:val="clear" w:pos="720"/>
        </w:tabs>
        <w:rPr/>
      </w:pPr>
      <w:r>
        <w:rPr/>
        <w:t>10.</w:t>
        <w:tab/>
        <w:t>Tieħu azzjoni koordinata fil-livell Ewropew biex tiġbor data diżaggregata skont il-fatturi bħall-ġeneru u tanalizza x-xejriet demografiċi, tikkondividi l-aħjar prattiki u l-għarfien u tassisti lill-Istati Membri fl-iżvilupp u l-implimentazzjoni ta’ politiki adegwati, inkluż billi tistabbilixxi korp tal-UE speċjalizzat f’dan il-qasam. (pjattaforma online u diskussjonijiet).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Proposta: Politiki fiskali u fiskali</w:t>
      </w:r>
    </w:p>
    <w:p>
      <w:pPr>
        <w:pStyle w:val="P68B1DB1Normal15"/>
        <w:rPr>
          <w:b/>
          <w:b/>
        </w:rPr>
      </w:pPr>
      <w:r>
        <w:rPr/>
        <w:t>Għan: aħna nipproponu li l-UE tħeġġeġ investimenti li jħarsu ‘l quddiem li jiffukaw fuq tranżizzjonijiet ekoloġiċi u diġitali b’dimensjoni soċjali u tal-ġeneru b’saħħitha, filwaqt li jitqiesu l-eżempji ta’ Next Generation EU u l-Istrument Ewropew għal Appoġġ Temporanju biex Jititiga r-Riskji ta’ Qgħad f’Emerġenzi (SURE). L-Unjoni għandha tqis l-impatt soċjali u ekonomiku tal-gwerra kontra l-Ukraina u r-rabta bejn il-governanza ekonomika tagħha u l-kuntest ġeopolitiku l-ġdid, billi ssaħħaħ il-baġit tagħha stess b’riżorsi proprji ġodda. Iċ-ċittadini jridu li t-tassazzjoni titbiegħed miċ-ċittadini u l-SMEs u timmira lejn il-frodaturi tat-taxxa, in-niġġiesa l-kbira u l-ġganti diġitali, filwaqt li jixtiequ li l-UE tappoġġa l-kapaċità tal-Istati Membri u l-awtoritajiet lokali li jiffinanzjaw lilhom infushom u jużaw il-fondi tal-UE. Dan l-objettiv għandu jintlaħaq permezz tal-miżuri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14"/>
      </w:r>
      <w:r>
        <w:rPr/>
        <w:t>:</w:t>
      </w:r>
    </w:p>
    <w:p>
      <w:pPr>
        <w:pStyle w:val="Puce3"/>
        <w:tabs>
          <w:tab w:val="clear" w:pos="720"/>
        </w:tabs>
        <w:rPr/>
      </w:pPr>
      <w:r>
        <w:rPr/>
        <w:t>1.</w:t>
        <w:tab/>
        <w:t>Tarmonizza u tikkoordina l-politiki tat-taxxa fi ħdan l-Istati Membri tal-UE biex jiġu evitati l-evażjoni u l-evitar tat-taxxa, jiġu evitati r-rifuġji fiskali fl-UE u tiġi mmirata r-rilokazzjoni fl-Ewropa, inkluż billi jiġi żgurat li d-deċiżjonijiet dwar it-taxxa jkunu jistgħu jittieħdu b’maġġoranza kwalifikata fil-Kunsill tal-UE. Min-naħa l-oħra, hemm rakkomandazzjonijiet mill-bordijiet taċ-ċittadini li t-tassazzjoni taqa’ taħt il-kompetenza ta’ pajjiżi differenti, li għandhom l-objettivi u ċ-ċirkostanzi tagħhom stess. (PCE 13 u 31, IT 4.b.3, NL 2.3)</w:t>
      </w:r>
    </w:p>
    <w:p>
      <w:pPr>
        <w:pStyle w:val="Puce3"/>
        <w:tabs>
          <w:tab w:val="clear" w:pos="720"/>
        </w:tabs>
        <w:rPr/>
      </w:pPr>
      <w:r>
        <w:rPr/>
        <w:t>2.</w:t>
        <w:tab/>
        <w:t>Jippromwovu l-kooperazzjoni bejn l-Istati Membri tal-UE sabiex jiġi żgurat li l-kumpaniji kollha tal-UE jħallsu s-sehem ġust tagħhom tat-taxxi; l-introduzzjoni ta’ bażi komuni għat-taxxa korporattiva (BKTK) jew rata minima effettiva. (NL 3)</w:t>
      </w:r>
    </w:p>
    <w:p>
      <w:pPr>
        <w:pStyle w:val="Puce3"/>
        <w:tabs>
          <w:tab w:val="clear" w:pos="720"/>
        </w:tabs>
        <w:rPr/>
      </w:pPr>
      <w:r>
        <w:rPr/>
        <w:t>3.</w:t>
        <w:tab/>
        <w:t>Tiżgura li l-kumpaniji jħallsu t-taxxi fejn isiru l-profitti. (PCE 13)</w:t>
      </w:r>
    </w:p>
    <w:p>
      <w:pPr>
        <w:pStyle w:val="Puce3"/>
        <w:tabs>
          <w:tab w:val="clear" w:pos="720"/>
        </w:tabs>
        <w:rPr/>
      </w:pPr>
      <w:r>
        <w:rPr/>
        <w:t>4.</w:t>
        <w:tab/>
        <w:t>Tiżgura li l-politika tat-taxxa tappoġġja l-industrija Ewropea u tipprevjeni t-telf ta’ impjiegi fl-Ewropa. (PCE 13 u 31)</w:t>
      </w:r>
    </w:p>
    <w:p>
      <w:pPr>
        <w:pStyle w:val="Puce3"/>
        <w:tabs>
          <w:tab w:val="clear" w:pos="720"/>
        </w:tabs>
        <w:rPr/>
      </w:pPr>
      <w:r>
        <w:rPr/>
        <w:t>5.</w:t>
        <w:tab/>
        <w:t>Tesplora f’aktar dettall il-possibbiltà ta’ self konġunt fil-livell tal-Unjoni, bil-ħsieb li jinħolqu kundizzjonijiet ta’ self aktar favorevoli, filwaqt li jinżammu politiki fiskali responsabbli fil-livell tal-Istati Membri. (MT 9)</w:t>
      </w:r>
    </w:p>
    <w:p>
      <w:pPr>
        <w:pStyle w:val="Puce3"/>
        <w:tabs>
          <w:tab w:val="clear" w:pos="720"/>
        </w:tabs>
        <w:rPr/>
      </w:pPr>
      <w:r>
        <w:rPr/>
        <w:t>6.</w:t>
        <w:tab/>
        <w:t>Issaħħaħ il-monitoraġġ tal-assorbiment u l-użu tal-fondi tal-Unjoni, inkluż fil-livell lokali u muniċipali.(LT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4"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L-UE fid-dinja”</w:t>
      </w:r>
    </w:p>
    <w:p>
      <w:pPr>
        <w:pStyle w:val="Titre3"/>
        <w:numPr>
          <w:ilvl w:val="2"/>
          <w:numId w:val="2"/>
        </w:numPr>
        <w:rPr/>
      </w:pPr>
      <w:bookmarkStart w:id="65" w:name="__RefHeading___Toc298304_1346298689"/>
      <w:bookmarkEnd w:id="65"/>
      <w:r>
        <w:rPr/>
        <w:t>17. Proposta: It-tnaqqis tad-dipendenza tal-UE fuq atturi barranin f’setturi strateġiċi minn perspettiva ekonomika</w:t>
      </w:r>
    </w:p>
    <w:p>
      <w:pPr>
        <w:pStyle w:val="P68B1DB1Normal15"/>
        <w:rPr>
          <w:b/>
          <w:b/>
        </w:rPr>
      </w:pPr>
      <w:r>
        <w:rPr/>
        <w:t>Għan: Nipproponu li l-UE tieħu passi biex issaħħaħ l-awtonomija tagħha f’setturi strateġiċi ewlenin bħall-prodotti agrikoli, il-prodotti ekonomiċi strateġiċi, is-semikondutturi, il-prodotti mediċi, it-teknoloġiji diġitali u ambjentali innovattivi u l-enerġija, permezz tal-miżuri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p>
    <w:p>
      <w:pPr>
        <w:pStyle w:val="Puce3"/>
        <w:tabs>
          <w:tab w:val="clear" w:pos="720"/>
        </w:tabs>
        <w:rPr/>
      </w:pPr>
      <w:r>
        <w:rPr/>
        <w:t>1.</w:t>
        <w:tab/>
        <w:t>Il-promozzjoni ta’ attivitajiet ta’ riċerka, żvilupp u innovazzjoni u l-kollaborazzjoni bejn l-imsieħba pubbliċi u privati f’dan il-qasam.</w:t>
      </w:r>
    </w:p>
    <w:p>
      <w:pPr>
        <w:pStyle w:val="Puce3"/>
        <w:tabs>
          <w:tab w:val="clear" w:pos="720"/>
        </w:tabs>
        <w:rPr/>
      </w:pPr>
      <w:r>
        <w:rPr/>
        <w:t>2.</w:t>
        <w:tab/>
        <w:t>Iż-żamma ta’ aġenda ambizzjuża għan-negozjati kummerċjali li tista’ tgħin biex tissaħħaħ ir-reżiljenza u d-diversifikazzjoni tal-ktajjen tal-provvista, speċjalment għall-materja prima, filwaqt li jiġu kondiviżi l-benefiċċji tal-kummerċ b’mod aktar ġust u ma’ aktar sħab, u b’hekk jiġu limitati l-esponiment u d-dipendenza tagħna fuq għadd żgħir ta’ fornituri li jistgħu jippreżentaw riskju</w:t>
      </w:r>
      <w:r>
        <w:rPr>
          <w:rStyle w:val="Ancredenotedefin"/>
          <w:rStyle w:val="Ancredenotedefin"/>
        </w:rPr>
        <w:endnoteReference w:id="15"/>
      </w:r>
      <w:r>
        <w:rPr/>
        <w:t>.</w:t>
      </w:r>
    </w:p>
    <w:p>
      <w:pPr>
        <w:pStyle w:val="Puce3"/>
        <w:tabs>
          <w:tab w:val="clear" w:pos="720"/>
        </w:tabs>
        <w:rPr/>
      </w:pPr>
      <w:r>
        <w:rPr/>
        <w:t>3.</w:t>
        <w:tab/>
        <w:t>Reżiljenza akbar tal-ktajjen tal-provvista tal-UE permezz tal-promozzjoni tal-investiment f’setturi strateġiċi fl-Unjoni, il-ħżin ta’ produzzjoni u apparat kritiċi u d-diversifikazzjoni tas-sorsi ta’ provvista ta’ materja prima kritika.</w:t>
      </w:r>
    </w:p>
    <w:p>
      <w:pPr>
        <w:pStyle w:val="Puce3"/>
        <w:tabs>
          <w:tab w:val="clear" w:pos="720"/>
        </w:tabs>
        <w:rPr/>
      </w:pPr>
      <w:r>
        <w:rPr/>
        <w:t>4.</w:t>
        <w:tab/>
        <w:t>Investimenti ġodda fit-tlestija tas-suq intern u l-ħolqien ta’ kundizzjonijiet ekwi biex il-produzzjoni u x-xiri ta’ dawn l-oġġetti jsiru aktar attraenti fl-Unjoni Ewropea.</w:t>
      </w:r>
    </w:p>
    <w:p>
      <w:pPr>
        <w:pStyle w:val="Puce3"/>
        <w:tabs>
          <w:tab w:val="clear" w:pos="720"/>
        </w:tabs>
        <w:rPr/>
      </w:pPr>
      <w:r>
        <w:rPr/>
        <w:t>5.</w:t>
        <w:tab/>
        <w:t>Appoġġ li jippermetti li dawn il-prodotti jkunu disponibbli u affordabbli għall-konsumaturi Ewropej u li jgħin biex jitnaqqsu d-dipendenzi esterni, pereżempju permezz ta’ politiki strutturali u reġjonali, tnaqqis fit-taxxa, sussidji, infrastruttura u investimenti fir-riċerka, spinta lill-kompetittività tal-SMEs, kif ukoll programmi edukattivi sabiex jinżammu l-ħiliet u l-impjiegi korrispondenti fl-Ewropa, li huma rilevanti biex jiġu żgurati ħtiġijiet bażiċi</w:t>
      </w:r>
      <w:r>
        <w:rPr>
          <w:rStyle w:val="Ancredenotedefin"/>
          <w:rStyle w:val="Ancredenotedefin"/>
        </w:rPr>
        <w:endnoteReference w:id="16"/>
      </w:r>
      <w:r>
        <w:rPr/>
        <w:t>.</w:t>
      </w:r>
    </w:p>
    <w:p>
      <w:pPr>
        <w:pStyle w:val="Puce3"/>
        <w:tabs>
          <w:tab w:val="clear" w:pos="720"/>
        </w:tabs>
        <w:rPr/>
      </w:pPr>
      <w:r>
        <w:rPr/>
        <w:t>6.</w:t>
        <w:tab/>
        <w:t>Programm Ewropew għall-appoġġ ta’ produtturi lokali żgħar f’setturi strateġiċi fl-</w:t>
      </w:r>
      <w:r>
        <w:rPr>
          <w:rStyle w:val="Ancredenotedefin"/>
          <w:rStyle w:val="Ancredenotedefin"/>
        </w:rPr>
        <w:endnoteReference w:id="17"/>
      </w:r>
      <w:r>
        <w:rPr/>
        <w:t>Istati Membri kollha, b’użu akbar tal-programmi u l-istrumenti finanzjarji tal-UE, bħall-InvestEU.</w:t>
      </w:r>
    </w:p>
    <w:p>
      <w:pPr>
        <w:pStyle w:val="Puce3"/>
        <w:tabs>
          <w:tab w:val="clear" w:pos="720"/>
        </w:tabs>
        <w:rPr/>
      </w:pPr>
      <w:r>
        <w:rPr/>
        <w:t>7.</w:t>
        <w:tab/>
        <w:t>Kooperazzjoni aħjar bejn l-Istati Membri għall-ġestjoni tal-ġestjoni tar-riskju tal-katina tal-provvista.</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Proposta: It-tnaqqis tad-dipendenza tal-UE fuq atturi barranin tal-enerġija</w:t>
      </w:r>
    </w:p>
    <w:p>
      <w:pPr>
        <w:pStyle w:val="P68B1DB1Normal15"/>
        <w:rPr>
          <w:b/>
          <w:b/>
        </w:rPr>
      </w:pPr>
      <w:r>
        <w:rPr/>
        <w:t>Għan: Nipproponu li l-UE tikseb awtonomija akbar f’termini ta’ produzzjoni u provvista tal-enerġija, fil-kuntest tat-tranżizzjoni ekoloġika li għaddejja, permezz tal-miżuri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p>
    <w:p>
      <w:pPr>
        <w:pStyle w:val="Puce3"/>
        <w:tabs>
          <w:tab w:val="clear" w:pos="720"/>
        </w:tabs>
        <w:rPr/>
      </w:pPr>
      <w:r>
        <w:rPr/>
        <w:t>1.</w:t>
        <w:tab/>
        <w:t>L-adozzjoni ta’ strateġija biex issir aktar awtonoma fil-produzzjoni tal-enerġija tagħha. Korp Ewropew għandu jintegra l-aġenziji Ewropej eżistenti tal-enerġija, jikkoordina l-iżvilupp tal-enerġija rinnovabbli u jippromovi l-kondiviżjoni tal-għarfien</w:t>
      </w:r>
      <w:r>
        <w:rPr>
          <w:rStyle w:val="Ancredenotedefin"/>
          <w:rStyle w:val="Ancredenotedefin"/>
        </w:rPr>
        <w:endnoteReference w:id="19"/>
      </w:r>
      <w:r>
        <w:rPr/>
        <w:t>.</w:t>
      </w:r>
    </w:p>
    <w:p>
      <w:pPr>
        <w:pStyle w:val="Puce3"/>
        <w:tabs>
          <w:tab w:val="clear" w:pos="720"/>
        </w:tabs>
        <w:rPr/>
      </w:pPr>
      <w:r>
        <w:rPr/>
        <w:t>2.</w:t>
        <w:tab/>
        <w:t>Appoġġ attiv għal proġetti tat-trasport pubbliku u tal-effiċjenza enerġetika, netwerk ferrovjarju Ewropew tat-trasport tal-merkanzija b’veloċità għolja, l-espansjoni ta’ provvista ta’ enerġija nadifa u rinnovabbli (inkluża l-enerġija solari u mir-riħ), teknoloġiji alternattivi (bħall-idroġenu jew l-irkupru tal-enerġija tal-iskart), u t-tranżizzjoni f’żoni urbani minn kultura ta’ karozzi waħda għal kultura ta’ trasport pubbliku, il-kondiviżjoni tal-karozzi elettriċi u ċ-ċikliżmu</w:t>
      </w:r>
      <w:r>
        <w:rPr>
          <w:rStyle w:val="Ancredenotedefin"/>
          <w:rStyle w:val="Ancredenotedefin"/>
        </w:rPr>
        <w:endnoteReference w:id="20"/>
      </w:r>
      <w:r>
        <w:rPr/>
        <w:t>.</w:t>
      </w:r>
    </w:p>
    <w:p>
      <w:pPr>
        <w:pStyle w:val="Puce3"/>
        <w:tabs>
          <w:tab w:val="clear" w:pos="720"/>
        </w:tabs>
        <w:rPr/>
      </w:pPr>
      <w:r>
        <w:rPr/>
        <w:t>3.</w:t>
        <w:tab/>
        <w:t>L-iżgurar ta’ tranżizzjoni ġusta u ġusta, b’mod partikolari billi jiġu appoġġati ċ-ċittadini vulnerabbli, li qed jiffaċċjaw l-akbar sfidi fit-tranżizzjoni lejn in-newtralità klimatika u li diġà qed ibatu minn prezzijiet ogħla tal-enerġija minħabba d-dipendenza enerġetika u t-triplikar reċenti tal-prezzijiet tal-enerġija.</w:t>
      </w:r>
    </w:p>
    <w:p>
      <w:pPr>
        <w:pStyle w:val="Normal"/>
        <w:rPr/>
      </w:pPr>
      <w:r>
        <w:rPr/>
      </w:r>
    </w:p>
    <w:p>
      <w:pPr>
        <w:pStyle w:val="Puce3"/>
        <w:tabs>
          <w:tab w:val="clear" w:pos="720"/>
        </w:tabs>
        <w:rPr/>
      </w:pPr>
      <w:r>
        <w:rPr/>
        <w:t>4.</w:t>
        <w:tab/>
        <w:t>Aktar kollaborazzjoni fil-valutazzjoni tal-użu tal-enerġija nukleari fil-kuntest tat-tranżizzjoni ekoloġika li għaddejja bħalissa għall-enerġija rinnovabbli fl-Ewropa, filwaqt li jiġu eżaminati l-kwistjonijiet kollettivi li din tista’ ssolvi jew toħloq, peress li għadha qed tintuża minn ħafna Stati Membri</w:t>
      </w:r>
      <w:r>
        <w:rPr>
          <w:rStyle w:val="Ancredenotedefin"/>
          <w:rStyle w:val="Ancredenotedefin"/>
        </w:rPr>
        <w:endnoteReference w:id="21"/>
      </w:r>
      <w:r>
        <w:rPr/>
        <w:t>.</w:t>
      </w:r>
    </w:p>
    <w:p>
      <w:pPr>
        <w:pStyle w:val="Puce3"/>
        <w:tabs>
          <w:tab w:val="clear" w:pos="720"/>
        </w:tabs>
        <w:rPr/>
      </w:pPr>
      <w:r>
        <w:rPr/>
        <w:t>5.</w:t>
        <w:tab/>
        <w:t>Kooperazzjoni mas-sħab internazzjonali biex jintrabtu li jilħqu miri aktar ambizzjużi dwar it-tibdil fil-klima f’diversi fora internazzjonali, inklużi l-G7 u l-G20.</w:t>
      </w:r>
    </w:p>
    <w:p>
      <w:pPr>
        <w:pStyle w:val="Puce3"/>
        <w:tabs>
          <w:tab w:val="clear" w:pos="720"/>
        </w:tabs>
        <w:rPr/>
      </w:pPr>
      <w:r>
        <w:rPr/>
        <w:t>6.</w:t>
        <w:tab/>
        <w:t>Ir-rabta bejn il-kummerċ estern u l-miżuri ta’ politika dwar it-tibdil fil-klima (eż. bit-tnedija ta’ pakkett ta’ miżuri ta’ investiment għal teknoloġiji u innovazzjonijiet li ma jagħmlux ħsara lill-klima, inklużi programmi ta’ finanzjament)</w:t>
      </w:r>
      <w:r>
        <w:rPr>
          <w:rStyle w:val="Ancredenotedefin"/>
          <w:rStyle w:val="Ancredenotedefin"/>
        </w:rPr>
        <w:endnoteReference w:id="22"/>
      </w:r>
      <w:r>
        <w:rPr/>
        <w:t>.</w:t>
      </w:r>
    </w:p>
    <w:p>
      <w:pPr>
        <w:pStyle w:val="Puce3"/>
        <w:tabs>
          <w:tab w:val="clear" w:pos="720"/>
        </w:tabs>
        <w:rPr/>
      </w:pPr>
      <w:r>
        <w:rPr/>
        <w:t>7.</w:t>
        <w:tab/>
        <w:t>Xiri konġunt ta’ enerġija importata u sħubijiet ta’ enerġija sostenibbli, sabiex titnaqqas id-dipendenza tal-Ewropa fuq l-importazzjonijiet tal-enerġija, b’mod partikolari fil-qasam tal-gass u ż-żejt, u biex jiġu żviluppati s-sorsi domestiċi tal-enerġija tal-UE.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Proposta: L-istabbiliment ta’ standards fi ħdan u barra l-UE fir-relazzjonijiet kummerċjali u ta’ investiment</w:t>
      </w:r>
    </w:p>
    <w:p>
      <w:pPr>
        <w:pStyle w:val="P68B1DB1Normal15"/>
        <w:rPr>
          <w:b/>
          <w:b/>
        </w:rPr>
      </w:pPr>
      <w:r>
        <w:rPr/>
        <w:t>Għan: Nipproponu li l-UE ssaħħaħ id-dimensjoni etika tar-relazzjonijiet kummerċjali u ta’ investiment tagħha permezz tal-miżuri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p>
    <w:p>
      <w:pPr>
        <w:pStyle w:val="Puce3"/>
        <w:tabs>
          <w:tab w:val="clear" w:pos="720"/>
        </w:tabs>
        <w:rPr/>
      </w:pPr>
      <w:r>
        <w:rPr/>
        <w:t>1.</w:t>
        <w:tab/>
        <w:t>Il-preservazzjoni u r-riforma tal-arkitettura kummerċjali internazzjonali multilaterali tagħna bbażata fuq ir-regoli, u s-sħubija ma’ demokraziji tal-istess fehma.</w:t>
      </w:r>
    </w:p>
    <w:p>
      <w:pPr>
        <w:pStyle w:val="Puce3"/>
        <w:tabs>
          <w:tab w:val="clear" w:pos="720"/>
        </w:tabs>
        <w:rPr/>
      </w:pPr>
      <w:r>
        <w:rPr/>
        <w:t>2.</w:t>
        <w:tab/>
        <w:t>Leġiżlazzjoni effettiva u proporzjonata tal-UE biex tiżgura li l-istandards tax-xogħol deċenti jiġu applikati bis-sħiħ tul il-ktajjen tal-valur globali, inkluż fil-proċessi tal-produzzjoni u tal-provvista tal-UE, u li l-oġġetti importati jikkonformaw ma’ standards etiċi kwalitattivi, mal-istandards tal-iżvilupp sostenibbli u tad-drittijiet tal-bniedem, inklużi d-drittijiet tax-xogħol u tat-trejdjunjins, billi joffru ċertifikazzjoni għall-prodotti f’konformità ma’ din il-leġiżlazzjoni tal-UE</w:t>
      </w:r>
      <w:r>
        <w:rPr>
          <w:rStyle w:val="Ancredenotedefin"/>
          <w:rStyle w:val="Ancredenotedefin"/>
        </w:rPr>
        <w:endnoteReference w:id="23"/>
      </w:r>
      <w:r>
        <w:rPr/>
        <w:t xml:space="preserve"> u jinvolvu ruħhom fi proċess ta’ djalogu madwar l-UE bil-għan li jinfurmaw u jedukaw dwar l-effetti ambjentali u etiċi tal-bidliet strateġiċi fil-kummerċ internazzjonali.</w:t>
      </w:r>
    </w:p>
    <w:p>
      <w:pPr>
        <w:pStyle w:val="Normal"/>
        <w:rPr/>
      </w:pPr>
      <w:r>
        <w:rPr/>
      </w:r>
    </w:p>
    <w:p>
      <w:pPr>
        <w:pStyle w:val="Puce3"/>
        <w:tabs>
          <w:tab w:val="clear" w:pos="720"/>
        </w:tabs>
        <w:rPr/>
      </w:pPr>
      <w:r>
        <w:rPr/>
        <w:t>3.</w:t>
        <w:tab/>
        <w:t>Restrizzjonijiet fuq l-importazzjoni u l-bejgħ ta’ prodotti minn pajjiżi li jippermettu x-xogħol furzat u t-tħaddim tat-tfal, lista sewda aġġornata regolarment tan-negozji u l-għarfien tal-konsumaturi dwar it-tħaddim tat-tfal permezz ta’ informazzjoni ppubblikata permezz tal-kanali uffiċjali tal-UE</w:t>
      </w:r>
      <w:r>
        <w:rPr>
          <w:rStyle w:val="Ancredenotedefin"/>
          <w:rStyle w:val="Ancredenotedefin"/>
        </w:rPr>
        <w:endnoteReference w:id="24"/>
      </w:r>
      <w:r>
        <w:rPr/>
        <w:t>.</w:t>
      </w:r>
    </w:p>
    <w:p>
      <w:pPr>
        <w:pStyle w:val="Puce3"/>
        <w:tabs>
          <w:tab w:val="clear" w:pos="720"/>
        </w:tabs>
        <w:rPr/>
      </w:pPr>
      <w:r>
        <w:rPr/>
        <w:t>4.</w:t>
        <w:tab/>
        <w:t>Il-monitoraġġ u l-infurzar ta’ kapitoli infurzabbli dwar il-kummerċ u l-iżvilupp sostenibbli fil-ftehimiet ta’ kummerċ ħieles tal-UE, inkluża l-possibbiltà ta’ mekkaniżmu tal-aħħar istanza bbażat fuq is-sanzjonijiet.</w:t>
      </w:r>
    </w:p>
    <w:p>
      <w:pPr>
        <w:pStyle w:val="Puce3"/>
        <w:tabs>
          <w:tab w:val="clear" w:pos="720"/>
        </w:tabs>
        <w:rPr/>
      </w:pPr>
      <w:r>
        <w:rPr/>
        <w:t>5.</w:t>
        <w:tab/>
        <w:t>Ir-riforma tas-Sistema Ġeneralizzata ta’ Preferenzi (SĠP) tal-UE biex tinkludi dispożizzjonijiet stretti ta’ kundizzjonalità u monitoraġġ, rappurtar u proċessi ta’ djalogu effettivi u xierqa biex jittejjeb l-impatt li l-SĠP jista’ jkollha fuq il-kummerċ, id-drittijiet tal-bniedem u l-iżvilupp f’pajjiżi sħab, bil-possibbiltà li jiġu rtirati l-preferenzi kummerċjali f’każ ta’ nuqqas ta’ konformità.</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Proposta: L-istabbiliment ta’ standards fi ħdan u barra l-UE għall-politiki ambjentali</w:t>
      </w:r>
    </w:p>
    <w:p>
      <w:pPr>
        <w:pStyle w:val="P68B1DB1Normal15"/>
        <w:rPr>
          <w:b/>
          <w:b/>
        </w:rPr>
      </w:pPr>
      <w:r>
        <w:rPr/>
        <w:t>Għan: Nipproponu li l-UE ssaħħaħ id-dimensjoni ambjentali tar-relazzjonijiet kummerċjali tagħha permezz tal-miżuri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p>
    <w:p>
      <w:pPr>
        <w:pStyle w:val="Puce3"/>
        <w:tabs>
          <w:tab w:val="clear" w:pos="720"/>
        </w:tabs>
        <w:rPr/>
      </w:pPr>
      <w:r>
        <w:rPr/>
        <w:t>1.</w:t>
        <w:tab/>
        <w:t>L-armonizzazzjoni u t-tisħiħ tal-ekotikkettar u l-wiri obbligatorju ta’ indikatur Ewropew tal-impatt ambjentali (ecoscore) fuq il-prodotti kollha tal-konsumatur. L-ekopunteġġ jiġi kkalkulat fuq il-bażi tal-emissjonijiet mill-produzzjoni u t-trasport, kif ukoll il-ħsara tal-kontenut, abbażi ta’ lista ta’ prodotti perikolużi. L-Ecoscore għandu jiġi ġestit u mmonitorjat minn awtorità Ewropea</w:t>
      </w:r>
      <w:r>
        <w:rPr>
          <w:rStyle w:val="Ancredenotedefin"/>
          <w:rStyle w:val="Ancredenotedefin"/>
        </w:rPr>
        <w:endnoteReference w:id="25"/>
      </w:r>
      <w:r>
        <w:rPr/>
        <w:t>.</w:t>
      </w:r>
    </w:p>
    <w:p>
      <w:pPr>
        <w:pStyle w:val="Puce3"/>
        <w:tabs>
          <w:tab w:val="clear" w:pos="720"/>
        </w:tabs>
        <w:rPr/>
      </w:pPr>
      <w:r>
        <w:rPr/>
        <w:t>2.</w:t>
        <w:tab/>
        <w:t>Standards ambjentali ogħla għall-esportazzjoni tal-iskart kif ukoll kontrolli u sanzjonijiet aktar stretti biex jitwaqqfu l-esportazzjonijiet illegali. L-Unjoni għandha tħeġġeġ lill-Istati Membri biex jirriċiklaw l-iskart tagħhom stess u jużawh biex jipproduċu l-enerġija</w:t>
      </w:r>
      <w:r>
        <w:rPr>
          <w:rStyle w:val="Ancredenotedefin"/>
          <w:rStyle w:val="Ancredenotedefin"/>
        </w:rPr>
        <w:endnoteReference w:id="26"/>
      </w:r>
      <w:r>
        <w:rPr/>
        <w:t>.</w:t>
      </w:r>
    </w:p>
    <w:p>
      <w:pPr>
        <w:pStyle w:val="Puce3"/>
        <w:tabs>
          <w:tab w:val="clear" w:pos="720"/>
        </w:tabs>
        <w:rPr/>
      </w:pPr>
      <w:r>
        <w:rPr/>
        <w:t>3.</w:t>
        <w:tab/>
        <w:t>Id-definizzjoni ta’ għan li jelimina l-imballaġġ li jniġġes permezz tal-promozzjoni ta’ imballaġġ li jniġġes inqas jew imballaġġ li jirrispetta aktar l-ambjent</w:t>
      </w:r>
      <w:r>
        <w:rPr>
          <w:rStyle w:val="Ancredenotedefin"/>
          <w:rStyle w:val="Ancredenotedefin"/>
        </w:rPr>
        <w:endnoteReference w:id="27"/>
      </w:r>
      <w:r>
        <w:rPr/>
        <w:t xml:space="preserve"> u l-istabbiliment ta’ sħubijiet ma’ pajjiżi li qed jiżviluppaw, billi tiġi appoġġata l-infrastruttura tagħhom u billi jiġu kkunsidrati ftehimiet kummerċjali ta’ benefiċċju reċiproku, sabiex jiġu megħjuna fit-tranżizzjoni tagħhom lejn sorsi ta’ enerġija ekoloġika</w:t>
      </w:r>
      <w:r>
        <w:rPr>
          <w:rStyle w:val="Ancredenotedefin"/>
          <w:rStyle w:val="Ancredenotedefin"/>
        </w:rPr>
        <w:endnoteReference w:id="28"/>
      </w:r>
      <w:r>
        <w:rPr/>
        <w:t>.</w:t>
      </w:r>
    </w:p>
    <w:p>
      <w:pPr>
        <w:pStyle w:val="Puce3"/>
        <w:tabs>
          <w:tab w:val="clear" w:pos="720"/>
        </w:tabs>
        <w:rPr/>
      </w:pPr>
      <w:r>
        <w:rPr/>
        <w:t>4.</w:t>
        <w:tab/>
        <w:t>Il-possibbiltà li pajjiżi bi standards għoljin ta’ sostenibbiltà jiġu ppremjati billi jiġi pprovdut aċċess addizzjonali għas-suq tal-UE għall-prodotti u s-servizzi durabbli tagħhom, jew unilateralment permezz tas-Sistema Ġeneralizzata ta’ Preferenzi tal-SĠP+, jew bilateralment permezz ta’ ftehimiet kummerċjali nnegozjati jew multilateralment permezz ta’ inizjattivi fi ħdan l-Organizzazzjoni Dinjija tal-Kummerċ.</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Proposta: It-teħid ta’ deċiżjonijiet u l-koeżjoni fi ħdan l-Unjoni</w:t>
      </w:r>
    </w:p>
    <w:p>
      <w:pPr>
        <w:pStyle w:val="P68B1DB1Normal15"/>
        <w:rPr>
          <w:b/>
          <w:b/>
        </w:rPr>
      </w:pPr>
      <w:r>
        <w:rPr/>
        <w:t>Għan: Aħna nipproponu li l-UE ttejjeb il-kapaċità tagħha li tieħu deċiżjonijiet rapidi u effettivi fil-qafas tal-Politika Estera u ta’ Sigurtà Komuni (PESK) billi titkellem b’vuċi waħda u taġixxi bħala attur verament globali, sabiex ikollha rwol pożittiv fid-dinja u billi tagħmel differenza fir-rispons għal kwalunkwe kriżi, inkluż:</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p>
    <w:p>
      <w:pPr>
        <w:pStyle w:val="Puce3"/>
        <w:tabs>
          <w:tab w:val="clear" w:pos="720"/>
        </w:tabs>
        <w:rPr/>
      </w:pPr>
      <w:r>
        <w:rPr/>
        <w:t>1.</w:t>
        <w:tab/>
        <w:t>Billi jiġi żgurat li, b’mod partikolari fil-qasam tal-PESK, il-kwistjonijiet li attwalment jittieħdu b’unanimità normalment jittieħdu b’maġġoranza kwalifikata</w:t>
      </w:r>
      <w:r>
        <w:rPr>
          <w:rStyle w:val="Ancredenotedefin"/>
          <w:rStyle w:val="Ancredenotedefin"/>
        </w:rPr>
        <w:endnoteReference w:id="29"/>
      </w:r>
      <w:r>
        <w:rPr/>
        <w:t>.</w:t>
      </w:r>
    </w:p>
    <w:p>
      <w:pPr>
        <w:pStyle w:val="Puce3"/>
        <w:tabs>
          <w:tab w:val="clear" w:pos="720"/>
        </w:tabs>
        <w:rPr/>
      </w:pPr>
      <w:r>
        <w:rPr/>
        <w:t>2.</w:t>
        <w:tab/>
        <w:t>Il-bażi tal-kooperazzjoni fuq il-politika ta’ sigurtà u ta’ difiża fuq il-boxxla strateġika approvata dan l-aħħar u l-użu tal-Faċilità Ewropea għall-Paċi</w:t>
      </w:r>
      <w:r>
        <w:rPr>
          <w:rStyle w:val="Ancredenotedefin"/>
          <w:rStyle w:val="Ancredenotedefin"/>
        </w:rPr>
        <w:endnoteReference w:id="30"/>
      </w:r>
      <w:r>
        <w:rPr/>
        <w:t>.</w:t>
      </w:r>
    </w:p>
    <w:p>
      <w:pPr>
        <w:pStyle w:val="Puce3"/>
        <w:tabs>
          <w:tab w:val="clear" w:pos="720"/>
        </w:tabs>
        <w:rPr/>
      </w:pPr>
      <w:r>
        <w:rPr/>
        <w:t>3.</w:t>
        <w:tab/>
        <w:t>It-tisħiħ tar-rwol tar-Rappreżentant Għoli fl-iżgurar li l-UE titkellem b’vuċi waħda</w:t>
      </w:r>
      <w:r>
        <w:rPr>
          <w:rStyle w:val="Ancredenotedefin"/>
          <w:rStyle w:val="Ancredenotedefin"/>
        </w:rPr>
        <w:endnoteReference w:id="31"/>
      </w:r>
      <w:r>
        <w:rPr/>
        <w:t>.</w:t>
      </w:r>
    </w:p>
    <w:p>
      <w:pPr>
        <w:pStyle w:val="Puce3"/>
        <w:tabs>
          <w:tab w:val="clear" w:pos="720"/>
        </w:tabs>
        <w:rPr/>
      </w:pPr>
      <w:r>
        <w:rPr/>
        <w:t>4.</w:t>
        <w:tab/>
        <w:t>Qbil dwar viżjoni b’saħħitha u strateġija komuni biex jiġu kkonsolidati l-unità u l-kapaċità ta’ teħid ta’ deċiżjonijiet ta’ l-UE sabiex l-Unjoni titħejja għal aktar tkabbir</w:t>
      </w:r>
      <w:r>
        <w:rPr>
          <w:rStyle w:val="Ancredenotedefin"/>
          <w:rStyle w:val="Ancredenotedefin"/>
        </w:rPr>
        <w:endnoteReference w:id="32"/>
      </w:r>
      <w:r>
        <w:rPr/>
        <w:t>.</w:t>
      </w:r>
    </w:p>
    <w:p>
      <w:pPr>
        <w:pStyle w:val="Puce3"/>
        <w:tabs>
          <w:tab w:val="clear" w:pos="720"/>
        </w:tabs>
        <w:rPr/>
      </w:pPr>
      <w:r>
        <w:rPr/>
        <w:t>5.</w:t>
        <w:tab/>
        <w:t>Permezz tar-ratifika rapida ta’ ftehimiet kummerċjali konklużi reċentement, mingħajr ma jiġu rrinunzjati l-kunsiderazzjoni u d-diskussjoni xierqa.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Proposta: Trasparenza tal-UE u r-relazzjonijiet tagħha maċ-ċittadini</w:t>
      </w:r>
    </w:p>
    <w:p>
      <w:pPr>
        <w:pStyle w:val="P68B1DB1Normal15"/>
        <w:rPr>
          <w:b/>
          <w:b/>
        </w:rPr>
      </w:pPr>
      <w:r>
        <w:rPr/>
        <w:t>Għan: aħna nipproponu li l-UE, b’mod partikolari fl-azzjonijiet tagħha fil-livell internazzjonali, inklużi n-negozjati kummerċjali, iżżid l-aċċessibbiltà tagħha għaċ-ċittadini billi ttejjeb l-informazzjoni, l-edukazzjoni, il-parteċipazzjoni taċ-ċittadini u t-trasparenza, b’mod partikolari billi: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p>
    <w:p>
      <w:pPr>
        <w:pStyle w:val="Puce3"/>
        <w:tabs>
          <w:tab w:val="clear" w:pos="720"/>
        </w:tabs>
        <w:rPr/>
      </w:pPr>
      <w:r>
        <w:rPr/>
        <w:t>1.</w:t>
        <w:tab/>
        <w:t>It-tisħiħ tar-rabtiet maċ-ċittadini u l-istituzzjonijiet lokali sabiex titjieb it-trasparenza, jintlaħqu ċ-ċittadini u jkun hemm komunikazzjoni u kollegament aħjar magħhom dwar inizjattivi konkreti tal-UE fil-livell internazzjonali</w:t>
      </w:r>
      <w:r>
        <w:rPr>
          <w:rStyle w:val="Ancredenotedefin"/>
          <w:rStyle w:val="Ancredenotedefin"/>
        </w:rPr>
        <w:endnoteReference w:id="33"/>
      </w:r>
      <w:r>
        <w:rPr/>
        <w:t>.</w:t>
      </w:r>
    </w:p>
    <w:p>
      <w:pPr>
        <w:pStyle w:val="Puce3"/>
        <w:tabs>
          <w:tab w:val="clear" w:pos="720"/>
        </w:tabs>
        <w:rPr/>
      </w:pPr>
      <w:r>
        <w:rPr/>
        <w:t>2.</w:t>
        <w:tab/>
        <w:t>Parteċipazzjoni akbar taċ-ċittadini fil-politika internazzjonali tal-UE u avvenimenti ta’ parteċipazzjoni diretta taċ-ċittadini, bħall-Konferenza dwar il-Futur tal-Ewropa, organizzata fil-livell nazzjonali, lokali u Ewropew</w:t>
      </w:r>
      <w:r>
        <w:rPr>
          <w:rStyle w:val="Ancredenotedefin"/>
          <w:rStyle w:val="Ancredenotedefin"/>
        </w:rPr>
        <w:endnoteReference w:id="34"/>
      </w:r>
      <w:r>
        <w:rPr/>
        <w:t xml:space="preserve"> u bil-parteċipazzjoni attiva tas-soċjetà ċivili organizzata</w:t>
      </w:r>
      <w:r>
        <w:rPr>
          <w:rStyle w:val="Ancredenotedefin"/>
          <w:rStyle w:val="Ancredenotedefin"/>
        </w:rPr>
        <w:endnoteReference w:id="35"/>
      </w:r>
      <w:r>
        <w:rPr/>
        <w:t>.</w:t>
      </w:r>
    </w:p>
    <w:p>
      <w:pPr>
        <w:pStyle w:val="Puce3"/>
        <w:tabs>
          <w:tab w:val="clear" w:pos="720"/>
        </w:tabs>
        <w:rPr/>
      </w:pPr>
      <w:r>
        <w:rPr/>
        <w:t>3.</w:t>
        <w:tab/>
        <w:t>L-appoġġ sħiħ tal-partijiet ikkonċernati rilevanti kollha għaċ-ċittadini li jagħżlu li jipparteċipaw f’organizzazzjonijiet tas-soċjetà ċivili organizzata, kif kien il-każ bil-COVID-19 u l-Ukrajna.</w:t>
      </w:r>
    </w:p>
    <w:p>
      <w:pPr>
        <w:pStyle w:val="Puce3"/>
        <w:tabs>
          <w:tab w:val="clear" w:pos="720"/>
        </w:tabs>
        <w:rPr/>
      </w:pPr>
      <w:r>
        <w:rPr/>
        <w:t>4.</w:t>
        <w:tab/>
        <w:t>L-allokazzjoni ta’ baġit speċifiku għall-iżvilupp ta’ programmi edukattivi dwar il-funzjonament tal-UE u l-valuri tagħha, li tista’ tipproponi lill-Istati Membri jekk ikunu jixtiequ, sabiex ikunu jistgħu jintegrawhom fil-kurrikuli tagħhom (primarji, sekondarji u universitarji). Barra minn hekk, kors speċifiku dwar l-Unjoni u l-funzjonament tiegħu jista’ jiġi offrut lill-istudenti li jixtiequ jistudjaw f’pajjiż Ewropew ieħor permezz tal-programm Erasmus. L-istudenti li jagħżlu dan il-kors jingħataw prijorità sabiex jibbenefikaw mill-programmi Erasmus.</w:t>
      </w:r>
    </w:p>
    <w:p>
      <w:pPr>
        <w:pStyle w:val="Puce3"/>
        <w:tabs>
          <w:tab w:val="clear" w:pos="720"/>
        </w:tabs>
        <w:rPr/>
      </w:pPr>
      <w:r>
        <w:rPr/>
        <w:t>5.</w:t>
        <w:tab/>
        <w:t>It-titjib tal-istrateġija tal-midja tal-UE permezz ta’ viżibbiltà akbar fil-midja soċjali u l-promozzjoni attiva tal-kontenut tagħha; il-promozzjoni tal-innovazzjoni billi tittejjeb l-aċċessibbiltà tal-preżenza tal-midja soċjali tal-UE</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Proposta: L-UE bħala mexxejja dinjija fil-paċi u s-sigurtà</w:t>
      </w:r>
    </w:p>
    <w:p>
      <w:pPr>
        <w:pStyle w:val="P68B1DB1Normal15"/>
        <w:rPr>
          <w:b/>
          <w:b/>
        </w:rPr>
      </w:pPr>
      <w:r>
        <w:rPr/>
        <w:t>Għan: nipproponu li l-UE tkompli taġixxi biex tippromwovi d-djalogu u tiżgura l-paċi u ordni internazzjonali bbażat fuq ir-regoli, issaħħaħ il-multilateraliżmu u tibni fuq l-inizjattivi ta’ paċi tal-UE li ilhom jeżistu u li kkontribwew għall-għoti tal-Premju Nobel fl-2012, filwaqt li ssaħħaħ is-sigurtà komuni tagħha permezz tal-miżuri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Forzi armati komuni, użati għal skopijiet ta’ awtodifiża u maħsuba biex jipprevjenu kwalunkwe azzjoni militari aggressiva ta’ kwalunkwe tip, li jkollhom il-kapaċità li jipprovdu assistenza fi żminijiet ta’ kriżi, inkluż fil-każ ta’ diżastru naturali. Barra mill-fruntieri Ewropej, dawn jistgħu jiġu skjerati f’ċirkostanzi eċċezzjonali, preferibbilment taħt mandat legali tal-Kunsill tas-Sigurtà tan-Nazzjonijiet Uniti u għalhekk f’konformità mad-dritt internazzjonali</w:t>
      </w:r>
      <w:r>
        <w:rPr>
          <w:rStyle w:val="Ancredenotedefin"/>
          <w:rStyle w:val="Ancredenotedefin"/>
        </w:rPr>
        <w:endnoteReference w:id="39"/>
      </w:r>
      <w:r>
        <w:rPr/>
        <w:t>, mingħajr ma jikkompetu man-NATO jew jidduplikaw in-NATO u jirrispettaw id-diversi relazzjonijiet nazzjonali man-NATO; F’dan ir-rigward, għandha ssir valutazzjoni tar-relazzjonijiet tal-UE man-NATO fil-kuntest tad-dibattitu dwar l-awtonomija strateġika tal-UE.</w:t>
      </w:r>
    </w:p>
    <w:p>
      <w:pPr>
        <w:pStyle w:val="Normal"/>
        <w:rPr/>
      </w:pPr>
      <w:r>
        <w:rPr/>
      </w:r>
    </w:p>
    <w:p>
      <w:pPr>
        <w:pStyle w:val="Puce3"/>
        <w:tabs>
          <w:tab w:val="clear" w:pos="720"/>
        </w:tabs>
        <w:rPr/>
      </w:pPr>
      <w:r>
        <w:rPr/>
        <w:t>2.</w:t>
        <w:tab/>
        <w:t>Rwol ewlieni fil-bini tal-ordni tas-sigurtà globali ta’ wara l-gwerra fl-Ukrajna, ibbażat fuq il-boxxla strateġika tal-UE li ġiet adottata dan l-aħħar.</w:t>
      </w:r>
    </w:p>
    <w:p>
      <w:pPr>
        <w:pStyle w:val="Puce3"/>
        <w:tabs>
          <w:tab w:val="clear" w:pos="720"/>
        </w:tabs>
        <w:rPr/>
      </w:pPr>
      <w:r>
        <w:rPr/>
        <w:t>3.</w:t>
        <w:tab/>
        <w:t>Il-protezzjoni tar-riċerka strateġika u l-kapaċitajiet tagħha f’setturi prijoritarji bħas-settur spazjali, iċ-ċibersigurtà, is-settur mediku u l-ambjent</w:t>
      </w:r>
      <w:r>
        <w:rPr>
          <w:rStyle w:val="Ancredenotedefin"/>
          <w:rStyle w:val="Ancredenotedefin"/>
        </w:rPr>
        <w:endnoteReference w:id="40"/>
      </w:r>
      <w:r>
        <w:rPr/>
        <w:t>.</w:t>
      </w:r>
    </w:p>
    <w:p>
      <w:pPr>
        <w:pStyle w:val="Puce3"/>
        <w:tabs>
          <w:tab w:val="clear" w:pos="720"/>
        </w:tabs>
        <w:rPr/>
      </w:pPr>
      <w:r>
        <w:rPr/>
        <w:t>4.</w:t>
        <w:tab/>
        <w:t>It-tisħiħ tal-kapaċitajiet operattivi meħtieġa biex tiġi żgurata l-effettività tal-klawżola ta’ assistenza reċiproka prevista fl-Artikolu 42(7) tat-Trattat dwar l-Unjoni Ewropea, li tiggarantixxi protezzjoni adegwata tal-UE lil kwalunkwe Stat Membru attakkat minn pajjiż terz.</w:t>
      </w:r>
    </w:p>
    <w:p>
      <w:pPr>
        <w:pStyle w:val="Puce3"/>
        <w:tabs>
          <w:tab w:val="clear" w:pos="720"/>
        </w:tabs>
        <w:rPr/>
      </w:pPr>
      <w:r>
        <w:rPr/>
        <w:t>5.</w:t>
        <w:tab/>
        <w:t>Riflessjoni dwar kif għandhom jiġu miġġielda d-diżinformazzjoni u l-propaganda b’mod oġġettiv u fattwali.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Proposta: L-UE bħala attur globali ewlieni fil-bini ta’ relazzjonijiet</w:t>
      </w:r>
    </w:p>
    <w:p>
      <w:pPr>
        <w:pStyle w:val="P68B1DB1Normal15"/>
        <w:rPr>
          <w:b/>
          <w:b/>
        </w:rPr>
      </w:pPr>
      <w:r>
        <w:rPr/>
        <w:t>Għan: Nipproponu li l-UE, fir-relazzjonijiet tagħha ma’ pajjiżi terzi: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p>
    <w:p>
      <w:pPr>
        <w:pStyle w:val="Puce3"/>
        <w:tabs>
          <w:tab w:val="clear" w:pos="720"/>
        </w:tabs>
        <w:rPr/>
      </w:pPr>
      <w:r>
        <w:rPr/>
        <w:t>1.</w:t>
        <w:tab/>
        <w:t>Tagħmel użu akbar mill-piż politiku u ekonomiku kollettiv tagħha, titkellem b’vuċi waħda u taġixxi b’mod magħqud, mingħajr ma xi Stati Membri jifirdu lill-Unjoni b’interventi bilaterali mhux xierqa</w:t>
      </w:r>
      <w:r>
        <w:rPr>
          <w:rStyle w:val="Ancredenotedefin"/>
          <w:rStyle w:val="Ancredenotedefin"/>
        </w:rPr>
        <w:endnoteReference w:id="41"/>
      </w:r>
      <w:r>
        <w:rPr/>
        <w:t>.</w:t>
      </w:r>
    </w:p>
    <w:p>
      <w:pPr>
        <w:pStyle w:val="Puce3"/>
        <w:tabs>
          <w:tab w:val="clear" w:pos="720"/>
        </w:tabs>
        <w:rPr/>
      </w:pPr>
      <w:r>
        <w:rPr/>
        <w:t>2.</w:t>
        <w:tab/>
        <w:t>Issaħħaħ il-kapaċità tagħha li tissanzjona l-Istati, il-gvernijiet, l-entitajiet, il-gruppi jew l-organizzazzjonijiet kif ukoll individwi li ma jikkonformawx mal-prinċipji, il-ftehimiet u l-liġijiet fundamentali tagħha, u tiżgura li s-sanzjonijiet eżistenti jiġu implimentati u infurzati malajr. Il-penali imposti fuq pajjiżi terzi għandhom ikunu proporzjonati mal-azzjoni li skattathom, ikunu effettivi u jiġu applikati fil-ħin</w:t>
      </w:r>
      <w:r>
        <w:rPr>
          <w:rStyle w:val="Ancredenotedefin"/>
          <w:rStyle w:val="Ancredenotedefin"/>
        </w:rPr>
        <w:endnoteReference w:id="42"/>
      </w:r>
      <w:r>
        <w:rPr/>
        <w:t>.</w:t>
      </w:r>
    </w:p>
    <w:p>
      <w:pPr>
        <w:pStyle w:val="Puce3"/>
        <w:tabs>
          <w:tab w:val="clear" w:pos="720"/>
        </w:tabs>
        <w:rPr/>
      </w:pPr>
      <w:r>
        <w:rPr/>
        <w:t>3.</w:t>
        <w:tab/>
        <w:t>Tippromwovi kummerċ sostenibbli u bbażat fuq ir-regoli filwaqt li tiftaħ opportunitajiet ġodda ta’ kummerċ u investiment għan-negozji Ewropej. Filwaqt li l-ftehimiet bilaterali dwar il-kummerċ u l-investiment huma essenzjali għall-promozzjoni tal-kompetittività Ewropea, l-istandards u r-regoli huma meħtieġa biex jiġu żgurati kundizzjonijiet ekwi. L-UE trid tibqa’ sieħeb attiv u affidabbli fin-negozjar, il-konklużjoni u l-implimentazzjoni ta’ ftehimiet kummerċjali li jistabbilixxu wkoll standards għoljin ta’ sostenibbiltà.</w:t>
      </w:r>
    </w:p>
    <w:p>
      <w:pPr>
        <w:pStyle w:val="Puce3"/>
        <w:tabs>
          <w:tab w:val="clear" w:pos="720"/>
        </w:tabs>
        <w:rPr/>
      </w:pPr>
      <w:r>
        <w:rPr/>
        <w:t>4.</w:t>
        <w:tab/>
        <w:t>Ikkonkludew il-ftehimiet ewlenin ta’ kooperazzjoni internazzjonali billi rrappreżentaw lill-Unjoni Ewropea aktar milli lil pajjiżi individwali</w:t>
      </w:r>
      <w:r>
        <w:rPr>
          <w:rStyle w:val="Ancredenotedefin"/>
          <w:rStyle w:val="Ancredenotedefin"/>
        </w:rPr>
        <w:endnoteReference w:id="43"/>
      </w:r>
      <w:r>
        <w:rPr/>
        <w:t>.</w:t>
      </w:r>
    </w:p>
    <w:p>
      <w:pPr>
        <w:pStyle w:val="Puce3"/>
        <w:tabs>
          <w:tab w:val="clear" w:pos="720"/>
        </w:tabs>
        <w:rPr/>
      </w:pPr>
      <w:r>
        <w:rPr/>
        <w:t>5.</w:t>
        <w:tab/>
        <w:t>Tirriforma l-politika kummerċjali u ta’ investiment tal-UE biex tniedi mill-ġdid il-multilateraliżmu globali, bl-objettivi tal-ħolqien ta’ impjiegi deċenti u l-protezzjoni tad-drittijiet fundamentali tal-bniedem, inklużi d-drittijiet tal-ħaddiema u d-drittijiet tat-trade unions, il-preservazzjoni tal-ambjent u l-bijodiversità u r-rispett tal-Ftehim ta’ Pariġi dwar it-tibdil fil-klima, l-iżgurar ta’ servizzi pubbliċi ta’ kwalità, u t-tisħiħ tal-bażi industrijali tal-Ewropa. L-UE għandha tikkontribwixxi għat-tnedija mill-ġdid tal-multilateraliżmu globali, permezz ta’ riforma profonda bbażata fuq id-demokrazija u l-paċi, is-solidarjetà u r-rispett għad-drittijiet tal-bniedem, id-drittijiet soċjali u ambjentali, u rwol imsaħħaħ għall-ILO.</w:t>
      </w:r>
    </w:p>
    <w:p>
      <w:pPr>
        <w:pStyle w:val="Puce3"/>
        <w:tabs>
          <w:tab w:val="clear" w:pos="720"/>
        </w:tabs>
        <w:rPr/>
      </w:pPr>
      <w:r>
        <w:rPr/>
        <w:t>6.</w:t>
        <w:tab/>
        <w:t>Tinkludi l-ġlieda kontra t-traffikar tal-bnedmin u l-immigrazzjoni irregolari, kif ukoll il-kooperazzjoni f’operazzjonijiet ta’ ritorn possibbli, fi ftehimiet ta’ kooperazzjoni u investiment ma’ pajjiżi terzi.</w:t>
      </w:r>
    </w:p>
    <w:p>
      <w:pPr>
        <w:pStyle w:val="Puce3"/>
        <w:tabs>
          <w:tab w:val="clear" w:pos="720"/>
        </w:tabs>
        <w:rPr/>
      </w:pPr>
      <w:r>
        <w:rPr/>
        <w:t>7.</w:t>
        <w:tab/>
        <w:t>Jiżviluppaw sħubijiet ma’ pajjiżi li qed jiżviluppaw biex jappoġġaw l-infrastruttura tagħhom u jikkunsidraw ftehimiet kummerċjali ta’ benefiċċju reċiproku biex jgħinuhom fit-tranżizzjoni tagħhom lejn sorsi ta’ enerġija ekoloġika</w:t>
      </w:r>
      <w:r>
        <w:rPr>
          <w:rStyle w:val="Ancredenotedefin"/>
          <w:rStyle w:val="Ancredenotedefin"/>
        </w:rPr>
        <w:endnoteReference w:id="44"/>
      </w:r>
      <w:r>
        <w:rPr/>
        <w:t>.</w:t>
      </w:r>
    </w:p>
    <w:p>
      <w:pPr>
        <w:pStyle w:val="Puce3"/>
        <w:tabs>
          <w:tab w:val="clear" w:pos="720"/>
        </w:tabs>
        <w:rPr/>
      </w:pPr>
      <w:r>
        <w:rPr/>
        <w:t>8.</w:t>
        <w:tab/>
        <w:t>Tiżviluppa politika aktar effettiva u magħquda lejn reġimi awtokratiċi u ibridi u tiżviluppa sħubijiet ma’ organizzazzjonijiet tas-soċjetà ċivili f’dawn il-pajjiżi.</w:t>
      </w:r>
    </w:p>
    <w:p>
      <w:pPr>
        <w:pStyle w:val="Puce3"/>
        <w:tabs>
          <w:tab w:val="clear" w:pos="720"/>
        </w:tabs>
        <w:rPr/>
      </w:pPr>
      <w:r>
        <w:rPr/>
        <w:t>9.</w:t>
        <w:tab/>
        <w:t>Iżżid ir-riżorsi tal-Missjonijiet ta’ Osservazzjoni Elettorali tal-UE.</w:t>
      </w:r>
    </w:p>
    <w:p>
      <w:pPr>
        <w:pStyle w:val="Puce3"/>
        <w:tabs>
          <w:tab w:val="clear" w:pos="720"/>
        </w:tabs>
        <w:rPr/>
      </w:pPr>
      <w:r>
        <w:rPr/>
        <w:t>10.</w:t>
        <w:tab/>
        <w:t>Joffri prospett kredibbli ta’ adeżjoni ma’ pajjiżi kandidati u kandidati potenzjali sabiex jitrawmu l-paċi u l-istabbiltà fl-Ewropa u titwassal il-prosperità lil miljuni ta’ Ewropej</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NOTA: Diversi membri tal-Grupp ta’ Ħidma jqisu li l-proposti “It-tnaqqis tad-dipendenza tal-UE fuq atturi barranin fil-qasam tal-enerġija” u “It-trasparenza tal-UE u r-relazzjonijiet tagħha maċ-ċittadini”, b’mod partikolari, jaqgħu taħt gruppi ta’ ħidma oħra. Xi membri xtaqu jsemmu, minbarra l-votazzjoni b’maġġoranza kwalifikata, alternattivi għall-unanimità fil-Kunsill, bħal ġeometrija varjabbli, klawżoli ta’ nonparteċipazzjoni u kooperazzjoni msaħħa. Xi membri tal-Grupp ta’ Ħidma appellaw għall-użu tat-terminu “sostenibbli” aktar milli “etiku” fil-proposta “Id-definizzjoni tal-istandards ġewwa u barra l-UE fir-relazzjonijiet kummerċjali u ta’ investiment”. Hemm diverġenza ta’ fehmiet dwar jekk l-adeżjoni ta’ Stati Membri ġodda għandhiex tkompli tirrikjedi l-qbil unanimu ta’ l-Istati Membri attwali kollha. Ħarġu varjetà ta’ fehmiet dwar il-livell mixtieq ta’ forzi armati konġunti. Żewġ membri rreferew għall-prospett tal-unità Irlandiża fil-każ li l-Irlanda ta’ Fuq tivvota f’din id-direzzjoni skont id-dispożizzjonijiet tal-Ftehim tal-Ġimgħa l-Kbira u l-ħtieġa li l-Unjoni tkun ippreparata għal tali eventwalità.</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Immaġni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maġni25"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Valuri u drittijiet, stat tad-dritt, sigurtà</w:t>
      </w:r>
    </w:p>
    <w:p>
      <w:pPr>
        <w:pStyle w:val="Titre3"/>
        <w:numPr>
          <w:ilvl w:val="2"/>
          <w:numId w:val="2"/>
        </w:numPr>
        <w:rPr/>
      </w:pPr>
      <w:bookmarkStart w:id="74" w:name="__RefHeading___Toc298322_1346298689"/>
      <w:bookmarkEnd w:id="74"/>
      <w:r>
        <w:rPr/>
        <w:t>25. Proposta: L-istat tad-dritt, il-valuri demokratiċi u l-identità Ewropea</w:t>
      </w:r>
    </w:p>
    <w:p>
      <w:pPr>
        <w:pStyle w:val="P68B1DB1Normal15"/>
        <w:rPr>
          <w:b/>
          <w:b/>
        </w:rPr>
      </w:pPr>
      <w:r>
        <w:rPr/>
        <w:t>Għan: Jirrispettaw b’mod sistematiku l-istat tad-dritt fl-Istati Membri kollha, inkluż:</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46"/>
      </w:r>
      <w:r>
        <w:rPr/>
        <w:t>:</w:t>
      </w:r>
    </w:p>
    <w:p>
      <w:pPr>
        <w:pStyle w:val="Puce3"/>
        <w:tabs>
          <w:tab w:val="clear" w:pos="720"/>
        </w:tabs>
        <w:rPr/>
      </w:pPr>
      <w:r>
        <w:rPr/>
        <w:t>1.</w:t>
        <w:tab/>
        <w:t>L-iżgurar li l-valuri u l-prinċipji minquxa fit-Trattati tal-UE u fil-Karta tad-Drittijiet Fundamentali tal-Unjoni Ewropea ma jkunux negozjabbli u irriversibbli, u jikkostitwixxu kundizzjonijiet sine qua non għas-sħubija u l-adeżjoni mal-Unjoni. Il-valuri tal-UE għandhom jiġu rispettati bis-sħiħ fl-Istati Membri kollha; huma għandhom jaġixxu wkoll bħala standard internazzjonali u jirrappreżentaw pilastru ta’ attrazzjoni permezz tad-diplomazija u d-djalogu. It-tkabbir tal-Unjoni m’għandux idgħajjef l-acquis tal-UE fir-rigward tal-valuri fundamentali u d-drittijiet taċ-ċittadini</w:t>
      </w:r>
      <w:r>
        <w:rPr>
          <w:rStyle w:val="Ancredenotedefin"/>
          <w:rStyle w:val="Ancredenotedefin"/>
        </w:rPr>
        <w:endnoteReference w:id="47"/>
      </w:r>
      <w:r>
        <w:rPr/>
        <w:t>.</w:t>
      </w:r>
    </w:p>
    <w:p>
      <w:pPr>
        <w:pStyle w:val="Puce3"/>
        <w:tabs>
          <w:tab w:val="clear" w:pos="720"/>
        </w:tabs>
        <w:rPr/>
      </w:pPr>
      <w:r>
        <w:rPr/>
        <w:t>2.</w:t>
        <w:tab/>
        <w:t>Billi l-valuri Ewropej isiru realtà tanġibbli għaċ-ċittadini tal-UE, b’mod partikolari permezz ta’ parteċipazzjoni aktar interattiva u diretta, iċ-ċittadinanza Ewropea għandha tissaħħaħ, pereżempju permezz ta’ status ta’ ċittadin tal-Unjoni bi drittijiet u libertajiet taċ-ċittadini, kif ukoll statut għall-assoċjazzjonijiet transkonfinali Ewropej u organizzazzjonijiet mingħajr skop ta’ qligħ. Bl-istess mod, il-valuri Ewropej għandhom jiġu promossi permezz ta’ “fuljett ta’ informazzjoni dwar l-integrazzjoni” li jinkludi elementi edukattivi u materjal ta’ informazzjoni għaċ-ċittadini. Fl-aħħar nett, għandha tinħoloq sfera pubblika Ewropea tal-midja awdjoviżiva u online permezz ta’ investimenti ġodda tal-UE, it-titjib tal-pjattaformi tal-midja eżistenti u appoġġ akbar għal aktar minn 500 Uffiċċju Ewropew ta’ Kollegament preżenti fil-livell lokali</w:t>
      </w:r>
      <w:r>
        <w:rPr>
          <w:rStyle w:val="Ancredenotedefin"/>
          <w:rStyle w:val="Ancredenotedefin"/>
        </w:rPr>
        <w:endnoteReference w:id="48"/>
      </w:r>
      <w:r>
        <w:rPr/>
        <w:t xml:space="preserve">. </w:t>
      </w:r>
    </w:p>
    <w:p>
      <w:pPr>
        <w:pStyle w:val="Puce3"/>
        <w:tabs>
          <w:tab w:val="clear" w:pos="720"/>
        </w:tabs>
        <w:rPr/>
      </w:pPr>
      <w:r>
        <w:rPr/>
        <w:t>3.</w:t>
        <w:tab/>
        <w:t>Il-Karta tad-Drittijiet Fundamentali tal-Unjoni Ewropea għandha tkun applikabbli b’mod universali. Barra minn hekk, għandhom jiġu organizzati konferenzi annwali dwar l-istat tad-dritt (wara r-Rapport tal-Kummissjoni dwar l-Istat tad-Dritt), li jlaqqgħu flimkien delegazzjonijiet mill-Istati Membri kollha, magħmula minn ċittadini, uffiċjali, parlamentari, awtoritajiet lokali, sħab soċjali u s-soċjetà ċivili, magħżula b’mod każwali u divers. Huwa importanti wkoll li jiġu appoġġjati aktar l-organizzazzjonijiet, inklużi dawk tas-soċjetà ċivili, li jippromwovu l-istat tad-dritt fil-prattika</w:t>
      </w:r>
      <w:r>
        <w:rPr>
          <w:rStyle w:val="Ancredenotedefin"/>
          <w:rStyle w:val="Ancredenotedefin"/>
        </w:rPr>
        <w:endnoteReference w:id="49"/>
      </w:r>
      <w:r>
        <w:rPr/>
        <w:t>.</w:t>
      </w:r>
    </w:p>
    <w:p>
      <w:pPr>
        <w:pStyle w:val="Puce3"/>
        <w:tabs>
          <w:tab w:val="clear" w:pos="720"/>
        </w:tabs>
        <w:rPr/>
      </w:pPr>
      <w:r>
        <w:rPr/>
        <w:t>4.</w:t>
        <w:tab/>
        <w:t>Billi jiġi applikat b’mod effettiv l-hekk imsejjaħ Regolament dwar il-Kundizzjonalità, jiġi vvalutat il-kamp ta’ applikazzjoni ta’ dak ir-Regolament u strumenti oħra tal-istat tad-dritt, kif ukoll billi jitqiesu estensjonijiet tal-kamp ta’ applikazzjoni tagħhom għal oqsma ġodda, irrispettivament mir-rilevanza tagħhom għall-baġit tal-Unjoni. Ir-rimedji legali kollha meħtieġa, inklużi l-emendi għat-Trattati, għandhom jitqiesu li jippenalizzaw il-ksur tal-istat tad-dritt</w:t>
      </w:r>
      <w:r>
        <w:rPr>
          <w:rStyle w:val="Ancredenotedefin"/>
          <w:rStyle w:val="Ancredenotedefin"/>
        </w:rPr>
        <w:endnoteReference w:id="50"/>
      </w:r>
      <w:r>
        <w:rPr/>
        <w:t>.</w:t>
      </w:r>
    </w:p>
    <w:p>
      <w:pPr>
        <w:pStyle w:val="Puce3"/>
        <w:tabs>
          <w:tab w:val="clear" w:pos="720"/>
        </w:tabs>
        <w:rPr/>
      </w:pPr>
      <w:r>
        <w:rPr/>
        <w:t>5.</w:t>
        <w:tab/>
        <w:t>Il-promozzjoni ta’ programmi edukattivi u tal-midja li jqiegħdu l-valuri tal-Unjoni fil-qalba tal-proċess ta’ integrazzjoni tal-migranti u jinkoraġġixxu l-interazzjoni bejn iċ-ċittadini tal-Unjoni u l-migranti, bil-għan li jippermettu l-integrazzjoni b’suċċess tagħhom fis-soċjetajiet tal-Unjoni u jqajmu kuxjenza dwar kwistjonijiet ta’ migrazzjoni fost iċ-ċittadini tal-Unjoni.</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Proposta: Protezzjoni tad-data</w:t>
      </w:r>
    </w:p>
    <w:p>
      <w:pPr>
        <w:pStyle w:val="Corpsdetexte"/>
        <w:rPr/>
      </w:pPr>
      <w:r>
        <w:rPr/>
      </w:r>
    </w:p>
    <w:p>
      <w:pPr>
        <w:pStyle w:val="P68B1DB1Normal15"/>
        <w:rPr>
          <w:b/>
          <w:b/>
        </w:rPr>
      </w:pPr>
      <w:r>
        <w:rPr/>
        <w:t>Għan: jiżguraw politika ta’ pproċessar tad-data aktar protettiva u aħjar għaċ-ċittadini, b’mod partikolari: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52"/>
      </w:r>
      <w:r>
        <w:rPr/>
        <w:t>:</w:t>
      </w:r>
    </w:p>
    <w:p>
      <w:pPr>
        <w:pStyle w:val="Puce3"/>
        <w:tabs>
          <w:tab w:val="clear" w:pos="720"/>
        </w:tabs>
        <w:rPr/>
      </w:pPr>
      <w:r>
        <w:rPr/>
        <w:t>1.</w:t>
        <w:tab/>
        <w:t>Billi jimplimentaw u jirrevedu bis-sħiħ il-leġiżlazzjoni eżistenti dwar il-protezzjoni tad-data sabiex tiġi vvalutata l-ħtieġa għal mekkaniżmi ta’ infurzar imtejba għall-entitajiet li jipproċessaw id-data personali, li attwalment jaqgħu taħt il-kompetenza ta’ awtoritajiet nazzjonali indipendenti għall-protezzjoni tad-data li jirrispettaw il-prinċipju tas-sussidjarjetà. Dawk l-entitajiet għandhom jiġu penalizzati b’mod aktar strett milli fl-applikazzjoni attwali tar-regoli, fi proporzjon mal-fatturat annwali tagħhom (sa 4 %), jew saħansitra bi projbizzjoni fuq l-attivitajiet tagħhom, u għandhom ikunu soġġetti għal awditu annwali indipendenti</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Billi jingħata effett akbar lill-prinċipju tal-privatezza mid-disinn jew b’mod awtomatiku, pereżempju billi jiġu evalwati u żviluppati formoli ta’ kunsens tad-data li jkunu faċli biex jinftiehmu, konċiżi u intuwittivi, u jindikaw b’mod ċar x’inhu meħtieġ u x’mhuwiex. L-utenti għandhom ikunu jistgħu jagħtu jew jirtiraw il-kunsens tagħhom għall-ipproċessar tad-data b’mod sempliċi, rapidu u permanenti.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Il-valutazzjoni u l-introduzzjoni ta’ regoli aktar ċari u aktar protettivi dwar l-ipproċessar tad-data relatata mal-minorenni, possibbilment fil-GDPR tal-UE, b’mod partikolari billi tinħoloq kategorija speċjali għal data sensittiva tal-minorenni u tiġi armonizzata l-età minima tal-kunsens fl-Istati Membri. Filwaqt li l-biċċa l-kbira tal-implimentazzjoni tar-regoli dwar il-privatezza u s-sensibilizzazzjoni għandha tkompli taqa’ taħt il-kompetenza tal-Istati Membri, b’mod partikolari permezz ta’ żieda fl-investiment u r-riżorsi fil-livell nazzjonali, l-Unjoni għandu jkollha wkoll rwol aktar importanti, pereżempju billi toħloq kompetenzi Ewropej fl-edukazzjoni ċivika dwar il-protezzjoni tad-data</w:t>
      </w:r>
      <w:r>
        <w:rPr>
          <w:rStyle w:val="Ancredenotedefin"/>
          <w:rStyle w:val="Ancredenotedefin"/>
        </w:rPr>
        <w:endnoteReference w:id="57"/>
      </w:r>
      <w:r>
        <w:rPr/>
        <w:t>.</w:t>
      </w:r>
    </w:p>
    <w:p>
      <w:pPr>
        <w:pStyle w:val="Puce3"/>
        <w:tabs>
          <w:tab w:val="clear" w:pos="720"/>
        </w:tabs>
        <w:rPr/>
      </w:pPr>
      <w:r>
        <w:rPr/>
        <w:t>4.</w:t>
        <w:tab/>
        <w:t>Konformità aħjar mal-kriterji ta’ eliġibbiltà applikabbli għall-awtoritajiet Ewropej u nazzjonali tal-protezzjoni tad-data, f’termini ta’ kwalifiki u adegwatezza, sabiex tiġi żgurata l-indipendenza massima tal-membri tagħhom.</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Proposta: Il-midja, l-aħbarijiet foloz, id-diżinformazzjoni, il-verifika tal-fatti, iċ-ċibersigurtà</w:t>
      </w:r>
    </w:p>
    <w:p>
      <w:pPr>
        <w:pStyle w:val="P68B1DB1Normal15"/>
        <w:rPr>
          <w:b/>
          <w:b/>
        </w:rPr>
      </w:pPr>
      <w:r>
        <w:rPr/>
        <w:t>Għan: Il-ġlieda kontra d-diżinformazzjoni permezz ta’ żieda fil-promozzjoni tal-indipendenza u l-pluraliżmu tal-media u l-litteriżmu medjatiku, b’mod partikolari: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60"/>
      </w:r>
      <w:r>
        <w:rPr/>
        <w:t>:</w:t>
      </w:r>
    </w:p>
    <w:p>
      <w:pPr>
        <w:pStyle w:val="Puce3"/>
        <w:tabs>
          <w:tab w:val="clear" w:pos="720"/>
        </w:tabs>
        <w:rPr/>
      </w:pPr>
      <w:r>
        <w:rPr/>
        <w:t>1.</w:t>
        <w:tab/>
        <w:t>L-introduzzjoni ta’ leġiżlazzjoni għall-ġlieda kontra t-theddid għall-indipendenza tal-midja permezz ta’ standards minimi applikabbli fl-Unjoni kollha, inkluż rieżami tal-mudell tan-negozju tal-midja sabiex jiġu żgurati l-integrità u l-indipendenza tas-suq Ewropew tal-midja</w:t>
      </w:r>
      <w:r>
        <w:rPr>
          <w:rStyle w:val="Ancredenotedefin"/>
          <w:rStyle w:val="Ancredenotedefin"/>
        </w:rPr>
        <w:endnoteReference w:id="61"/>
      </w:r>
      <w:r>
        <w:rPr/>
        <w:t>.</w:t>
      </w:r>
    </w:p>
    <w:p>
      <w:pPr>
        <w:pStyle w:val="Puce3"/>
        <w:tabs>
          <w:tab w:val="clear" w:pos="720"/>
        </w:tabs>
        <w:rPr/>
      </w:pPr>
      <w:r>
        <w:rPr/>
        <w:t>2.</w:t>
        <w:tab/>
        <w:t>L-applikazzjoni rigoruża tar-regoli tal-kompetizzjoni tal-UE fis-settur tal-midja sabiex jiġi evitat il-ħolqien ta’ monopolji kbar tal-midja u biex jiġu żgurati l-pluraliżmu u l-indipendenza tal-midja minn kwalunkwe interferenza mhux mixtieqa mill-pajjiżi politiċi, tan-negozju u/jew barranin. Għandu jitħeġġeġ ukoll il-ġurnaliżmu ta’ kwalità, bi standards rikonoxxuti u għoljin ta’ etika u awtoregolamentazzjoni</w:t>
      </w:r>
      <w:r>
        <w:rPr>
          <w:rStyle w:val="Ancredenotedefin"/>
          <w:rStyle w:val="Ancredenotedefin"/>
        </w:rPr>
        <w:endnoteReference w:id="62"/>
      </w:r>
      <w:r>
        <w:rPr/>
        <w:t>.</w:t>
      </w:r>
    </w:p>
    <w:p>
      <w:pPr>
        <w:pStyle w:val="Puce3"/>
        <w:tabs>
          <w:tab w:val="clear" w:pos="720"/>
        </w:tabs>
        <w:rPr/>
      </w:pPr>
      <w:r>
        <w:rPr/>
        <w:t>3.</w:t>
        <w:tab/>
        <w:t xml:space="preserve">L-istabbiliment ta’ korp tal-UE għall-ġlieda kontra d-diżinformazzjoni u l-interferenza mmirati, it-titjib tal-perċezzjoni tas-sitwazzjoni u t-tisħiħ tal-organizzazzjonijiet tal-verifika tal-fatti u l-midja indipendenti. L-“għadd ta’ emerġenza” u s-siti, bħall-Europe Direct, li jippermettu liċ-ċittadini u lill-midja nazzjonali jitolbu u jirċievu informazzjoni vverifikata dwar l-istrateġiji u l-politiki tal-UE għandhom ukoll jiġu appoġġjati u promossi b’mod aktar attiv.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L-inkoraġġiment tal-litteriżmu medjatiku u s-sensibilizzazzjoni tal-pubbliku dwar id-diżinformazzjoni u t-tixrid mhux intenzjonat tal-aħbarijiet, inkluż permezz tal-edukazzjoni skolastika obbligatorja. L-Istati Membri għandhom jiġu mħeġġa wkoll jiddedikaw riżorsi umani u finanzjarji adegwati għal dan il-għan. </w:t>
      </w:r>
      <w:r>
        <w:rPr>
          <w:rStyle w:val="Ancredenotedefin"/>
          <w:rStyle w:val="Ancredenotedefin"/>
        </w:rPr>
        <w:endnoteReference w:id="65"/>
      </w:r>
    </w:p>
    <w:p>
      <w:pPr>
        <w:pStyle w:val="Puce3"/>
        <w:tabs>
          <w:tab w:val="clear" w:pos="720"/>
        </w:tabs>
        <w:rPr/>
      </w:pPr>
      <w:r>
        <w:rPr/>
        <w:t>5.</w:t>
        <w:tab/>
        <w:t>Tibni fuq inizjattivi eżistenti, bħall-Kodiċi ta’ Prattika kontra d-Diżinformazzjoni u l-Osservatorju Ewropew tal-Midja Diġitali (EDMO), biex tobbliga lill-pjattaformi online jippubblikaw informazzjoni ċara dwar l-algoritmi li jużaw (b’għażla għall-utenti li jagħtu l-kunsens jew le) u r-riskji ta’ diżinformazzjoni li għalihom huma esposti l-utenti, filwaqt li jiġi ppreservat id-dritt għal-libertà tal-kelma u d-dritt għall-privatezza.</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Proposta: Il-midja, l-aħbarijiet foloz, id-diżinformazzjoni, il-verifika tal-fatti, iċ-ċibersigurtà (bis)</w:t>
      </w:r>
    </w:p>
    <w:p>
      <w:pPr>
        <w:pStyle w:val="P68B1DB1Normal15"/>
        <w:rPr>
          <w:b/>
          <w:b/>
        </w:rPr>
      </w:pPr>
      <w:r>
        <w:rPr/>
        <w:t>Għan: it-tisħiħ tar-rwol tal-Unjoni fl-indirizzar tat-theddid taċ-ċibersigurtà, b’mod partikolari: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p>
    <w:p>
      <w:pPr>
        <w:pStyle w:val="Puce3"/>
        <w:tabs>
          <w:tab w:val="clear" w:pos="720"/>
        </w:tabs>
        <w:rPr/>
      </w:pPr>
      <w:r>
        <w:rPr/>
        <w:t>1.</w:t>
        <w:tab/>
        <w:t xml:space="preserve">It-tisħiħ tal-Aġenzija tal-Unjoni Ewropea għaċ-Ċibersigurtà (ENISA) biex tipproteġi aħjar lill-individwi, lill-organizzazzjonijiet u lill-istituzzjonijiet kontra l-ksur taċ-ċibersigurtà u l-użu tal-intelliġenza artifiċjali għal skopijiet kriminali. Fl-istess ħin, il-kunfidenzjalità u l-protezzjoni tad-data personali għandhom jiġu ppreservati.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It-titjib tal-koordinazzjoni tal-awtoritajiet nazzjonali taċ-ċibersigurtà u sforzi addizzjonali biex tiġi żgurata l-implimentazzjoni effettiva tar-regoli tal-Unjoni fil-livell nazzjonali.</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Proposta: Il-ġlieda kontra d-diskriminazzjoni, l-ugwaljanza u l-kwalità tal-ħajja</w:t>
      </w:r>
    </w:p>
    <w:p>
      <w:pPr>
        <w:pStyle w:val="P68B1DB1Normal15"/>
        <w:rPr>
          <w:b/>
          <w:b/>
        </w:rPr>
      </w:pPr>
      <w:r>
        <w:rPr/>
        <w:t>GĦAN: Tieħu miżuri biex tarmonizza l-kundizzjonijiet tal-għajxien fl-Unjoni kollha u ttejjeb il-kwalità tal-ħajja soċjoekonomika taċ-ċittadini tagħha, b’mod partikolari: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72"/>
      </w:r>
      <w:r>
        <w:rPr/>
        <w:t>:</w:t>
      </w:r>
    </w:p>
    <w:p>
      <w:pPr>
        <w:pStyle w:val="Puce3"/>
        <w:tabs>
          <w:tab w:val="clear" w:pos="720"/>
        </w:tabs>
        <w:rPr/>
      </w:pPr>
      <w:r>
        <w:rPr/>
        <w:t>1.</w:t>
        <w:tab/>
        <w:t>L-iżvilupp ta’ indikaturi trasparenti tal-kwalità tal-ħajja inklużi kriterji ekonomiċi, soċjali u tal-istat tad-dritt, f’konsultazzjoni mal-esperti u s-sħab soċjali, sabiex tiġi stabbilita skeda ta’ żmien ċara u realistika biex jogħlew l-istandards soċjali u tiġi stabbilita struttura soċjoekonomika komuni tal-Unjoni, inkluż permezz tal-implimentazzjoni tal-Pilastru Ewropew tad-Drittijiet Soċjali. Dawn il-miżuri għandhom jiġu integrati fil-qafas ta’ governanza ekonomika u fil-proċess tas-Semestru Ewropew</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Iż-żieda u l-iffaċilitar tal-investiment pubbliku dirett fis-saħħa, l-edukazzjoni, l-infrastruttura fiżika u l-kura għall-anzjani u l-persuni b’diżabilità. L-investimenti addizzjonali għandu jkollhom ukoll l-għan li jiżguraw bilanċ sodisfaċenti bejn ix-xogħol u l-ħajja privata għaċ-ċittadini. Dawn l-investimenti għandhom jitwettqu b’mod kompletament trasparenti biex jiġi mmonitorjat il-proċess kollu</w:t>
      </w:r>
      <w:r>
        <w:rPr>
          <w:rStyle w:val="Ancredenotedefin"/>
          <w:rStyle w:val="Ancredenotedefin"/>
        </w:rPr>
        <w:endnoteReference w:id="75"/>
      </w:r>
      <w:r>
        <w:rPr/>
        <w:t>.</w:t>
      </w:r>
    </w:p>
    <w:p>
      <w:pPr>
        <w:pStyle w:val="Puce3"/>
        <w:tabs>
          <w:tab w:val="clear" w:pos="720"/>
        </w:tabs>
        <w:rPr/>
      </w:pPr>
      <w:r>
        <w:rPr/>
        <w:t>3.</w:t>
        <w:tab/>
        <w:t>L-inkoraġġiment tat-tassazzjoni ta’ kumpaniji kbar, il-ġlieda kontra l-aċċess għar-rifuġji fiskali u l-eliminazzjoni tal-eżistenza tagħhom fl-UE bil-ħsieb li jiżdied l-investiment pubbliku f’oqsma ta’ prijorità bħall-edukazzjoni (għotjiet għall-istudju, Erasmus) u r-riċerka. Il-ġlieda kontra l-evażjoni tat-taxxa fil-livell tal-UE għandha tkun ukoll mezz biex jinġabru fondi għal inizjattivi ffinanzjati pubblikament</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Billi jiġu stabbiliti kriterji madwar l-Unjoni kollha biex tiġi miġġielda d-diskriminazzjoni fis-suq tax-xogħol, u billi jitħeġġeġ ir-reklutaġġ minn kumpaniji privati ta’ persuni li ġeneralment huma l-aktar affettwati mid-diskriminazzjoni (inklużi ż-żgħażagħ, l-anzjani, in-nisa u l-persuni minn minoranzi), inkluż permezz ta’ sussidji, u, it-tieni, kwoti temporanji. L-imsieħba soċjali għandhom ikunu involuti mill-qrib f’dawn l-isforzi. Id-diskriminazzjoni barra s-suq tax-xogħol għandha tiġi pprojbita wkoll bil-liġi, u għandha titħeġġeġ l-ugwaljanza</w:t>
      </w:r>
      <w:r>
        <w:rPr>
          <w:rStyle w:val="Ancredenotedefin"/>
          <w:rStyle w:val="Ancredenotedefin"/>
        </w:rPr>
        <w:endnoteReference w:id="78"/>
      </w:r>
      <w:r>
        <w:rPr/>
        <w:t>.</w:t>
      </w:r>
    </w:p>
    <w:p>
      <w:pPr>
        <w:pStyle w:val="Puce3"/>
        <w:tabs>
          <w:tab w:val="clear" w:pos="720"/>
        </w:tabs>
        <w:rPr/>
      </w:pPr>
      <w:r>
        <w:rPr/>
        <w:t>5.</w:t>
        <w:tab/>
        <w:t>L-iżgurar tal-ħolqien u l-iffaċilitar tal-eżistenza ta’ kindergartens affordabbli, kemm pubbliċi kif ukoll privati, kif ukoll servizzi ta’ kura tat-tfal mingħajr ħlas għal dawk fil-bżonn</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Proposta: Id-drittijiet tal-annimali, l-agrikoltura</w:t>
      </w:r>
    </w:p>
    <w:p>
      <w:pPr>
        <w:pStyle w:val="P68B1DB1Normal15"/>
        <w:rPr>
          <w:b/>
          <w:b/>
        </w:rPr>
      </w:pPr>
      <w:r>
        <w:rPr/>
        <w:t>Għan: Jieħdu miżuri deċiżivi biex jippromwovu u jiżguraw agrikoltura li ma tagħmilx ħsara lill-ambjent u li ma tagħmilx ħsara lill-klima, b’mod partikolari: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80"/>
      </w:r>
      <w:r>
        <w:rPr/>
        <w:t>:</w:t>
      </w:r>
    </w:p>
    <w:p>
      <w:pPr>
        <w:pStyle w:val="Puce3"/>
        <w:tabs>
          <w:tab w:val="clear" w:pos="720"/>
        </w:tabs>
        <w:rPr/>
      </w:pPr>
      <w:r>
        <w:rPr/>
        <w:t>1.</w:t>
        <w:tab/>
        <w:t>Billi jiġu stabbiliti kriterji minimi dettaljati, li jistgħu jitkejlu u marbuta biż-żmien għall-protezzjoni tal-annimali tal-irziezet, bil-għan li jiġu żgurati standards ogħla tal-benessri tal-annimali f’konformità mal-introduzzjoni ta’ miri ta’ sostenibbiltà u abbażi ta’ approċċ integrat għas-sistema tal-ikel</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L-introduzzjoni ta’ penali finanzjarji għall-effetti negattivi kkawżati mill-attività agrikola (eż. l-emissjonijiet tal-gassijiet serra, l-użu tal-pestiċidi, il-konsum eċċessiv tal-ilma, it-trasport fuq distanzi twal, eċċ.) skont l-impatt tagħhom fuq l-ambjent. Il-prodotti agrikoli importati fl-Unjoni għandhom jiġu vvalutati wkoll fuq din il-bażi, inkluż permezz ta’ dazji doganali, sabiex jiġi eliminat kwalunkwe vantaġġ kompetittiv li jirriżulta minn standards ambjentali inqas stretti</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It-tnaqqis tas-sussidji għall-produzzjoni agrikola tal-massa meta din ma tikkontribwixxix għal tranżizzjoni sostenibbli, u d-direzzjoni mill-ġdid ta’ dawn ir-riżorsi biex jappoġġaw l-agrikoltura ambjentalment sostenibbli, filwaqt li tiġi żgurata l-affordabbiltà tal-prodotti tal-ikel.</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Immaġni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maġni26"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Trasformazzjoni Diġitali”</w:t>
      </w:r>
    </w:p>
    <w:p>
      <w:pPr>
        <w:pStyle w:val="Normal"/>
        <w:rPr/>
      </w:pPr>
      <w:r>
        <w:rPr/>
        <w:t>L-Ewropa trid tkun minn ta’ quddiem fid-dinja u tistabbilixxi standards għat-trasformazzjoni diġitali, u trid tfassal triq Ewropea lejn soċjetà etika, iċċentrata fuq il-bniedem, trasparenti u sigura. L-Ewropa trid tadotta approċċ ambizzjuż u tagħmel użu sħiħ mill-opportunitajiet offruti mid-diġitalizzazzjoni, filwaqt li fl-istess ħin timmaniġġja r-riskji u l-isfidi li ġġib magħha d-diġitalizzazzjoni. Id-diġitalizzazzjoni tikkonċerna l-oqsma kollha tas-soċjetà tagħna u jeħtieġ li titqies b’mod sistematiku. F’dan ir-rigward, saret referenza għad-Dikjarazzjoni Ewropea dwar id-Drittijiet u l-Prinċipji Diġitali għad-Deċennju Diġitali u ġie ssuġġerit li fil-futur tiġi kkunsidrata l-elaborazzjoni possibbli ta’ Karta tad-Drittijiet Diġitali.</w:t>
      </w:r>
    </w:p>
    <w:p>
      <w:pPr>
        <w:pStyle w:val="Normal"/>
        <w:rPr/>
      </w:pPr>
      <w:r>
        <w:rPr/>
        <w:t>L-aggressjoni Russa fl-Ukrajna tikkonferma biss ħafna elementi indirizzati fil-proposti, bħall-ħtieġa ta’ sovranità diġitali, aktar attenzjoni għaċ-ċiberdifiża u l-protezzjoni kontra d-diżinformazzjoni. Juri wkoll li l-kunflitti kontemporanji għandhom konsegwenzi fl-isfera diġitali u jqajjem mistoqsijiet ġodda, bħall-konsegwenzi fit-tul tal-użu ħażin tal-informazzjoni personali u l-użu illeġittimu ta’ din id-data fil-futur.</w:t>
      </w:r>
    </w:p>
    <w:p>
      <w:pPr>
        <w:pStyle w:val="Normal"/>
        <w:rPr/>
      </w:pPr>
      <w:r>
        <w:rPr/>
      </w:r>
    </w:p>
    <w:p>
      <w:pPr>
        <w:pStyle w:val="Titre3"/>
        <w:numPr>
          <w:ilvl w:val="2"/>
          <w:numId w:val="2"/>
        </w:numPr>
        <w:rPr/>
      </w:pPr>
      <w:bookmarkStart w:id="81" w:name="__RefHeading___Toc298336_1346298689"/>
      <w:bookmarkEnd w:id="81"/>
      <w:r>
        <w:rPr/>
        <w:t>31. Proposta: Aċċess għall-infrastruttura diġitali</w:t>
      </w:r>
    </w:p>
    <w:p>
      <w:pPr>
        <w:pStyle w:val="Normal"/>
        <w:rPr/>
      </w:pPr>
      <w:r>
        <w:rPr/>
        <w:t>Għan: L-aċċess ugwali għall-internet huwa dritt fundamentali għal kull ċittadin Ewropew. Nipproponu li kulħadd fl-Ewropa jkollu aċċess effettiv għall-internet u s-servizzi diġitali u li tissaħħaħ is-sovranità tal-infrastruttura diġitali tal-UE, billi jiġu implimentati 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86"/>
      </w:r>
      <w:r>
        <w:rPr/>
        <w:t>:</w:t>
      </w:r>
    </w:p>
    <w:p>
      <w:pPr>
        <w:pStyle w:val="Puce3"/>
        <w:tabs>
          <w:tab w:val="clear" w:pos="720"/>
        </w:tabs>
        <w:rPr/>
      </w:pPr>
      <w:r>
        <w:rPr/>
        <w:t>1.</w:t>
        <w:tab/>
        <w:t>Investiment f’infrastruttura diġitali Ewropea ta’ kwalità għolja u innovattiva (inkluż l-iżvilupp tal-5G u s-6G fl-Ewropa) (Rakkomandazzjonijiet 40 u 47 tal-ECP 1 u Nru 1 tal-NCP Olandiż).</w:t>
      </w:r>
    </w:p>
    <w:p>
      <w:pPr>
        <w:pStyle w:val="Puce3"/>
        <w:tabs>
          <w:tab w:val="clear" w:pos="720"/>
        </w:tabs>
        <w:rPr/>
      </w:pPr>
      <w:r>
        <w:rPr/>
        <w:t>2.</w:t>
        <w:tab/>
        <w:t>Jiġi żgurat aċċess għall-internet veloċi, affordabbli, sikur u stabbli fl-Unjoni kollha, inkluż ir-roaming, bi prijorità mogħtija lill-istabbiliment ta’ konnessjonijiet tal-internet f’“żoni bojod/mejta”, żoni rurali u remoti u periferali sabiex jiġi indirizzat id-distakk diġitali bejn u fi ħdan l-Istati Membri u biex jiġi żgurat li ħadd ma jitħalla jibqa’ lura (Rakkomandazzjonijiet 17 u 47 tal-NCP 1 u Nru 1 tan-Netherlands).</w:t>
      </w:r>
    </w:p>
    <w:p>
      <w:pPr>
        <w:pStyle w:val="Puce3"/>
        <w:tabs>
          <w:tab w:val="clear" w:pos="720"/>
        </w:tabs>
        <w:rPr/>
      </w:pPr>
      <w:r>
        <w:rPr/>
        <w:t>3.</w:t>
        <w:tab/>
        <w:t>Tavvanza l-varar, fi spazji pubbliċi u privati, ta’ infrastruttura diġitali u elettrika li tippermetti l-użu ta’ vetturi elettriċi u awtonomi (dibattitu fil-Grupp ta’ Ħidma)</w:t>
      </w:r>
      <w:r>
        <w:rPr>
          <w:rStyle w:val="Ancredenotedefin"/>
          <w:rStyle w:val="Ancredenotedefin"/>
        </w:rPr>
        <w:endnoteReference w:id="87"/>
      </w:r>
      <w:r>
        <w:rPr/>
        <w:t>.</w:t>
      </w:r>
    </w:p>
    <w:p>
      <w:pPr>
        <w:pStyle w:val="Puce3"/>
        <w:tabs>
          <w:tab w:val="clear" w:pos="720"/>
        </w:tabs>
        <w:rPr/>
      </w:pPr>
      <w:r>
        <w:rPr/>
        <w:t>4.</w:t>
        <w:tab/>
        <w:t>Tieħu miżuri biex tiżgura kompetizzjoni ġusta u miftuħa u tipprevjeni l-monopolji, id-dipendenza fuq il-fornituri, il-konċentrazzjoni tad-data u d-dipendenza fuq pajjiżi terzi fuq l-infrastruttura u s-servizzi; it-titjib tas-swieq mill-perspettiva tal-konsumatur (ir-Rakkomandazzjoni CEP Nru 17 1).</w:t>
      </w:r>
    </w:p>
    <w:p>
      <w:pPr>
        <w:pStyle w:val="Puce3"/>
        <w:tabs>
          <w:tab w:val="clear" w:pos="720"/>
        </w:tabs>
        <w:rPr/>
      </w:pPr>
      <w:r>
        <w:rPr/>
        <w:t>5.</w:t>
        <w:tab/>
        <w:t>It-tfal, il-familji, l-anzjani u l-gruppi vulnerabbli jsiru prijorità f’termini ta’ aċċess għall-Internet u t-tagħmir tal-IT, inkluż l-aċċess għall-edukazzjoni, is-servizzi pubbliċi u s-saħħa (CEP 1 Rakkomandazzjoni 17 u diskussjoni fil-Grupp ta’ Ħidma).</w:t>
      </w:r>
    </w:p>
    <w:p>
      <w:pPr>
        <w:pStyle w:val="Puce3"/>
        <w:tabs>
          <w:tab w:val="clear" w:pos="720"/>
        </w:tabs>
        <w:rPr/>
      </w:pPr>
      <w:r>
        <w:rPr/>
        <w:t>6.</w:t>
        <w:tab/>
        <w:t>Ittejjeb l-aċċess diġitali, b’aċċessibbiltà sħiħa, għal servizzi pubbliċi u privati essenzjali għaċ-ċittadini u n-negozji, eż. fir-rigward tal-proċeduri amministrattivi, u tiżgura l-aċċess għal dawn is-servizzi u l-appoġġ assoċjat magħhom għal kulħadd, eż. permezz ta’ servizzi ta’ appoġġ (dibattitu fil-Grupp ta’ Ħidma, pjattaforma diġitali multilingwi).</w:t>
      </w:r>
    </w:p>
    <w:p>
      <w:pPr>
        <w:pStyle w:val="Puce3"/>
        <w:tabs>
          <w:tab w:val="clear" w:pos="720"/>
        </w:tabs>
        <w:rPr/>
      </w:pPr>
      <w:r>
        <w:rPr/>
        <w:t>7.</w:t>
        <w:tab/>
        <w:t>L-armonizzazzjoni ta’ standards diġitali ta’ kwalità għolja u t-titjib tal-mobbiltà sigura tad-data sabiex tiġi ffaċilitata l-interoperabbiltà transfruntiera (dibattitu fil-Grupp ta’ Ħidma, pjattaforma diġitali multilingwi).</w:t>
      </w:r>
    </w:p>
    <w:p>
      <w:pPr>
        <w:pStyle w:val="Puce3"/>
        <w:tabs>
          <w:tab w:val="clear" w:pos="720"/>
        </w:tabs>
        <w:rPr/>
      </w:pPr>
      <w:r>
        <w:rPr/>
        <w:t>8.</w:t>
        <w:tab/>
        <w:t>Jirriflettu dwar l-impatti ambjentali tal-infrastruttura diġitali u d-diġitalizzazzjoni sabiex jagħmlu t-trasformazzjoni diġitali sostenibbli u jimxu lejn soċjetà diġitali ekoloġika (dibattitu fil-Grupp ta’ Ħidma, pjattaforma diġitali multilingwi).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Proposta: Għarfien u ħiliet diġitali li jagħtu s-setgħa lin-nies</w:t>
      </w:r>
    </w:p>
    <w:p>
      <w:pPr>
        <w:pStyle w:val="P68B1DB1Normal15"/>
        <w:rPr>
          <w:b/>
          <w:b/>
        </w:rPr>
      </w:pPr>
      <w:r>
        <w:rPr/>
        <w:t>Għan: Nipproponu li l-UE tiżgura li ċ-ċittadini Ewropej kollha jkunu jistgħu jieħdu vantaġġ mid-diġitalizzazzjoni billi tagħtihom is-setgħa li jiksbu l-ħiliet u l-opportunitajiet diġitali meħtieġa billi timplimenta 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88"/>
      </w:r>
      <w:r>
        <w:rPr/>
        <w:t>:</w:t>
      </w:r>
    </w:p>
    <w:p>
      <w:pPr>
        <w:pStyle w:val="Puce3"/>
        <w:tabs>
          <w:tab w:val="clear" w:pos="720"/>
        </w:tabs>
        <w:rPr/>
      </w:pPr>
      <w:r>
        <w:rPr/>
        <w:t>1.</w:t>
        <w:tab/>
        <w:t>L-iżgurar tal-aċċess għat-taħriġ u l-edukazzjoni, inklużi l-kurrikuli skolastiċi, formali u mhux formali, għall-ħiliet u l-għarfien diġitali tul il-ħajja, abbażi ta’ inizjattivi eżistenti fil-livell Ewropew, b’attenzjoni partikolari għall-inklużjoni ta’ persuni li jappartjenu għal gruppi vulnerabbli u persuni akbar fl-età, kif ukoll għat-tisħiħ tal-ħiliet diġitali tat-tfal b’mod kompatibbli mal-iżvilupp xieraq tagħhom u l-indirizzar tal-inugwaljanzi diġitali, inkluż id-distakk diġitali bejn l-irġiel u n-nisa (ir-Rakkomandazzjoni tal-ECP Nru 8, ir-Rakkomandazzjoni 5.2 tal-NCP Taljan u d-dibattitu fil-WG).</w:t>
      </w:r>
    </w:p>
    <w:p>
      <w:pPr>
        <w:pStyle w:val="Puce3"/>
        <w:tabs>
          <w:tab w:val="clear" w:pos="720"/>
        </w:tabs>
        <w:rPr/>
      </w:pPr>
      <w:r>
        <w:rPr/>
        <w:t>2.</w:t>
        <w:tab/>
        <w:t>Jiġi żgurat l-użu tajjeb tal-internet billi l-Istati Membri jitħeġġu jiżviluppaw taħriġ fil-ħiliet diġitali għall-gruppi tal-etajiet kollha bi programmi u kontenut armonizzati fil-livell Ewropew, bħar-riskji u l-opportunitajiet tal-internet, id-drittijiet online tal-utenti u n-netiquette (ir-Rakkomandazzjoni 47 tal-CEP 1 u d-dibattitu fil-Grupp ta’ Ħidma).</w:t>
      </w:r>
    </w:p>
    <w:p>
      <w:pPr>
        <w:pStyle w:val="Puce3"/>
        <w:tabs>
          <w:tab w:val="clear" w:pos="720"/>
        </w:tabs>
        <w:rPr/>
      </w:pPr>
      <w:r>
        <w:rPr/>
        <w:t>3.</w:t>
        <w:tab/>
        <w:t>Tieħu l-miżuri kollha meħtieġa biex tiżgura li d-diġitalizzazzjoni tas-soċjetà ma teskludix lill-anzjani u li t-teknoloġija tkun aċċessibbli għalihom billi tinkoraġġixxi programmi u inizjattivi rilevanti, bħal korsijiet imfassla għall-ħtiġijiet tagħhom. Fl-istess ħin, għandu jiġi żgurat li s-servizzi essenzjali jkunu aċċessibbli wkoll personalment u b’mod mhux diġitali (ir-Rakkomandazzjonijiet 34 u 47 tas-CEP).</w:t>
      </w:r>
    </w:p>
    <w:p>
      <w:pPr>
        <w:pStyle w:val="Puce3"/>
        <w:tabs>
          <w:tab w:val="clear" w:pos="720"/>
        </w:tabs>
        <w:rPr/>
      </w:pPr>
      <w:r>
        <w:rPr/>
        <w:t>4.</w:t>
        <w:tab/>
        <w:t>Tintroduċi fl-iskejjel ċertifikazzjoni Ewropea dwar il-ħiliet diġitali li se tħejji liż-żgħażagħ għas-suq tax-xogħol futur (Rakkomandazzjoni 8 tas-CEP).</w:t>
      </w:r>
    </w:p>
    <w:p>
      <w:pPr>
        <w:pStyle w:val="Puce3"/>
        <w:tabs>
          <w:tab w:val="clear" w:pos="720"/>
        </w:tabs>
        <w:rPr/>
      </w:pPr>
      <w:r>
        <w:rPr/>
        <w:t>5.</w:t>
        <w:tab/>
        <w:t>Jimplimentaw inizjattivi ta’ taħriġ ikkoordinat fil-livell tal-Unjoni għat-taħriġ mill-ġdid u t-titjib tal-ħiliet tal-ħaddiema biex jibqgħu kompetittivi fis-suq tax-xogħol, speċjalment fid-dawl tal-ħiliet u l-kwalifiki meħtieġa fl-intrapriżi żgħar u ta’ daqs medju, kif ukoll bil-ħsieb li jitħarrġu speċjalisti diġitali (ir-Rakkomandazzjoni 8 tas-CEP u d-dibattitu fil-Grupp ta’ Ħidma).</w:t>
      </w:r>
    </w:p>
    <w:p>
      <w:pPr>
        <w:pStyle w:val="Puce3"/>
        <w:tabs>
          <w:tab w:val="clear" w:pos="720"/>
        </w:tabs>
        <w:rPr/>
      </w:pPr>
      <w:r>
        <w:rPr/>
        <w:t>6.</w:t>
        <w:tab/>
        <w:t>Jippubbliċizzaw il-pjattaformi diġitali eżistenti li jgħaqqdu liċ-ċittadini mal-impjegaturi u jgħinuhom isibu impjiegi fl-UE, bħall-EURES (ir-Rakkomandazzjoni Nru 8 tas-CEP).</w:t>
      </w:r>
    </w:p>
    <w:p>
      <w:pPr>
        <w:pStyle w:val="Puce3"/>
        <w:tabs>
          <w:tab w:val="clear" w:pos="720"/>
        </w:tabs>
        <w:rPr/>
      </w:pPr>
      <w:r>
        <w:rPr/>
        <w:t>7.</w:t>
        <w:tab/>
        <w:t>Jiżdiedu l-investiment u l-isforzi biex tiġi stimulata d-diġitalizzazzjoni tal-edukazzjoni, inkluża l-edukazzjoni għolja (dibattitu fil-Grupp ta’ Ħidma/pjattaforma diġitali multilingwi).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Proposta: Soċjetà diġitali sigura u affidabbli — iċ-ċibersigurtà u d-diżinformazzjoni</w:t>
      </w:r>
    </w:p>
    <w:p>
      <w:pPr>
        <w:pStyle w:val="P68B1DB1Normal15"/>
        <w:rPr>
          <w:b/>
          <w:b/>
        </w:rPr>
      </w:pPr>
      <w:r>
        <w:rPr/>
        <w:t>Għan: nipproponu li, sabiex tinħoloq soċjetà diġitali sigura, reżiljenti u affidabbli, l-UE għandha tiżgura l-implimentazzjoni effettiva u f’waqtha tal-leġiżlazzjoni eżistenti u jkollha aktar kompetenzi biex issaħħaħ iċ-ċibersigurtà, tiġġieled il-kontenut illegali u ċ-ċiberkriminalità, tindirizza u tindirizza l-konsegwenzi tat-theddid ċibernetiku minn atturi mhux statali u stati awtoritarji, u tiġġieled id-diżinformazzjoni, billi timplimenta 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89"/>
      </w:r>
      <w:r>
        <w:rPr/>
        <w:t>:</w:t>
      </w:r>
    </w:p>
    <w:p>
      <w:pPr>
        <w:pStyle w:val="Puce3"/>
        <w:tabs>
          <w:tab w:val="clear" w:pos="720"/>
        </w:tabs>
        <w:rPr/>
      </w:pPr>
      <w:r>
        <w:rPr/>
        <w:t>1.</w:t>
        <w:tab/>
        <w:t>Jissaħħu l-kapaċitajiet tal-Europol/iċ-Ċentru Ewropew taċ-Ċiberkriminalità f’termini ta’ riżorsi finanzjarji u umani, sabiex ikun possibbli approċċ aktar proattiv għaċ-ċiberkriminalità u biex jissaħħu l-kapaċitajiet komuni Ewropej taċ-ċiberdifiża kontra attakki fuq skala kbira, inkluż permezz ta’ kooperazzjoni aħjar (ir-Rakkomandazzjoni tal-ECP Nru 39, ir-Rakkomandazzjoni 2.6 tal-NCP Litwan u l-NCP 1 tal-NCP tan-Netherlands u d-dibattitu fil-Grupp ta’ Ħidma).</w:t>
      </w:r>
    </w:p>
    <w:p>
      <w:pPr>
        <w:pStyle w:val="Puce3"/>
        <w:tabs>
          <w:tab w:val="clear" w:pos="720"/>
        </w:tabs>
        <w:rPr/>
      </w:pPr>
      <w:r>
        <w:rPr/>
        <w:t>2.</w:t>
        <w:tab/>
        <w:t>Tieħu l-miżuri meħtieġa biex titħejja għal attakki fuq skala kbira u tfixkil fis-servizzi u biex tkun tista’ tegħlebhom malajr, pereżempju billi tiżgura l-eżistenza ta’ infrastruttura reżiljenti u kanali ta’ komunikazzjoni alternattivi (dibattitu fil-Grupp ta’ Ħidma).</w:t>
      </w:r>
    </w:p>
    <w:p>
      <w:pPr>
        <w:pStyle w:val="Puce3"/>
        <w:tabs>
          <w:tab w:val="clear" w:pos="720"/>
        </w:tabs>
        <w:rPr/>
      </w:pPr>
      <w:r>
        <w:rPr/>
        <w:t>3.</w:t>
        <w:tab/>
        <w:t>Jiżguraw sanzjonijiet simili u l-infurzar rapidu u effettiv tagħhom fl-Istati Membri f’każ ta’ ċiberkriminalità permezz ta’ koordinazzjoni mtejba taċ-ċentri u l-awtoritajiet lokali, reġjonali u nazzjonali taċ-ċibersigurtà (ir-Rakkomandazzjoni CEP Nru 39 1).</w:t>
      </w:r>
    </w:p>
    <w:p>
      <w:pPr>
        <w:pStyle w:val="Puce3"/>
        <w:tabs>
          <w:tab w:val="clear" w:pos="720"/>
        </w:tabs>
        <w:rPr/>
      </w:pPr>
      <w:r>
        <w:rPr/>
        <w:t>4.</w:t>
        <w:tab/>
        <w:t>Ittejjeb l-għarfien diġitali u l-ħsieb kritiku bħala mezz biex jiġu miġġielda d-diżinformazzjoni, it-theddid online u d-diskors ta’ mibegħda, kif ukoll interfaċċi armati u prezzijiet preferenzjali (dibattitu fil-Grupp ta’ Ħidma).</w:t>
      </w:r>
    </w:p>
    <w:p>
      <w:pPr>
        <w:pStyle w:val="Puce3"/>
        <w:tabs>
          <w:tab w:val="clear" w:pos="720"/>
        </w:tabs>
        <w:rPr/>
      </w:pPr>
      <w:r>
        <w:rPr/>
        <w:t>5.</w:t>
        <w:tab/>
        <w:t>L-indirizzar tad-diżinformazzjoni billi jiġu adottati leġiżlazzjoni u linji gwida li jiżguraw li l-pjattaformi online u l-kumpaniji tal-midja soċjali jindirizzaw il-vulnerabbiltajiet tad-diżinformazzjoni tagħhom u japplikaw miżuri ta’ trasparenza, inkluż, pereżempju, algoritmi bbażati fuq l-intelliġenza artifiċjali li jistgħu jenfasizzaw l-affidabbiltà tal-informazzjoni fuq il-midja soċjali u l-midja l-ġdida, billi jipprovdu lill-utent b’sorsi vverifikati ta’ informazzjoni. Meta jintużaw l-algoritmi, il-kontroll aħħari fil-proċessi tat-teħid tad-deċiżjonijiet għandu jkun ir-responsabbiltà tal-bnedmin (CEP 1 Rakkomandazzjoni 46 u diskussjoni fil-WG).</w:t>
      </w:r>
    </w:p>
    <w:p>
      <w:pPr>
        <w:pStyle w:val="Puce3"/>
        <w:tabs>
          <w:tab w:val="clear" w:pos="720"/>
        </w:tabs>
        <w:rPr/>
      </w:pPr>
      <w:r>
        <w:rPr/>
        <w:t>6.</w:t>
        <w:tab/>
        <w:t>Jappoġġaw il-pjattaformi diġitali li jikkontribwixxu għall-pluraliżmu tal-midja u jipprovdu riżorsi u inizjattivi biex jivvalutaw l-affidabbiltà u l-imparzjalità tal-informazzjoni mill-midja tradizzjonali (televiżjoni, stampa, radju) u midja oħra b’rispett sħiħ tal-prinċipju tal-libertà tal-midja u biex jipprovdu liċ-ċittadini b’informazzjoni dwar il-kwalità tal-informazzjoni (ir-Rakkomandazzjoni 46 tas-CEP).</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Proposta: Soċjetà diġitali sigura u affidabbli — protezzjoni tad-data</w:t>
      </w:r>
    </w:p>
    <w:p>
      <w:pPr>
        <w:pStyle w:val="P68B1DB1Normal15"/>
        <w:rPr>
          <w:b/>
          <w:b/>
        </w:rPr>
      </w:pPr>
      <w:r>
        <w:rPr/>
        <w:t>Għan: Aħna nappoġġaw is-sovranità tad-data tan-nies, sensibilizzazzjoni aħjar u implimentazzjoni u infurzar aktar effettivi tar-regoli eżistenti dwar il-protezzjoni tad-data (GDPR) sabiex jissaħħaħ il-kontroll tan-nies fuq id-data tagħhom u jiġi limitat l-użu ħażin tad-data, billi jiġu implimentati 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90"/>
      </w:r>
      <w:r>
        <w:rPr/>
        <w:t>:</w:t>
      </w:r>
    </w:p>
    <w:p>
      <w:pPr>
        <w:pStyle w:val="Puce3"/>
        <w:tabs>
          <w:tab w:val="clear" w:pos="720"/>
        </w:tabs>
        <w:rPr/>
      </w:pPr>
      <w:r>
        <w:rPr/>
        <w:t>1.</w:t>
        <w:tab/>
        <w:t>Tispjega aħjar ir-regoli dwar il-protezzjoni tad-data (GDPRs), iżżid it-trasparenza u ttejjeb il-komunikazzjoni billi tiżviluppa linji gwida għal testi ta’ kunsens infurmat li jużaw lingwaġġ sempliċi, ċar u li jinftiehem, inkluża preżentazzjoni aktar viżiva għall-kunsens għall-użu tad-data, takkumpanjahom b’kampanja ta’ informazzjoni, kif ukoll tiżgura li l-kontrolluri tad-data jkollhom il-ħiliet meħtieġa u jagħtu pariri lil dawk li jeħtieġu assistenza (Rakkomandazzjonijiet 42 u 45 tal-NCP 1 u Nru 2 tan-Netherlands).</w:t>
      </w:r>
    </w:p>
    <w:p>
      <w:pPr>
        <w:pStyle w:val="Puce3"/>
        <w:tabs>
          <w:tab w:val="clear" w:pos="720"/>
        </w:tabs>
        <w:rPr/>
      </w:pPr>
      <w:r>
        <w:rPr/>
        <w:t>2.</w:t>
        <w:tab/>
        <w:t>Tiżgura l-infurzar tal-projbizzjoni eżistenti tal-kunsens awtomatiku għall-użu mill-ġdid jew il-bejgħ mill-ġdid tad-data (ir-Rakkomandazzjoni CEP Nru 42 1).</w:t>
      </w:r>
    </w:p>
    <w:p>
      <w:pPr>
        <w:pStyle w:val="Puce3"/>
        <w:tabs>
          <w:tab w:val="clear" w:pos="720"/>
        </w:tabs>
        <w:rPr/>
      </w:pPr>
      <w:r>
        <w:rPr/>
        <w:t>3.</w:t>
        <w:tab/>
        <w:t>Tiżgura li t-talbiet mill-utenti għat-tħassir finali tad-data jingħataw f’perjodu ta’ żmien speċifikat (ir-Rakkomandazzjoni CEP Nru 42).</w:t>
      </w:r>
    </w:p>
    <w:p>
      <w:pPr>
        <w:pStyle w:val="Puce3"/>
        <w:tabs>
          <w:tab w:val="clear" w:pos="720"/>
        </w:tabs>
        <w:rPr/>
      </w:pPr>
      <w:r>
        <w:rPr/>
        <w:t>4.</w:t>
        <w:tab/>
        <w:t>Jipprovdu lill-utenti b’informazzjoni ċara u konċiża dwar kif se tintuża d-data u minn min (ir-Rakkomandazzjoni CEP Nru 42 1)</w:t>
      </w:r>
    </w:p>
    <w:p>
      <w:pPr>
        <w:pStyle w:val="Puce3"/>
        <w:tabs>
          <w:tab w:val="clear" w:pos="720"/>
        </w:tabs>
        <w:rPr/>
      </w:pPr>
      <w:r>
        <w:rPr/>
        <w:t>5.</w:t>
        <w:tab/>
        <w:t>Jiġi żgurat li l-kumpaniji mhux Ewropej jikkonformaw mar-regoli Ewropej dwar il-protezzjoni tad-data (ir-Rakkomandazzjonijiet 42 u 43 tas-CEP 1).</w:t>
      </w:r>
    </w:p>
    <w:p>
      <w:pPr>
        <w:pStyle w:val="Puce3"/>
        <w:tabs>
          <w:tab w:val="clear" w:pos="720"/>
        </w:tabs>
        <w:rPr/>
      </w:pPr>
      <w:r>
        <w:rPr/>
        <w:t>6.</w:t>
        <w:tab/>
        <w:t>L-inkoraġġiment tal-istabbiliment ta’ skema ta’ ċertifikazzjoni fil-livell tal-UE li tafferma l-konformità mal-GDPR b’mod aċċessibbli, ċar u sempliċi, hija viżibbli fuq is-siti web u l-pjattaformi u għandha tinħareġ minn ċertifikatur indipendenti fil-livell Ewropew. Dan m’għandux joħloq piż sproporzjonat fuq l-intrapriżi żgħar u ta’ daqs medju (ir-Rakkomandazzjoni 44 tas-CEP 1 u diskussjoni fil-Grupp ta’ Ħidma).</w:t>
      </w:r>
    </w:p>
    <w:p>
      <w:pPr>
        <w:pStyle w:val="Puce3"/>
        <w:tabs>
          <w:tab w:val="clear" w:pos="720"/>
        </w:tabs>
        <w:rPr/>
      </w:pPr>
      <w:r>
        <w:rPr/>
        <w:t>7.</w:t>
        <w:tab/>
        <w:t>Jiżguraw assistenza effiċjenti u f’waqtha liċ-ċittadini li jiltaqgħu ma’ diffikultajiet biex joġġezzjonaw għall-ipproċessar tad-data tagħhom jew jirrevokaw il-kunsens tagħhom. Għal dan il-għan, huwa meħtieġ, fil-livell Ewropew, li tiġi definita aħjar l-imġiba intrużiva u li jiġu żviluppati prinċipji u mekkaniżmi ta’ gwida li jippermettu liċ-ċittadini jopponu l-ipproċessar tad-data tagħhom u jiksbu t-tħassir tagħha kif ukoll li jidentifikaw u jissanzjonaw lill-frodaturi (ir-Rakkomandazzjoni 43 tas-CEP u d-dibattitu fil-Grupp ta’ Ħidma).</w:t>
      </w:r>
    </w:p>
    <w:p>
      <w:pPr>
        <w:pStyle w:val="Puce3"/>
        <w:tabs>
          <w:tab w:val="clear" w:pos="720"/>
        </w:tabs>
        <w:rPr/>
      </w:pPr>
      <w:r>
        <w:rPr/>
        <w:t>8.</w:t>
        <w:tab/>
        <w:t>Jipprevedu penali, inkluża multa proporzjonali għall-fatturat tal-kumpaniji u l-limitazzjonijiet fuq l-attivitajiet tagħhom, pereżempju projbizzjonijiet temporanji jew definittivi fuq l-ipproċessar tad-data mhux mixtieqa, u biex jassistu lill-Kontrollur Ewropew għall-Protezzjoni tad-Data u lill-aġenziji nazzjonali fl-iżgurar tal-implimentazzjoni tagħhom (ir-Rakkomandazzjonijiet 42 u 43 tas-CEP u d-dibattitu fil-Grupp ta’ Ħidma).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Proposta: L-innovazzjoni diġitali biex tissaħħaħ l-ekonomija soċjali u sostenibbli</w:t>
      </w:r>
    </w:p>
    <w:p>
      <w:pPr>
        <w:pStyle w:val="Normal"/>
        <w:rPr/>
      </w:pPr>
      <w:r>
        <w:rPr/>
        <w:t>Għan: Nipproponu li l-UE tippromwovi miżuri ta’ diġitalizzazzjoni li jsaħħu l-ekonomija u s-suq uniku b’mod ġust u sostenibbli, jagħmlu lill-Ewropa aktar kompetittiva fl-oqsma tat-teknoloġija u l-innovazzjoni, itejbu s-suq uniku diġitali għan-negozji ta’ kull daqs u jpoġġu lill-Ewropa fuq quddiem nett globali tat-trasformazzjoni diġitali u d-diġitalizzazzjoni ċċentrata fuq il-bniedem, bl-applikazzjoni tal-miżuri li ġejjin: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91"/>
      </w:r>
      <w:r>
        <w:rPr/>
        <w:t>:</w:t>
      </w:r>
    </w:p>
    <w:p>
      <w:pPr>
        <w:pStyle w:val="Puce3"/>
        <w:tabs>
          <w:tab w:val="clear" w:pos="720"/>
        </w:tabs>
        <w:rPr/>
      </w:pPr>
      <w:r>
        <w:rPr/>
        <w:t>1.</w:t>
        <w:tab/>
        <w:t>L-introduzzjoni ta’ leġiżlazzjoni jew it-tisħiħ tal-leġiżlazzjoni eżistenti dwar “xogħol mobbli” (iċċentrata fuq il-bniedem), filwaqt li jitqies l-impatt tagħha fuq is-saħħa fiżika u mentali tal-ħaddiema, pereżempju billi jiġi ggarantit id-dritt ta’ skonnessjoni. Approċċ “iċċentrata fuq il-bniedem” jippresupponi l-prinċipju ta’ “kontroll tal-bniedem” (Rakkomandazzjoni Nru 7 tal-PCE 1 u dibattitu fil-Grupp ta’ Ħidma)</w:t>
      </w:r>
      <w:r>
        <w:rPr>
          <w:rStyle w:val="Ancredenotedefin"/>
          <w:rStyle w:val="Ancredenotedefin"/>
        </w:rPr>
        <w:endnoteReference w:id="92"/>
      </w:r>
      <w:r>
        <w:rPr/>
        <w:t>.</w:t>
      </w:r>
    </w:p>
    <w:p>
      <w:pPr>
        <w:pStyle w:val="Puce3"/>
        <w:tabs>
          <w:tab w:val="clear" w:pos="720"/>
        </w:tabs>
        <w:rPr/>
      </w:pPr>
      <w:r>
        <w:rPr/>
        <w:t>2.</w:t>
        <w:tab/>
        <w:t>Leġiżlazzjoni fil-livell tal-UE biex il-kumpaniji jitħeġġu jkunu soċjalment responsabbli u biex jinżammu “impjiegi mobbli” ta’ kwalità fl-Ewropa, u b’hekk tiġi evitata r-rilokazzjoni ta’ dawn l-impjiegi lejn pajjiżi bi spiża aktar baxxa. L-inċentivi jistgħu jkunu ta’ natura finanzjarja u/jew impatt fuq l-immaġni korporattiva u għandhom iqisu l-kriterji ambjentali, soċjali u ta’ governanza (ESG) rikonoxxuti internazzjonalment. Għal dan il-għan, l-Unjoni għandha tistabbilixxi grupp ta’ ħidma magħmul minn esperti mill-partijiet interessati kollha biex jirrevedu u jsaħħu din il-leġiżlazzjoni (Rakkomandazzjoni 7 tas-CEP).</w:t>
      </w:r>
    </w:p>
    <w:p>
      <w:pPr>
        <w:pStyle w:val="Puce3"/>
        <w:tabs>
          <w:tab w:val="clear" w:pos="720"/>
        </w:tabs>
        <w:rPr/>
      </w:pPr>
      <w:r>
        <w:rPr/>
        <w:t>3.</w:t>
        <w:tab/>
        <w:t>Jiżgura l-kontroll tal-bniedem fuq il-proċessi tat-teħid tad-deċiżjonijiet bl-użu tal-intelliġenza artifiċjali fuq il-post tax-xogħol u t-trasparenza tal-algoritmi użati; iqisu l-effetti dannużi tas-sorveljanza diġitali bla limitu fuq il-post tax-xogħol; l-informazzjoni u l-konsultazzjoni tal-ħaddiema qabel l-introduzzjoni ta’ teknoloġiji diġitali li għandhom impatt fuq il-kundizzjonijiet tax-xogħol; jiżguraw li forom ġodda ta’ impjieg, eż. xogħol fuq pjattaforma diġitali, ikunu konformi mad-drittijiet tal-ħaddiema u jipprovdu kundizzjonijiet tax-xogħol xierqa (dibattitu fil-Grupp ta’ Ħidma).</w:t>
      </w:r>
    </w:p>
    <w:p>
      <w:pPr>
        <w:pStyle w:val="Puce3"/>
        <w:tabs>
          <w:tab w:val="clear" w:pos="720"/>
        </w:tabs>
        <w:rPr/>
      </w:pPr>
      <w:r>
        <w:rPr/>
        <w:t>4.</w:t>
        <w:tab/>
        <w:t>Tieħu inizjattivi biex tgħin fl-appoġġ tax-xogħol mill-bogħod, pereżempju billi toħloq spazji għall-uffiċċji b’aċċess veloċi u affidabbli għall-internet, torganizza taħriġ diġitali u tipprovdi riżorsi għal tagħmir ergonomiku għax-xogħol fid-dar (CEP 1 Rakkomandazzjoni 17 u diskussjoni fil-Grupp ta’ Ħidma).</w:t>
      </w:r>
    </w:p>
    <w:p>
      <w:pPr>
        <w:pStyle w:val="Puce3"/>
        <w:tabs>
          <w:tab w:val="clear" w:pos="720"/>
        </w:tabs>
        <w:rPr/>
      </w:pPr>
      <w:r>
        <w:rPr/>
        <w:t>5.</w:t>
        <w:tab/>
        <w:t>Tistabbilixxi tabella ta’ valutazzjoni diġitali disponibbli għall-pubbliku, li toħloq sistema ta’ klassifikazzjoni li tindika u tqabbel il-livell attwali ta’ diġitalizzazzjoni tal-kumpaniji tal-UE (NCPs Ġermaniżi).</w:t>
      </w:r>
    </w:p>
    <w:p>
      <w:pPr>
        <w:pStyle w:val="Puce3"/>
        <w:tabs>
          <w:tab w:val="clear" w:pos="720"/>
        </w:tabs>
        <w:rPr/>
      </w:pPr>
      <w:r>
        <w:rPr/>
        <w:t>6.</w:t>
        <w:tab/>
        <w:t>Il-bini ta’ ekonomija diġitali b’saħħitha u kompetittiva u l-kondiviżjoni tal-benefiċċji tat-trasformazzjoni diġitali b’mod ekwu madwar l-Ewropa permezz ta’ enfasi fuq it-teknoloġija u l-innovazzjoni bħala muturi tat-tkabbir, l-inkoraġġiment ta’ riċerka trasformattiva mill-aktar avvanzata, kif ukoll il-provvediment ta’ spazju għall-ekosistemi tal-innovazzjoni fir-reġjuni kollha billi jittejjeb l-ambjent operattiv tal-SMEs u n-negozji ġodda u l-aċċess ġust għall-finanzi u jitneħħew il-piżijiet legali jew ta’ tip ieħor li jxekklu l-attivitajiet transfruntiera (ir-Rakkomandazzjoni Taljana 1.3 dwar l-NCPs, id-dibattitu tal-Grupp ta’ Ħidma u l-pjattaforma diġitali multilingwi). Il-bini ta’ infrastruttura tad-data bbażata fuq il-valuri Ewropej; japplikaw il-prinċipji ta’ “prijorità diġitali” u “trażmissjoni unika ta’ informazzjoni” u jiffaċilitaw l-aċċess diġitali u sigur għad-data għall-innovazzjoni u n-negozju; l-inkoraġġiment tad-diġitalizzazzjoni tas-servizzi pubbliċi (dibattitu fil-Grupp ta’ Ħidma u l-pjattaforma diġitali multilingwi). Jieħdu vantaġġ sħiħ mill-potenzjal tal-użu affidabbli u responsabbli tal-intelliġenza artifiċjali u jieħdu vantaġġ mill-potenzjal tat-teknoloġija blockchain u tas-servizzi cloud, billi jiddefinixxu salvagwardji u standards li jiżguraw it-trasparenza u l-interoperabbiltà, joħolqu fiduċja, jiffaċilitaw l-użu u jeliminaw algoritmi diskriminatorji jew preġudikati (dibattitu fil-Grupp ta’ Ħidma u l-pjattaforma diġitali multilingwi).</w:t>
      </w:r>
    </w:p>
    <w:p>
      <w:pPr>
        <w:pStyle w:val="Puce3"/>
        <w:tabs>
          <w:tab w:val="clear" w:pos="720"/>
        </w:tabs>
        <w:rPr/>
      </w:pPr>
      <w:r>
        <w:rPr/>
        <w:t>9.</w:t>
        <w:tab/>
        <w:t>Il-promozzjoni ta’ softwer b’xejn, l-użu tiegħu fl-edukazzjoni u t-taħriġ u l-aċċess b’xejn għal riċerka u softwer iffinanzjati pubblikament (dibattitu fil-Grupp ta’ Ħidma u l-pjattaforma diġitali multilingwi).</w:t>
      </w:r>
    </w:p>
    <w:p>
      <w:pPr>
        <w:pStyle w:val="Puce3"/>
        <w:tabs>
          <w:tab w:val="clear" w:pos="720"/>
        </w:tabs>
        <w:rPr/>
      </w:pPr>
      <w:r>
        <w:rPr/>
        <w:t>10.</w:t>
        <w:tab/>
        <w:t>L-introduzzjoni ta’ identità diġitali komuni Ewropea biex jiġu ffaċilitati t-tranżazzjonijiet u s-servizzi diġitali transfruntiera, permezz ta’ qafas ta’ standards u prinċipji ta’ gwida Ewropej li jipprovdu s-salvagwardji meħtieġa (dibattitu fil-Grupp ta’ Ħidma u fil-pjattaforma diġitali multilingwi).</w:t>
      </w:r>
    </w:p>
    <w:p>
      <w:pPr>
        <w:pStyle w:val="Puce3"/>
        <w:tabs>
          <w:tab w:val="clear" w:pos="720"/>
        </w:tabs>
        <w:rPr/>
      </w:pPr>
      <w:r>
        <w:rPr/>
        <w:t>11.</w:t>
        <w:tab/>
        <w:t>Tivvaluta jekk ikunx possibbli li l-informazzjoni dwar il-konsumatur u l-prodotti tal-ikel tiġi diġitalizzata permezz ta’ applikazzjoni Ewropea standardizzata li tipprovdi aċċess aktar faċli għall-utent għall-informazzjoni u tipprovdi informazzjoni addizzjonali dwar il-prodott u l-katina tal-produzzjoni (ir-Rakkomandazzjoni CEP Nru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27"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Demokrazija Ewropea”</w:t>
      </w:r>
    </w:p>
    <w:p>
      <w:pPr>
        <w:pStyle w:val="Titre3"/>
        <w:numPr>
          <w:ilvl w:val="2"/>
          <w:numId w:val="2"/>
        </w:numPr>
        <w:rPr/>
      </w:pPr>
      <w:bookmarkStart w:id="87" w:name="__RefHeading___Toc298348_1346298689"/>
      <w:bookmarkEnd w:id="87"/>
      <w:r>
        <w:rPr/>
        <w:t>36. Proposta: Informazzjoni liċ-ċittadini, il-parteċipazzjoni u ż-żgħażagħ</w:t>
      </w:r>
    </w:p>
    <w:p>
      <w:pPr>
        <w:pStyle w:val="P68B1DB1Normal15"/>
        <w:rPr>
          <w:b/>
          <w:b/>
        </w:rPr>
      </w:pPr>
      <w:r>
        <w:rPr/>
        <w:t>Għan: Jiżdiedu l-parteċipazzjoni taċ-ċittadini u l-involviment taż-żgħażagħ fid-demokrazija fil-livell tal-UE, sabiex tinħoloq “esperjenza sħiħa taċ-ċittadini” għall-Ewropej; jiżguraw li l-fehmiet tagħhom jitqiesu, inkluż barra l-perjodi elettorali, u li l-parteċipazzjoni tagħhom tkun reali. Huwa għalhekk meħtieġ li jiġi ddeterminat liema forma ta’ parteċipazzjoni hija l-aktar xierqa għal kull tema, pereżempju:</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L-iżvilupp ta’ mekkaniżmi ġodda għall-parteċipazzjoni taċ-ċittadini u biex dawk eżistenti jsiru aktar effettivi, f’konformità mal-acquis Ewropew, filwaqt li tittejjeb il-komunikazzjoni dwar dawn il-mekkaniżmi kollha. Idealment, l-informazzjoni kollha dwar l-ispazji parteċipattivi għandha tinġabar fil</w:t>
      </w:r>
      <w:r>
        <w:rPr>
          <w:rStyle w:val="Ancredenotedefin"/>
          <w:rStyle w:val="Ancredenotedefin"/>
        </w:rPr>
        <w:endnoteReference w:id="93"/>
      </w:r>
      <w:r>
        <w:rPr/>
        <w:t xml:space="preserve"> -qosor fuq sit web uffiċjali sħiħ b’diversi funzjonalitajiet</w:t>
      </w:r>
      <w:r>
        <w:rPr>
          <w:rStyle w:val="Ancredenotedefin"/>
          <w:rStyle w:val="Ancredenotedefin"/>
        </w:rPr>
        <w:endnoteReference w:id="94"/>
      </w:r>
      <w:r>
        <w:rPr/>
        <w:t>. Għandu jiġi żviluppat mekkaniżmu għall-monitoraġġ ta’ inizjattivi politiċi u leġislattivi li jirriżultaw minn proċessi ta’ demokrazija parteċipattiva</w:t>
      </w:r>
      <w:r>
        <w:rPr>
          <w:rStyle w:val="Ancredenotedefin"/>
          <w:rStyle w:val="Ancredenotedefin"/>
        </w:rPr>
        <w:endnoteReference w:id="95"/>
      </w:r>
      <w:r>
        <w:rPr/>
        <w:t>. Il-mekkaniżmi parteċipattivi għandhom, kollha kemm huma, jindirizzaw il-popolazzjoni kollha sabiex jilħqu varjetà ta’ udjenzi. Għandha tingħata attenzjoni lill-kontenut, is-suġġetti u l-ħiliet tal-moderaturi. Dawn il-mekkaniżmi għandhom ikunu bbażati fuq analiżi tal-effetti tal-miżuri inkwistjoni, b’mod partikolari fuq in-nisa u l-persuni vulnerabbli</w:t>
      </w:r>
      <w:r>
        <w:rPr>
          <w:rStyle w:val="Ancredenotedefin"/>
          <w:rStyle w:val="Ancredenotedefin"/>
        </w:rPr>
        <w:endnoteReference w:id="96"/>
      </w:r>
      <w:r>
        <w:rPr/>
        <w:t>.</w:t>
      </w:r>
    </w:p>
    <w:p>
      <w:pPr>
        <w:pStyle w:val="Puce3"/>
        <w:tabs>
          <w:tab w:val="clear" w:pos="720"/>
        </w:tabs>
        <w:rPr/>
      </w:pPr>
      <w:r>
        <w:rPr/>
        <w:t>2.</w:t>
        <w:tab/>
        <w:t>Billi tiżdied il-frekwenza tal-interazzjonijiet online u offline bejn l-istituzzjonijiet tal-UE u ċ-ċittadini b’mezzi differenti, sabiex jiġi żgurat li jkunu jistgħu jipparteċipaw fil-proċess Ewropew tat-tfassil tal-politika, jesprimu l-opinjonijiet tagħhom u jiksbu feedback, u jfasslu karta dwar il-parteċipazzjoni taċ-ċittadini għall-uffiċjali Ewropej</w:t>
      </w:r>
      <w:r>
        <w:rPr>
          <w:rStyle w:val="Ancredenotedefin"/>
          <w:rStyle w:val="Ancredenotedefin"/>
        </w:rPr>
        <w:endnoteReference w:id="97"/>
      </w:r>
      <w:r>
        <w:rPr/>
        <w:t>.</w:t>
      </w:r>
    </w:p>
    <w:p>
      <w:pPr>
        <w:pStyle w:val="Puce3"/>
        <w:tabs>
          <w:tab w:val="clear" w:pos="720"/>
        </w:tabs>
        <w:rPr/>
      </w:pPr>
      <w:r>
        <w:rPr/>
        <w:t>3.</w:t>
        <w:tab/>
        <w:t>Tipproponi pjattaforma diġitali faċli għall-utent fejn iċ-ċittadini — u b’mod partikolari ż-żgħażagħ — jistgħu jaqsmu l-ideat tagħhom, jistaqsu mistoqsijiet lir-rappreżentanti tal-istituzzjonijiet Ewropej u jesprimu l-fehmiet tagħhom dwar kwistjonijiet Ewropej importanti kif ukoll proposti leġislattivi. Għandha ssir ukoll dispożizzjoni għall-possibbiltà li jiġi organizzat stħarriġ online fuq din il-pjattaforma</w:t>
      </w:r>
      <w:r>
        <w:rPr>
          <w:rStyle w:val="Ancredenotedefin"/>
          <w:rStyle w:val="Ancredenotedefin"/>
        </w:rPr>
        <w:endnoteReference w:id="98"/>
      </w:r>
      <w:r>
        <w:rPr/>
        <w:t>.</w:t>
      </w:r>
    </w:p>
    <w:p>
      <w:pPr>
        <w:pStyle w:val="Puce3"/>
        <w:tabs>
          <w:tab w:val="clear" w:pos="720"/>
        </w:tabs>
        <w:rPr/>
      </w:pPr>
      <w:r>
        <w:rPr/>
        <w:t>4.</w:t>
        <w:tab/>
        <w:t>It-titjib u l-armonizzazzjoni tal-mekkaniżmi eżistenti fil-livell Ewropew, nazzjonali u lokali sabiex isiru aktar sikuri, aktar aċċessibbli, aktar viżibbli u aktar inklużivi</w:t>
      </w:r>
      <w:r>
        <w:rPr>
          <w:rStyle w:val="Ancredenotedefin"/>
          <w:rStyle w:val="Ancredenotedefin"/>
        </w:rPr>
        <w:endnoteReference w:id="99"/>
      </w:r>
      <w:r>
        <w:rPr/>
        <w:t>.</w:t>
      </w:r>
    </w:p>
    <w:p>
      <w:pPr>
        <w:pStyle w:val="Puce3"/>
        <w:tabs>
          <w:tab w:val="clear" w:pos="720"/>
        </w:tabs>
        <w:rPr/>
      </w:pPr>
      <w:r>
        <w:rPr/>
        <w:t>5.</w:t>
        <w:tab/>
        <w:t>L-involviment tal-organizzazzjonijiet tas-soċjetà ċivili, l-awtoritajiet reġjonali u lokali u l-korpi eżistenti, bħall-Kumitat Ekonomiku u Soċjali Ewropew (KESE) u l-Kumitat tar-Reġjuni (KtR),</w:t>
      </w:r>
      <w:r>
        <w:rPr>
          <w:rStyle w:val="Ancredenotedefin"/>
          <w:rStyle w:val="Ancredenotedefin"/>
        </w:rPr>
        <w:endnoteReference w:id="100"/>
      </w:r>
      <w:r>
        <w:rPr/>
        <w:t>fil-proċessi ta’ parteċipazzjoni taċ-ċittadini</w:t>
      </w:r>
      <w:r>
        <w:rPr>
          <w:rStyle w:val="Ancredenotedefin"/>
          <w:rStyle w:val="Ancredenotedefin"/>
        </w:rPr>
        <w:endnoteReference w:id="101"/>
      </w:r>
      <w:r>
        <w:rPr/>
        <w:t>.</w:t>
      </w:r>
    </w:p>
    <w:p>
      <w:pPr>
        <w:pStyle w:val="Puce3"/>
        <w:tabs>
          <w:tab w:val="clear" w:pos="720"/>
        </w:tabs>
        <w:rPr/>
      </w:pPr>
      <w:r>
        <w:rPr/>
        <w:t>6.</w:t>
        <w:tab/>
        <w:t>Bil-ħolqien ta’ sistema ta’ konsulenti lokali tal-UE, sabiex l-istituzzjonijiet Ewropej jitqarrbu lejn iċ-ċittadini Ewropej</w:t>
      </w:r>
      <w:r>
        <w:rPr>
          <w:rStyle w:val="Ancredenotedefin"/>
          <w:rStyle w:val="Ancredenotedefin"/>
        </w:rPr>
        <w:endnoteReference w:id="102"/>
      </w:r>
      <w:r>
        <w:rPr/>
        <w:t>.</w:t>
      </w:r>
    </w:p>
    <w:p>
      <w:pPr>
        <w:pStyle w:val="Puce3"/>
        <w:tabs>
          <w:tab w:val="clear" w:pos="720"/>
        </w:tabs>
        <w:rPr/>
      </w:pPr>
      <w:r>
        <w:rPr/>
        <w:t>7.</w:t>
        <w:tab/>
        <w:t>Ilaqqa’ flimkien perjodikament l-assembleji taċ-ċittadini, fuq bażi legalment vinkolanti tal-liġi tal-UE. Il-parteċipanti se jittellgħu bix-xorti skont il-kriterji tar-rappreżentattività, u l-parteċipazzjoni se tkun imħeġġa bil-qawwa. Jekk ikun meħtieġ, l-ispeċjalisti għandhom jipprovdu lill-membri tal-assemblea bl-informazzjoni rilevanti għad-deliberazzjonijiet tagħhom. Jekk l-istituzzjonijiet jonqsu milli jieħdu inkunsiderazzjoni l-konklużjonijiet ta’ dawn il-laqgħat, huma jkollhom jimmotivaw id-deċiżjoni tagħhom</w:t>
      </w:r>
      <w:r>
        <w:rPr>
          <w:rStyle w:val="Ancredenotedefin"/>
          <w:rStyle w:val="Ancredenotedefin"/>
        </w:rPr>
        <w:endnoteReference w:id="103"/>
      </w:r>
      <w:r>
        <w:rPr/>
        <w:t>. Huwa importanti li r-rappreżentanti eletti jikkonsultaw liċ-ċittadini u lis-soċjetà ċivili qabel ma jieħdu deċiżjonijiet politiċi u jqisu l-kontributi tagħhom. L-Unjoni Ewropea hija bbażata fuq id-demokrazija rappreżentattiva: fl-elezzjonijiet Ewropej, iċ-ċittadini jibagħtu messaġġ ċar lir-rappreżentanti tagħhom u jitkellmu indirettament dwar il-politiki tal-UE</w:t>
      </w:r>
      <w:r>
        <w:rPr>
          <w:rStyle w:val="Ancredenotedefin"/>
          <w:rStyle w:val="Ancredenotedefin"/>
        </w:rPr>
        <w:endnoteReference w:id="104"/>
      </w:r>
      <w:r>
        <w:rPr/>
        <w:t>.</w:t>
      </w:r>
    </w:p>
    <w:p>
      <w:pPr>
        <w:pStyle w:val="Puce3"/>
        <w:tabs>
          <w:tab w:val="clear" w:pos="720"/>
        </w:tabs>
        <w:rPr/>
      </w:pPr>
      <w:r>
        <w:rPr/>
        <w:t>8.</w:t>
        <w:tab/>
        <w:t>L-għoti ta’ appoġġ finanzjarju msaħħaħ jew appoġġ strutturali ieħor lis-soċjetà ċivili, b’mod partikolari liż-żgħażagħ, u lill-awtoritajiet lokali biex jistabbilixxu kunsilli lokali taż-żgħażagħ</w:t>
      </w:r>
      <w:r>
        <w:rPr>
          <w:rStyle w:val="Ancredenotedefin"/>
          <w:rStyle w:val="Ancredenotedefin"/>
        </w:rPr>
        <w:endnoteReference w:id="105"/>
      </w:r>
      <w:r>
        <w:rPr/>
        <w:t>; l-involviment tas-soċjetà ċivili u l-imsieħba soċjali jista’ jkun pilastru sħiħ tal-Pjan ta’ Azzjoni għad-Demokrazija Ewropea, u strateġija speċifika tista’ tkun iddedikata għas-soċjetà ċivili</w:t>
      </w:r>
      <w:r>
        <w:rPr>
          <w:rStyle w:val="Ancredenotedefin"/>
          <w:rStyle w:val="Ancredenotedefin"/>
        </w:rPr>
        <w:endnoteReference w:id="106"/>
      </w:r>
      <w:r>
        <w:rPr/>
        <w:t>.</w:t>
      </w:r>
    </w:p>
    <w:p>
      <w:pPr>
        <w:pStyle w:val="Puce3"/>
        <w:tabs>
          <w:tab w:val="clear" w:pos="720"/>
        </w:tabs>
        <w:rPr/>
      </w:pPr>
      <w:r>
        <w:rPr/>
        <w:t>9.</w:t>
        <w:tab/>
        <w:t>L-istabbiliment ta’ “kontroll taż-żgħażagħ” tal-leġiżlazzjoni, li jkun jinkludi valutazzjoni tal-impatt u mekkaniżmu għall-konsultazzjoni tar-rappreżentanti taż-żgħażagħ, fejn il-leġiżlazzjoni x’aktarx li jkollha impatt fuq iż-żgħażagħ</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Billi tissaħħaħ il-kooperazzjoni bejn il-leġiżlaturi tal-UE u l-organizzazzjonijiet tas-soċjetà ċivili, sabiex jittieħed vantaġġ mir-rabtiet tagħhom bejn dawk li jieħdu d-deċiżjonijiet u ċ-ċittadini</w:t>
      </w:r>
      <w:r>
        <w:rPr>
          <w:rStyle w:val="Ancredenotedefin"/>
          <w:rStyle w:val="Ancredenotedefin"/>
        </w:rPr>
        <w:endnoteReference w:id="108"/>
      </w:r>
      <w:r>
        <w:rPr/>
        <w:t>.</w:t>
      </w:r>
    </w:p>
    <w:p>
      <w:pPr>
        <w:pStyle w:val="Puce3"/>
        <w:tabs>
          <w:tab w:val="clear" w:pos="720"/>
        </w:tabs>
        <w:rPr/>
      </w:pPr>
      <w:r>
        <w:rPr/>
        <w:t>11.</w:t>
        <w:tab/>
        <w:t>Li tiġbor fil-qosor il-punti dwar il-parteċipazzjoni taċ-ċittadini f’Karta Ewropea għall-Kontribut taċ-Ċittadini għall-Affarijiet Ewropej.</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Proposta: Informazzjoni liċ-ċittadini, il-parteċipazzjoni u ż-żgħażagħ (a)</w:t>
      </w:r>
    </w:p>
    <w:p>
      <w:pPr>
        <w:pStyle w:val="P68B1DB1Normal15"/>
        <w:rPr>
          <w:b/>
          <w:b/>
        </w:rPr>
      </w:pPr>
      <w:r>
        <w:rPr/>
        <w:t>Għan: Li l-Unjoni Ewropea ssir aktar komprensibbli u aċċessibbli; it-tisħiħ tal-identità Ewropea komuni, b’mod partikolari: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L-iżgurar ta’ ammont minimu ta’ edukazzjoni dwar l-Unjoni Ewropea, b’mod partikolari l-proċessi demokratiċi tagħha, mingħajr ma tiġi injorata l-istorja tal-integrazzjoni Ewropea u ċ-ċittadinanza Ewropea. Persuni ta’ kull età għandhom ikunu jistgħu jibbenefikaw minn dawn il-programmi, li għandhom jitfasslu b’mod attraenti u adattat għall-età, bħall-iżvilupp ta’ programmi u materjali edukattivi speċifiċi għat-tfal, l-iskejjel</w:t>
      </w:r>
      <w:r>
        <w:rPr>
          <w:rStyle w:val="Ancredenotedefin"/>
          <w:rStyle w:val="Ancredenotedefin"/>
        </w:rPr>
        <w:endnoteReference w:id="110"/>
      </w:r>
      <w:r>
        <w:rPr/>
        <w:t xml:space="preserve"> u l-organizzazzjonijiet tas-soċjetà ċivili attivi fl-edukazzjoni mhux formali</w:t>
      </w:r>
      <w:r>
        <w:rPr>
          <w:rStyle w:val="Ancredenotedefin"/>
          <w:rStyle w:val="Ancredenotedefin"/>
        </w:rPr>
        <w:endnoteReference w:id="111"/>
      </w:r>
      <w:r>
        <w:rPr/>
        <w:t>.</w:t>
      </w:r>
    </w:p>
    <w:p>
      <w:pPr>
        <w:pStyle w:val="Puce3"/>
        <w:tabs>
          <w:tab w:val="clear" w:pos="720"/>
        </w:tabs>
        <w:rPr/>
      </w:pPr>
      <w:r>
        <w:rPr/>
        <w:t>2.</w:t>
        <w:tab/>
        <w:t>L-iżgurar, b’mod inklużiv, li ċ-ċittadini kollha jkollhom aċċess faċli għal informazzjoni affidabbli dwar l-Unjoni. L-istituzzjonijiet Ewropej għandhom jużaw lingwaġġ aktar aċċessibbli u jevitaw l-użu ta’ lingwaġġ burokratiku fil-komunikazzjonijiet tagħhom, filwaqt li jżommu l-kwalità u l-livell tekniku tal-informazzjoni mogħtija, u jadattaw l-informazzjoni għall-kanali ta’ komunikazzjoni u l-profili tar-riċevituri differenti.</w:t>
      </w:r>
      <w:r>
        <w:rPr>
          <w:rStyle w:val="Ancredenotedefin"/>
          <w:rStyle w:val="Ancredenotedefin"/>
        </w:rPr>
        <w:endnoteReference w:id="112"/>
      </w:r>
      <w:r>
        <w:rPr/>
        <w:t xml:space="preserve"> Huma għandhom jikkunsidraw, pereżempju, il-ħolqien ta’ applikazzjoni mobbli li tippreżenta informazzjoni dwar il-politiki tal-UE b’lingwaġġ ċar</w:t>
      </w:r>
      <w:r>
        <w:rPr>
          <w:rStyle w:val="Ancredenotedefin"/>
          <w:rStyle w:val="Ancredenotedefin"/>
        </w:rPr>
        <w:endnoteReference w:id="113"/>
      </w:r>
      <w:r>
        <w:rPr/>
        <w:t>. Għandhom isiru sforzi speċjali biex iż-żgħażagħ jilħqu n-netwerks soċjali, iżda wkoll permezz ta’ movimenti taż-żgħażagħ u diversi “ambaxxaturi” (organizzazzjonijiet u individwi) li jispjegaw</w:t>
      </w:r>
      <w:r>
        <w:rPr>
          <w:rStyle w:val="Ancredenotedefin"/>
          <w:rStyle w:val="Ancredenotedefin"/>
        </w:rPr>
        <w:endnoteReference w:id="114"/>
      </w:r>
      <w:r>
        <w:rPr/>
        <w:t xml:space="preserve"> il-proġett Ewropew</w:t>
      </w:r>
      <w:r>
        <w:rPr>
          <w:rStyle w:val="Ancredenotedefin"/>
          <w:rStyle w:val="Ancredenotedefin"/>
        </w:rPr>
        <w:endnoteReference w:id="115"/>
      </w:r>
      <w:r>
        <w:rPr/>
        <w:t>.</w:t>
      </w:r>
    </w:p>
    <w:p>
      <w:pPr>
        <w:pStyle w:val="Puce3"/>
        <w:tabs>
          <w:tab w:val="clear" w:pos="720"/>
        </w:tabs>
        <w:rPr/>
      </w:pPr>
      <w:r>
        <w:rPr/>
        <w:t>3.</w:t>
        <w:tab/>
        <w:t>L-użu akbar tal-intelliġenza artifiċjali u t-teknoloġiji tat-traduzzjoni awtomatika biex jingħeleb</w:t>
      </w:r>
      <w:r>
        <w:rPr>
          <w:rStyle w:val="Ancredenotedefin"/>
          <w:rStyle w:val="Ancredenotedefin"/>
        </w:rPr>
        <w:endnoteReference w:id="116"/>
      </w:r>
      <w:r>
        <w:rPr/>
        <w:t xml:space="preserve"> l-ostaklu lingwistiku</w:t>
      </w:r>
      <w:r>
        <w:rPr>
          <w:rStyle w:val="Ancredenotedefin"/>
          <w:rStyle w:val="Ancredenotedefin"/>
        </w:rPr>
        <w:endnoteReference w:id="117"/>
      </w:r>
      <w:r>
        <w:rPr/>
        <w:t>, filwaqt li jiġi żgurat li l-għodod diġitali kollha jkunu aċċessibbli għall-persuni</w:t>
      </w:r>
      <w:r>
        <w:rPr>
          <w:rStyle w:val="Ancredenotedefin"/>
          <w:rStyle w:val="Ancredenotedefin"/>
        </w:rPr>
        <w:endnoteReference w:id="118"/>
      </w:r>
      <w:r>
        <w:rPr/>
        <w:t xml:space="preserve"> b’diżabilità u faċli biex jintużaw.</w:t>
      </w:r>
    </w:p>
    <w:p>
      <w:pPr>
        <w:pStyle w:val="Puce3"/>
        <w:tabs>
          <w:tab w:val="clear" w:pos="720"/>
        </w:tabs>
        <w:rPr/>
      </w:pPr>
      <w:r>
        <w:rPr/>
        <w:t>4.</w:t>
        <w:tab/>
        <w:t>Billi tiddefendi u tappoġġa l-libertà, il-pluraliżmu u l-indipendenza tal-midja, u billi tinkoraġġixxi lill-midja, inklużi x-xandara pubbliċi, l-aġenziji tal-aħbarijiet pubbliċi u l-midja Ewropea, biex tkopri l-affarijiet Ewropej b’mod aktar regolari, filwaqt li tirrispetta l-libertà u l-indipendenza tagħhom, sabiex tali kopertura tkun regolari u komprensiva fl-Istati Membri kollha tal-Unjoni</w:t>
      </w:r>
      <w:r>
        <w:rPr>
          <w:rStyle w:val="Ancredenotedefin"/>
          <w:rStyle w:val="Ancredenotedefin"/>
        </w:rPr>
        <w:endnoteReference w:id="119"/>
      </w:r>
      <w:r>
        <w:rPr/>
        <w:t>, iżżid l-isforzi fil-ġlieda kontra d-diżinformazzjoni u l-indħil barrani, u tipproteġi lill-ġurnalisti</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Billi l-Ewropa titqarreb lejn iċ-ċittadini billi jissaħħu l-</w:t>
      </w:r>
      <w:r>
        <w:rPr>
          <w:rStyle w:val="Ancredenotedefin"/>
          <w:rStyle w:val="Ancredenotedefin"/>
        </w:rPr>
        <w:endnoteReference w:id="121"/>
      </w:r>
      <w:r>
        <w:rPr/>
        <w:t xml:space="preserve"> punti ta’ kuntatt u ċ-ċentri speċjalizzati (“Djar l-Ewropa”) fil-livell lokali, li joffru riżorsi, informazzjoni u pariri liċ-ċittadini dwar kwistjonijiet Ewropej, jisimgħu t-tħassib tagħhom u jiddiskutu mal-assoċjazzjonijiet sabiex jgħinu jwasslu l-fehmiet taċ-ċittadini fil-livell Ewropew</w:t>
      </w:r>
      <w:r>
        <w:rPr>
          <w:rStyle w:val="Ancredenotedefin"/>
          <w:rStyle w:val="Ancredenotedefin"/>
        </w:rPr>
        <w:endnoteReference w:id="122"/>
      </w:r>
      <w:r>
        <w:rPr/>
        <w:t>.</w:t>
      </w:r>
    </w:p>
    <w:p>
      <w:pPr>
        <w:pStyle w:val="Puce3"/>
        <w:tabs>
          <w:tab w:val="clear" w:pos="720"/>
        </w:tabs>
        <w:rPr/>
      </w:pPr>
      <w:r>
        <w:rPr/>
        <w:t>6.</w:t>
        <w:tab/>
        <w:t>Billi jittieħdu miżuri ġodda biex tissaħħaħ l-identità komuni fost l-Ewropej, pereżempju permezz ta’ fond tal-UE li jinkoraġġixxi interazzjonijiet online u offline (bħal programmi ta’ skambju, panels jew laqgħat) ta’ tul ta’ żmien differenti bejn iċ-ċittadini tal-UE, l-organizzazzjoni ta’ avvenimenti sportivi Ewropej, it-twaqqif ta’ timijiet konġunti, jew li d-9 ta’ Mejju (Jum l-Ewropa) isir btala addizzjonali</w:t>
      </w:r>
      <w:r>
        <w:rPr>
          <w:rStyle w:val="Ancredenotedefin"/>
          <w:rStyle w:val="Ancredenotedefin"/>
        </w:rPr>
        <w:endnoteReference w:id="123"/>
      </w:r>
      <w:r>
        <w:rPr/>
        <w:t xml:space="preserve"> għaċ-ċittadini Ewropej kollha</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Proposta: Id-demokrazija u l-elezzjonijiet</w:t>
      </w:r>
    </w:p>
    <w:p>
      <w:pPr>
        <w:pStyle w:val="Normal"/>
        <w:rPr/>
      </w:pPr>
      <w:r>
        <w:rPr/>
        <w:t>Għan: It-tisħiħ tad-demokrazija Ewropea permezz tat-tisħiħ tal-pedamenti tagħha, l-inkoraġġiment taċ-ċittadini biex jipparteċipaw fl-elezzjonijiet Ewropej, il-promozzjoni ta’ dibattiti transnazzjonali dwar kwistjonijiet Ewropej u l-iżgurar ta’ rabta qawwija bejn iċ-ċittadini u r-rappreżentanti eletti tagħhom, b’mod partikolari: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L-iżgurar tas-salvagwardja tal-valuri Ewropej minquxa fit-Trattati, inkluż l-istat tad-dritt u mudell soċjali robust</w:t>
      </w:r>
      <w:r>
        <w:rPr>
          <w:rStyle w:val="Ancredenotedefin"/>
          <w:rStyle w:val="Ancredenotedefin"/>
        </w:rPr>
        <w:endnoteReference w:id="125"/>
      </w:r>
      <w:r>
        <w:rPr/>
        <w:t>, li jiffurmaw il-qalba tad-demokrazija Ewropea. Fir-relazzjonijiet tagħha mal-bqija tad-dinja, l-Unjoni għandha tagħti prijorità lill-valuri demokratiċi komuni fil-pajjiżi tal-fruntiera. Huwa biss wara li tilħaq dan l-għan li tista’ ssir l-ambaxxatur tal-mudell demokratiku tagħna f’pajjiżi li għandhom il-kapaċità u r-rieda li jagħmlu dan, permezz tad-diplomazija u d-djalogu</w:t>
      </w:r>
      <w:r>
        <w:rPr>
          <w:rStyle w:val="Ancredenotedefin"/>
          <w:rStyle w:val="Ancredenotedefin"/>
        </w:rPr>
        <w:endnoteReference w:id="126"/>
      </w:r>
      <w:r>
        <w:rPr/>
        <w:t>.</w:t>
      </w:r>
    </w:p>
    <w:p>
      <w:pPr>
        <w:pStyle w:val="Puce3"/>
        <w:tabs>
          <w:tab w:val="clear" w:pos="720"/>
        </w:tabs>
        <w:rPr/>
      </w:pPr>
      <w:r>
        <w:rPr/>
        <w:t>2.</w:t>
        <w:tab/>
        <w:t>Bl-introduzzjoni tal-possibbiltà li jsir referendum fl-Unjoni kollha, fuq l-inizjattiva tal-Parlament Ewropew, fuq bażi eċċezzjonali, jekk is-suġġett ikun partikolarment importanti għaċ-ċittadini Ewropej kollha</w:t>
      </w:r>
      <w:r>
        <w:rPr>
          <w:rStyle w:val="Ancredenotedefin"/>
          <w:rStyle w:val="Ancredenotedefin"/>
        </w:rPr>
        <w:endnoteReference w:id="127"/>
      </w:r>
      <w:r>
        <w:rPr/>
        <w:t>.</w:t>
      </w:r>
    </w:p>
    <w:p>
      <w:pPr>
        <w:pStyle w:val="Puce3"/>
        <w:tabs>
          <w:tab w:val="clear" w:pos="720"/>
        </w:tabs>
        <w:rPr/>
      </w:pPr>
      <w:r>
        <w:rPr/>
        <w:t>3.</w:t>
        <w:tab/>
        <w:t>Billi tiġi emendata l-liġi elettorali tal-Unjoni sabiex jiġu armonizzati l-arranġamenti għall-elezzjonijiet Ewropej (eż. l-età tal-maġġoranza, id-data tal-elezzjoni, ir-rekwiżiti applikabbli għad-distretti elettorali, il-kandidati, il-partiti politiċi u l-finanzjament tagħhom), kif ukoll billi nimxu lejn listi pan-Ewropej jew transnazzjonali</w:t>
      </w:r>
      <w:r>
        <w:rPr>
          <w:rStyle w:val="Ancredenotedebasdepage"/>
          <w:rStyle w:val="Ancredenotedebasdepage"/>
        </w:rPr>
        <w:footnoteReference w:id="11"/>
      </w:r>
      <w:r>
        <w:rPr/>
        <w:t xml:space="preserve"> inklużi kandidati minn Stati Membri differenti, wara li tqiesu l-</w:t>
      </w:r>
      <w:r>
        <w:rPr>
          <w:rStyle w:val="Ancredenotedefin"/>
          <w:rStyle w:val="Ancredenotedefin"/>
        </w:rPr>
        <w:endnoteReference w:id="128"/>
      </w:r>
      <w:r>
        <w:rPr/>
        <w:t xml:space="preserve"> fehmiet espressi miċ-ċittadini tal-Istati Membri dwar din il-kwistjoni</w:t>
      </w:r>
      <w:r>
        <w:rPr>
          <w:rStyle w:val="Ancredenotedefin"/>
          <w:rStyle w:val="Ancredenotedefin"/>
        </w:rPr>
        <w:endnoteReference w:id="129"/>
      </w:r>
      <w:r>
        <w:rPr/>
        <w:t>.</w:t>
      </w:r>
    </w:p>
    <w:p>
      <w:pPr>
        <w:pStyle w:val="Alineanegatifpuce"/>
        <w:numPr>
          <w:ilvl w:val="0"/>
          <w:numId w:val="3"/>
        </w:numPr>
        <w:rPr/>
      </w:pPr>
      <w:r>
        <w:rPr/>
        <w:t xml:space="preserve"> </w:t>
      </w:r>
      <w:r>
        <w:rPr/>
        <w:t>Xi Membri tal-Parlament Ewropew għandhom jiġu eletti minn listi pan-Ewropej, filwaqt li l-oħrajn jintgħażlu fil-livell tal-Istati Membri</w:t>
      </w:r>
      <w:r>
        <w:rPr>
          <w:rStyle w:val="Ancredenotedefin"/>
          <w:rStyle w:val="Ancredenotedefin"/>
        </w:rPr>
        <w:endnoteReference w:id="130"/>
      </w:r>
      <w:r>
        <w:rPr/>
        <w:t>.</w:t>
      </w:r>
    </w:p>
    <w:p>
      <w:pPr>
        <w:pStyle w:val="Alineanegatifpuce"/>
        <w:numPr>
          <w:ilvl w:val="0"/>
          <w:numId w:val="3"/>
        </w:numPr>
        <w:rPr/>
      </w:pPr>
      <w:r>
        <w:rPr/>
        <w:t xml:space="preserve"> </w:t>
      </w:r>
      <w:r>
        <w:rPr/>
        <w:t>L-għan tar-riforma għandu jkun ukoll li tiffaċilita l-arranġamenti tal-votazzjoni diġitali</w:t>
      </w:r>
      <w:r>
        <w:rPr>
          <w:rStyle w:val="Ancredenotedefin"/>
          <w:rStyle w:val="Ancredenotedefin"/>
        </w:rPr>
        <w:endnoteReference w:id="131"/>
      </w:r>
      <w:r>
        <w:rPr/>
        <w:t xml:space="preserve"> u tiggarantixxi d-dritt reali tal-persuni b’diżabilità li jivvutaw</w:t>
      </w:r>
      <w:r>
        <w:rPr>
          <w:rStyle w:val="Ancredenotedefin"/>
          <w:rStyle w:val="Ancredenotedefin"/>
        </w:rPr>
        <w:endnoteReference w:id="132"/>
      </w:r>
      <w:r>
        <w:rPr/>
        <w:t>.</w:t>
      </w:r>
    </w:p>
    <w:p>
      <w:pPr>
        <w:pStyle w:val="Puce3"/>
        <w:tabs>
          <w:tab w:val="clear" w:pos="720"/>
        </w:tabs>
        <w:rPr/>
      </w:pPr>
      <w:r>
        <w:rPr/>
        <w:t>4.</w:t>
        <w:tab/>
        <w:t>It-tisħiħ tar-rabtiet bejn iċ-ċittadini u r-rappreżentanti eletti tagħhom, b’kont meħud tal-partikolaritajiet nazzjonali: iċ-ċittadini jridu jħossu li l-MEPs u l-parlamentari nazzjonali huma qrib tagħhom u jwieġbu għat-tħassib tagħhom b’miżuri speċifiċi</w:t>
      </w:r>
      <w:r>
        <w:rPr>
          <w:rStyle w:val="Ancredenotedefin"/>
          <w:rStyle w:val="Ancredenotedefin"/>
        </w:rPr>
        <w:endnoteReference w:id="133"/>
      </w:r>
      <w:r>
        <w:rPr/>
        <w:t>. Din hija problema universali u persuni ta’ kull età għandhom jinvolvu ruħhom</w:t>
      </w:r>
      <w:r>
        <w:rPr>
          <w:rStyle w:val="Ancredenotedefin"/>
          <w:rStyle w:val="Ancredenotedefin"/>
        </w:rPr>
        <w:endnoteReference w:id="134"/>
      </w:r>
      <w:r>
        <w:rPr/>
        <w:t>.</w:t>
      </w:r>
    </w:p>
    <w:p>
      <w:pPr>
        <w:pStyle w:val="Alineanegatifpuce"/>
        <w:numPr>
          <w:ilvl w:val="0"/>
          <w:numId w:val="3"/>
        </w:numPr>
        <w:rPr/>
      </w:pPr>
      <w:r>
        <w:rPr/>
        <w:t xml:space="preserve"> </w:t>
      </w:r>
      <w:r>
        <w:rPr/>
        <w:t>Iċ-ċittadini Ewropej għandu jkollhom aktar piż fl-elezzjoni tal-President tal-Kummissjoni. Dan l-għan jista’ jintlaħaq bl-elezzjoni diretta tal-President tal-Kummissjoni</w:t>
      </w:r>
      <w:r>
        <w:rPr>
          <w:rStyle w:val="Ancredenotedefin"/>
          <w:rStyle w:val="Ancredenotedefin"/>
        </w:rPr>
        <w:endnoteReference w:id="135"/>
      </w:r>
      <w:r>
        <w:rPr/>
        <w:t xml:space="preserve"> jew permezz tas-sistema tal-kandidati fl-ogħla lista</w:t>
      </w:r>
      <w:r>
        <w:rPr>
          <w:rStyle w:val="Ancredenotedebasdepage"/>
          <w:rStyle w:val="Ancredenotedebasdepage"/>
        </w:rPr>
        <w:footnoteReference w:id="12"/>
      </w:r>
      <w:r>
        <w:rPr/>
        <w:t>.</w:t>
      </w:r>
    </w:p>
    <w:p>
      <w:pPr>
        <w:pStyle w:val="Alineanegatifpuce"/>
        <w:numPr>
          <w:ilvl w:val="0"/>
          <w:numId w:val="3"/>
        </w:numPr>
        <w:rPr/>
      </w:pPr>
      <w:r>
        <w:rPr/>
        <w:t xml:space="preserve"> </w:t>
      </w:r>
      <w:r>
        <w:rPr/>
        <w:t>Il-Parlament Ewropew għandu jkollu d-dritt ta’ inizjattiva leġislattiva sabiex jipproponi</w:t>
      </w:r>
      <w:r>
        <w:rPr>
          <w:rStyle w:val="Ancredenotedefin"/>
          <w:rStyle w:val="Ancredenotedefin"/>
        </w:rPr>
        <w:endnoteReference w:id="136"/>
      </w:r>
      <w:r>
        <w:rPr/>
        <w:t xml:space="preserve"> suġġetti għad-dibattitu u mbagħad jadotta t-testi meħtieġa biex isegwi r-rakkomandazzjonijiet li jirriżultaw mid-deliberazzjonijiet</w:t>
      </w:r>
      <w:r>
        <w:rPr>
          <w:rStyle w:val="Ancredenotedefin"/>
          <w:rStyle w:val="Ancredenotedefin"/>
        </w:rPr>
        <w:endnoteReference w:id="137"/>
      </w:r>
      <w:r>
        <w:rPr/>
        <w:t>.</w:t>
      </w:r>
    </w:p>
    <w:p>
      <w:pPr>
        <w:pStyle w:val="Alineanegatifpuce"/>
        <w:numPr>
          <w:ilvl w:val="0"/>
          <w:numId w:val="3"/>
        </w:numPr>
        <w:rPr/>
      </w:pPr>
      <w:r>
        <w:rPr/>
        <w:t xml:space="preserve"> </w:t>
      </w:r>
      <w:r>
        <w:rPr/>
        <w:t>Il-Parlament Ewropew għandu jiddeċiedi dwar il-baġit tal-UE, kif jagħmlu l-parlamenti fil-livell nazzjonali</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Il-partiti politiċi, l-organizzazzjonijiet tas-soċjetà ċivili u t-trade unions għandhom ikunu aktar dinamiċi u aċċessibbli, sabiex iċ-ċittadini jimpenjaw ruħhom u jinvestu aktar fid-demokrazija Ewropea</w:t>
      </w:r>
      <w:r>
        <w:rPr>
          <w:rStyle w:val="Ancredenotedefin"/>
          <w:rStyle w:val="Ancredenotedefin"/>
        </w:rPr>
        <w:endnoteReference w:id="139"/>
      </w:r>
      <w:r>
        <w:rPr/>
        <w:t>. Dan għandu jippromwovi wkoll l-inklużjoni ta’ kwistjonijiet Ewropej fid-dibattiti pubbliċi organizzati mill-partiti politiċi, l-organizzazzjonijiet tas-soċjetà ċivili u l-imsieħba soċjali, kemm jekk fil-fażi ta’ qabel l-elezzjonijiet Ewropej kif ukoll fiż-żmien ta’ qabel l-elezzjonijiet nazzjonali, reġjonali jew lokali</w:t>
      </w:r>
      <w:r>
        <w:rPr>
          <w:rStyle w:val="Ancredenotedefin"/>
          <w:rStyle w:val="Ancredenotedefin"/>
        </w:rPr>
        <w:endnoteReference w:id="140"/>
      </w:r>
      <w:r>
        <w:rPr/>
        <w:t>.</w:t>
      </w:r>
    </w:p>
    <w:p>
      <w:pPr>
        <w:pStyle w:val="Puce3"/>
        <w:tabs>
          <w:tab w:val="clear" w:pos="720"/>
        </w:tabs>
        <w:rPr/>
      </w:pPr>
      <w:r>
        <w:rPr/>
        <w:t>5.</w:t>
        <w:tab/>
        <w:t>Id-demokrazija hija inkorporata fl-istituzzjonijiet u s-soċjetà b’mod ġenerali, inkluż fuq il-post tax-xogħol bis-saħħa tal-imsieħba soċjali</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Proposta: Il-proċess tat-teħid tad-deċiżjonijiet ta’ l-Unjoni</w:t>
      </w:r>
    </w:p>
    <w:p>
      <w:pPr>
        <w:pStyle w:val="P68B1DB1Normal15"/>
        <w:rPr>
          <w:b/>
          <w:b/>
        </w:rPr>
      </w:pPr>
      <w:r>
        <w:rPr/>
        <w:t>Għan: Ittejjeb il-proċess tat-teħid tad-deċiżjonijiet tal-Unjoni sabiex tiżgura l-kapaċità tagħha li taġixxi, filwaqt li tqis l-interessi ta’ kull Stat Membru u tiżgura proċess trasparenti u komprensibbli għaċ-ċittadini, b’mod partikolari: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Ir-reviżjoni tar-regoli dwar it-teħid ta’ deċiżjonijiet u l-votazzjoni fl-istituzzjonijiet Ewropej. Il-kwistjoni tal-votazzjoni unanima jistħoqqilha attenzjoni partikolari, peress li tagħmel kwalunkwe ftehim diffiċli ħafna. Għandha tiġi żgurata l-ġustizzja fl-ippeżar tal-voti sabiex jiġu protetti l-interessi tal-pajjiżi ż-żgħar</w:t>
      </w:r>
      <w:r>
        <w:rPr>
          <w:rStyle w:val="Ancredenotedefin"/>
          <w:rStyle w:val="Ancredenotedefin"/>
        </w:rPr>
        <w:endnoteReference w:id="142"/>
      </w:r>
      <w:r>
        <w:rPr/>
        <w:t>.</w:t>
      </w:r>
    </w:p>
    <w:p>
      <w:pPr>
        <w:pStyle w:val="Alineanegatifpuce"/>
        <w:numPr>
          <w:ilvl w:val="0"/>
          <w:numId w:val="3"/>
        </w:numPr>
        <w:rPr/>
      </w:pPr>
      <w:r>
        <w:rPr/>
        <w:t xml:space="preserve"> </w:t>
      </w:r>
      <w:r>
        <w:rPr/>
        <w:t>Fil-futur, id-deċiżjonijiet kollha li jittieħdu b’mod unanimu għandhom jiġu adottati b’maġġoranza kwalifikata. L-uniċi eċċezzjonijiet għandhom ikunu l-ammissjoni ta’ Stati Membri ġodda fl-Unjoni Ewropea u l-emenda tal-prinċipji fundamentali tal-Unjoni stabbiliti fl-Artikolu 2 tat-Trattat dwar l-Unjoni Ewropea u fil-Karta tad-Drittijiet Fundamentali tal-Unjoni Ewropea</w:t>
      </w:r>
      <w:r>
        <w:rPr>
          <w:rStyle w:val="Ancredenotedefin"/>
          <w:rStyle w:val="Ancredenotedefin"/>
        </w:rPr>
        <w:endnoteReference w:id="143"/>
      </w:r>
      <w:r>
        <w:rPr/>
        <w:t>.</w:t>
      </w:r>
    </w:p>
    <w:p>
      <w:pPr>
        <w:pStyle w:val="Puce3"/>
        <w:tabs>
          <w:tab w:val="clear" w:pos="720"/>
        </w:tabs>
        <w:rPr/>
      </w:pPr>
      <w:r>
        <w:rPr/>
        <w:t>2.</w:t>
        <w:tab/>
        <w:t>L-iżgurar tat-trasparenza fil-proċess tat-teħid tad-deċiżjonijiet, li jippermetti lill-osservaturi indipendenti taċ-ċittadini li jimmonitorjaw dan il-proċess mill-qrib, l-applikazzjoni ta’ dritt usa’ ta’ aċċess għad-dokumenti</w:t>
      </w:r>
      <w:r>
        <w:rPr>
          <w:rStyle w:val="Ancredenotedefin"/>
          <w:rStyle w:val="Ancredenotedefin"/>
        </w:rPr>
        <w:endnoteReference w:id="144"/>
      </w:r>
      <w:r>
        <w:rPr/>
        <w:t xml:space="preserve"> u l-istabbiliment ta’ rabtiet aktar mill-qrib u djalogu msaħħaħ bejn iċ-ċittadini u l-istituzzjonijiet Ewropej fuq din il-bażi</w:t>
      </w:r>
      <w:r>
        <w:rPr>
          <w:rStyle w:val="Ancredenotedefin"/>
          <w:rStyle w:val="Ancredenotedefin"/>
        </w:rPr>
        <w:endnoteReference w:id="145"/>
      </w:r>
      <w:r>
        <w:rPr/>
        <w:t>.</w:t>
      </w:r>
    </w:p>
    <w:p>
      <w:pPr>
        <w:pStyle w:val="Alineanegatifpuce"/>
        <w:numPr>
          <w:ilvl w:val="0"/>
          <w:numId w:val="3"/>
        </w:numPr>
        <w:rPr/>
      </w:pPr>
      <w:r>
        <w:rPr/>
        <w:t xml:space="preserve"> </w:t>
      </w:r>
      <w:r>
        <w:rPr/>
        <w:t>Jeħtieġ li l-Unjoni ttejjeb it-trasparenza tal-proċess tat-teħid tad-deċiżjonijiet tagħha u tal-istituzzjonijiet tagħha. Pereżempju, il-laqgħat tal-Kunsill u tal-Parlament Ewropew, inklużi s-sessjonijiet ta’ votazzjoni, għandhom jixxerrdu online bl-istess mod. Dan jippermetti liċ-ċittadini interessati jimmonitorjaw it-tfassil tal-politika tal-UE u jobbliga lil dawk li jfasslu l-politika biex jirrappurtaw dwar l-azzjonijiet tagħhom</w:t>
      </w:r>
      <w:r>
        <w:rPr>
          <w:rStyle w:val="Ancredenotedefin"/>
          <w:rStyle w:val="Ancredenotedefin"/>
        </w:rPr>
        <w:endnoteReference w:id="146"/>
      </w:r>
      <w:r>
        <w:rPr/>
        <w:t>. Id-dritt ta’ inkjesta tal-Parlament Ewropew għandu jissaħħaħ ukoll.</w:t>
      </w:r>
      <w:r>
        <w:rPr>
          <w:rStyle w:val="Ancredenotedefin"/>
          <w:rStyle w:val="Ancredenotedefin"/>
        </w:rPr>
        <w:endnoteReference w:id="147"/>
      </w:r>
      <w:r>
        <w:rPr/>
        <w:t xml:space="preserve"> Emenda Nru 44A tal-Grupp ta’ Ħidma.</w:t>
      </w:r>
    </w:p>
    <w:p>
      <w:pPr>
        <w:pStyle w:val="Alineanegatifpuce"/>
        <w:numPr>
          <w:ilvl w:val="0"/>
          <w:numId w:val="3"/>
        </w:numPr>
        <w:rPr/>
      </w:pPr>
      <w:r>
        <w:rPr/>
        <w:t xml:space="preserve"> </w:t>
      </w:r>
      <w:r>
        <w:rPr/>
        <w:t>Il-proċess tat-teħid tad-deċiżjonijiet tal-Unjoni għandu jiġi żviluppat aktar sabiex jinvolvi aktar rappreżentanti nazzjonali, reġjonali u lokali, imsieħba soċjali u organizzazzjonijiet tas-soċjetà ċivili</w:t>
      </w:r>
      <w:r>
        <w:rPr>
          <w:rStyle w:val="Ancredenotedefin"/>
          <w:rStyle w:val="Ancredenotedefin"/>
        </w:rPr>
        <w:endnoteReference w:id="148"/>
      </w:r>
      <w:r>
        <w:rPr/>
        <w:t>. Il-kooperazzjoni u d-djalogu interparlamentari għandhom jissaħħu. Il-Parlament Ewropew għandu jinvolvi wkoll lill-parlamenti nazzjonali aktar mill-qrib fil-proċedura leġiżlattiva Ewropea, pereżempju billi jistedinhom għal seduti ta’ smigħ</w:t>
      </w:r>
      <w:r>
        <w:rPr>
          <w:rStyle w:val="Ancredenotedefin"/>
          <w:rStyle w:val="Ancredenotedefin"/>
        </w:rPr>
        <w:endnoteReference w:id="149"/>
      </w:r>
      <w:r>
        <w:rPr/>
        <w:t>. Barra minn hekk, ikun utli li jinkiseb involviment aktar b’saħħtu tal-awtoritajiet sottonazzjonali u tal-KtR, sabiex titqies aħjar l-esperjenza tagħhom fl-implimentazzjoni tal-leġislazzjoni Ewropea</w:t>
      </w:r>
      <w:r>
        <w:rPr>
          <w:rStyle w:val="Ancredenotedefin"/>
          <w:rStyle w:val="Ancredenotedefin"/>
        </w:rPr>
        <w:endnoteReference w:id="150"/>
      </w:r>
      <w:r>
        <w:rPr/>
        <w:t>.</w:t>
      </w:r>
    </w:p>
    <w:p>
      <w:pPr>
        <w:pStyle w:val="Puce3"/>
        <w:tabs>
          <w:tab w:val="clear" w:pos="720"/>
        </w:tabs>
        <w:rPr/>
      </w:pPr>
      <w:r>
        <w:rPr/>
        <w:t>3.</w:t>
        <w:tab/>
        <w:t>Billi tikkunsidra li tbiddel l-ismijiet tal-istituzzjonijiet Ewropej sabiex tiċċara r-rwol u r-rwol ta’ kull wieħed fil-proċess tat-teħid tad-deċiżjonijiet tal-Unjoni f’għajnejn iċ-ċittadini</w:t>
      </w:r>
      <w:r>
        <w:rPr>
          <w:rStyle w:val="Ancredenotedefin"/>
          <w:rStyle w:val="Ancredenotedefin"/>
        </w:rPr>
        <w:endnoteReference w:id="151"/>
      </w:r>
      <w:r>
        <w:rPr/>
        <w:t>.</w:t>
      </w:r>
    </w:p>
    <w:p>
      <w:pPr>
        <w:pStyle w:val="Alineanegatifpuce"/>
        <w:numPr>
          <w:ilvl w:val="0"/>
          <w:numId w:val="3"/>
        </w:numPr>
        <w:rPr/>
      </w:pPr>
      <w:r>
        <w:rPr/>
        <w:t xml:space="preserve"> </w:t>
      </w:r>
      <w:r>
        <w:rPr/>
        <w:t>Il-proċess tat-teħid tad-deċiżjonijiet tal-UE għandu jkun ibbażat fuq struttura aktar ċara u li tinftiehem, li tixbah is-sistemi nazzjonali</w:t>
      </w:r>
      <w:r>
        <w:rPr>
          <w:rStyle w:val="Ancredenotedefin"/>
          <w:rStyle w:val="Ancredenotedefin"/>
        </w:rPr>
        <w:endnoteReference w:id="152"/>
      </w:r>
      <w:r>
        <w:rPr/>
        <w:t xml:space="preserve"> u tindika b’mod espliċitu d-diviżjoni tal-kompetenzi bejn l-istituzzjonijiet Ewropej u l-Istati Membri</w:t>
      </w:r>
      <w:r>
        <w:rPr>
          <w:rStyle w:val="Ancredenotedefin"/>
          <w:rStyle w:val="Ancredenotedefin"/>
        </w:rPr>
        <w:endnoteReference w:id="153"/>
      </w:r>
      <w:r>
        <w:rPr/>
        <w:t>.</w:t>
      </w:r>
    </w:p>
    <w:p>
      <w:pPr>
        <w:pStyle w:val="Alineanegatifpuce"/>
        <w:numPr>
          <w:ilvl w:val="0"/>
          <w:numId w:val="3"/>
        </w:numPr>
        <w:rPr/>
      </w:pPr>
      <w:r>
        <w:rPr/>
        <w:t xml:space="preserve"> </w:t>
      </w:r>
      <w:r>
        <w:rPr/>
        <w:t>Pereżempju, il-Kunsill tal-Unjoni Ewropea jista’ jingħata l-isem ġdid ta’ “Senat tal-Unjoni” u l-Kummissjoni Ewropea “Kummissjoni Eżekuttiva tal-Unjoni”</w:t>
      </w:r>
      <w:r>
        <w:rPr>
          <w:rStyle w:val="Ancredenotedefin"/>
          <w:rStyle w:val="Ancredenotedefin"/>
        </w:rPr>
        <w:endnoteReference w:id="154"/>
      </w:r>
      <w:r>
        <w:rPr/>
        <w:t>.</w:t>
      </w:r>
    </w:p>
    <w:p>
      <w:pPr>
        <w:pStyle w:val="Puce3"/>
        <w:tabs>
          <w:tab w:val="clear" w:pos="720"/>
        </w:tabs>
        <w:rPr/>
      </w:pPr>
      <w:r>
        <w:rPr/>
        <w:t>4.</w:t>
        <w:tab/>
        <w:t>It-tisħiħ tal-kapaċità tal-Unjoni li tagħti riżultati f’oqsma ewlenin</w:t>
      </w:r>
      <w:r>
        <w:rPr>
          <w:rStyle w:val="Ancredenotedefin"/>
          <w:rStyle w:val="Ancredenotedefin"/>
        </w:rPr>
        <w:endnoteReference w:id="155"/>
      </w:r>
      <w:r>
        <w:rPr/>
        <w:t>.</w:t>
      </w:r>
    </w:p>
    <w:p>
      <w:pPr>
        <w:pStyle w:val="Puce3"/>
        <w:tabs>
          <w:tab w:val="clear" w:pos="720"/>
        </w:tabs>
        <w:rPr/>
      </w:pPr>
      <w:r>
        <w:rPr/>
        <w:t>5.</w:t>
        <w:tab/>
        <w:t>L-iżgurar ta’ mekkaniżmi għad-djalogu soċjali u l-konsultazzjoni maċ-ċittadini fl-istadji kollha tal-proċess tat-teħid tad-deċiżjonijiet tal-Unjoni, mill-valutazzjoni tal-impatt sat-tfassil u l-implimentazzjoni tal-miżuri</w:t>
      </w:r>
      <w:r>
        <w:rPr>
          <w:rStyle w:val="Ancredenotedefin"/>
          <w:rStyle w:val="Ancredenotedefin"/>
        </w:rPr>
        <w:endnoteReference w:id="156"/>
      </w:r>
      <w:r>
        <w:rPr/>
        <w:t>.</w:t>
      </w:r>
    </w:p>
    <w:p>
      <w:pPr>
        <w:pStyle w:val="Puce3"/>
        <w:tabs>
          <w:tab w:val="clear" w:pos="720"/>
        </w:tabs>
        <w:rPr/>
      </w:pPr>
      <w:r>
        <w:rPr/>
        <w:t>6.</w:t>
        <w:tab/>
        <w:t>Ir-riforma tal-funzjonament tal-Unjoni Ewropea, inkluż billi l-imsieħba soċjali u l-organizzazzjonijiet tas-soċjetà ċivili jiġu involuti aktar mill-qrib. L-istrutturi eżistenti jeħtieġ li jissaħħu sabiex il-proċess tat-teħid tad-deċiżjonijiet jirrifletti aħjar il-ħtiġijiet u l-aspettattivi taċ-ċittadini Ewropej, li huma ċentrali għad-demokrazija Ewropea. F’dan il-kuntest, il-KESE għandu jikseb il-mezzi biex jaqdi rwol istituzzjonali aktar importanti, dak ta’ garanti u faċilitatur tal-attivitajiet tad-demokrazija parteċipattiva, bħad-djalogu strutturat mal-organizzazzjonijiet tas-soċjetà ċivili u l-panels taċ-ċittadini. Soċjetà ċivili dinamika hija essenzjali għall-ħajja demokratika tal-Unjoni</w:t>
      </w:r>
      <w:r>
        <w:rPr>
          <w:rStyle w:val="Ancredenotedefin"/>
          <w:rStyle w:val="Ancredenotedefin"/>
        </w:rPr>
        <w:endnoteReference w:id="157"/>
      </w:r>
      <w:r>
        <w:rPr/>
        <w:t>.</w:t>
      </w:r>
    </w:p>
    <w:p>
      <w:pPr>
        <w:pStyle w:val="Puce3"/>
        <w:tabs>
          <w:tab w:val="clear" w:pos="720"/>
        </w:tabs>
        <w:rPr/>
      </w:pPr>
      <w:r>
        <w:rPr/>
        <w:t>7.</w:t>
        <w:tab/>
        <w:t>Bil-ftuħ mill-ġdid tad-dibattitu dwar il-kostituzzjoni, jekk rilevanti, sabiex niddefinixxu b’mod ċar il-valuri tagħna. Kostituzzjoni tista’ ġġib aktar preċiżjoni, timmobilizza liċ-ċittadini u taqbel dwar ir-regoli tal-proċess tat-teħid tad-deċiżjonijiet</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Proposta: Sussidjarjetà</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Is-sussidjarjetà attiva u l-governanza f’diversi livelli huma prinċipji ewlenin jekk l-Unjoni Ewropea trid topera b’mod demokratiku u responsabbli</w:t>
      </w:r>
      <w:r>
        <w:rPr>
          <w:rStyle w:val="Ancredenotedefin"/>
          <w:rStyle w:val="Ancredenotedefin"/>
        </w:rPr>
        <w:endnoteReference w:id="159"/>
      </w:r>
      <w:r>
        <w:rPr/>
        <w:t>;</w:t>
      </w:r>
    </w:p>
    <w:p>
      <w:pPr>
        <w:pStyle w:val="Puce3"/>
        <w:tabs>
          <w:tab w:val="clear" w:pos="720"/>
        </w:tabs>
        <w:rPr/>
      </w:pPr>
      <w:r>
        <w:rPr/>
        <w:t>2.</w:t>
        <w:tab/>
        <w:t>L-UE għandha tirrevedi l-mekkaniżmu li permezz tiegħu l-parlamenti nazzjonali jeżaminaw jekk il-proposti leġislattivi Ewropej jidħlux fil-kompetenzi nazzjonali jew le; il-parlamenti nazzjonali għandhom ikunu jistgħu jipproponu inizjattivi leġislattivi lill-istituzzjonijiet Ewropej. Dawn il-mekkaniżmi għandhom jiġu estiżi għall-parlamenti reġjonali kollha b’setgħat leġiżlattivi</w:t>
      </w:r>
      <w:r>
        <w:rPr>
          <w:rStyle w:val="Ancredenotedefin"/>
          <w:rStyle w:val="Ancredenotedefin"/>
        </w:rPr>
        <w:endnoteReference w:id="160"/>
      </w:r>
      <w:r>
        <w:rPr/>
        <w:t>.</w:t>
      </w:r>
    </w:p>
    <w:p>
      <w:pPr>
        <w:pStyle w:val="Puce3"/>
        <w:tabs>
          <w:tab w:val="clear" w:pos="720"/>
        </w:tabs>
        <w:rPr/>
      </w:pPr>
      <w:r>
        <w:rPr/>
        <w:t>3.</w:t>
        <w:tab/>
        <w:t>Il-KtR għandu jiġi riformat biex jiftaħ mezzi adegwati għad-djalogu mar-reġjuni, il-bliet u l-muniċipalitajiet. Għandu jkollu rwol aktar importanti</w:t>
      </w:r>
      <w:r>
        <w:rPr>
          <w:rStyle w:val="Ancredenotedefin"/>
          <w:rStyle w:val="Ancredenotedefin"/>
        </w:rPr>
        <w:endnoteReference w:id="161"/>
      </w:r>
      <w:r>
        <w:rPr/>
        <w:t xml:space="preserve"> fl-arkitettura istituzzjonali meta jittratta kwistjonijiet b’konsegwenzi territorjali</w:t>
      </w:r>
      <w:r>
        <w:rPr>
          <w:rStyle w:val="Ancredenotedefin"/>
          <w:rStyle w:val="Ancredenotedefin"/>
        </w:rPr>
        <w:endnoteReference w:id="162"/>
      </w:r>
      <w:r>
        <w:rPr/>
        <w:t>.</w:t>
      </w:r>
    </w:p>
    <w:p>
      <w:pPr>
        <w:pStyle w:val="Normal"/>
        <w:rPr/>
      </w:pPr>
      <w:r>
        <w:rPr/>
      </w:r>
    </w:p>
    <w:p>
      <w:pPr>
        <w:pStyle w:val="Puce3"/>
        <w:tabs>
          <w:tab w:val="clear" w:pos="720"/>
        </w:tabs>
        <w:rPr/>
      </w:pPr>
      <w:r>
        <w:rPr/>
        <w:t>4.</w:t>
        <w:tab/>
        <w:t>L-użu sistematiku ta’ definizzjoni komuni ta’ sussidjarjetà, approvata mill-istituzzjonijiet Ewropej kollha, jista’ jiddefinixxi b’mod aktar ċar f’liema livell (Ewropew, nazzjonali jew reġjonali) għandhom jittieħdu deċiżjonijiet (Ewropej, nazzjonali jew reġjonali)</w:t>
      </w:r>
      <w:r>
        <w:rPr>
          <w:rStyle w:val="Ancredenotedefin"/>
          <w:rStyle w:val="Ancredenotedefin"/>
        </w:rPr>
        <w:endnoteReference w:id="163"/>
      </w:r>
      <w:r>
        <w:rPr/>
        <w:t>.</w:t>
      </w:r>
    </w:p>
    <w:p>
      <w:pPr>
        <w:pStyle w:val="Puce3"/>
        <w:tabs>
          <w:tab w:val="clear" w:pos="720"/>
        </w:tabs>
        <w:rPr/>
      </w:pPr>
      <w:r>
        <w:rPr/>
        <w:t>5.</w:t>
        <w:tab/>
        <w:t>L-imsieħba soċjali u l-organizzazzjonijiet tas-soċjetà ċivili, li huma ċentrali għad-demokrazija Ewropea, jeħtieġ li jkunu involuti aħjar fil-proċess tat-teħid tad-deċiżjonijiet. Soċjetà dinamika hija essenzjali għall-ħajja demokratika tal-Unjoni.</w:t>
      </w:r>
      <w:r>
        <w:rPr>
          <w:rStyle w:val="Ancredenotedefin"/>
          <w:rStyle w:val="Ancredenotedefin"/>
        </w:rPr>
        <w:endnoteReference w:id="164"/>
      </w:r>
    </w:p>
    <w:p>
      <w:pPr>
        <w:pStyle w:val="Puce3"/>
        <w:tabs>
          <w:tab w:val="clear" w:pos="720"/>
        </w:tabs>
        <w:rPr/>
      </w:pPr>
      <w:r>
        <w:rPr/>
        <w:t>6.</w:t>
        <w:tab/>
        <w:t>Inħeġġu lill-istituzzjonijiet tal-UE biex jimplimentaw il-konklużjonijiet ta’ dan il-grupp ta’ ħidma u biex jagħmluhom effettivi. Dan jista’ jsir permezz tad-dispożizzjonijiet eżistenti tat-Trattat ta’ Lisbona u, jekk meħtieġ, permezz ta’ sejħa għat-tnedija ta’ Konvenzjoni Ewropea</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8"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Migrazzjonijiet”</w:t>
      </w:r>
    </w:p>
    <w:p>
      <w:pPr>
        <w:pStyle w:val="Titre3"/>
        <w:numPr>
          <w:ilvl w:val="2"/>
          <w:numId w:val="2"/>
        </w:numPr>
        <w:rPr/>
      </w:pPr>
      <w:bookmarkStart w:id="93" w:name="__RefHeading___Toc298360_1346298689"/>
      <w:bookmarkEnd w:id="93"/>
      <w:r>
        <w:rPr/>
        <w:t>41. Proposta: Migrazzjoni legali</w:t>
      </w:r>
    </w:p>
    <w:p>
      <w:pPr>
        <w:pStyle w:val="P68B1DB1Normal15"/>
        <w:rPr>
          <w:b/>
          <w:b/>
        </w:rPr>
      </w:pPr>
      <w:r>
        <w:rPr/>
        <w:t>Għan: It-tisħiħ tar-rwol tal-UE fil-migrazzjoni legali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166"/>
      </w:r>
      <w:r>
        <w:rPr/>
        <w:t>:</w:t>
      </w:r>
    </w:p>
    <w:p>
      <w:pPr>
        <w:pStyle w:val="Puce3"/>
        <w:tabs>
          <w:tab w:val="clear" w:pos="720"/>
        </w:tabs>
        <w:rPr/>
      </w:pPr>
      <w:r>
        <w:rPr/>
        <w:t>1.</w:t>
        <w:tab/>
        <w:t>Tniedi kampanja ta’ komunikazzjoni fil-livell Ewropew biex tiżgura li l-EURES (in-Netwerk Ewropew tas-Servizzi tal-Impjiegi), il-Portal tal-UE dwar l-Immigrazzjoni u l-għodda għat-tfassil tal-profili tal-Ħiliet Ewropej għaċ-ċittadini ta’ pajjiżi terzi jkunu magħrufa aħjar maċ-ċittadini Ewropej u jintużaw aktar ta’ spiss min-negozji tal-UE meta jirreklutaw (Rakkomandazzjoni 6).</w:t>
      </w:r>
    </w:p>
    <w:p>
      <w:pPr>
        <w:pStyle w:val="Puce3"/>
        <w:tabs>
          <w:tab w:val="clear" w:pos="720"/>
        </w:tabs>
        <w:rPr/>
      </w:pPr>
      <w:r>
        <w:rPr/>
        <w:t>2.</w:t>
        <w:tab/>
        <w:t>It-twaqqif ta’ entità Ewropea għall-aċċess tal-migranti għas-suq tax-xogħol tal-UE jew, fin-nuqqas ta’ dan, l-espansjoni tal-kompetenzi tan-Netwerk Ewropew tas-Servizzi tal-Impjiegi (EURES), eż. it-titjib tal-proġetti ta’ sħubija għall-attrazzjoni tat-talenti (ir-Rakkomandazzjoni Nru 7 u d-diskussjoni fil-Grupp ta’ Ħidma), bil-possibbiltà li jiġu ssodisfati l-provvista tal-ħiliet u d-domanda online fil-pajjiż tat-tluq abbażi ta’ kriterji ta’ evalwazzjoni (Rakkomandazzjoni Nru 9 u dibattitu fil-Grupp ta’ Ħidma). Jenħtieġ li l-Unjoni tħeġġeġ lill-Istati Membri jissimplifikaw il-proċess ta’ akkoljenza u integrazzjoni tal-migranti legali u l-aċċess tagħhom għas-suq tax-xogħol tal-Unjoni billi ttejjeb l-interoperabbiltà bejn l-amministrazzjonijiet differenti kkonċernati (dibattitu fil-WG).</w:t>
      </w:r>
    </w:p>
    <w:p>
      <w:pPr>
        <w:pStyle w:val="Puce3"/>
        <w:tabs>
          <w:tab w:val="clear" w:pos="720"/>
        </w:tabs>
        <w:rPr/>
      </w:pPr>
      <w:r>
        <w:rPr/>
        <w:t>3.</w:t>
        <w:tab/>
        <w:t>Ittejjeb il-funzjonament u l-implimentazzjoni tad-Direttiva dwar il-Karta Blu sabiex tattira l-ħiliet li l-ekonomija tal-UE teħtieġ (ir-Rakkomandazzjoni Nru 7 u d-dibattitu fil-Grupp ta’ Ħidma), b’kont debitu meħud tar-riskju ta’ eżodu ta’ mħuħ (skont il-miżura 1 tal-proposta 42).</w:t>
      </w:r>
    </w:p>
    <w:p>
      <w:pPr>
        <w:pStyle w:val="Puce3"/>
        <w:tabs>
          <w:tab w:val="clear" w:pos="720"/>
        </w:tabs>
        <w:rPr/>
      </w:pPr>
      <w:r>
        <w:rPr/>
        <w:t>4.</w:t>
        <w:tab/>
        <w:t>Tippromwovi konverġenza ‘l fuq fil-kundizzjonijiet tax-xogħol b’mod armonjuż madwar l-Unjoni sabiex tindirizza l-inugwaljanzi fil-kundizzjonijiet tax-xogħol, tiżgura politika effettiva tal-UE dwar il-migrazzjoni tal-ħaddiema u tiddefendi d-drittijiet tal-ħaddiema. F’dan il-kuntest, jissaħħaħ ir-rwol tat-trejdjunjins fil-livell nazzjonali u transnazzjonali (Rakkomandazzjoni Nru 28 u dibattitu fil-Grupp ta’ Ħidma), f’kooperazzjoni mal-organizzazzjonijiet ta’ min iħaddem (dibattitu fil-plenarja).</w:t>
      </w:r>
    </w:p>
    <w:p>
      <w:pPr>
        <w:pStyle w:val="Puce3"/>
        <w:tabs>
          <w:tab w:val="clear" w:pos="720"/>
        </w:tabs>
        <w:rPr/>
      </w:pPr>
      <w:r>
        <w:rPr/>
        <w:t>5.</w:t>
        <w:tab/>
        <w:t>Iżżid l-isforzi biex tinforma u teduka liċ-ċittadini tal-Istati Membri dwar kwistjonijiet ta’ migrazzjoni u integrazzjoni (Rakkomandazzjoni 30, Rakkomandazzjoni tal-Bord LT 9 u dibattitu tal-Grupp ta’ Ħidma).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Proposta: Migrazzjoni irregolari</w:t>
      </w:r>
    </w:p>
    <w:p>
      <w:pPr>
        <w:pStyle w:val="P68B1DB1Normal15"/>
        <w:rPr>
          <w:b/>
          <w:b/>
        </w:rPr>
      </w:pPr>
      <w:r>
        <w:rPr/>
        <w:t>Għan: It-tisħiħ tar-rwol tal-Unjoni fil-ġlieda kontra l-forom kollha ta’ migrazzjoni irregolari u t-tisħiħ tal-protezzjoni tal-fruntieri esterni tal-Unjoni Ewropea, filwaqt li jiġu rispettati d-drittijiet tal-bniedem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167"/>
      </w:r>
      <w:r>
        <w:rPr/>
        <w:t>:</w:t>
      </w:r>
    </w:p>
    <w:p>
      <w:pPr>
        <w:pStyle w:val="Puce3"/>
        <w:tabs>
          <w:tab w:val="clear" w:pos="720"/>
        </w:tabs>
        <w:rPr/>
      </w:pPr>
      <w:r>
        <w:rPr/>
        <w:t>1.</w:t>
        <w:tab/>
        <w:t>Jipparteċipaw b’mod attiv, pereżempju permezz ta’ ftehimiet ta’ sħubija, fl-iżvilupp ekonomiku u soċjali ta’ pajjiżi barra l-Unjoni Ewropea u li minnhom hemm influss kbir ta’ migranti, sabiex jiġu indirizzati l-kawżi fundamentali tal-migrazzjoni, inkluż it-tibdil fil-klima. Dawn l-azzjonijiet għandhom ikunu trasparenti u jipproduċu riżultati tanġibbli b’effetti li jistgħu jitkejlu, li għandhom jiġu kkomunikati b’mod ċar liċ-ċittadini tal-UE (Rakkomandazzjoni 27, Rakkomandazzjoni 3 ta’ NL u dibattitu fil-Grupp ta’ Ħidma).</w:t>
      </w:r>
    </w:p>
    <w:p>
      <w:pPr>
        <w:pStyle w:val="Puce3"/>
        <w:tabs>
          <w:tab w:val="clear" w:pos="720"/>
        </w:tabs>
        <w:rPr/>
      </w:pPr>
      <w:r>
        <w:rPr/>
        <w:t>2.</w:t>
        <w:tab/>
        <w:t>Tiżgura l-protezzjoni tal-fruntieri esterni kollha billi ttejjeb it-trasparenza u r-responsabbiltà tal-Frontex u ssaħħaħ ir-rwol tagħha (ir-Rakkomandazzjoni Nru 8 u d-dibattitu fil-Grupp ta’ Ħidma) u tadatta l-leġiżlazzjoni tal-UE biex tindirizza aħjar l-isfidi attwali tal-migrazzjoni irregolari bħat-traffikar tal-bnedmin, it-traffikar tal-bnedmin, l-isfruttament sesswali, l-attakki ibridi mwettqa minn stati li jisfruttaw il-migranti u l-ksur tad-drittijiet tal-bniedem (Rakkomandazzjoni LT 10 u dibattitu fil-Grupp ta’ Ħidma).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Proposta: Migrazzjoni irregolari (bis)</w:t>
      </w:r>
    </w:p>
    <w:p>
      <w:pPr>
        <w:pStyle w:val="P68B1DB1Normal15"/>
        <w:rPr>
          <w:b/>
          <w:b/>
        </w:rPr>
      </w:pPr>
      <w:r>
        <w:rPr/>
        <w:t>Għan: Japplikaw regoli komuni b’mod uniformi fl-Istati Membri kollha fir-rigward tal-ewwel akkoljenza tal-migranti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168"/>
      </w:r>
      <w:r>
        <w:rPr/>
        <w:t>:</w:t>
      </w:r>
    </w:p>
    <w:p>
      <w:pPr>
        <w:pStyle w:val="Puce3"/>
        <w:tabs>
          <w:tab w:val="clear" w:pos="720"/>
        </w:tabs>
        <w:rPr/>
      </w:pPr>
      <w:r>
        <w:rPr/>
        <w:t>1.</w:t>
        <w:tab/>
        <w:t>Jiżviluppaw miżuri madwar l-UE kollha biex jiżguraw is-sikurezza u s-saħħa tal-migranti kollha, b’mod partikolari n-nisa tqal, it-tfal, il-minorenni mhux akkumpanjati u l-persuni vulnerabbli kollha (ir-Rakkomandazzjonijiet 10 u 38 u d-dibattitu fil-Grupp ta’ Ħidma).</w:t>
      </w:r>
    </w:p>
    <w:p>
      <w:pPr>
        <w:pStyle w:val="Normal"/>
        <w:rPr/>
      </w:pPr>
      <w:r>
        <w:rPr/>
      </w:r>
    </w:p>
    <w:p>
      <w:pPr>
        <w:pStyle w:val="Puce3"/>
        <w:tabs>
          <w:tab w:val="clear" w:pos="720"/>
        </w:tabs>
        <w:rPr/>
      </w:pPr>
      <w:r>
        <w:rPr/>
        <w:t>2.</w:t>
        <w:tab/>
        <w:t>Jiżdied l-appoġġ finanzjarju, loġistiku u operazzjonali tal-UE, inkluż lill-awtoritajiet lokali, lil dawk li jieħdu d-deċiżjonijiet reġjonali u lill-organizzazzjonijiet tas-soċjetà ċivili, għall-ġestjoni tal-ewwel akkoljenza, li possibbilment twassal għall-integrazzjoni ta’ refuġjati jew migranti regolari fl-UE u r-ripatrijazzjoni ta’ migranti irregolari (Rakkomandazzjoni 35 u dibattitu fil-Grupp ta’ Ħidma).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Proposta: L-ażil, l-integrazzjoni</w:t>
      </w:r>
    </w:p>
    <w:p>
      <w:pPr>
        <w:pStyle w:val="P68B1DB1Normal15"/>
        <w:rPr>
          <w:b/>
          <w:b/>
        </w:rPr>
      </w:pPr>
      <w:r>
        <w:rPr/>
        <w:t>Għan: It-tisħiħ tar-rwol tal-Unjoni u r-riforma tas-sistema Ewropea tal-asil abbażi tal-prinċipji tas-solidarjetà u t-tqassim ġust tar-responsabbiltà</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169"/>
      </w:r>
      <w:r>
        <w:rPr/>
        <w:t>:</w:t>
      </w:r>
    </w:p>
    <w:p>
      <w:pPr>
        <w:pStyle w:val="Puce3"/>
        <w:tabs>
          <w:tab w:val="clear" w:pos="720"/>
        </w:tabs>
        <w:rPr/>
      </w:pPr>
      <w:r>
        <w:rPr/>
        <w:t>1.</w:t>
        <w:tab/>
        <w:t>Tadotta regoli komuni tal-Unjoni dwar proċeduri għall-eżami ta’ applikazzjonijiet għall-protezzjoni internazzjonali fl-Istati Membri, applikati b’mod uniformi għal dawk kollha li jfittxu ażil. Dawn il-proċeduri għandhom jirrispettaw id-dinjità tal-bniedem u l-liġi internazzjonali (Rakkomandazzjoni 29, Rakkomandazzjonijiet tal-IT 3.8 u 4.4, p. 15 u dibattitu fil-Grupp ta’ Ħidma). Peress li l-akkoljenza ta’ dawk li jfittxu l-ażil tinvolvi atturi differenti fil-livell nazzjonali, l-Unjoni għandha tħeġġeġ lill-Istati Membri biex jissimplifikaw u jħaffu dan il-proċess billi jtejbu l-interoperabbiltà bejn l-amministrazzjonijiet differenti kkonċernati u jistabbilixxu uffiċċju uniku (tieqa jew punt ta’ dħul uniku) għal dawk li jfittxu l-ażil sabiex jissimplifikaw il-proċeduri amministrattivi nazzjonali (Rakkomandazzjoni 37 u dibattitu fil-Grupp ta’ Ħidma).</w:t>
      </w:r>
    </w:p>
    <w:p>
      <w:pPr>
        <w:pStyle w:val="Puce3"/>
        <w:tabs>
          <w:tab w:val="clear" w:pos="720"/>
        </w:tabs>
        <w:rPr/>
      </w:pPr>
      <w:r>
        <w:rPr/>
        <w:t>2.</w:t>
        <w:tab/>
        <w:t>Tirrevedi s-sistema ta’ Dublin sabiex tiżgura s-solidarjetà u l-kondiviżjoni ġusta tar-responsabbiltà, inkluża d-distribuzzjoni tal-migranti bejn l-Istati Membri; jistgħu jiġu previsti wkoll forom oħra ta’ appoġġ (ir-rakkomandazzjonijiet 33, 36, 37, 40; LT Rakkomandazzjoni Nru 2; rakkomandazzjonijiet IT 3.8 (p. 15) u NL 2, dibattitu fil-grupp ta’ ħidma u dibattitu fil-plenarja).</w:t>
      </w:r>
    </w:p>
    <w:p>
      <w:pPr>
        <w:pStyle w:val="Puce3"/>
        <w:tabs>
          <w:tab w:val="clear" w:pos="720"/>
        </w:tabs>
        <w:rPr/>
      </w:pPr>
      <w:r>
        <w:rPr/>
        <w:t>3.</w:t>
        <w:tab/>
        <w:t>Jissaħħu l-istandards minimi ta’ akkoljenza għal dawk li jfittxu asil stabbiliti fid-Direttiva 2013/33/UE permezz ta’ miżuri leġiżlattivi aktar stretti biex jittejbu l-faċilitajiet ta’ akkoljenza u l-akkomodazzjoni (ir-Rakkomandazzjoni 31 tas-CEP, ir-Rakkomandazzjoni IT 5.6, p. 11 u dibattitu fil-Grupp ta’ Ħidma).</w:t>
      </w:r>
    </w:p>
    <w:p>
      <w:pPr>
        <w:pStyle w:val="Puce3"/>
        <w:tabs>
          <w:tab w:val="clear" w:pos="720"/>
        </w:tabs>
        <w:rPr/>
      </w:pPr>
      <w:r>
        <w:rPr/>
        <w:t>4.</w:t>
        <w:tab/>
        <w:t>Għandha tingħata attenzjoni speċjali lin-nisa tqal, lit-tfal, u b’mod partikolari lill-minorenni mhux akkumpanjati (ir-Rakkomandazzjoni Nru 38 u d-diskussjoni fil-Grupp ta’ Ħidma).</w:t>
      </w:r>
    </w:p>
    <w:p>
      <w:pPr>
        <w:pStyle w:val="Puce3"/>
        <w:tabs>
          <w:tab w:val="clear" w:pos="720"/>
        </w:tabs>
        <w:rPr/>
      </w:pPr>
      <w:r>
        <w:rPr/>
        <w:t>5.</w:t>
        <w:tab/>
        <w:t>Issaħħaħ u żżid ir-riżorsi finanzjarji u umani u l-kapaċitajiet ta’ ġestjoni tal-Aġenzija tal-Unjoni Ewropea għall-Asil biex tikkoordina u timmaniġġja r-rilokazzjoni ta’ dawk li jfittxu asil fl-Istati Membri tal-UE bil-ħsieb li tinkiseb distribuzzjoni ġusta (ir-Rakkomandazzjonijiet 36 u 37, ir-Rakkomandazzjoni 3 tal-LT u d-dibattitu fil-Grupp ta’ Ħidma).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Proposta: Ażil, integrazzjoni(bis)</w:t>
      </w:r>
    </w:p>
    <w:p>
      <w:pPr>
        <w:pStyle w:val="P68B1DB1Normal15"/>
        <w:rPr>
          <w:b/>
          <w:b/>
        </w:rPr>
      </w:pPr>
      <w:r>
        <w:rPr/>
        <w:t>Għan: It-titjib tal-politiki ta’ integrazzjoni fl-Istati Membri kollha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rPr>
        <w:endnoteReference w:id="170"/>
      </w:r>
      <w:r>
        <w:rPr/>
        <w:t>:</w:t>
      </w:r>
    </w:p>
    <w:p>
      <w:pPr>
        <w:pStyle w:val="Puce3"/>
        <w:tabs>
          <w:tab w:val="clear" w:pos="720"/>
        </w:tabs>
        <w:rPr/>
      </w:pPr>
      <w:r>
        <w:rPr/>
        <w:t>1.</w:t>
        <w:tab/>
        <w:t>L-Unjoni għandha tiżgura wkoll, bil-parteċipazzjoni tal-awtoritajiet lokali u reġjonali u l-kontribut tal-organizzazzjonijiet tas-soċjetà ċivili, li dawk kollha li jfittxu asil u r-refuġjati jipparteċipaw f’korsijiet u attivitajiet tal-lingwa u tal-integrazzjoni kif ukoll taħriġ vokazzjonali waqt l-eżami tal-applikazzjoni tagħhom għal residenza (Rakkomandazzjoni Nru 32, Rakkomandazzjoni FR Nru 13, dibattitu fil-Grupp ta’ Ħidma u dibattitu fil-plenarja).</w:t>
      </w:r>
    </w:p>
    <w:p>
      <w:pPr>
        <w:pStyle w:val="Puce3"/>
        <w:tabs>
          <w:tab w:val="clear" w:pos="720"/>
        </w:tabs>
        <w:rPr/>
      </w:pPr>
      <w:r>
        <w:rPr/>
        <w:t>2.</w:t>
        <w:tab/>
        <w:t>Dawk li jfittxu l-ażil bil-kwalifiki xierqa għandu jkollhom aċċess għas-suq tax-xogħol, jekk possibbli bil-ħsieb li tissaħħaħ l-awtonomija tagħhom, madwar l-Unjoni (Rakkomandazzjoni Nru 7 u dibattitu fil-Grupp ta’ Ħidma).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29" descr=""/>
                    <pic:cNvPicPr>
                      <a:picLocks noChangeAspect="1" noChangeArrowheads="1"/>
                    </pic:cNvPicPr>
                  </pic:nvPicPr>
                  <pic:blipFill>
                    <a:blip r:embed="rId8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L-edukazzjoni, il-kultura, iż-żgħażagħ u l-isport</w:t>
      </w:r>
    </w:p>
    <w:p>
      <w:pPr>
        <w:pStyle w:val="Titre3"/>
        <w:numPr>
          <w:ilvl w:val="2"/>
          <w:numId w:val="2"/>
        </w:numPr>
        <w:rPr/>
      </w:pPr>
      <w:bookmarkStart w:id="99" w:name="__RefHeading___Toc298372_1346298689"/>
      <w:bookmarkEnd w:id="99"/>
      <w:r>
        <w:rPr/>
        <w:t>46. Proposta: Edukazzjoni</w:t>
      </w:r>
    </w:p>
    <w:p>
      <w:pPr>
        <w:pStyle w:val="P68B1DB1Normal15"/>
        <w:rPr>
          <w:b/>
          <w:b/>
        </w:rPr>
      </w:pPr>
      <w:r>
        <w:rPr/>
        <w:t>Għan: L-UE u l-Istati Membri tagħha għandhom jistinkaw biex jistabbilixxu, sal-2025, żona Ewropea inklużiva tal-edukazzjoni li fiha ċ-ċittadini kollha jkollhom aċċess ugwali għal tagħlim u edukazzjoni tul il-ħajja ta’ kwalità, inklużi persuni li jgħixu f’żoni rurali u remoti. Għal dan il-għan, l-Unjoni Ewropea u l-Istati Membri tagħha għandhom b’mod partikolari: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p>
    <w:p>
      <w:pPr>
        <w:pStyle w:val="Puce3"/>
        <w:tabs>
          <w:tab w:val="clear" w:pos="720"/>
        </w:tabs>
        <w:rPr/>
      </w:pPr>
      <w:r>
        <w:rPr/>
        <w:t>1.</w:t>
        <w:tab/>
        <w:t>Tikkoordina l-livell tal-programmi edukattivi differenti kollha fl-Unjoni Ewropea billi taċċetta kontenut nazzjonali, reġjonali u lokali u toħloq rabtiet aktar mill-qrib bejn is-sistemi edukattivi, b’mod partikolari permezz tal-ekwivalenza tad-diplomi</w:t>
      </w:r>
      <w:r>
        <w:rPr>
          <w:rStyle w:val="Ancredenotedefin"/>
          <w:rStyle w:val="Ancredenotedefin"/>
        </w:rPr>
        <w:endnoteReference w:id="171"/>
      </w:r>
      <w:r>
        <w:rPr/>
        <w:t>. Standard minimu ċċertifikat għat-tagħlim f’suġġetti essenzjali għandu jiġi adottat sa mill-iskola primarja</w:t>
      </w:r>
      <w:r>
        <w:rPr>
          <w:rStyle w:val="Ancredenotedefin"/>
          <w:rStyle w:val="Ancredenotedefin"/>
        </w:rPr>
        <w:endnoteReference w:id="172"/>
      </w:r>
      <w:r>
        <w:rPr/>
        <w:t>171. Jenħtieġ li jiġu stabbiliti kompetenzi kondiviżi fil-qasam tal-edukazzjoni, tal-inqas fir-rigward tal-edukazzjoni ċivika, u l-eżerċizzju ta’ dik il-kompetenza mill-Unjoni ma jistax jimpedixxi lill-Istati Membri milli jeżerċitaw il-kompetenzi tagħhom stess. Id-diplomi u t-taħriġ vokazzjonali għandhom jiġu vvalidati u rikonoxxuti reċiprokament fl-Istati Membri kollha tal-Unjoni</w:t>
      </w:r>
      <w:r>
        <w:rPr>
          <w:rStyle w:val="Ancredenotedefin"/>
          <w:rStyle w:val="Ancredenotedefin"/>
        </w:rPr>
        <w:endnoteReference w:id="173"/>
      </w:r>
      <w:r>
        <w:rPr/>
        <w:t>. L-Unjoni Ewropea għandha tisfrutta wkoll ir-rikonoxximent ta’ tagħlim mhux formali</w:t>
      </w:r>
      <w:r>
        <w:rPr>
          <w:rStyle w:val="Ancredenotedefin"/>
          <w:rStyle w:val="Ancredenotedefin"/>
        </w:rPr>
        <w:endnoteReference w:id="174"/>
      </w:r>
      <w:r>
        <w:rPr/>
        <w:t xml:space="preserve"> u informali u ta’ organizzazzjonijiet taż-żgħażagħ li joffruh, kif ukoll perjodi ta’ tagħlim barra mill-pajjiż.</w:t>
      </w:r>
    </w:p>
    <w:p>
      <w:pPr>
        <w:pStyle w:val="Puce3"/>
        <w:tabs>
          <w:tab w:val="clear" w:pos="720"/>
        </w:tabs>
        <w:rPr/>
      </w:pPr>
      <w:r>
        <w:rPr/>
        <w:t>2.</w:t>
        <w:tab/>
        <w:t>L-iżvilupp ta’ tagħlim tul il-ħajja u edukazzjoni fl-Ewropa li jibqgħu validi għall-futur — f’konformità mad-dritt għat-taħriġ fuq il-post tax-xogħol għal kulħadd — b’enfasi fuq l-aspetti li ġejjin:</w:t>
        <w:br/>
        <w:t>Edukazzjoni ċivika dwar il-proċessi demokratiċi u l-valuri tal-UE u l-istorja tal-Ewropa</w:t>
      </w:r>
      <w:r>
        <w:rPr>
          <w:rStyle w:val="Ancredenotedefin"/>
          <w:rStyle w:val="Ancredenotedefin"/>
        </w:rPr>
        <w:endnoteReference w:id="175"/>
      </w:r>
      <w:r>
        <w:rPr/>
        <w:t>. Għandu jsir modulu komuni li għandu jiġi mgħallem fl-Istati Membri kollha. L-għarfien ta’ l-ekonomija għandu jittejjeb ukoll sabiex jippermetti fehim aħjar tal-proċess ta’ l-integrazzjoni Ewropea</w:t>
      </w:r>
      <w:r>
        <w:rPr>
          <w:rStyle w:val="Ancredenotedefin"/>
          <w:rStyle w:val="Ancredenotedefin"/>
        </w:rPr>
        <w:endnoteReference w:id="176"/>
      </w:r>
      <w:r>
        <w:rPr/>
        <w:t>.</w:t>
        <w:br/>
        <w:t>− Ħiliet diġitali</w:t>
      </w:r>
      <w:r>
        <w:rPr>
          <w:rStyle w:val="Ancredenotedefin"/>
          <w:rStyle w:val="Ancredenotedefin"/>
        </w:rPr>
        <w:endnoteReference w:id="177"/>
      </w:r>
      <w:r>
        <w:rPr/>
        <w:t>.</w:t>
        <w:br/>
        <w:t>STIAM</w:t>
      </w:r>
      <w:r>
        <w:rPr>
          <w:rStyle w:val="Ancredenotedefin"/>
          <w:rStyle w:val="Ancredenotedefin"/>
        </w:rPr>
        <w:endnoteReference w:id="178"/>
      </w:r>
      <w:r>
        <w:rPr/>
        <w:br/>
        <w:t>− L-intraprenditorija u r-riċerka.</w:t>
        <w:br/>
        <w:t>L-iżvilupp ta’ ħsieb kritiku. Il-litteriżmu medjatiku għandu jittejjeb sabiex tiġi żgurata s-sigurtà online u sabiex iċ-ċittadini fl-Istati Membri kollha jkunu jistgħu jivvalutaw b’mod indipendenti jekk l-informazzjoni hijiex kredibbli jew le u jidentifikaw informazzjoni falza filwaqt li jieħdu vantaġġ mill-opportunitajiet offruti mill-internet. Din l-edukazzjoni għandha tinvolvi l-organizzazzjoni ta’ korsijiet speċifiċi fil-livell ta’ edukazzjoni bażika u għandha tiġi offruta, fi spazji pubbliċi oħra, liċ-ċittadini ta’ kull età, taħt il-patroċinju ta’ korp speċjalizzat fil-livell tal-Unjoni, filwaqt li jittieħed vantaġġ mill-prattiki tajba li jeżistu fl-Istati Membri kollha. L-UE għandha tiżgura li l-fondi allokati speċifikament għal dawn l-attivitajiet jintużaw għall-iskop maħsub</w:t>
      </w:r>
      <w:r>
        <w:rPr>
          <w:rStyle w:val="Ancredenotedefin"/>
          <w:rStyle w:val="Ancredenotedefin"/>
        </w:rPr>
        <w:endnoteReference w:id="179"/>
      </w:r>
      <w:r>
        <w:rPr/>
        <w:t>.</w:t>
        <w:br/>
        <w:t>l-integrazzjoni ta’ ħiliet mhux tekniċi fil-korsijiet kollha fil-kurrikuli tal-iskejjel. Kompetenza mhux teknika tfisser: is-smigħ reċiproku, id-djalogu, ir-reżiljenza, il-fehim, ir-rispett u l-apprezzament ta’ oħrajn, il-ħsieb kritiku, l-awtotagħlim, u ż-żamma tal-kurjuż u orjentat lejn ir-riżultati</w:t>
      </w:r>
      <w:r>
        <w:rPr>
          <w:rStyle w:val="Ancredenotedefin"/>
          <w:rStyle w:val="Ancredenotedefin"/>
        </w:rPr>
        <w:endnoteReference w:id="180"/>
      </w:r>
      <w:r>
        <w:rPr/>
        <w:t>; — Li kulħadd jingħata l-opportunità li jsir jaf aktar dwar is-sostenibbiltà ambjentali u r-rabtiet tagħha mas-saħħa. Il-bijodiversità għandha tkun suġġett obbligatorju fl-iskola. Għandha tibda fl-iskola b’suġġetti speċifiċi li jindirizzaw il-kwistjonijiet ekoloġiċi kollha u tinkludi eskursjonijiet biex tippreżenta eżempji reali rilevanti, kollha bl-għajnuna ta’ programm ta’ finanzjament</w:t>
      </w:r>
      <w:r>
        <w:rPr>
          <w:rStyle w:val="Ancredenotedefin"/>
          <w:rStyle w:val="Ancredenotedefin"/>
        </w:rPr>
        <w:endnoteReference w:id="181"/>
      </w:r>
      <w:r>
        <w:rPr/>
        <w:t xml:space="preserve">. </w:t>
        <w:br/>
        <w:t>Il-ġlieda kontra l-bullying fl-iskejjel u r-razziżmu.</w:t>
      </w:r>
    </w:p>
    <w:p>
      <w:pPr>
        <w:pStyle w:val="Puce3"/>
        <w:tabs>
          <w:tab w:val="clear" w:pos="720"/>
        </w:tabs>
        <w:rPr/>
      </w:pPr>
      <w:r>
        <w:rPr/>
        <w:t>3.</w:t>
        <w:tab/>
        <w:t>Jappoġġaw it-taħriġ tal-għalliema</w:t>
      </w:r>
      <w:r>
        <w:rPr>
          <w:rStyle w:val="Ancredenotedefin"/>
          <w:rStyle w:val="Ancredenotedefin"/>
        </w:rPr>
        <w:endnoteReference w:id="182"/>
      </w:r>
      <w:r>
        <w:rPr/>
        <w:t>, sabiex jitgħallmu mill-aħjar prattiki u jużaw tekniki ta’ tagħlim innovattivi u kreattivi aġġornati li jirriflettu l-evoluzzjoni tal-metodi pedagoġiċi, inkluż attivitajiet prattiċi, filwaqt li jibnu wkoll fuq it-tagħlimiet li għandhom jittieħdu mill-pandemija tal-COVID-19 u tipi oħra ta’ kriżijiet, kif ukoll jippromwovu opportunitajiet ta’ mobbiltà</w:t>
      </w:r>
      <w:r>
        <w:rPr>
          <w:rStyle w:val="Ancredenotedefin"/>
          <w:rStyle w:val="Ancredenotedefin"/>
        </w:rPr>
        <w:endnoteReference w:id="183"/>
      </w:r>
      <w:r>
        <w:rPr/>
        <w:t>.</w:t>
      </w:r>
    </w:p>
    <w:p>
      <w:pPr>
        <w:pStyle w:val="Puce3"/>
        <w:tabs>
          <w:tab w:val="clear" w:pos="720"/>
        </w:tabs>
        <w:rPr/>
      </w:pPr>
      <w:r>
        <w:rPr/>
        <w:t>4.</w:t>
        <w:tab/>
        <w:t>Sabiex jintlaħqu l-ħtiġijiet edukattivi tat-tfal u l-familji kollha, tingħata prijorità lill-aċċess għat-tagħmir u l-konnettività effiċjenti tal-broadband</w:t>
      </w:r>
      <w:r>
        <w:rPr>
          <w:rStyle w:val="Ancredenotedefin"/>
          <w:rStyle w:val="Ancredenotedefin"/>
        </w:rPr>
        <w:endnoteReference w:id="184"/>
      </w:r>
      <w:r>
        <w:rPr/>
        <w:t>.</w:t>
      </w:r>
    </w:p>
    <w:p>
      <w:pPr>
        <w:pStyle w:val="Puce3"/>
        <w:tabs>
          <w:tab w:val="clear" w:pos="720"/>
        </w:tabs>
        <w:rPr/>
      </w:pPr>
      <w:r>
        <w:rPr/>
        <w:t>5.</w:t>
        <w:tab/>
        <w:t>Tistabbilixxi pjattaforma ta’ informazzjoni għall-iskambju ta’ għarfien u esperjenza fil-livell tal-Unjoni, billi taqsam informazzjoni dwar korsijiet transnazzjonali ta’ edukazzjoni u taħriġ fl-Unjoni, tippreżenta eżempji tal-aħjar prattiki u tipprovdi liċ-ċittadini bl-opportunità li jippreżentaw ideat ġodda għal skambji transkonfinali. Għandu jipprovdi materjal edukattiv dwar it-tibdil fil-klima, kwistjonijiet ambjentali u d-diġitalizzazzjoni u jipprovdi informazzjoni dwar fora speċjalizzati eżistenti dwar it-temi ewlenin</w:t>
      </w:r>
      <w:r>
        <w:rPr>
          <w:rStyle w:val="Ancredenotedefin"/>
          <w:rStyle w:val="Ancredenotedefin"/>
        </w:rPr>
        <w:endnoteReference w:id="185"/>
      </w:r>
      <w:r>
        <w:rPr/>
        <w:t>. — Dan jista’ jkun akkumpanjat minn programm ta’ finanzjament li jappoġġja l-użu u l-isfruttament tal-informazzjoni tal-pjattaforma.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Proposta: Mistoqsijiet dwar iż-żgħażagħ Ewropej</w:t>
      </w:r>
    </w:p>
    <w:p>
      <w:pPr>
        <w:pStyle w:val="P68B1DB1Normal15"/>
        <w:rPr>
          <w:b/>
          <w:b/>
        </w:rPr>
      </w:pPr>
      <w:r>
        <w:rPr/>
        <w:t>Għan: L-UE u l-Istati Membri tagħha għandhom jiffukaw fuq il-ħtiġijiet speċifiċi taż-żgħażagħ fil-politiki rilevanti kollha, inkluża l-politika reġjonali tal-UE, sabiex jipprovdulhom l-aħjar kundizzjonijiet possibbli biex jistudjaw u jaħdmu u jibdew ħajja indipendenti, filwaqt li jinvolvuhom fil-ħajja demokratika u fil-proċessi tat-teħid tad-deċiżjonijiet, inkluż fil-livell Ewropew. L-organizzazzjonijiet taż-żgħażagħ għandhom rwol ewlieni x’jaqdu. Biex jintlaħaq dan l-għan, qed nipproponu dan li ġej:</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p>
    <w:p>
      <w:pPr>
        <w:pStyle w:val="Puce3"/>
        <w:tabs>
          <w:tab w:val="clear" w:pos="720"/>
        </w:tabs>
        <w:rPr/>
      </w:pPr>
      <w:r>
        <w:rPr/>
        <w:t>1.</w:t>
        <w:tab/>
        <w:t>Tipprovdi liż-żgħażagħ b’aktar opportunitajiet għall-parteċipazzjoni u r-rappreżentanza fil-proċessi demokratiċi u tat-teħid tad-deċiżjonijiet fil-livelli kollha u tappoġġa l-programmi eżistenti f’dan il-qasam, inkluż billi torganizza panels taċ-ċittadini bit-tfal (eż. ta’ bejn l-10 u s-16-il sena) fl-iskejjel. Ir-rappreżentanti Ewropej jistgħu jiltaqgħu mat-tfal tal-iskola fl-iskejjel tagħhom sabiex isaħħu l-prossimità u l-fehim taċ-ċittadini dwar l-Ewropa minn età bikrija</w:t>
      </w:r>
      <w:r>
        <w:rPr>
          <w:rStyle w:val="Ancredenotedefin"/>
          <w:rStyle w:val="Ancredenotedefin"/>
        </w:rPr>
        <w:endnoteReference w:id="186"/>
      </w:r>
      <w:r>
        <w:rPr/>
        <w:t>. Sabiex id-deċiżjonijiet kollha ta’ politika tal-UE jiġu analizzati mil-lenti taż-żgħażagħ, għandu jiġi żviluppat “test taż-żgħażagħ” fil-livell Ewropew biex jiġi żgurat li kwalunkwe politika u proposta leġislattiva ġdida tkun soġġetta għal valutazzjoni tal-impatt iffukata fuq iż-żgħażagħ inkluża konsultazzjoni maż-żgħażagħ.</w:t>
      </w:r>
    </w:p>
    <w:p>
      <w:pPr>
        <w:pStyle w:val="Puce3"/>
        <w:tabs>
          <w:tab w:val="clear" w:pos="720"/>
        </w:tabs>
        <w:rPr/>
      </w:pPr>
      <w:r>
        <w:rPr/>
        <w:t>2.</w:t>
        <w:tab/>
        <w:t>L-għoti tad-dritt għall-vot mill-età ta’ 16-il sena fl-elezzjonijiet għall-Parlament Ewropew, flimkien mat-tisħiħ tal-edukazzjoni dwar iċ-ċittadinanza u dwar l-UE, għandhom jiġu diskussi u kkunsidrati. Il-partiti politiċi nazzjonali għandhom jiżguraw ukoll li kandidati iżgħar jitqiegħdu fil-listi tagħhom għall-elezzjonijiet tal-Parlament Ewropew</w:t>
      </w:r>
      <w:r>
        <w:rPr>
          <w:rStyle w:val="Ancredenotedefin"/>
          <w:rStyle w:val="Ancredenotedefin"/>
        </w:rPr>
        <w:endnoteReference w:id="187"/>
      </w:r>
      <w:r>
        <w:rPr/>
        <w:t>.</w:t>
      </w:r>
    </w:p>
    <w:p>
      <w:pPr>
        <w:pStyle w:val="Puce3"/>
        <w:tabs>
          <w:tab w:val="clear" w:pos="720"/>
        </w:tabs>
        <w:rPr/>
      </w:pPr>
      <w:r>
        <w:rPr/>
        <w:t>3.</w:t>
        <w:tab/>
        <w:t>Iħejju aħjar liż-żgħażagħ biex jidħlu fil-forza tax-xogħol, jagħtu lill-istudenti tal-iskola għolja (minn 12-il sena ‘l fuq) l-opportunità li jipparteċipaw fi żjarat ta’ osservazzjoni ta’ kwalità f’organizzazzjonijiet bi skop ta’ qligħ u mingħajr skop ta’ qligħ, f’kooperazzjoni mill-qrib bejn l-iskejjel, l-awtoritajiet lokali u l-organizzazzjonijiet u n-negozji rilevanti</w:t>
      </w:r>
      <w:r>
        <w:rPr>
          <w:rStyle w:val="Ancredenotedefin"/>
          <w:rStyle w:val="Ancredenotedefin"/>
        </w:rPr>
        <w:endnoteReference w:id="188"/>
      </w:r>
      <w:r>
        <w:rPr/>
        <w:t>. Dawn iż-żjarat għandhom jitqiesu bħala parti minn proċess usa’ ta’ gwida għall-karriera fl-edukazzjoni formali sabiex iż-żgħażagħ ikunu jistgħu jkollhom l-ewwel kuntatt mad-dinja tax-xogħol sabiex ikunu jistgħu jiggwidaw l-għażliet professjonali tagħhom u/jew jikkunsidraw li jsiru intraprenditur.</w:t>
      </w:r>
    </w:p>
    <w:p>
      <w:pPr>
        <w:pStyle w:val="Puce3"/>
        <w:tabs>
          <w:tab w:val="clear" w:pos="720"/>
        </w:tabs>
        <w:rPr/>
      </w:pPr>
      <w:r>
        <w:rPr/>
        <w:t>4.</w:t>
        <w:tab/>
        <w:t>Finanzjament akbar tal-UE taħt in-NextGenerationEU għandu jkun iddedikat ukoll għall-implimentazzjoni tal-Garanzija Ewropea għaż-Żgħażagħ imsaħħa, inkluż impenn akbar, aktar sensibilizzazzjoni, kwalità mtejba tal-provvista, finanzjament u azzjoni mill-Istati Membri kollha u livelli rilevanti ta’ awtoritajiet. Peress li l-organizzazzjonijiet taż-żgħażagħ jistgħu jidentifikaw aħjar il-ħtiġijiet taż-żgħażagħ, il-gvernijiet nazzjonali għandhom jaħdmu mal-organizzazzjonijiet taż-żgħażagħ permezz ta’ djalogu mill-qrib biex jiżguraw l-implimentazzjoni l-aktar effettiva tal-Garanzija għaż-Żgħażagħ.</w:t>
      </w:r>
    </w:p>
    <w:p>
      <w:pPr>
        <w:pStyle w:val="Puce3"/>
        <w:tabs>
          <w:tab w:val="clear" w:pos="720"/>
        </w:tabs>
        <w:rPr/>
      </w:pPr>
      <w:r>
        <w:rPr/>
        <w:t>5.</w:t>
        <w:tab/>
        <w:t>Jiżguraw li t-traineeships u l-impjiegi taż-żgħażagħ jikkonformaw mal-istandards ta’ kwalità, b’mod partikolari fir-rigward tar-remunerazzjoni, billi jtemmu l-pagi minimi għaż-żgħażagħ u kwalunkwe dispożizzjoni diskriminatorja oħra tal-liġi tax-xogħol speċifika għaż-żgħażagħ, u billi jipprojbixxu, permezz ta’ strument legali, traineeships mhux imħallsa fis-suq tax-xogħol u barra mill-edukazzjoni formali</w:t>
      </w:r>
      <w:r>
        <w:rPr>
          <w:rStyle w:val="Ancredenotedefin"/>
          <w:rStyle w:val="Ancredenotedefin"/>
        </w:rPr>
        <w:endnoteReference w:id="189"/>
      </w:r>
      <w:r>
        <w:rPr/>
        <w:t>.</w:t>
      </w:r>
    </w:p>
    <w:p>
      <w:pPr>
        <w:pStyle w:val="Puce3"/>
        <w:tabs>
          <w:tab w:val="clear" w:pos="720"/>
        </w:tabs>
        <w:rPr/>
      </w:pPr>
      <w:r>
        <w:rPr/>
        <w:t>6.</w:t>
        <w:tab/>
        <w:t>Jiġi żgurat livell ta’ għajxien raġonevoli għaż-żgħażagħ, inkluż l-aċċess għall-protezzjoni soċjali u l-akkomodazzjoni. Iż-żgħażagħ għandu jkollhom aċċess għal livell ta’ protezzjoni soċjali ekwivalenti għal dak ta’ gruppi ta’ età oħra. L-aċċess għal akkomodazzjoni affordabbli għaż-żgħażagħ għandu jiġi ffaċilitat ukoll, inkluż permezz ta’ finanzjament tal-UE</w:t>
      </w:r>
      <w:r>
        <w:rPr>
          <w:rStyle w:val="Ancredenotedefin"/>
          <w:rStyle w:val="Ancredenotedefin"/>
        </w:rPr>
        <w:endnoteReference w:id="190"/>
      </w:r>
      <w:r>
        <w:rPr/>
        <w:t>.</w:t>
      </w:r>
    </w:p>
    <w:p>
      <w:pPr>
        <w:pStyle w:val="Puce3"/>
        <w:tabs>
          <w:tab w:val="clear" w:pos="720"/>
        </w:tabs>
        <w:rPr/>
      </w:pPr>
      <w:r>
        <w:rPr/>
        <w:t>7.</w:t>
        <w:tab/>
        <w:t>Huma meħtieġa miżuri speċifiċi biex jiġi evitat l-eżodu ta’ mħuħ minn ċerti reġjuni u pajjiżi fl-Unjoni minħabba opportunitajiet insuffiċjenti għaż-żgħażagħ, filwaqt li l-Ewropa ssir aktar attraenti biex tipprevjeni l-ħruġ ta’ talent Ewropew u tax-xogħol lejn pajjiżi terzi sabiex jiġi evitat li tiddgħajjef il-koeżjoni territorjali, b’mod partikolari fir-rigward ta’ reġjuni li jsofru telf konsiderevoli ta’ talent żagħżugħ, inkluż permezz ta’ finanzjament tal-UE</w:t>
      </w:r>
      <w:r>
        <w:rPr>
          <w:rStyle w:val="Ancredenotedefin"/>
          <w:rStyle w:val="Ancredenotedefin"/>
        </w:rPr>
        <w:endnoteReference w:id="191"/>
      </w:r>
      <w:r>
        <w:rPr/>
        <w:t>.</w:t>
      </w:r>
    </w:p>
    <w:p>
      <w:pPr>
        <w:pStyle w:val="Puce3"/>
        <w:tabs>
          <w:tab w:val="clear" w:pos="720"/>
        </w:tabs>
        <w:rPr/>
      </w:pPr>
      <w:r>
        <w:rPr/>
        <w:t>8.</w:t>
        <w:tab/>
        <w:t>F’każ ta’ kriżi serja (eż. kriżi tas-saħħa, gwerra), pjanijiet imfassla tajjeb b’xenarji dettaljati għandhom ikunu lesti biex jiġu skjerati b’mod flessibbli sabiex jiġi minimizzat l-impatt fuq l-edukazzjoni, it-taħriġ vokazzjonali, it-tranżizzjoni għas-suq tax-xogħol u l-benesseri mentali taż-żgħażagħ</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Proposta: Kultura u skambji</w:t>
      </w:r>
    </w:p>
    <w:p>
      <w:pPr>
        <w:pStyle w:val="P68B1DB1Normal15"/>
        <w:rPr>
          <w:b/>
          <w:b/>
        </w:rPr>
      </w:pPr>
      <w:r>
        <w:rPr/>
        <w:t>Għan: Sabiex titrawwem kultura ta’ skambju u biex jiġu promossi l-identità u d-diversità Ewropea f’oqsma differenti, l-Istati Membri għandhom, bl-għajnuna tal-Unjoni Ewropea: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r>
        <w:rPr>
          <w:rStyle w:val="Ancredenotedefin"/>
          <w:rStyle w:val="Ancredenotedefin"/>
          <w:b/>
        </w:rPr>
        <w:endnoteReference w:id="193"/>
      </w:r>
      <w:r>
        <w:rPr/>
        <w:t>:</w:t>
      </w:r>
    </w:p>
    <w:p>
      <w:pPr>
        <w:pStyle w:val="Puce3"/>
        <w:tabs>
          <w:tab w:val="clear" w:pos="720"/>
        </w:tabs>
        <w:rPr/>
      </w:pPr>
      <w:r>
        <w:rPr/>
        <w:t>1.</w:t>
        <w:tab/>
        <w:t>Jippromwovu l-iskambji Ewropej f’oqsma differenti, kemm fiżikament kif ukoll diġitali, inklużi l-iskambji edukattivi, il-ġemellaġġ, l-ivvjaġġar u l-mobbiltà professjonali (speċjalment għall-għalliema u l-uffiċjali eletti lokali). Dawn l-iskambji jenħtieġ li jsiru aċċessibbli għal kulħadd fl-Istati Membri kollha, irrispettivament mill-età, il-livell ta’ edukazzjoni, l-oriġini u l-mezzi finanzjarji</w:t>
      </w:r>
      <w:r>
        <w:rPr>
          <w:rStyle w:val="Ancredenotedefin"/>
          <w:rStyle w:val="Ancredenotedefin"/>
        </w:rPr>
        <w:endnoteReference w:id="194"/>
      </w:r>
      <w:r>
        <w:rPr/>
        <w:t>. Għal dan il-għan, jenħtieġ li l-Unjoni b’mod partikolari ssaħħaħ il-programmi eżistenti ta’ skambju u mobbiltà fil-livell tal-Unjoni, bħall-Korp Ewropew ta’ Solidarjetà, Erasmus+ u DiscoverEU, tiżgura parteċipazzjoni usa’ u diversifikata f’dawk il-programmi, u tikkunsidra li żżid elementi ġodda, bħal objettiv addizzjonali ta’ servizz ċiviku mħeġġeġ mill-volontarjat (għall-Korp Ewropew ta’ Solidarjetà) u “titoli ta’ aċċess kulturali” (għal DiscoverEU). L-awtoritajiet lokali u reġjonali, taħt il-patroċinju tal-Kumitat tar-Reġjuni, għandhom jaqdu rwol ewlieni f’dan il-qasam.</w:t>
      </w:r>
    </w:p>
    <w:p>
      <w:pPr>
        <w:pStyle w:val="Puce3"/>
        <w:tabs>
          <w:tab w:val="clear" w:pos="720"/>
        </w:tabs>
        <w:rPr/>
      </w:pPr>
      <w:r>
        <w:rPr/>
        <w:t>2.</w:t>
        <w:tab/>
        <w:t>Il-promozzjoni tal-multilingwiżmu bħala portal għal kulturi oħra minn età bikrija. Il-lingwi reġjonali u minoritarji jeħtieġu protezzjoni addizzjonali, b’kont meħud tal-Konvenzjoni tal-Kunsill tal-Ewropa dwar il-Lingwi Minoritarji u l-Konvenzjoni Qafas għall-Protezzjoni tal-Minoranzi Nazzjonali. L-UE għandha tikkunsidra li twaqqaf istituzzjoni biex tippromwovi d-diversità lingwistika fil-livell Ewropew. It-tfal għandhom jintalbu mill-iskola primarja jiksbu ħiliet f’lingwa attiva tal-UE li ma tkunx dik tagħhom fl-ogħla livell possibbli. Sabiex tiġi ffaċilitata l-kapaċità taċ-ċittadini Ewropej li jikkomunikaw ma’ gruppi usa’ ta’ Ewropej oħra u bħala fattur ta’ koeżjoni Ewropea, it-tagħlim tal-lingwa tal-Istati Membri tal-UE li jmissu direttament mar-reġjuni tal-fruntiera u l-akkwist ta’ livell iċċertifikat ta’ Ingliż għandhom jiġu mħeġġa mill-Istati Membri</w:t>
      </w:r>
      <w:r>
        <w:rPr>
          <w:rStyle w:val="Ancredenotedefin"/>
          <w:rStyle w:val="Ancredenotedefin"/>
        </w:rPr>
        <w:endnoteReference w:id="195"/>
      </w:r>
      <w:r>
        <w:rPr/>
        <w:t>.</w:t>
      </w:r>
    </w:p>
    <w:p>
      <w:pPr>
        <w:pStyle w:val="Puce3"/>
        <w:tabs>
          <w:tab w:val="clear" w:pos="720"/>
        </w:tabs>
        <w:rPr/>
      </w:pPr>
      <w:r>
        <w:rPr/>
        <w:t>3.</w:t>
        <w:tab/>
        <w:t>Il-ħolqien ta’ opportunitajiet għall-kondiviżjoni tal-kulturi Ewropej, it-tqarrib tal-popli lejn xulxin u l-promozzjoni ta’ identità Ewropea komuni, pereżempju permezz ta’ avvenimenti u laqgħat li jinvolvu l-gruppi fil-mira kollha u li jseħħu f’postijiet differenti. Eżempji jinkludu l-organizzazzjoni tal-Jiem tal-Arti Dinjija</w:t>
      </w:r>
      <w:r>
        <w:rPr>
          <w:rStyle w:val="Ancredenotedefin"/>
          <w:rStyle w:val="Ancredenotedefin"/>
        </w:rPr>
        <w:endnoteReference w:id="196"/>
      </w:r>
      <w:r>
        <w:rPr/>
        <w:t>, wirja Ewropea b’avvenimenti pedagoġiċi jew it-trasformazzjoni ta’ Jum l-Ewropa (9 ta’ Mejju) f’jum uffiċjali Ewropew tal-vaganzi għaċ-ċittadini kollha tal-UE</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Li jiġu protetti l-wirt kulturali Ewropew u l-kultura Ewropea</w:t>
      </w:r>
      <w:r>
        <w:rPr>
          <w:rStyle w:val="Ancredenotedefin"/>
          <w:rStyle w:val="Ancredenotedefin"/>
        </w:rPr>
        <w:endnoteReference w:id="198"/>
      </w:r>
      <w:r>
        <w:rPr/>
        <w:t>, b’mod partikolari billi jiġu rikonoxxuti l-ispeċifiċitajiet lokali u reġjonali fi kwistjonijiet kulturali u ta’ produzzjoni</w:t>
      </w:r>
      <w:r>
        <w:rPr>
          <w:rStyle w:val="Ancredenotedefin"/>
          <w:rStyle w:val="Ancredenotedefin"/>
        </w:rPr>
        <w:endnoteReference w:id="199"/>
      </w:r>
      <w:r>
        <w:rPr/>
        <w:t>, permezz ta’ inizjattivi ġodda biex jiġi ppreservat u ċċelebrat, permezz tal-mobbiltà biex jitħeġġeġ l-iskambju tal-wirt kulturali, u billi jiġu promossi miżuri eżistenti bħall-Ewropa Kreattiva, il-Bauhaus Ewropea l-Ġdida, il-programmi ta’ Ġemellaġġ tal-bliet u l-Kapitali Ewropej tal-Kultura, f’konformità mal-Għanijiet ta’ Żvilupp Sostenibbli.</w:t>
      </w:r>
    </w:p>
    <w:p>
      <w:pPr>
        <w:pStyle w:val="Puce3"/>
        <w:tabs>
          <w:tab w:val="clear" w:pos="720"/>
        </w:tabs>
        <w:rPr/>
      </w:pPr>
      <w:r>
        <w:rPr/>
        <w:t>5.</w:t>
        <w:tab/>
        <w:t>Tieħu miżuri biex tiżgura li l-professjonisti kulturali jkunu protetti biżżejjed fil-livell tal-UE, speċjalment fi kwalunkwe kriżi futura, permezz tal-adozzjoni ta’ statut legali fil-livell Ewropew.</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Proposta: L-isport</w:t>
      </w:r>
    </w:p>
    <w:p>
      <w:pPr>
        <w:pStyle w:val="P68B1DB1Normal15"/>
        <w:rPr>
          <w:b/>
          <w:b/>
        </w:rPr>
      </w:pPr>
      <w:r>
        <w:rPr/>
        <w:t>Għan: L-isport huwa essenzjali għas-soċjetajiet tagħna — sabiex niddefendu l-valuri tagħna, ikollna stil ta’ ħajja u età tajbin għas-saħħa, nippromwovu kultura ta’ skambju u niċċelebraw id-diversità tal-wirt Ewropew. Għal din ir-raġuni, l-Istati Membri għandhom jimmiraw, bl-għajnuna tal-Unjoni Ewropea, li: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Miżuri:</w:t>
      </w:r>
    </w:p>
    <w:p>
      <w:pPr>
        <w:pStyle w:val="Puce3"/>
        <w:tabs>
          <w:tab w:val="clear" w:pos="720"/>
        </w:tabs>
        <w:rPr/>
      </w:pPr>
      <w:r>
        <w:rPr/>
        <w:t>1.</w:t>
        <w:tab/>
        <w:t>Jenfasizzaw il-valuri, b’mod partikolari l-ugwaljanza bejn is-sessi, l-ekwità u l-inklużjoni, li jistgħu jiġu riflessi b’mod konkret fil-prattika tal-isport matul il-vjaġġ edukattiv.</w:t>
      </w:r>
    </w:p>
    <w:p>
      <w:pPr>
        <w:pStyle w:val="Puce3"/>
        <w:tabs>
          <w:tab w:val="clear" w:pos="720"/>
        </w:tabs>
        <w:rPr/>
      </w:pPr>
      <w:r>
        <w:rPr/>
        <w:t>2.</w:t>
        <w:tab/>
        <w:t>Titqajjem kuxjenza dwar il-benefiċċji għas-saħħa tal-isport u l-attività fiżika</w:t>
      </w:r>
      <w:r>
        <w:rPr>
          <w:rStyle w:val="Ancredenotedefin"/>
          <w:rStyle w:val="Ancredenotedefin"/>
        </w:rPr>
        <w:endnoteReference w:id="200"/>
      </w:r>
      <w:r>
        <w:rPr/>
        <w:t>.</w:t>
      </w:r>
    </w:p>
    <w:p>
      <w:pPr>
        <w:pStyle w:val="Puce3"/>
        <w:tabs>
          <w:tab w:val="clear" w:pos="720"/>
        </w:tabs>
        <w:rPr/>
      </w:pPr>
      <w:r>
        <w:rPr/>
        <w:t>3.</w:t>
        <w:tab/>
        <w:t>L-integrazzjoni tal-attivitajiet sportivi fi programmi ta’ skambju u mobilità fil-livell tal-UE</w:t>
      </w:r>
      <w:r>
        <w:rPr>
          <w:rStyle w:val="Ancredenotedefin"/>
          <w:rStyle w:val="Ancredenotedefin"/>
        </w:rPr>
        <w:endnoteReference w:id="201"/>
      </w:r>
      <w:r>
        <w:rPr/>
        <w:t>200.</w:t>
      </w:r>
    </w:p>
    <w:p>
      <w:pPr>
        <w:pStyle w:val="Puce3"/>
        <w:tabs>
          <w:tab w:val="clear" w:pos="720"/>
        </w:tabs>
        <w:rPr/>
      </w:pPr>
      <w:r>
        <w:rPr/>
        <w:t>4.</w:t>
        <w:tab/>
        <w:t>Ittejjeb l-attenzjoni li tingħata mhux biss lill-isport professjonali u kummerċjali, iżda wkoll lill-isport lokali u tradizzjonali, li huma xhieda tad-diversità kulturali Ewropea, sabiex jiġi promoss il-wirt kulturali, u biex jiġu appoġġjati ċ-ċampjins sportivi f’ambjent mhux professjonali.</w:t>
      </w:r>
    </w:p>
    <w:p>
      <w:pPr>
        <w:pStyle w:val="Normal"/>
        <w:rPr/>
      </w:pPr>
      <w:r>
        <w:rPr/>
      </w:r>
    </w:p>
    <w:p>
      <w:pPr>
        <w:pStyle w:val="Puce3"/>
        <w:tabs>
          <w:tab w:val="clear" w:pos="720"/>
        </w:tabs>
        <w:rPr/>
      </w:pPr>
      <w:r>
        <w:rPr/>
        <w:t>5.</w:t>
        <w:tab/>
        <w:t>Fl-istess ħin, titħeġġeġ il-promozzjoni tal-identità Ewropea billi jiġu organizzati aktar avvenimenti sportivi inter-Ewropej</w:t>
      </w:r>
      <w:r>
        <w:rPr/>
        <w:commentReference w:id="0"/>
      </w:r>
      <w:r>
        <w:rPr/>
        <w:t>, jitwaqqfu timijiet sportivi tal-UE jew jintwerew bnadar jew simboli Ewropej f’avvenimenti sportivi Ewropej.</w:t>
      </w:r>
    </w:p>
    <w:p>
      <w:pPr>
        <w:pStyle w:val="Puce3"/>
        <w:tabs>
          <w:tab w:val="clear" w:pos="720"/>
        </w:tabs>
        <w:rPr/>
      </w:pPr>
      <w:r>
        <w:rPr/>
        <w:t>6.</w:t>
        <w:tab/>
        <w:t>Jinvestu aktar fil-komunikazzjoni, bħall-Ġimgħa Ewropea tal-Isport, sabiex iċ-ċittadini madwar l-UE jkunu jistgħu jibbenefikaw minn opportunitajiet tal-ogħla livell flimkien.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Kunsiderazzjonijiet Finali tal-Bord Eżekuttiv</w:t>
      </w:r>
    </w:p>
    <w:p>
      <w:pPr>
        <w:pStyle w:val="Normal"/>
        <w:rPr/>
      </w:pPr>
      <w:r>
        <w:rPr/>
      </w:r>
      <w:r>
        <w:br w:type="page"/>
      </w:r>
    </w:p>
    <w:p>
      <w:pPr>
        <w:pStyle w:val="Corpsdetexte"/>
        <w:rPr/>
      </w:pPr>
      <w:r>
        <w:rPr/>
        <w:t>L-objettiv primarju tal-Konferenza dwar il-Futur tal-Ewropa kien li jiġi żgurat li l-Unjoni Ewropea tkun lesta li tiffaċċja l-isfidi attwali u futuri billi tagħti liċ-ċittadini l-opportunità li jesprimu t-tħassib u l-aspirazzjonijiet tagħhom u, f’kollaborazzjoni mar-rappreżentanti tat-tliet istituzzjonijiet, il-parlamenti nazzjonali u partijiet ikkonċernati oħra, biex tipprovdi gwida għall-futur. Biex jintlaħaq dan l-għan, il-konferenza kellha tkun eżerċizzju ċċentrat fuq iċ-ċittadini bbażat fuq approċċ minn isfel għal fuq, li kapaċi joħloq spazju ġdid biex jiġu diskussi l-prijoritajiet tal-Ewropa u biex titfassal ħarsa ġenerali ta’ dak li ċ-ċittadini jistennew mill-Unjoni Ewropea.</w:t>
      </w:r>
    </w:p>
    <w:p>
      <w:pPr>
        <w:pStyle w:val="Corpsdetexte"/>
        <w:rPr/>
      </w:pPr>
      <w:r>
        <w:rPr/>
        <w:t>Il-konferenza kienet tabilħaqq kapaċi li jkollha dak ir-rwol. Iċ-ċittadini Ewropej minn kull qasam tal-ħajja u minn kull rokna tal-Unjoni pparteċipaw fil-konferenza u għamlu rakkomandazzjonijiet mill-Panels taċ-Ċittadini u proposti għall-futur tal-Ewropa, f’kollaborazzjoni mal-plenarja sussegwenti inklużi membri mill-Parlament Ewropew, il-Kunsill u l-Kummissjoni Ewropea, kif ukoll rappreżentanti tal-parlamenti nazzjonali kollha, il-Kumitat tar-Reġjuni, rappreżentanti eletti reġjonali u lokali, il-Kumitat Ekonomiku u Soċjali Ewropew, l-imsieħba soċjali u s-soċjetà ċivili, u atturi ewlenin oħra. L-għodod u l-metodoloġija żviluppati għal dan il-proċess jikkostitwixxu sett uniku ta’ riżorsi li jistgħu jservu bħala bażi għal eżerċizzji futuri dwar il-parteċipazzjoni taċ-ċittadini u d-demokrazija deliberattiva fil-livell tal-UE.</w:t>
      </w:r>
    </w:p>
    <w:p>
      <w:pPr>
        <w:pStyle w:val="Corpsdetexte"/>
        <w:rPr/>
      </w:pPr>
      <w:r>
        <w:rPr/>
        <w:t>Bis-saħħa ta’ għadd kbir ta’ avvenimenti u dibattiti madwar l-UE, il-pjattaforma diġitali multilingwi interattiva, il-panels taċ-ċittadini Ewropej u nazzjonali, u l-Plenarja tal-Konferenza, il-Konferenza issa ppreżentat rapport finali, li jinkludi ħarsa ġenerali lejn il-ħidma mwettqa b’mod sostnut din is-sena, kif ukoll il-proposti li saru mill-Assemblea Plenarja għall-futur tal-Ewropa. Huwa ċar ħafna minn dawn il-proposti li l-UE trid taġixxi biex tirnexxi fit-tranżizzjonijiet ekoloġiċi u diġitali, issaħħaħ ir-reżiljenza tal-Ewropa u l-kuntratt soċjali tagħha, filwaqt li tindirizza l-inugwaljanzi u tiżgura li l-Unjoni Ewropea tkun ekonomija ġusta, sostenibbli, innovattiva u kompetittiva li ma tħalli lil ħadd lura.</w:t>
      </w:r>
    </w:p>
    <w:p>
      <w:pPr>
        <w:pStyle w:val="Corpsdetexte"/>
        <w:rPr/>
      </w:pPr>
      <w:r>
        <w:rPr/>
        <w:t>L-evoluzzjoni tas-sitwazzjoni ġeopolitika matul il-konferenza, u b’mod partikolari l-gwerra Russa ta’ aggressjoni kontra l-Ukrajna, uriet ukoll li l-UE trid issir aktar assertiva, u jkollha rwol ewlieni fix-xena dinjija fil-promozzjoni tal-valuri u n-normi tagħha f’dinja dejjem aktar imxekkla.</w:t>
      </w:r>
    </w:p>
    <w:p>
      <w:pPr>
        <w:pStyle w:val="Corpsdetexte"/>
        <w:rPr/>
      </w:pPr>
      <w:r>
        <w:rPr/>
        <w:t>Il-konferenza pprovdiet gwida ċara f’dawn l-oqsma u t-tliet istituzzjonijiet tal-UE issa jridu jikkunsidraw kif jindirizzaw it-tħassib, l-aspirazzjonijiet u l-ideat espressi. Il-pass li jmiss f’dan il-proċess huwa li jiġu żviluppati azzjonijiet konkreti tal-UE bbażati fuq l-eżitu tal-konferenza, kif stabbilit f’dan ir-rapport finali. L-istituzzjonijiet tal-UE għalhekk issa ser jeżaminaw dan ir-rapport u s-segwitu tiegħu, kull wieħed fi ħdan il-kompetenzi tiegħu u f’konformità mat-Trattati. Fil-ħarifa tal-2022 se jsir avveniment ta’ segwitu biex iċ-ċittadini jiġu infurmati dwar kif l-istituzzjonijiet se jwettqu l-impenn tagħhom biex jiżguraw li jinstemgħu u jżommu f’idejhom il-futur tal-Ewropa.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0" descr=""/>
                    <pic:cNvPicPr>
                      <a:picLocks noChangeAspect="1" noChangeArrowheads="1"/>
                    </pic:cNvPicPr>
                  </pic:nvPicPr>
                  <pic:blipFill>
                    <a:blip r:embed="rId84"/>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Anness I — Rakkomandazzjonijiet tal-erba’ Panels taċ-Ċittadini Ewropej</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1" descr=""/>
                    <pic:cNvPicPr>
                      <a:picLocks noChangeAspect="1" noChangeArrowheads="1"/>
                    </pic:cNvPicPr>
                  </pic:nvPicPr>
                  <pic:blipFill>
                    <a:blip r:embed="rId85"/>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Qafas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Konferenza dwar </w:t>
                            </w:r>
                          </w:p>
                          <w:p>
                            <w:pPr>
                              <w:pStyle w:val="P68B1DB1Normal16"/>
                              <w:rPr>
                                <w:color w:val="FFFFFF"/>
                                <w:sz w:val="72"/>
                              </w:rPr>
                            </w:pPr>
                            <w:r>
                              <w:rPr/>
                              <w:t xml:space="preserve">il-Futur tal-Ewropa </w:t>
                            </w:r>
                          </w:p>
                          <w:p>
                            <w:pPr>
                              <w:pStyle w:val="P68B1DB1Normal17"/>
                              <w:rPr>
                                <w:color w:val="FFFFFF"/>
                              </w:rPr>
                            </w:pPr>
                            <w:r>
                              <w:rPr/>
                              <w:t xml:space="preserve"> </w:t>
                            </w:r>
                            <w:r>
                              <w:rPr>
                                <w:sz w:val="32"/>
                              </w:rPr>
                              <w:t xml:space="preserve">Panel taċ-Ċittadini Ewropej 1: Ekonomija Aktar b’Saħħitha, Ġustizzja Soċjali u Impjiegi/Edukazzjoni, Kultura, Żgħażagħ u Sport/Trasformazzjoni Diġitali </w:t>
                            </w:r>
                          </w:p>
                          <w:p>
                            <w:pPr>
                              <w:pStyle w:val="P68B1DB1Normal17"/>
                              <w:rPr>
                                <w:color w:val="FFFFFF"/>
                              </w:rPr>
                            </w:pPr>
                            <w:r>
                              <w:rPr/>
                              <w:t xml:space="preserve"> </w:t>
                            </w:r>
                          </w:p>
                          <w:p>
                            <w:pPr>
                              <w:pStyle w:val="P68B1DB1Normal17"/>
                              <w:rPr>
                                <w:color w:val="FFFFFF"/>
                              </w:rPr>
                            </w:pPr>
                            <w:r>
                              <w:rPr/>
                              <w:t>Rakkomandazzjonijiet</w:t>
                            </w:r>
                          </w:p>
                          <w:p>
                            <w:pPr>
                              <w:pStyle w:val="P68B1DB1Normal17"/>
                              <w:rPr>
                                <w:color w:val="FFFFFF"/>
                              </w:rPr>
                            </w:pPr>
                            <w:r>
                              <w:rPr/>
                              <w:t xml:space="preserve"> </w:t>
                            </w:r>
                            <w:r>
                              <w:rPr/>
                              <w:t>Ritratti © Unjoni Ewropea,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Qafas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Konferenza dwar </w:t>
                      </w:r>
                    </w:p>
                    <w:p>
                      <w:pPr>
                        <w:pStyle w:val="P68B1DB1Normal16"/>
                        <w:rPr>
                          <w:color w:val="FFFFFF"/>
                          <w:sz w:val="72"/>
                        </w:rPr>
                      </w:pPr>
                      <w:r>
                        <w:rPr/>
                        <w:t xml:space="preserve">il-Futur tal-Ewropa </w:t>
                      </w:r>
                    </w:p>
                    <w:p>
                      <w:pPr>
                        <w:pStyle w:val="P68B1DB1Normal17"/>
                        <w:rPr>
                          <w:color w:val="FFFFFF"/>
                        </w:rPr>
                      </w:pPr>
                      <w:r>
                        <w:rPr/>
                        <w:t xml:space="preserve"> </w:t>
                      </w:r>
                      <w:r>
                        <w:rPr>
                          <w:sz w:val="32"/>
                        </w:rPr>
                        <w:t xml:space="preserve">Panel taċ-Ċittadini Ewropej 1: Ekonomija Aktar b’Saħħitha, Ġustizzja Soċjali u Impjiegi/Edukazzjoni, Kultura, Żgħażagħ u Sport/Trasformazzjoni Diġitali </w:t>
                      </w:r>
                    </w:p>
                    <w:p>
                      <w:pPr>
                        <w:pStyle w:val="P68B1DB1Normal17"/>
                        <w:rPr>
                          <w:color w:val="FFFFFF"/>
                        </w:rPr>
                      </w:pPr>
                      <w:r>
                        <w:rPr/>
                        <w:t xml:space="preserve"> </w:t>
                      </w:r>
                    </w:p>
                    <w:p>
                      <w:pPr>
                        <w:pStyle w:val="P68B1DB1Normal17"/>
                        <w:rPr>
                          <w:color w:val="FFFFFF"/>
                        </w:rPr>
                      </w:pPr>
                      <w:r>
                        <w:rPr/>
                        <w:t>Rakkomandazzjonijiet</w:t>
                      </w:r>
                    </w:p>
                    <w:p>
                      <w:pPr>
                        <w:pStyle w:val="P68B1DB1Normal17"/>
                        <w:rPr>
                          <w:color w:val="FFFFFF"/>
                        </w:rPr>
                      </w:pPr>
                      <w:r>
                        <w:rPr/>
                        <w:t xml:space="preserve"> </w:t>
                      </w:r>
                      <w:r>
                        <w:rPr/>
                        <w:t>Ritratti © Unjoni Ewropea,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Panel taċ-Ċittadini Ewropej 1: Ekonomija Aktar b’Saħħitha, Ġustizzja Soċjali u Impjiegi/Edukazzjoni, Kultura, Żgħażagħ u Sport/Trasformazzjoni Diġitali </w:t>
      </w:r>
    </w:p>
    <w:p>
      <w:pPr>
        <w:pStyle w:val="P68B1DB1Normal18"/>
        <w:widowControl w:val="false"/>
        <w:spacing w:lineRule="exact" w:line="468"/>
        <w:ind w:left="425" w:right="0" w:hanging="0"/>
        <w:jc w:val="left"/>
        <w:rPr/>
      </w:pPr>
      <w:r>
        <w:rPr>
          <w:b/>
          <w:color w:val="1C4587"/>
        </w:rPr>
        <w:t>RAKKOMANDAZZJONIJIET ADOTTATI MILL-PANEL (LI GĦANDHOM JIĠU PPREŻENTATI LILL-PLENARJA)</w:t>
      </w:r>
      <w:r>
        <w:rPr>
          <w:color w:val="000000"/>
        </w:rPr>
        <w:t xml:space="preserve"> </w:t>
      </w:r>
    </w:p>
    <w:p>
      <w:pPr>
        <w:pStyle w:val="Titre3"/>
        <w:numPr>
          <w:ilvl w:val="2"/>
          <w:numId w:val="2"/>
        </w:numPr>
        <w:rPr/>
      </w:pPr>
      <w:bookmarkStart w:id="106" w:name="__RefHeading___Toc297145_1346298689"/>
      <w:bookmarkEnd w:id="106"/>
      <w:r>
        <w:rPr/>
        <w:t xml:space="preserve">Assi 1: Xogħol fl-Ewropa </w:t>
      </w:r>
    </w:p>
    <w:p>
      <w:pPr>
        <w:pStyle w:val="Titre4"/>
        <w:numPr>
          <w:ilvl w:val="3"/>
          <w:numId w:val="2"/>
        </w:numPr>
        <w:rPr/>
      </w:pPr>
      <w:bookmarkStart w:id="107" w:name="__RefHeading___Toc297147_1346298689"/>
      <w:bookmarkEnd w:id="107"/>
      <w:r>
        <w:rPr/>
        <w:t xml:space="preserve">Sottoassi 1.1 Is-suq tax-xogħol </w:t>
      </w:r>
    </w:p>
    <w:p>
      <w:pPr>
        <w:pStyle w:val="P68B1DB1Normal15"/>
        <w:rPr>
          <w:b/>
          <w:b/>
        </w:rPr>
      </w:pPr>
      <w:r>
        <w:rPr/>
        <w:t xml:space="preserve">1. Nirrakkomandaw l-introduzzjoni ta’ paga minima biex tiġi żgurata kwalità ta’ ħajja simili fl-Istati Membri kollha. Aħna konxji mill-isforzi li għaddejjin bħalissa skont id-Direttiva tal-UE COM(2020) 682 biex jiġi armonizzat l-istil ta’ ħajja. Il-paga minima għandha tiggarantixxi introjtu nett minimu sabiex jintlaħaq objettiv essenzjali: dawk kollha fil-bżonn għandu jkollhom dħul ogħla. Il-paga minima għandha tqis l-aspetti li ġejjin: </w:t>
      </w:r>
    </w:p>
    <w:p>
      <w:pPr>
        <w:pStyle w:val="P68B1DB1Normal15"/>
        <w:rPr>
          <w:b/>
          <w:b/>
        </w:rPr>
      </w:pPr>
      <w:r>
        <w:rPr/>
        <w:t xml:space="preserve">● </w:t>
      </w:r>
      <w:r>
        <w:rPr/>
        <w:t xml:space="preserve">l-UE għandha tiżgura l-implimentazzjoni effettiva tagħha peress li, bħalissa, mhux l-Istati Membri kollha japplikaw b’mod korrett il-protezzjoni tal-ħaddiema; </w:t>
      </w:r>
    </w:p>
    <w:p>
      <w:pPr>
        <w:pStyle w:val="P68B1DB1Normal15"/>
        <w:rPr>
          <w:b/>
          <w:b/>
        </w:rPr>
      </w:pPr>
      <w:r>
        <w:rPr/>
        <w:t xml:space="preserve">● </w:t>
      </w:r>
      <w:r>
        <w:rPr/>
        <w:t xml:space="preserve">għandha tingħata attenzjoni partikolari għall-monitoraġġ tat-titjib tal-istandards tal-għajxien; </w:t>
      </w:r>
    </w:p>
    <w:p>
      <w:pPr>
        <w:pStyle w:val="Normal"/>
        <w:rPr/>
      </w:pPr>
      <w:r>
        <w:rPr>
          <w:b/>
        </w:rPr>
        <w:t xml:space="preserve">● </w:t>
      </w:r>
      <w:r>
        <w:rPr>
          <w:b/>
        </w:rPr>
        <w:t>il-paga minima għandha tqis il-kapaċità tal-akkwist f’pajjiżi differenti. Hija meħtieġa proċedura ta’ reviżjoni perjodika biex tiġi adattata għall-bidliet fl-għoli tal-ħajja (eż. biex titqies l-inflazzjoni).</w:t>
      </w:r>
      <w:r>
        <w:rPr/>
        <w:t xml:space="preserve"> </w:t>
      </w:r>
    </w:p>
    <w:p>
      <w:pPr>
        <w:pStyle w:val="Normal"/>
        <w:rPr/>
      </w:pPr>
      <w:r>
        <w:rPr/>
        <w:t xml:space="preserve"> </w:t>
      </w:r>
    </w:p>
    <w:p>
      <w:pPr>
        <w:pStyle w:val="Normal"/>
        <w:rPr/>
      </w:pPr>
      <w:r>
        <w:rPr/>
        <w:t xml:space="preserve">Nagħmlu din ir-rakkomandazzjoni għaliex paga minima ssaħħaħ il-ġustizzja soċjali fis-suq tax-xogħol u ttejjeb il-kundizzjonijiet tal-għajxien konkreti tal-ħaddiema fl-Istati Membri kollha, li hija partikolarment importanti fil-kuntest ta’ ambjent tax-xogħol li qed jinbidel malajr, pereżempju minħabba d-diġitalizzazzjoni. </w:t>
      </w:r>
    </w:p>
    <w:p>
      <w:pPr>
        <w:pStyle w:val="Normal"/>
        <w:rPr/>
      </w:pPr>
      <w:r>
        <w:rPr/>
        <w:t xml:space="preserve"> </w:t>
      </w:r>
    </w:p>
    <w:p>
      <w:pPr>
        <w:pStyle w:val="P68B1DB1Normal15"/>
        <w:rPr>
          <w:b/>
          <w:b/>
        </w:rPr>
      </w:pPr>
      <w:r>
        <w:rPr/>
        <w:t xml:space="preserve">2. Diġà hemm att leġiżlattiv tal-UE (id-Direttiva tal-UE 2003/88/KE dwar il-ħin tax-xogħol), iżda mhuwiex biżżejjed biex jiġi żgurat bilanċ tajjeb bejn ix-xogħol u l-ħajja privata. Bħala l-ewwel pass, nirrakkomandaw li l-qafas eżistenti jiġi rivedut biex jiġi żgurat li jiġi adattat għaċ-ċirkostanzi attwali. It-tieni nett, l-UE għandha tistabbilixxi mekkaniżmu ta’ monitoraġġ aktar rigoruż biex tiżgura l-implimentazzjoni tiegħu fl-Istati Membri kollha. Għandha tingħata attenzjoni partikolari lid-diversi setturi b’livelli differenti ta’ stress u piż, kemm psikoloġikament kif ukoll fiżikament. Madankollu, fl-istess ħin, setturi oħra jiddependu fuq flessibbiltà akbar min-naħa tal-impjegati tagħhom biex jadattaw għall-ħtiġijiet speċifiċi tal-kumpaniji. </w:t>
      </w:r>
    </w:p>
    <w:p>
      <w:pPr>
        <w:pStyle w:val="Normal"/>
        <w:rPr/>
      </w:pPr>
      <w:r>
        <w:rPr/>
        <w:t xml:space="preserve">Nagħmlu din ir-rakkomandazzjoni minħabba l-importanza ta’ bilanċ aħjar bejn ix-xogħol u l-ħajja privata. Bilanċ aħjar bejn ix-xogħol u l-ħajja privata jsaħħaħ il-koeżjoni soċjali u jikkontribwixxi għall-ħolqien ta’ kundizzjonijiet ekwi bejn il-ħaddiema. Barra minn hekk, għandu impatt pożittiv fuq il-benesseri individwali tal-ħaddiema. </w:t>
      </w:r>
    </w:p>
    <w:p>
      <w:pPr>
        <w:pStyle w:val="Normal"/>
        <w:rPr/>
      </w:pPr>
      <w:r>
        <w:rPr/>
        <w:t xml:space="preserve"> </w:t>
      </w:r>
    </w:p>
    <w:p>
      <w:pPr>
        <w:pStyle w:val="Titre4"/>
        <w:numPr>
          <w:ilvl w:val="3"/>
          <w:numId w:val="2"/>
        </w:numPr>
        <w:rPr/>
      </w:pPr>
      <w:bookmarkStart w:id="108" w:name="__RefHeading___Toc297151_1346298689"/>
      <w:bookmarkEnd w:id="108"/>
      <w:r>
        <w:rPr/>
        <w:t xml:space="preserve">Sottoassi 1.2 Iż-żgħażagħ u l-impjiegi </w:t>
      </w:r>
    </w:p>
    <w:p>
      <w:pPr>
        <w:pStyle w:val="Normal"/>
        <w:rPr/>
      </w:pPr>
      <w:r>
        <w:rPr/>
        <w:t xml:space="preserve"> </w:t>
      </w:r>
    </w:p>
    <w:p>
      <w:pPr>
        <w:pStyle w:val="P68B1DB1Normal15"/>
        <w:rPr>
          <w:b/>
          <w:b/>
        </w:rPr>
      </w:pPr>
      <w:r>
        <w:rPr/>
        <w:t xml:space="preserve">3. Nirrakkomandaw li jiġi armonizzat il-livell tal-programmi edukattivi differenti kollha fl-UE, filwaqt li jiġi aċċettat il-kontenut nazzjonali. Għalhekk, nirrakkomandaw li d-diplomi professjonali kollha jiġu vvalidati u rikonoxxuti b’mod reċiproku fl-Istati Membri kollha tal-UE. </w:t>
      </w:r>
    </w:p>
    <w:p>
      <w:pPr>
        <w:pStyle w:val="Normal"/>
        <w:rPr/>
      </w:pPr>
      <w:r>
        <w:rPr/>
        <w:t xml:space="preserve"> </w:t>
      </w:r>
    </w:p>
    <w:p>
      <w:pPr>
        <w:pStyle w:val="Normal"/>
        <w:rPr/>
      </w:pPr>
      <w:r>
        <w:rPr/>
        <w:t xml:space="preserve">Nagħmlu din ir-rakkomandazzjoni għaliex irridu niffaċilitaw il-mobilità tal-forza tax-xogħol Ewropea u nnaqqsu l-piżijiet amministrattivi. </w:t>
      </w:r>
    </w:p>
    <w:p>
      <w:pPr>
        <w:pStyle w:val="Normal"/>
        <w:rPr/>
      </w:pPr>
      <w:r>
        <w:rPr/>
      </w:r>
    </w:p>
    <w:p>
      <w:pPr>
        <w:pStyle w:val="P68B1DB1Normal15"/>
        <w:rPr>
          <w:b/>
          <w:b/>
        </w:rPr>
      </w:pPr>
      <w:r>
        <w:rPr/>
        <w:t xml:space="preserve">4. Nirrakkomandaw li l-istudenti tal-iskola sekondarja (mill-età ta’ 12-il sena) jingħataw ħarsa ġenerali lejn is-suq tax-xogħol futur tagħhom billi jingħataw l-opportunità li jipparteċipaw f’diversi żjarat ta’ osservazzjoni tal-kwalità f’organizzazzjonijiet bi skop ta’ qligħ u mingħajr skop ta’ qligħ. Nipproponu li nħeġġu lill-kumpaniji jilqgħu lill-istudenti għal internships ta’ osservazzjoni billi nagħtuhom għotjiet. F’żoni remoti b’inqas opportunitajiet, l-iskejjel lokali, l-awtoritajiet pubbliċi, l-organizzazzjonijiet u n-negozji jeħtieġ li jaħdmu flimkien mill-qrib biex jiżguraw li dawn iż-żjarat ta’ osservazzjoni jkunu disponibbli wkoll. </w:t>
      </w:r>
    </w:p>
    <w:p>
      <w:pPr>
        <w:pStyle w:val="Normal"/>
        <w:rPr/>
      </w:pPr>
      <w:r>
        <w:rPr/>
        <w:t xml:space="preserve"> </w:t>
      </w:r>
    </w:p>
    <w:p>
      <w:pPr>
        <w:pStyle w:val="Normal"/>
        <w:rPr/>
      </w:pPr>
      <w:r>
        <w:rPr/>
        <w:t xml:space="preserve">Nagħmlu din ir-rakkomandazzjoni għaliex irridu li ż-żgħażagħ jiksbu idea tal-opportunitajiet differenti offruti mis-suq tax-xogħol sabiex ikunu jistgħu jagħżlu aħjar l-istudji tagħhom u x-xogħol futur tagħhom u jifhmu l-importanza li jagħżlu l-edukazzjoni t-tajba. Dan jgħallimhom ukoll sens ta’ responsabbiltà u rispett għas-suq tax-xogħol u jgħinhom jintegraw fis-suq tax-xogħol, billi jipprovdilhom benefiċċji għal kulħadd. </w:t>
      </w:r>
    </w:p>
    <w:p>
      <w:pPr>
        <w:pStyle w:val="Normal"/>
        <w:rPr/>
      </w:pPr>
      <w:r>
        <w:rPr/>
        <w:t xml:space="preserve"> </w:t>
      </w:r>
    </w:p>
    <w:p>
      <w:pPr>
        <w:pStyle w:val="P68B1DB1Normal15"/>
        <w:rPr>
          <w:b/>
          <w:b/>
        </w:rPr>
      </w:pPr>
      <w:r>
        <w:rPr/>
        <w:t xml:space="preserve">5. Nirrakkomandaw l-integrazzjoni tal-prattika ta’ ħiliet mhux tekniċi fil-korsijiet kollha tal-kurrikulu tal-iskola. Permezz ta’ ħiliet mhux tekniċi, aħna nfissru: is-smigħ reċiproku, id-djalogu, ir-reżiljenza, il-fehim, ir-rispett u l-apprezzament ta’ oħrajn, il-ħsieb kritiku, l-awtotagħlim, u ż-żamma tal-kurjuż u orjentat lejn ir-riżultati. L-għalliema għandhom jitħarrġu fit-trażmissjoni ta’ dawn il-ħiliet billi jaħdmu mill-qrib mal-ħaddiema soċjali u/jew mal-psikologi. Suġġerimenti oħra għall-implimentazzjoni: l-organizzazzjoni ta’ programmi ta’ skambju ta’ studenti bejn l-iskejjel, il-parteċipazzjoni f’avvenimenti sportivi u kulturali bejn l-iskejjel, eċċ. </w:t>
      </w:r>
    </w:p>
    <w:p>
      <w:pPr>
        <w:pStyle w:val="Normal"/>
        <w:rPr/>
      </w:pPr>
      <w:r>
        <w:rPr/>
        <w:t xml:space="preserve"> </w:t>
      </w:r>
    </w:p>
    <w:p>
      <w:pPr>
        <w:pStyle w:val="Normal"/>
        <w:rPr/>
      </w:pPr>
      <w:r>
        <w:rPr/>
        <w:t xml:space="preserve">Nagħmlu din ir-rakkomandazzjoni għaliex il-ħiliet mhux tekniċi huma ħiliet bażiċi meħtieġa li jintilfu fl-era diġitali u li ż-żgħażagħ tagħna se jkollhom bżonn assolutament fil-ħajja futura tagħhom. Huwa għalhekk li ninsistu fuq l-integrazzjoni ta’ dawn il-ħiliet fil-kurrikuli tal-iskejjel biex ngħinu liż-żgħażagħ ikunu reżiljenti u jevitaw jew jegħlbu l-problemi mentali li jistgħu jesperjenzaw fil-ħajja futura tagħhom. Il-ħiliet soċjali jsaħħu r-relazzjonijiet bejn il-bniedem u n-nies u għalhekk jgħinu lin-nies isibu posthom fis-soċjetà. </w:t>
      </w:r>
    </w:p>
    <w:p>
      <w:pPr>
        <w:pStyle w:val="Normal"/>
        <w:rPr/>
      </w:pPr>
      <w:r>
        <w:rPr/>
        <w:t xml:space="preserve"> </w:t>
      </w:r>
    </w:p>
    <w:p>
      <w:pPr>
        <w:pStyle w:val="P68B1DB1Normal15"/>
        <w:rPr>
          <w:b/>
          <w:b/>
        </w:rPr>
      </w:pPr>
      <w:r>
        <w:rPr/>
        <w:t xml:space="preserve">6. Nirrakkomandaw li f’każ ta’ kriżi serja (kriżi tas-saħħa, gwerra, eċċ.), ikunu lesti pjanijiet imfassla tajjeb b’xenarji dettaljati biex jiġu implimentati b’mod flessibbli sabiex jiġi minimizzat l-impatt fuq l-edukazzjoni, it-taħriġ vokazzjonali u l-benesseri mentali taż-żgħażagħ tagħna, eċċ. Permezz tal-impatt, aħna nfissru: żieda fl-ispiża tal-edukazzjoni jew it-taħriġ, estensjoni obbligatorja tal-istudji, l-impossibbiltà li jitlestew l-internships, żieda fil-problemi tas-saħħa mentali. Dawn il-pjanijiet għandhom jiġu implimentati b’tali mod li jnaqqsu kemm jista’ jkun l-impatt fuq iż-żgħażagħ u t-tranżizzjoni tagħhom lejn is-suq tax-xogħol. </w:t>
      </w:r>
    </w:p>
    <w:p>
      <w:pPr>
        <w:pStyle w:val="Normal"/>
        <w:rPr/>
      </w:pPr>
      <w:r>
        <w:rPr/>
        <w:t xml:space="preserve"> </w:t>
      </w:r>
    </w:p>
    <w:p>
      <w:pPr>
        <w:pStyle w:val="Normal"/>
        <w:rPr/>
      </w:pPr>
      <w:r>
        <w:rPr/>
        <w:t xml:space="preserve">Nagħmlu din ir-rakkomandazzjoni għaliex iż-żgħażagħ huma vulnerabbli ħafna fi żminijiet ta’ kriżi. </w:t>
      </w:r>
    </w:p>
    <w:p>
      <w:pPr>
        <w:pStyle w:val="Normal"/>
        <w:rPr/>
      </w:pPr>
      <w:r>
        <w:rPr/>
        <w:t xml:space="preserve"> </w:t>
      </w:r>
    </w:p>
    <w:p>
      <w:pPr>
        <w:pStyle w:val="Titre4"/>
        <w:numPr>
          <w:ilvl w:val="3"/>
          <w:numId w:val="2"/>
        </w:numPr>
        <w:rPr/>
      </w:pPr>
      <w:bookmarkStart w:id="109" w:name="__RefHeading___Toc297153_1346298689"/>
      <w:bookmarkEnd w:id="109"/>
      <w:r>
        <w:rPr/>
        <w:t xml:space="preserve">Sottoassi 1.3 Trasformazzjoni diġitali fuq il-post tax-xogħol </w:t>
      </w:r>
    </w:p>
    <w:p>
      <w:pPr>
        <w:pStyle w:val="Normal"/>
        <w:rPr/>
      </w:pPr>
      <w:r>
        <w:rPr/>
        <w:t xml:space="preserve"> </w:t>
      </w:r>
    </w:p>
    <w:p>
      <w:pPr>
        <w:pStyle w:val="P68B1DB1Normal15"/>
        <w:rPr>
          <w:b/>
          <w:b/>
        </w:rPr>
      </w:pPr>
      <w:r>
        <w:rPr/>
        <w:t xml:space="preserve">7. Nirrakkomandaw li l-UE tintroduċi jew issaħħaħ il-leġiżlazzjoni eżistenti dwar ix-xogħol intelliġenti, jiġifieri x-xogħol online u mill-bogħod, eż. id-dar jew minn post online konness ieħor. Nirrakkomandaw ukoll li l-UE tilleġiżla biex tħeġġeġ lill-kumpaniji jkunu soċjalment responsabbli u jżommu impjiegi mobbli ta’ kwalità fl-UE. L-inċentivi jistgħu jkunu ta’ natura finanzjarja u/jew jaqdu l-immaġni korporattiva u għandhom iqisu l-kriterji ambjentali, soċjali u ta’ governanza (ESG) rikonoxxuti internazzjonalment. Għal dan il-għan, l-UE għandha twaqqaf grupp ta’ ħidma magħmul minn esperti mill-partijiet interessati kollha biex jirrevedu u jsaħħu din il-leġiżlazzjoni. </w:t>
      </w:r>
    </w:p>
    <w:p>
      <w:pPr>
        <w:pStyle w:val="Normal"/>
        <w:rPr/>
      </w:pPr>
      <w:r>
        <w:rPr/>
        <w:t xml:space="preserve"> </w:t>
      </w:r>
    </w:p>
    <w:p>
      <w:pPr>
        <w:pStyle w:val="Normal"/>
        <w:rPr/>
      </w:pPr>
      <w:r>
        <w:rPr/>
        <w:t xml:space="preserve">Nagħmlu din ir-rakkomandazzjoni għaliex jeħtieġ li nippromwovu impjiegi mobbli ta’ kwalità u nevitaw ir-rilokazzjoni tagħhom lejn pajjiżi terzi bi spejjeż aktar baxxi. Il-pandemija tal-COVID-19 u x-xejriet ekonomiċi globali jenfasizzaw l-urġenza li jiġu protetti l-impjiegi fl-UE u li jiġi rregolat ix-xogħol mobbli. </w:t>
      </w:r>
    </w:p>
    <w:p>
      <w:pPr>
        <w:pStyle w:val="Normal"/>
        <w:rPr/>
      </w:pPr>
      <w:r>
        <w:rPr/>
        <w:t xml:space="preserve"> </w:t>
      </w:r>
    </w:p>
    <w:p>
      <w:pPr>
        <w:pStyle w:val="P68B1DB1Normal15"/>
        <w:rPr>
          <w:b/>
          <w:b/>
        </w:rPr>
      </w:pPr>
      <w:r>
        <w:rPr/>
        <w:t xml:space="preserve">8. Nirrakkomandaw li l-UE tiggarantixxi d-dritt għal taħriġ diġitali għaċ-ċittadini kollha tal-UE. B’mod partikolari, il-ħiliet diġitali taż-żgħażagħ jistgħu jittejbu bl-introduzzjoni ta’ ċertifikat tal-UE fl-iskejjel, li jħejjihom għas-suq tax-xogħol futur. Nirrakkomandaw ukoll taħriġ speċifiku fil-livell tal-UE għat-taħriġ mill-ġdid u t-titjib tal-ħiliet tal-ħaddiema sabiex jibqgħu kompetittivi fis-suq tax-xogħol. Fl-aħħar nett, nirrakkomandaw li l-UE tqajjem kuxjenza dwar il-pjattaformi diġitali eżistenti li jgħaqqdu liċ-ċittadini mal-impjegaturi u jgħinuhom isibu impjiegi fl-UE, eż. EURES. </w:t>
      </w:r>
    </w:p>
    <w:p>
      <w:pPr>
        <w:pStyle w:val="Normal"/>
        <w:rPr/>
      </w:pPr>
      <w:r>
        <w:rPr/>
        <w:t xml:space="preserve"> </w:t>
      </w:r>
    </w:p>
    <w:p>
      <w:pPr>
        <w:pStyle w:val="Normal"/>
        <w:rPr/>
      </w:pPr>
      <w:r>
        <w:rPr/>
        <w:t xml:space="preserve">Nagħmlu din ir-rakkomandazzjoni għaliex il-ħiliet diġitali ċċertifikati huma essenzjali għall-aċċess għas-suq tax-xogħol u għall-ħaddiema biex jitħarrġu mill-ġdid u jibqgħu kompetittivi. </w:t>
      </w:r>
    </w:p>
    <w:p>
      <w:pPr>
        <w:pStyle w:val="Normal"/>
        <w:rPr/>
      </w:pPr>
      <w:r>
        <w:rPr/>
        <w:t xml:space="preserve"> </w:t>
      </w:r>
    </w:p>
    <w:p>
      <w:pPr>
        <w:pStyle w:val="Titre3"/>
        <w:numPr>
          <w:ilvl w:val="2"/>
          <w:numId w:val="2"/>
        </w:numPr>
        <w:rPr/>
      </w:pPr>
      <w:bookmarkStart w:id="110" w:name="__RefHeading___Toc297155_1346298689"/>
      <w:bookmarkEnd w:id="110"/>
      <w:r>
        <w:rPr/>
        <w:t xml:space="preserve">Assi 2 Ekonomija orjentata lejn il-futur </w:t>
      </w:r>
    </w:p>
    <w:p>
      <w:pPr>
        <w:pStyle w:val="Normal"/>
        <w:rPr/>
      </w:pPr>
      <w:r>
        <w:rPr/>
        <w:t xml:space="preserve"> </w:t>
      </w:r>
    </w:p>
    <w:p>
      <w:pPr>
        <w:pStyle w:val="Titre4"/>
        <w:numPr>
          <w:ilvl w:val="3"/>
          <w:numId w:val="2"/>
        </w:numPr>
        <w:rPr/>
      </w:pPr>
      <w:bookmarkStart w:id="111" w:name="__RefHeading___Toc297157_1346298689"/>
      <w:bookmarkEnd w:id="111"/>
      <w:r>
        <w:rPr/>
        <w:t xml:space="preserve">Sotto-assi 2.1 L-innovazzjoni u l-kompetittività Ewropea </w:t>
      </w:r>
    </w:p>
    <w:p>
      <w:pPr>
        <w:pStyle w:val="Normal"/>
        <w:rPr/>
      </w:pPr>
      <w:r>
        <w:rPr/>
        <w:t xml:space="preserve"> </w:t>
      </w:r>
    </w:p>
    <w:p>
      <w:pPr>
        <w:pStyle w:val="P68B1DB1Normal15"/>
        <w:rPr>
          <w:b/>
          <w:b/>
        </w:rPr>
      </w:pPr>
      <w:r>
        <w:rPr/>
        <w:t xml:space="preserve">9. Nirrakkomandaw li l-UE toħloq opportunitajiet għall-investiment fir-riċerka u l-innovazzjoni għal diversi entitajiet (universitajiet, negozji, istituti ta’ riċerka, eċċ.) bil-għan li jiġu żviluppati: </w:t>
      </w:r>
    </w:p>
    <w:p>
      <w:pPr>
        <w:pStyle w:val="P68B1DB1Normal15"/>
        <w:rPr>
          <w:b/>
          <w:b/>
        </w:rPr>
      </w:pPr>
      <w:r>
        <w:rPr/>
        <w:t xml:space="preserve">● </w:t>
      </w:r>
      <w:r>
        <w:rPr/>
        <w:t xml:space="preserve">materjali ġodda, aktar sostenibbli u bijodiversifikati biex jissostitwixxu dawk li qed jintużaw bħalissa, </w:t>
      </w:r>
    </w:p>
    <w:p>
      <w:pPr>
        <w:pStyle w:val="P68B1DB1Normal15"/>
        <w:rPr>
          <w:b/>
          <w:b/>
        </w:rPr>
      </w:pPr>
      <w:r>
        <w:rPr/>
        <w:t xml:space="preserve">● </w:t>
      </w:r>
      <w:r>
        <w:rPr/>
        <w:t xml:space="preserve">l-użi innovattivi ta’ materjali eżistenti (ibbażati, fost l-oħrajn, fuq ir-riċiklaġġ u t-tekniki l-aktar avvanzati bl-inqas impronta ambjentali). </w:t>
      </w:r>
    </w:p>
    <w:p>
      <w:pPr>
        <w:pStyle w:val="Normal"/>
        <w:rPr/>
      </w:pPr>
      <w:r>
        <w:rPr>
          <w:b/>
        </w:rPr>
        <w:t>Nirrakkomandaw li dan ikun impenn permanenti u fit-tul tal-UE (mill-inqas sal-2050).</w:t>
      </w:r>
      <w:r>
        <w:rPr/>
        <w:t xml:space="preserve"> </w:t>
      </w:r>
    </w:p>
    <w:p>
      <w:pPr>
        <w:pStyle w:val="Normal"/>
        <w:rPr/>
      </w:pPr>
      <w:r>
        <w:rPr/>
        <w:t xml:space="preserve"> </w:t>
      </w:r>
    </w:p>
    <w:p>
      <w:pPr>
        <w:pStyle w:val="Normal"/>
        <w:rPr/>
      </w:pPr>
      <w:r>
        <w:rPr/>
        <w:t xml:space="preserve">Nagħmlu din ir-rakkomandazzjoni għaliex ngħixu fuq pjaneta b’riżorsi limitati. Jekk irridu jkollna futur, irridu nipproteġu l-klima u nfittxu alternattivi li jirrispettaw il-pjaneta. Irridu wkoll li l-UE ssir attur ewlieni f’dan il-qasam, b’vantaġġ kompetittiv qawwi fix-xena internazzjonali. Ir-rakkomandazzjoni għandha l-għan li tipproduċi riżultati innovattivi li jistgħu jiġu applikati fuq skala kbira u li jistgħu jiġu implimentati f’diversi oqsma u pajjiżi. Dan ikollu wkoll impatt pożittiv fuq l-ekonomija u s-suq tax-xogħol permezz tal-ħolqien ta’ opportunitajiet ġodda ta’ impjieg fil-qasam tal-innovazzjoni sostenibbli. Tista’ tikkontribwixxi għall-ġlieda kontra l-inġustizzji soċjali sal-punt li l-mezzi attwali ta’ produzzjoni, ibbażati fuq l-isfruttament, jiġu sostitwiti minn oħrajn, aktar etiċi. </w:t>
      </w:r>
    </w:p>
    <w:p>
      <w:pPr>
        <w:pStyle w:val="Normal"/>
        <w:rPr/>
      </w:pPr>
      <w:r>
        <w:rPr/>
        <w:t xml:space="preserve"> </w:t>
      </w:r>
    </w:p>
    <w:p>
      <w:pPr>
        <w:pStyle w:val="P68B1DB1Normal15"/>
        <w:rPr>
          <w:b/>
          <w:b/>
        </w:rPr>
      </w:pPr>
      <w:r>
        <w:rPr/>
        <w:t xml:space="preserve">10. Nirrakkomandaw li l-UE timpenja ruħha kontinwament fit-tul biex iżżid b’mod sinifikanti s-sehem tagħha ta’ enerġija prodotta b’mod sostenibbli, bl-użu ta’ firxa wiesgħa ta’ sorsi rinnovabbli bl-aktar impronta ambjentali baxxa (abbażi ta’ analiżi komprensiva taċ-ċiklu tal-ħajja). Barra minn hekk, l-UE għandha tinvesti fit-titjib u ż-żamma tal-kwalità tal-infrastruttura u l-grilja tal-elettriku. Nirrakkomandaw ukoll li l-aċċess għall-enerġija u l-affordabbiltà jiġu rikonoxxuti bħala dritt fundamentali taċ-ċittadini. </w:t>
      </w:r>
    </w:p>
    <w:p>
      <w:pPr>
        <w:pStyle w:val="P68B1DB1Normal15"/>
        <w:rPr>
          <w:b/>
          <w:b/>
        </w:rPr>
      </w:pPr>
      <w:r>
        <w:rPr/>
        <w:t xml:space="preserve"> </w:t>
      </w:r>
    </w:p>
    <w:p>
      <w:pPr>
        <w:pStyle w:val="Normal"/>
        <w:rPr/>
      </w:pPr>
      <w:r>
        <w:rPr/>
        <w:t xml:space="preserve">Aħna nagħmlu din ir-rakkomandazzjoni għar-raġunijiet li ġejjin: </w:t>
      </w:r>
    </w:p>
    <w:p>
      <w:pPr>
        <w:pStyle w:val="Normal"/>
        <w:rPr/>
      </w:pPr>
      <w:r>
        <w:rPr/>
        <w:t xml:space="preserve">● </w:t>
      </w:r>
      <w:r>
        <w:rPr/>
        <w:t xml:space="preserve">id-diversifikazzjoni tas-sorsi tal-enerġija (inklużi x-xemx, ir-riħ, l-idroġenu, l-ilma baħar jew kwalunkwe metodu sostenibbli ieħor fil-futur) tagħmel lill-UE aktar indipendenti mill-enerġija; </w:t>
      </w:r>
    </w:p>
    <w:p>
      <w:pPr>
        <w:pStyle w:val="Normal"/>
        <w:rPr/>
      </w:pPr>
      <w:r>
        <w:rPr/>
        <w:t xml:space="preserve">● </w:t>
      </w:r>
      <w:r>
        <w:rPr/>
        <w:t xml:space="preserve">tnaqqas l-ispejjeż tal-elettriku għaċ-ċittadini tal-UE; </w:t>
      </w:r>
    </w:p>
    <w:p>
      <w:pPr>
        <w:pStyle w:val="Normal"/>
        <w:rPr/>
      </w:pPr>
      <w:r>
        <w:rPr/>
        <w:t xml:space="preserve">● </w:t>
      </w:r>
      <w:r>
        <w:rPr/>
        <w:t xml:space="preserve">toħloq l-impjiegi u tirristruttura s-suq tal-enerġija (speċjalment fir-reġjuni li s’issa ddependew fuq il-fjuwils fossili); </w:t>
      </w:r>
    </w:p>
    <w:p>
      <w:pPr>
        <w:pStyle w:val="Normal"/>
        <w:rPr/>
      </w:pPr>
      <w:r>
        <w:rPr/>
        <w:t xml:space="preserve">● </w:t>
      </w:r>
      <w:r>
        <w:rPr/>
        <w:t xml:space="preserve">tista’ tinkoraġġixxi l-iżvilupp xjentifiku ta’ tekniki innovattivi tal-provvista tal-enerġija; </w:t>
      </w:r>
    </w:p>
    <w:p>
      <w:pPr>
        <w:pStyle w:val="Normal"/>
        <w:rPr/>
      </w:pPr>
      <w:r>
        <w:rPr/>
        <w:t xml:space="preserve">● </w:t>
      </w:r>
      <w:r>
        <w:rPr/>
        <w:t xml:space="preserve">il-kwalità tal-infrastruttura u l-grilja tal-elettriku hija importanti daqs is-sorsi tal-enerġija, peress li tippermetti distribuzzjoni u trażmissjoni tal-enerġija bla xkiel, effiċjenti u affordabbli. </w:t>
      </w:r>
    </w:p>
    <w:p>
      <w:pPr>
        <w:pStyle w:val="Normal"/>
        <w:rPr/>
      </w:pPr>
      <w:r>
        <w:rPr/>
        <w:t xml:space="preserve"> </w:t>
      </w:r>
    </w:p>
    <w:p>
      <w:pPr>
        <w:pStyle w:val="P68B1DB1Normal15"/>
        <w:rPr>
          <w:b/>
          <w:b/>
        </w:rPr>
      </w:pPr>
      <w:r>
        <w:rPr/>
        <w:t xml:space="preserve">11. Nirrakkomandaw li l-UE tippromwovi b’mod attiv proċessi ta’ produzzjoni aktar ekoloġiċi billi tissussidja jew inkella tippremja kumpaniji li jinvestu fit-tnaqqis tal-ispejjeż ambjentali tal-produzzjoni tagħhom. Aħna nappellaw ukoll għal sforz biex jitkabbru s-siti postindustrijali u jinħolqu żoni ekoloġiċi protetti madwar is-siti eżistenti. Il-kumpaniji għandhom ikunu meħtieġa jiffinanzjaw dawn l-isforzi, għall-inqas parzjalment, bi flushom stess. </w:t>
      </w:r>
    </w:p>
    <w:p>
      <w:pPr>
        <w:pStyle w:val="Normal"/>
        <w:rPr/>
      </w:pPr>
      <w:r>
        <w:rPr/>
        <w:t xml:space="preserve"> </w:t>
      </w:r>
    </w:p>
    <w:p>
      <w:pPr>
        <w:pStyle w:val="Normal"/>
        <w:rPr/>
      </w:pPr>
      <w:r>
        <w:rPr/>
        <w:t xml:space="preserve">Nagħmlu din ir-rakkomandazzjoni għaliex il-proċessi tal-produzzjoni huma parti importanti mill-katina tal-provvista. Li nagħmluhom aktar favur l-ambjent jista’ jnaqqas b’mod sinifikanti l-impatt tagħna fuq il-klima. Aħna nemmnu li l-kumpaniji u l-industriji għandhom jinżammu responsabbli għall-mod li bih jimmanifatturaw il-prodotti tagħhom (inklużi miżuri għall-kultivazzjoni mill-ġdid u l-ħarsien tal-ambjent). L-ekoloġizzazzjoni tal-proċessi tal-produzzjoni tħejji wkoll lin-negozji għall-futur u ssaħħaħ ir-reżiljenza tagħhom (li tipproteġi l-impjiegi). </w:t>
      </w:r>
    </w:p>
    <w:p>
      <w:pPr>
        <w:pStyle w:val="Normal"/>
        <w:rPr/>
      </w:pPr>
      <w:r>
        <w:rPr/>
      </w:r>
    </w:p>
    <w:p>
      <w:pPr>
        <w:pStyle w:val="Titre4"/>
        <w:numPr>
          <w:ilvl w:val="3"/>
          <w:numId w:val="2"/>
        </w:numPr>
        <w:rPr/>
      </w:pPr>
      <w:bookmarkStart w:id="112" w:name="__RefHeading___Toc297159_1346298689"/>
      <w:bookmarkEnd w:id="112"/>
      <w:r>
        <w:rPr/>
        <w:t xml:space="preserve">Sottoassi 2.2 Ekonomija sostenibbli/Sottoassi 2.3 Tassazzjoni </w:t>
      </w:r>
    </w:p>
    <w:p>
      <w:pPr>
        <w:pStyle w:val="Normal"/>
        <w:rPr/>
      </w:pPr>
      <w:r>
        <w:rPr/>
        <w:t xml:space="preserve"> </w:t>
      </w:r>
    </w:p>
    <w:p>
      <w:pPr>
        <w:pStyle w:val="P68B1DB1Normal15"/>
        <w:rPr>
          <w:b/>
          <w:b/>
        </w:rPr>
      </w:pPr>
      <w:r>
        <w:rPr/>
        <w:t xml:space="preserve">12. Nirrakkomandaw l-abbandun tal-imballaġġ tal-plastik u l-ġeneralizzazzjoni tal-imballaġġ li jista’ jerġa’ jintuża. Għandhom jingħataw inċentivi lill-konsumaturi u n-negozji, sabiex ma jkunx jiswa aktar għall-konsumatur li jixtri prodotti bl-ingrossa (“bl-ingrossa” bl-Ingliż jew “sfuso” bit-Taljan) mill-prodotti ppakkjati. Il-kumpaniji li jikkontribwixxu għal din it-tranżizzjoni għandhom jibbenefikaw minn benefiċċji tat-taxxa u oħrajn għandhom iħallsu aktar taxxi. Il-prodotti li ma jistgħux jerġgħu jintużaw għandhom ikunu riċiklabbli u/jew bijodegradabbli. Huwa meħtieġ li tiġi stabbilita istituzzjoni pubblika jew superviżorja responsabbli għall-monitoraġġ, l-istabbiliment tar-regoli u t-tixrid tagħhom lil kulħadd. Huwa rrakkomandat li l-edukazzjoni u l-komunikazzjoni — inkluż permezz tal-midja soċjali — dwar dawn l-azzjonijiet, jilħqu kemm lin-negozji kif ukoll lill-konsumaturi biex ibiddlu l-imġiba tagħhom fit-tul. Il-kumpaniji (eż. il-kumpaniji tal-kostruzzjoni) għandhom jiġu mħeġġa u megħjuna biex isibu l-aħjar soluzzjonijiet għall-iskart tagħhom. </w:t>
      </w:r>
    </w:p>
    <w:p>
      <w:pPr>
        <w:pStyle w:val="Normal"/>
        <w:rPr/>
      </w:pPr>
      <w:r>
        <w:rPr/>
        <w:t xml:space="preserve"> </w:t>
      </w:r>
    </w:p>
    <w:p>
      <w:pPr>
        <w:pStyle w:val="Normal"/>
        <w:rPr/>
      </w:pPr>
      <w:r>
        <w:rPr/>
        <w:t xml:space="preserve">Nagħmlu din ir-rakkomandazzjoni, għax ilkoll kemm aħna rridu nkunu responsabbli għall-azzjonijiet tagħna. Għalhekk jeħtieġ li nikkunsidraw mill-ġdid il-proċessi kollha tal-produzzjoni. Ir-riċiklaġġ jeħtieġ ħafna riżorsi (ilma, enerġija) u għalhekk ma jistax ikun l-unika soluzzjoni, u huwa għalhekk li noffru li nbiegħu l-prodotti bl-ingrossa. Ir-riċiklaġġ għandu jintuża biss għal materjali faċilment riċiklabbli, u tgħallimna mill-eżempju Finlandiż li huwa possibbli li nirriċiklaw fuq skala kbira. </w:t>
      </w:r>
    </w:p>
    <w:p>
      <w:pPr>
        <w:pStyle w:val="Normal"/>
        <w:rPr/>
      </w:pPr>
      <w:r>
        <w:rPr/>
      </w:r>
    </w:p>
    <w:p>
      <w:pPr>
        <w:pStyle w:val="P68B1DB1Normal15"/>
        <w:rPr>
          <w:b/>
          <w:b/>
        </w:rPr>
      </w:pPr>
      <w:r>
        <w:rPr/>
        <w:t xml:space="preserve">13. Nirrakkomandaw li jkun hemm l-istess regoli tat-taxxa madwar l-Ewropa u li tiġi armonizzata l-politika tat-taxxa madwar l-UE. L-armonizzazzjoni f’dan il-qasam għandha tħalli lok għall-Istati Membri individwali biex jistabbilixxu r-regoli tagħhom stess, filwaqt li jevitaw l-evażjoni tat-taxxa. Dan se jtemm il-prattiki tat-taxxa dannużi u l-kompetizzjoni fiskali. It-taxxi għandhom jiġu imposti fuq it-tranżazzjonijiet kummerċjali fejn iseħħu: meta kumpanija tbigħ f’pajjiż, għandha tħallas it-taxxi f’dak il-pajjiż. Dawn ir-regoli l-ġodda għandhom l-għan li jipprevjenu r-rilokazzjoni u jiżguraw li l-produzzjoni u t-tranżazzjonijiet isiru bejn il-pajjiżi Ewropej. </w:t>
      </w:r>
    </w:p>
    <w:p>
      <w:pPr>
        <w:pStyle w:val="Normal"/>
        <w:rPr/>
      </w:pPr>
      <w:r>
        <w:rPr/>
        <w:t xml:space="preserve"> </w:t>
      </w:r>
    </w:p>
    <w:p>
      <w:pPr>
        <w:pStyle w:val="Normal"/>
        <w:rPr/>
      </w:pPr>
      <w:r>
        <w:rPr/>
        <w:t xml:space="preserve">Aħna nagħmlu din ir-rakkomandazzjoni biex nipproteġu u niżviluppaw l-impjiegi u l-attività ekonomika fl-Ewropa b’mod li jkun ġust għall-Istati Membri kollha. B’dan il-mod, l-Ewropa se jkollha fehim komuni tas-sistema tat-taxxa u s-sitwazzjoni assurda ta’ monopolju ta’ kumpaniji kbar ħafna li ma jħallsux biżżejjed taxxi meta mqabbla ma’ kumpaniji iżgħar se tintemm. Barra minn hekk, ir-riżorsi finanzjarji se jiġu diretti mill-ġdid lejn fejn iseħħu l-attivitajiet kummerċjali. </w:t>
      </w:r>
    </w:p>
    <w:p>
      <w:pPr>
        <w:pStyle w:val="Normal"/>
        <w:rPr/>
      </w:pPr>
      <w:r>
        <w:rPr/>
        <w:t xml:space="preserve"> </w:t>
      </w:r>
    </w:p>
    <w:p>
      <w:pPr>
        <w:pStyle w:val="P68B1DB1Normal15"/>
        <w:rPr>
          <w:b/>
          <w:b/>
        </w:rPr>
      </w:pPr>
      <w:r>
        <w:rPr/>
        <w:t xml:space="preserve">14. Nirrakkomandaw li titneħħa s-sistema tal-obsolexxenza pprogrammata mill-apparat elettroniku kollu. Il-bidla għandha sseħħ kemm individwalment kif ukoll kummerċjalment, biex jiġi żgurat li l-apparati jistgħu jissewwew u jiġu aġġornati fit-tul u jkunu jistgħu jinżammu għal żmien twil. Nirrakkomandaw il-promozzjoni ta’ apparati rinnovati. Ir-regolamenti għandhom jirrikjedu li l-kumpaniji jiggarantixxu d-dritt għat-tiswija, inklużi l-aġġornamenti u l-aġġornamenti tas-softwer, kif ukoll li jirriċiklaw l-apparati kollha fit-tul. Huwa rrakkomandat ukoll li kull kumpanija tuża konnetturi standard. </w:t>
      </w:r>
    </w:p>
    <w:p>
      <w:pPr>
        <w:pStyle w:val="P68B1DB1Normal15"/>
        <w:rPr>
          <w:b/>
          <w:b/>
        </w:rPr>
      </w:pPr>
      <w:r>
        <w:rPr/>
        <w:t xml:space="preserve"> </w:t>
      </w:r>
    </w:p>
    <w:p>
      <w:pPr>
        <w:pStyle w:val="Normal"/>
        <w:rPr/>
      </w:pPr>
      <w:r>
        <w:rPr/>
        <w:t xml:space="preserve">Nagħmlu din ir-rakkomandazzjoni għaliex, fid-dinja moderna, il-prodotti għandhom tendenza li jdumu sentejn u x-xewqa tagħna hija li għandhom ħajja ħafna itwal, madwar 10 snin. Din il-proposta se jkollha impatt pożittiv fuq it-tibdil fil-klima u l-ekoloġija. Dan se jnaqqas ukoll l-ispejjeż għall-konsumaturi kif ukoll il-konsumeriżmu. </w:t>
      </w:r>
    </w:p>
    <w:p>
      <w:pPr>
        <w:pStyle w:val="Normal"/>
        <w:rPr/>
      </w:pPr>
      <w:r>
        <w:rPr/>
      </w:r>
    </w:p>
    <w:p>
      <w:pPr>
        <w:pStyle w:val="P68B1DB1Normal15"/>
        <w:rPr>
          <w:b/>
          <w:b/>
        </w:rPr>
      </w:pPr>
      <w:r>
        <w:rPr/>
        <w:t xml:space="preserve">15. Nirrakkomandaw li ngħinu lil kulħadd jitgħallem aktar dwar l-ambjent tagħna u r-rabtiet tiegħu mas-saħħa individwali permezz tal-edukazzjoni. Il-mogħdijiet edukattivi se jgħinu lil kulħadd jiddefinixxi l-istrateġiji personali tagħhom stess biex jintegraw dawn it-temi fil-ħajja tagħhom ta’ kuljum. Din l-edukazzjoni għandha tibda fl-iskola ma ‘suġġetti speċifiċi li jindirizzaw il-kwistjonijiet ekoloġiċi, u għandna nkomplu nedukaw lilna nfusna matul il-ħajja tagħna (fuq ix-xogħol, pereżempju). Dan se jgħin biex jitnaqqas l-iskart u jipproteġi l-ambjent u s-saħħa tal-bniedem, u jippromwovi l-konsum lokali ta’ prodotti tajbin għas-saħħa u mhux ipproċessati mill-produtturi lokali. Dawk li ma jagħmlu xejn biex inaqqsu l-iskart tagħhom se jkollhom bżonn jirċievu taħriġ b’xejn f’dan il-qasam. Sabiex jiġi adattat l-istil ta’ ħajja, il-prezzijiet għandhom ikunu ġusti kemm għall-produttur kif ukoll għall-konsumatur. Għalhekk, nipproponu li produtturi lokali żgħar li ma jagħmlux ħsara lill-ambjent jibbenefikaw minn eżenzjonijiet mit-taxxa. </w:t>
      </w:r>
    </w:p>
    <w:p>
      <w:pPr>
        <w:pStyle w:val="Normal"/>
        <w:rPr/>
      </w:pPr>
      <w:r>
        <w:rPr/>
        <w:t xml:space="preserve"> </w:t>
      </w:r>
    </w:p>
    <w:p>
      <w:pPr>
        <w:pStyle w:val="Normal"/>
        <w:rPr/>
      </w:pPr>
      <w:r>
        <w:rPr/>
        <w:t xml:space="preserve">Nagħmlu din ir-rakkomandazzjoni għaliex nemmnu li ħafna nies għadhom ma jħossuhomx imħassba dwar dawn il-kwistjonijiet. Din hija r-raġuni għaliex jeħtieġ li tiġi stabbilita l-edukazzjoni għal kulħadd. Barra minn hekk, il-prodotti lokali u b’saħħithom għandhom it-tendenza li ma jkunux affordabbli għal ħafna nies. Jeħtieġ li niżguraw li l-prodotti lokali jkunu aċċessibbli b’mod aktar wiesa’ għal kulħadd. </w:t>
      </w:r>
    </w:p>
    <w:p>
      <w:pPr>
        <w:pStyle w:val="Normal"/>
        <w:rPr/>
      </w:pPr>
      <w:r>
        <w:rPr/>
      </w:r>
    </w:p>
    <w:p>
      <w:pPr>
        <w:pStyle w:val="Titre4"/>
        <w:numPr>
          <w:ilvl w:val="3"/>
          <w:numId w:val="2"/>
        </w:numPr>
        <w:rPr/>
      </w:pPr>
      <w:bookmarkStart w:id="113" w:name="__RefHeading___Toc297161_1346298689"/>
      <w:bookmarkEnd w:id="113"/>
      <w:r>
        <w:rPr/>
        <w:t xml:space="preserve">Sottoassi 2.4 Agrikoltura/Sottoassi 2.5 Infrastruttura diġitali </w:t>
      </w:r>
    </w:p>
    <w:p>
      <w:pPr>
        <w:pStyle w:val="Normal"/>
        <w:rPr/>
      </w:pPr>
      <w:r>
        <w:rPr/>
        <w:t xml:space="preserve"> </w:t>
      </w:r>
    </w:p>
    <w:p>
      <w:pPr>
        <w:pStyle w:val="P68B1DB1Normal15"/>
        <w:rPr>
          <w:b/>
          <w:b/>
        </w:rPr>
      </w:pPr>
      <w:r>
        <w:rPr/>
        <w:t xml:space="preserve">16. Nirrakkomandaw l-implimentazzjoni ta’ sistema komuni Ewropea ta’ tikkettar dwar il-konsumatur u n-nutrizzjoni li tkun faċli biex tinftiehem (eż. allerġeni, pajjiż ta’ oriġini, eċċ.); nirrakkomandaw it-trasparenza tal-proċessi ta’ awtorizzazzjoni li għaddejjin bħalissa u d-diġitalizzazzjoni tal-informazzjoni dwar il-prodotti permezz ta’ applikazzjoni Ewropea standardizzata li tipprovdi aċċess aktar faċli għall-informazzjoni u tipprovdi informazzjoni addizzjonali dwar il-prodott u l-katina tal-produzzjoni. Naraw ukoll il-ħtieġa għal korp verament indipendenti li jirregola l-istandards tal-ikel madwar l-UE u li għandu setgħat leġiżlattivi biex jinforza s-sanzjonijiet. </w:t>
      </w:r>
    </w:p>
    <w:p>
      <w:pPr>
        <w:pStyle w:val="Normal"/>
        <w:rPr/>
      </w:pPr>
      <w:r>
        <w:rPr/>
        <w:t xml:space="preserve"> </w:t>
      </w:r>
    </w:p>
    <w:p>
      <w:pPr>
        <w:pStyle w:val="Normal"/>
        <w:rPr/>
      </w:pPr>
      <w:r>
        <w:rPr/>
        <w:t xml:space="preserve">Aħna nagħmlu dawn ir-rakkomandazzjonijiet għaliex iċ-ċittadini kollha tal-UE għandhom ikunu jistgħu jserrħu fuq l-istess kwalità tal-ikel. L-integrità tal-prodotti tal-ikel hija meħtieġa biex tiġi żgurata s-sikurezza taċ-ċittadini. Dawn ir-rakkomandazzjonijiet ġew ifformulati biex itejbu, b’mod armonizzat, il-monitoraġġ tal-proċessi ta’ awtorizzazzjoni u t-trasparenza tal-produzzjoni tal-ikel. </w:t>
      </w:r>
    </w:p>
    <w:p>
      <w:pPr>
        <w:pStyle w:val="Normal"/>
        <w:rPr/>
      </w:pPr>
      <w:r>
        <w:rPr/>
      </w:r>
    </w:p>
    <w:p>
      <w:pPr>
        <w:pStyle w:val="P68B1DB1Normal15"/>
        <w:rPr>
          <w:b/>
          <w:b/>
        </w:rPr>
      </w:pPr>
      <w:r>
        <w:rPr/>
        <w:t xml:space="preserve">17. Nirrakkomandaw li l-infrastruttura tkun proprjetà tal-istat biex jiġi evitat li jitfaċċaw monopolji fis-settur tas-servizzi tat-telekomunikazzjoni u tal-internet. L-aċċess għall-internet għandu jkun dritt; l-introduzzjoni tal-konnessjoni tal-internet f’“żoni bojod/mejta” (żoni mingħajr aċċess għall-internet) għandha tkun prijorità. Fir-rigward tal-aċċess għall-internet u t-tagħmir tal-kompjuter, it-tfal u l-familji huma prijorità speċjalment f’termini ta’ edukazzjoni u speċjalment fi żminijiet ta’ pandemija. Hemm bżonn ta’ inizjattiva biex tgħin fl-appoġġ tax-xogħol mill-bogħod, pereżempju billi jinħolqu spazji għall-uffiċċji b’aċċess għal konnessjoni tal-internet veloċi u affidabbli jew billi jiġi organizzat taħriġ diġitali. </w:t>
      </w:r>
    </w:p>
    <w:p>
      <w:pPr>
        <w:pStyle w:val="Normal"/>
        <w:rPr/>
      </w:pPr>
      <w:r>
        <w:rPr/>
        <w:t xml:space="preserve"> </w:t>
      </w:r>
    </w:p>
    <w:p>
      <w:pPr>
        <w:pStyle w:val="Normal"/>
        <w:rPr/>
      </w:pPr>
      <w:r>
        <w:rPr/>
        <w:t xml:space="preserve">Nagħmlu din ir-rakkomandazzjoni għaliex jeħtieġ li niżguraw li t-trasformazzjoni diġitali ssir b’mod ġust. L-aċċess għall-internet huwa fundamentali għad-demokrazija u huwa dritt taċ-ċittadini Ewropej kollha. </w:t>
      </w:r>
    </w:p>
    <w:p>
      <w:pPr>
        <w:pStyle w:val="Normal"/>
        <w:rPr/>
      </w:pPr>
      <w:r>
        <w:rPr/>
      </w:r>
    </w:p>
    <w:p>
      <w:pPr>
        <w:pStyle w:val="Normal"/>
        <w:rPr/>
      </w:pPr>
      <w:r>
        <w:rPr>
          <w:b/>
        </w:rPr>
        <w:t>18. Nirrakkomandaw li nirrispettaw l-insetti lokali u nipproteġuhom minn speċijiet invażivi. Nipproponu wkoll li nippromwovu u niddefendu l-obbligu li jiġu pprovduti spazji ekoloġiċi fi proġetti ġodda ta’ urbanizzazzjoni. Nappellaw biex il-bijodiversità ssir suġġett obbligatorju fl-iskejjel u li tkun is-suġġett ta’ attivitajiet skolastiċi, pereżempju attivitajiet prattiċi. Huwa importanti li tiżdied is-sensibilizzazzjoni tal-pubbliku dwar il-bijodiversità permezz ta’ kampanji tal-midja u “kompetizzjonijiet” promossi madwar l-UE (il-kontestazzjonijiet fil-livell tal-komunità lokali). Nirrakkomandaw li jiġu stabbiliti miri nazzjonali vinkolanti fl-Istati Membri kollha tal-UE għar-riforestazzjoni mis-siġar indiġeni u l-introduzzjoni mill-ġdid tal-flora lokali</w:t>
      </w:r>
      <w:r>
        <w:rPr/>
        <w:t xml:space="preserve">. </w:t>
      </w:r>
    </w:p>
    <w:p>
      <w:pPr>
        <w:pStyle w:val="Normal"/>
        <w:rPr/>
      </w:pPr>
      <w:r>
        <w:rPr/>
        <w:t xml:space="preserve"> </w:t>
      </w:r>
    </w:p>
    <w:p>
      <w:pPr>
        <w:pStyle w:val="Normal"/>
        <w:rPr/>
      </w:pPr>
      <w:r>
        <w:rPr/>
        <w:t xml:space="preserve">Nagħmlu din ir-rakkomandazzjoni għaliex il-bijodiversità hija essenzjali għall-ambjent, il-kwalità tal-ħajja u l-ġlieda kontra t-tibdil fil-klima.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Assi 3 Soċjetà ġusta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Sottoassi 3.1 Sigurtà soċjali </w:t>
      </w:r>
    </w:p>
    <w:p>
      <w:pPr>
        <w:pStyle w:val="Normal"/>
        <w:rPr/>
      </w:pPr>
      <w:r>
        <w:rPr/>
        <w:t xml:space="preserve"> </w:t>
      </w:r>
    </w:p>
    <w:p>
      <w:pPr>
        <w:pStyle w:val="P68B1DB1Normal15"/>
        <w:rPr>
          <w:b/>
          <w:b/>
        </w:rPr>
      </w:pPr>
      <w:r>
        <w:rPr/>
        <w:t xml:space="preserve">19. Nirrakkomandaw il-promozzjoni ta’ drittijiet ugwali u politiki soċjali, inklużi politiki tas-saħħa, armonizzati madwar l-UE, filwaqt li jitqiesu r-regolamenti adottati u r-rekwiżiti minimi fil-pajjiż kollu. </w:t>
      </w:r>
    </w:p>
    <w:p>
      <w:pPr>
        <w:pStyle w:val="Normal"/>
        <w:rPr/>
      </w:pPr>
      <w:r>
        <w:rPr/>
        <w:t xml:space="preserve"> </w:t>
      </w:r>
    </w:p>
    <w:p>
      <w:pPr>
        <w:pStyle w:val="Normal"/>
        <w:rPr/>
      </w:pPr>
      <w:r>
        <w:rPr/>
        <w:t xml:space="preserve">Nagħmlu din ir-rakkomandazzjoni għaliex hemm differenzi kbar bejn l-Istati Membri f’termini ta’ politiki soċjali, li għandhom jitnaqqsu sabiex tiġi żgurata ħajja deċenti għaċ-ċittadini kollha u biex jiġu pprovduti l-kura u l-appoġġ meħtieġa għall-persuni vulnerabbli għal diversi raġunijiet (saħħa, età, orjentazzjoni sesswali, eċċ.). </w:t>
      </w:r>
    </w:p>
    <w:p>
      <w:pPr>
        <w:pStyle w:val="Normal"/>
        <w:rPr/>
      </w:pPr>
      <w:r>
        <w:rPr/>
      </w:r>
    </w:p>
    <w:p>
      <w:pPr>
        <w:pStyle w:val="P68B1DB1Normal15"/>
        <w:rPr>
          <w:b/>
          <w:b/>
        </w:rPr>
      </w:pPr>
      <w:r>
        <w:rPr/>
        <w:t xml:space="preserve">20. Nirrakkomandaw il-promozzjoni tar-riċerka soċjali u tas-saħħa fl-UE, billi jiġu segwiti linji ta’ prijorità meqjusa bħala ta’ interess pubbliku u approvati mill-Istati Membri u jiġi pprovdut finanzjament xieraq. Jeħtieġ li nsaħħu l-kooperazzjoni bejn l-oqsma ta’ kompetenza, il-pajjiżi, iċ-ċentri ta’ studju (universitajiet, eċċ.). </w:t>
      </w:r>
    </w:p>
    <w:p>
      <w:pPr>
        <w:pStyle w:val="Normal"/>
        <w:rPr/>
      </w:pPr>
      <w:r>
        <w:rPr/>
        <w:t xml:space="preserve"> </w:t>
      </w:r>
    </w:p>
    <w:p>
      <w:pPr>
        <w:pStyle w:val="Normal"/>
        <w:rPr/>
      </w:pPr>
      <w:r>
        <w:rPr/>
        <w:t xml:space="preserve">Nagħmlu din ir-rakkomandazzjoni għaliex hemm ħafna oqsma fejn għandna bżonn navvanzaw u napprofondixxu l-għarfien tagħna. L-esperjenza bil-pandemija tipprovdi eżempju ta’ kif ir-riċerka hija essenzjali għat-titjib tal-ħajja, li l-kollaborazzjoni bejn il-pubbliku u l-privat u bejn il-gvernijiet hija essenzjali, u li huwa meħtieġ appoġġ finanzjarju. </w:t>
      </w:r>
    </w:p>
    <w:p>
      <w:pPr>
        <w:pStyle w:val="Normal"/>
        <w:rPr/>
      </w:pPr>
      <w:r>
        <w:rPr/>
      </w:r>
    </w:p>
    <w:p>
      <w:pPr>
        <w:pStyle w:val="P68B1DB1Normal15"/>
        <w:rPr>
          <w:b/>
          <w:b/>
        </w:rPr>
      </w:pPr>
      <w:r>
        <w:rPr/>
        <w:t xml:space="preserve">21. Nirrakkomandaw li l-UE jkollha aktar kompetenza fil-politiki soċjali biex tarmonizza r-regoli minimi u l-benefiċċji tal-pensjoni madwar l-UE u tistabbilixxi oħrajn ġodda, abbażi ta’ dijanjożi bir-reqqa. Il-pensjoni minima trid tkun ogħla mil-linja tal-faqar tal-pajjiż. L-età tal-irtirar għandha tvarja skont il-kategoriji tax-xogħol u għandha tkun aktar baxxa għal okkupazzjonijiet mentalment u fiżikament eżiġenti. Fl-istess ħin, id-dritt għax-xogħol għandu jkun garantit għall-anzjani li jixtiequ jkomplu jaħdmu fuq bażi volontarja. </w:t>
      </w:r>
    </w:p>
    <w:p>
      <w:pPr>
        <w:pStyle w:val="Normal"/>
        <w:rPr/>
      </w:pPr>
      <w:r>
        <w:rPr/>
        <w:t xml:space="preserve"> </w:t>
      </w:r>
    </w:p>
    <w:p>
      <w:pPr>
        <w:pStyle w:val="Normal"/>
        <w:rPr/>
      </w:pPr>
      <w:r>
        <w:rPr/>
        <w:t xml:space="preserve">Nagħmlu din ir-rakkomandazzjoni għaliex l-istennija tal-għomor tiżdied u r-rata tat-twelid tonqos. Il-popolazzjoni Ewropea qed tixjieħ, u għalhekk jeħtieġ li nieħdu passi ulterjuri biex nevitaw ir-riskju tal-marġinalizzazzjoni tal-anzjani u niggarantixxulhom ħajja deċenti. </w:t>
      </w:r>
    </w:p>
    <w:p>
      <w:pPr>
        <w:pStyle w:val="Normal"/>
        <w:rPr/>
      </w:pPr>
      <w:r>
        <w:rPr/>
        <w:t xml:space="preserve"> </w:t>
      </w:r>
    </w:p>
    <w:p>
      <w:pPr>
        <w:pStyle w:val="Normal"/>
        <w:rPr/>
      </w:pPr>
      <w:r>
        <w:rPr>
          <w:b/>
        </w:rPr>
        <w:t>22. Nirrakkomandaw l-adozzjoni ta’ sett ta’ miżuri biex titħeġġeġ żieda fir-rata tat-twelid u biex jiġu żgurati soluzzjonijiet xierqa għall-kura tat-tfal. Dawn il-miżuri għandhom ikopru, fost l-oħrajn, servizzi ta’ kura tat-tfal affordabbli u aċċessibbli (fuq ix-xogħol, matul il-lejl, VAT imnaqqsa fuq il-faċilitajiet tat-tfal), akkomodazzjoni, stabbiltà tax-xogħol, appoġġ għall-maternità, appoġġ speċifiku u protezzjoni tax-xogħol għaż-żgħażagħ u l-ġenituri, kif ukoll appoġġ għall-ommijiet u l-missirijiet fil-forma ta’ aċċess għall-għarfien malli jirritornaw għax-xogħol.</w:t>
      </w:r>
      <w:r>
        <w:rPr/>
        <w:t xml:space="preserve"> </w:t>
      </w:r>
    </w:p>
    <w:p>
      <w:pPr>
        <w:pStyle w:val="Normal"/>
        <w:rPr/>
      </w:pPr>
      <w:r>
        <w:rPr/>
        <w:t xml:space="preserve"> </w:t>
      </w:r>
    </w:p>
    <w:p>
      <w:pPr>
        <w:pStyle w:val="Normal"/>
        <w:rPr/>
      </w:pPr>
      <w:r>
        <w:rPr/>
        <w:t xml:space="preserve">Nagħmlu din ir-rakkomandazzjoni għaliex l-UE hija distinta minn rati baxxi ta’ twelid li jikkontribwixxu wkoll għat-tixjiħ tal-popolazzjoni tal-Ewropa u li jitolbu azzjoni immedjata. Il-pakkett propost għandu l-għan li jiżgura li l-familji żgħażagħ ikollhom l-istabbiltà meħtieġa biex jieħdu ħsieb it-tfal. </w:t>
      </w:r>
    </w:p>
    <w:p>
      <w:pPr>
        <w:pStyle w:val="Normal"/>
        <w:rPr/>
      </w:pPr>
      <w:r>
        <w:rPr/>
      </w:r>
    </w:p>
    <w:p>
      <w:pPr>
        <w:pStyle w:val="P68B1DB1Normal15"/>
        <w:rPr>
          <w:b/>
          <w:b/>
        </w:rPr>
      </w:pPr>
      <w:r>
        <w:rPr/>
        <w:t xml:space="preserve">23. Nirrakkomandaw li jiġu żgurati l-assistenza soċjali u l-kura tas-saħħa għall-anzjani fid-dar u fid-djar tal-kura. Hemm ukoll il-ħtieġa li jittejjeb l-appoġġ għal dawk li jieħdu ħsieb l-anzjani (kważi). </w:t>
      </w:r>
    </w:p>
    <w:p>
      <w:pPr>
        <w:pStyle w:val="Normal"/>
        <w:rPr/>
      </w:pPr>
      <w:r>
        <w:rPr/>
        <w:t xml:space="preserve"> </w:t>
      </w:r>
    </w:p>
    <w:p>
      <w:pPr>
        <w:pStyle w:val="Normal"/>
        <w:rPr/>
      </w:pPr>
      <w:r>
        <w:rPr/>
        <w:t xml:space="preserve">Nagħmlu din ir-rakkomandazzjoni għaliex l-istennija tal-għomor tiżdied u r-rata tat-twelid tonqos; il-popolazzjoni Ewropea qed tixjieħ, u għalhekk jeħtieġ li nieħdu passi ulterjuri biex nevitaw ir-riskju tal-marġinalizzazzjoni tal-anzjani u niggarantixxulhom ħajja deċenti. </w:t>
      </w:r>
    </w:p>
    <w:p>
      <w:pPr>
        <w:pStyle w:val="Normal"/>
        <w:rPr/>
      </w:pPr>
      <w:r>
        <w:rPr/>
        <w:t xml:space="preserve"> </w:t>
      </w:r>
    </w:p>
    <w:p>
      <w:pPr>
        <w:pStyle w:val="P68B1DB1Normal15"/>
        <w:rPr>
          <w:b/>
          <w:b/>
        </w:rPr>
      </w:pPr>
      <w:r>
        <w:rPr/>
        <w:t xml:space="preserve">24. Nirrakkomandaw li l-UE tappoġġja l-kura palljattiva u l-mewt assistita [ewtanasja] skont sett konkret ta’ regoli u regolamenti. </w:t>
      </w:r>
    </w:p>
    <w:p>
      <w:pPr>
        <w:pStyle w:val="Normal"/>
        <w:rPr/>
      </w:pPr>
      <w:r>
        <w:rPr/>
        <w:t xml:space="preserve"> </w:t>
      </w:r>
    </w:p>
    <w:p>
      <w:pPr>
        <w:pStyle w:val="Normal"/>
        <w:rPr/>
      </w:pPr>
      <w:r>
        <w:rPr/>
        <w:t xml:space="preserve">Nagħmlu din ir-rakkomandazzjoni għaliex tnaqqas l-uġigħ tal-pazjenti u tal-familji u tiżgura tmiem deċenti tal-ħajja. </w:t>
      </w:r>
    </w:p>
    <w:p>
      <w:pPr>
        <w:pStyle w:val="Normal"/>
        <w:rPr/>
      </w:pPr>
      <w:r>
        <w:rPr/>
        <w:t xml:space="preserve"> </w:t>
      </w:r>
    </w:p>
    <w:p>
      <w:pPr>
        <w:pStyle w:val="Titre4"/>
        <w:numPr>
          <w:ilvl w:val="3"/>
          <w:numId w:val="2"/>
        </w:numPr>
        <w:rPr/>
      </w:pPr>
      <w:bookmarkStart w:id="117" w:name="__RefHeading___Toc297169_1346298689"/>
      <w:bookmarkEnd w:id="117"/>
      <w:r>
        <w:rPr/>
        <w:t xml:space="preserve">Sottoassi 3.2 Ugwaljanza tad-drittijiet </w:t>
      </w:r>
    </w:p>
    <w:p>
      <w:pPr>
        <w:pStyle w:val="Normal"/>
        <w:rPr/>
      </w:pPr>
      <w:r>
        <w:rPr/>
        <w:t xml:space="preserve"> </w:t>
      </w:r>
    </w:p>
    <w:p>
      <w:pPr>
        <w:pStyle w:val="P68B1DB1Normal15"/>
        <w:rPr>
          <w:b/>
          <w:b/>
        </w:rPr>
      </w:pPr>
      <w:r>
        <w:rPr/>
        <w:t xml:space="preserve">25. Nirrakkomandaw li l-UE tappoġġja l-aċċess immirat taċ-ċittadini għal akkomodazzjoni soċjali deċenti, skont il-ħtiġijiet speċifiċi tagħhom. L-isforz finanzjarju għandu jinqasam bejn id-donaturi privati, is-sidien tad-djar, il-benefiċjarji tal-akkomodazzjoni, il-gvernijiet tal-Istati Membri fil-livell ċentrali u lokali u l-Unjoni Ewropea. L-għan għandu jkun li jiġu ffaċilitati l-kostruzzjoni/it-tiswija ta’ stokk ta’ akkomodazzjoni soċjali eżistenti, inkluż permezz ta’ assoċjazzjonijiet kooperattivi, il-kiri u x-xiri. L-għajnuna għandha tingħata fuq il-bażi ta’ kriterji ċari (eż. erja massima/persuna li għandha tiġi ssussidjata, id-dħul tal-benefiċjarji, eċċ.). </w:t>
      </w:r>
    </w:p>
    <w:p>
      <w:pPr>
        <w:pStyle w:val="Normal"/>
        <w:rPr/>
      </w:pPr>
      <w:r>
        <w:rPr/>
        <w:t xml:space="preserve"> </w:t>
      </w:r>
    </w:p>
    <w:p>
      <w:pPr>
        <w:pStyle w:val="Normal"/>
        <w:rPr/>
      </w:pPr>
      <w:r>
        <w:rPr/>
        <w:t xml:space="preserve">Nagħmlu din ir-rakkomandazzjoni għaliex it-titjib tal-aċċess għall-akkomodazzjoni jiżgura li ċ-ċittadini tal-UE jgawdu drittijiet indaqs tanġibbli u jgħin biex jittaffew it-tensjonijiet soċjali. L-UE hija prinċipalment mitluba tissorvelja l-mekkaniżmu ta’ appoġġ; għandhom isiru sforzi akbar mill-awtoritajiet nazzjonali u lokali biex jindirizzaw il-problemi tal-akkomodazzjoni. </w:t>
      </w:r>
    </w:p>
    <w:p>
      <w:pPr>
        <w:pStyle w:val="Normal"/>
        <w:rPr/>
      </w:pPr>
      <w:r>
        <w:rPr/>
      </w:r>
    </w:p>
    <w:p>
      <w:pPr>
        <w:pStyle w:val="P68B1DB1Normal15"/>
        <w:rPr>
          <w:b/>
          <w:b/>
        </w:rPr>
      </w:pPr>
      <w:r>
        <w:rPr/>
        <w:t xml:space="preserve">26. Nirrakkomandaw li l-UE ttejjeb ir-regolamentazzjoni u l-implimentazzjoni uniformi tal-miżuri ta’ appoġġ għall-familji bit-tfal fl-Istati Membri kollha. Dawn il-miżuri għandhom jinkludu b’mod partikolari: żieda fit-tul ta’ żmien tal-leave tal-ġenituri, l-ammont ta’ l-allowance tat-twelid u l-allowance għall-kura tat-tfal. </w:t>
      </w:r>
    </w:p>
    <w:p>
      <w:pPr>
        <w:pStyle w:val="Normal"/>
        <w:rPr/>
      </w:pPr>
      <w:r>
        <w:rPr/>
        <w:t xml:space="preserve"> </w:t>
      </w:r>
    </w:p>
    <w:p>
      <w:pPr>
        <w:pStyle w:val="Normal"/>
        <w:rPr/>
      </w:pPr>
      <w:r>
        <w:rPr/>
        <w:t xml:space="preserve">Nagħmlu din ir-rakkomandazzjoni għax nemmnu li dawn il-miżuri jtaffu l-problema demografika li qed tiffaċċja l-UE. Huma jtejbu wkoll l-ugwaljanza bejn is-sessi bejn il-ġenituri. </w:t>
      </w:r>
    </w:p>
    <w:p>
      <w:pPr>
        <w:pStyle w:val="Normal"/>
        <w:rPr/>
      </w:pPr>
      <w:r>
        <w:rPr/>
      </w:r>
    </w:p>
    <w:p>
      <w:pPr>
        <w:pStyle w:val="P68B1DB1Normal15"/>
        <w:rPr>
          <w:b/>
          <w:b/>
        </w:rPr>
      </w:pPr>
      <w:r>
        <w:rPr/>
        <w:t xml:space="preserve">27. Nirrakkomandaw li l-UE tieħu passi biex tiżgura li l-familji kollha jgawdu l-istess drittijiet tal-familja fl-Istati Membri kollha. Dawn id-drittijiet jinkludu d-dritt għaż-żwieġ u l-adozzjoni. </w:t>
      </w:r>
    </w:p>
    <w:p>
      <w:pPr>
        <w:pStyle w:val="Normal"/>
        <w:rPr/>
      </w:pPr>
      <w:r>
        <w:rPr/>
        <w:t xml:space="preserve"> </w:t>
      </w:r>
    </w:p>
    <w:p>
      <w:pPr>
        <w:pStyle w:val="Normal"/>
        <w:rPr/>
      </w:pPr>
      <w:r>
        <w:rPr/>
        <w:t xml:space="preserve">Nagħmlu din ir-rakkomandazzjoni għaliex nemmnu li ċ-ċittadini kollha tal-UE għandhom igawdu drittijiet ugwali, inklużi d-drittijiet tal-familja. Il-familja hija l-forma bażika ta’ organizzazzjoni soċjali. Familja kuntenta tikkontribwixxi għal soċjetà b’saħħitha. Ir-rakkomandazzjoni għandha l-għan li tiżgura li ċ-ċittadini kollha jgawdu d-drittijiet tal-familja, irrispettivament mis-sess, l-età adulta, l-oriġini etnika jew is-saħħa fiżika.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Is-sottoassi 3.3 Ekwità/Sottoassi 3.4 Aċċess għall-isport </w:t>
      </w:r>
      <w:commentRangeEnd w:id="1"/>
      <w:r>
        <w:commentReference w:id="1"/>
      </w:r>
      <w:r>
        <w:rPr/>
      </w:r>
    </w:p>
    <w:p>
      <w:pPr>
        <w:pStyle w:val="Normal"/>
        <w:rPr/>
      </w:pPr>
      <w:r>
        <w:rPr/>
        <w:t xml:space="preserve"> </w:t>
      </w:r>
    </w:p>
    <w:p>
      <w:pPr>
        <w:pStyle w:val="P68B1DB1Normal15"/>
        <w:rPr>
          <w:b/>
          <w:b/>
        </w:rPr>
      </w:pPr>
      <w:r>
        <w:rPr/>
        <w:t xml:space="preserve">28. Nirrakkomandaw li l-Istrateġija tal-UE dwar l-Ugwaljanza bejn il-Ġeneri għall-2020–2025 tiġi promossa bil-qawwa u tingħata prijorità għolja bħala kwistjoni urġenti li tiġi indirizzata b’mod effettiv mill-Istati Membri. L-UE għandha (a) tiddefinixxi indikaturi (l-attitudnijiet, id-differenza fil-pagi, l-impjiegi, it-tmexxija, eċċ.), timmonitorja l-istrateġija fuq bażi annwali u tkun trasparenti dwar ir-riżultati miksuba; u b) it-twaqqif ta’ ombudsman biex jinkiseb rispons dirett miċ-ċittadini. </w:t>
      </w:r>
    </w:p>
    <w:p>
      <w:pPr>
        <w:pStyle w:val="Normal"/>
        <w:rPr/>
      </w:pPr>
      <w:r>
        <w:rPr/>
        <w:t xml:space="preserve"> </w:t>
      </w:r>
    </w:p>
    <w:p>
      <w:pPr>
        <w:pStyle w:val="Normal"/>
        <w:rPr/>
      </w:pPr>
      <w:r>
        <w:rPr/>
        <w:t xml:space="preserve">Nagħmlu din ir-rakkomandazzjoni għax nemmnu li s-sitwazzjoni tal-ġeneru fl-UE għadha ‘l bogħod milli tkun sodisfaċenti. Għandu jkun hemm armonija dwar l-ugwaljanza bejn is-sessi u d-drittijiet ċivili fil-livell Ewropew, sabiex jintlaħqu l-objettivi tal-ugwaljanza bejn is-sessi u d-drittijiet ċivili fil-pajjiżi kollha, mhux biss dawk fejn il-kompromess huwa aktar b’saħħtu. Aħna impenjati għall-preżenza u l-kontribut tan-nisa f’pożizzjonijiet ta’ poter u f’kull tip ta’ professjoni, sabiex ikollna Unjoni Ewropea diversa u sodisfaċenti. In-nisa huma żvantaġġati f’ħafna sitwazzjonijiet (anke meta jkollhom livell tajjeb ta’ edukazzjoni/edukazzjoni għolja ċertifikata jew privileġġi oħra), għalhekk strateġija bħal din hija assolutament meħtieġa. </w:t>
      </w:r>
    </w:p>
    <w:p>
      <w:pPr>
        <w:pStyle w:val="Normal"/>
        <w:rPr/>
      </w:pPr>
      <w:r>
        <w:rPr/>
      </w:r>
    </w:p>
    <w:p>
      <w:pPr>
        <w:pStyle w:val="P68B1DB1Normal15"/>
        <w:rPr>
          <w:b/>
          <w:b/>
        </w:rPr>
      </w:pPr>
      <w:r>
        <w:rPr/>
        <w:t xml:space="preserve">29. Nirrakkomandaw li l-UE tippromwovi u tqajjem kuxjenza pubblika dwar l-isport u l-attività fiżika fl-Istati Membri kollha, minħabba l-benefiċċji tagħhom għas-saħħa. L-isport u l-attività fiżika għandhom jiġu inklużi fil-politiki soċjali, fil-politiki tas-saħħa mentali u fiżika, fil-politiki tal-edukazzjoni u tax-xogħol (jiġifieri l-promozzjoni tal-preskrizzjoni tal-isport u/jew l-attività fiżika mit-tobba u, fejn isir, l-iżgurar tal-aċċess għall-faċilitajiet sportivi; Siegħa xogħol/ġimgħa għall-attività fiżika, eċċ.). </w:t>
      </w:r>
    </w:p>
    <w:p>
      <w:pPr>
        <w:pStyle w:val="Normal"/>
        <w:rPr/>
      </w:pPr>
      <w:r>
        <w:rPr/>
        <w:t xml:space="preserve"> </w:t>
      </w:r>
    </w:p>
    <w:p>
      <w:pPr>
        <w:pStyle w:val="Normal"/>
        <w:rPr/>
      </w:pPr>
      <w:r>
        <w:rPr/>
        <w:t xml:space="preserve">Nagħmlu din ir-rakkomandazzjoni għaliex huwa investiment fit-tul. L-investiment fl-isport u fl-attività fiżika jnaqqas l-ispejjeż u l-piżijiet fuq is-servizzi tas-saħħa. Pereżempju, l-isport u l-attività fiżika bħala intervent tas-saħħa jnaqqsu t-tul ta’ żmien tat-trattamenti u jagħmluhom aktar effettivi. Din l-istrateġija diġà qed tiġi implimentata b’suċċess f’xi pajjiżi bħall-Ġermanja. L-isport huwa mod kif jinbnew valuri bħall-impenn, l-isforz, l-istima personali, ir-rispett jew il-camaraderie. Stili ta’ ħajja sedentarji huma aktar komuni milli għall-ġenerazzjonijiet preċedenti minħabba, fost affarijiet oħra, aktar impjiegi fl-uffiċċju u/jew bidliet fid-drawwiet ta’ divertiment. </w:t>
      </w:r>
    </w:p>
    <w:p>
      <w:pPr>
        <w:pStyle w:val="Normal"/>
        <w:rPr/>
      </w:pPr>
      <w:r>
        <w:rPr/>
      </w:r>
    </w:p>
    <w:p>
      <w:pPr>
        <w:pStyle w:val="P68B1DB1Normal15"/>
        <w:rPr>
          <w:b/>
          <w:b/>
        </w:rPr>
      </w:pPr>
      <w:r>
        <w:rPr/>
        <w:t xml:space="preserve">30. Nirrakkomandaw li l-UE tobbliga lil kull Stat Membru li jkollu paga minima li tkun definita skont l-għoli tal-ħajja fit-territorju tiegħu u li titqies bħala paga ġusta li tippermetti kundizzjonijiet minimi tal-għajxien,’il fuq mil-linja tal-faqar. Kull Stat Membru għandu jissorveljaha. </w:t>
      </w:r>
    </w:p>
    <w:p>
      <w:pPr>
        <w:pStyle w:val="Normal"/>
        <w:rPr/>
      </w:pPr>
      <w:r>
        <w:rPr/>
        <w:t xml:space="preserve"> </w:t>
      </w:r>
    </w:p>
    <w:p>
      <w:pPr>
        <w:pStyle w:val="Normal"/>
        <w:rPr/>
      </w:pPr>
      <w:r>
        <w:rPr/>
        <w:t xml:space="preserve">Nagħmlu din ir-rakkomandazzjoni għaliex huwa inġust li ma nkunux nistgħu nilħqu l-aħħar tax-xahar meta naħdmu. Pagi ġusti għandhom jikkontribwixxu għall-kwalità tal-ħajja fil-livell soċjali. Il-pagi inġusti għandhom spiża għolja għall-istati (sigurtà, evażjoni tat-taxxa, spejjeż soċjali ogħla, eċċ.). </w:t>
      </w:r>
    </w:p>
    <w:p>
      <w:pPr>
        <w:pStyle w:val="Normal"/>
        <w:rPr/>
      </w:pPr>
      <w:r>
        <w:rPr/>
      </w:r>
    </w:p>
    <w:p>
      <w:pPr>
        <w:pStyle w:val="P68B1DB1Normal15"/>
        <w:rPr>
          <w:b/>
          <w:b/>
        </w:rPr>
      </w:pPr>
      <w:r>
        <w:rPr/>
        <w:t xml:space="preserve">31. Nirrakkomandaw l-armonizzazzjoni tat-taxxa fl-Istati Membri fil-livell tal-UE (biex jiġu evitati r-rifuġji fiskali fl-UE u biex tiġi miġġielda r-rilokazzjoni fl-Ewropa), kif ukoll inċentiv fiskali biex tiġi skoraġġita r-rilokazzjoni tal-impjiegi barra mill-Ewropa. </w:t>
      </w:r>
    </w:p>
    <w:p>
      <w:pPr>
        <w:pStyle w:val="Normal"/>
        <w:rPr/>
      </w:pPr>
      <w:r>
        <w:rPr/>
        <w:t xml:space="preserve"> </w:t>
      </w:r>
    </w:p>
    <w:p>
      <w:pPr>
        <w:pStyle w:val="Normal"/>
        <w:rPr/>
      </w:pPr>
      <w:r>
        <w:rPr/>
        <w:t xml:space="preserve">Aħna nagħmlu din ir-rakkomandazzjoni għaliex ninsabu mħassba dwar l-impatt tar-rilokazzjoni tal-impjiegi barra mill-Ewropa u nemmnu li din tipprevjeni l-kompetizzjoni fiskali bejn l-Istati Membri tal-UE. </w:t>
      </w:r>
    </w:p>
    <w:p>
      <w:pPr>
        <w:pStyle w:val="Normal"/>
        <w:rPr/>
      </w:pPr>
      <w:r>
        <w:rPr/>
      </w:r>
    </w:p>
    <w:p>
      <w:pPr>
        <w:pStyle w:val="Titre3"/>
        <w:numPr>
          <w:ilvl w:val="2"/>
          <w:numId w:val="2"/>
        </w:numPr>
        <w:rPr/>
      </w:pPr>
      <w:bookmarkStart w:id="119" w:name="__RefHeading___Toc297173_1346298689"/>
      <w:bookmarkEnd w:id="119"/>
      <w:r>
        <w:rPr/>
        <w:t xml:space="preserve">Assi 4 Tagħlim fl-Ewropa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Is-sottoassi 4.1 L-identità Ewropea/Is-sottoassi 4.2 L-edukazzjoni diġitali </w:t>
      </w:r>
      <w:commentRangeEnd w:id="2"/>
      <w:r>
        <w:commentReference w:id="2"/>
      </w:r>
      <w:r>
        <w:rPr/>
      </w:r>
    </w:p>
    <w:p>
      <w:pPr>
        <w:pStyle w:val="Normal"/>
        <w:rPr/>
      </w:pPr>
      <w:r>
        <w:rPr/>
        <w:t xml:space="preserve"> </w:t>
      </w:r>
    </w:p>
    <w:p>
      <w:pPr>
        <w:pStyle w:val="P68B1DB1Normal15"/>
        <w:rPr>
          <w:b/>
          <w:b/>
        </w:rPr>
      </w:pPr>
      <w:r>
        <w:rPr/>
        <w:t xml:space="preserve">32. Nirrakkomandaw il-promozzjoni tal-multilingwiżmu minn età bikrija, pereżempju mill-kindergarten. Mill-iskola primarja, għandu jkun obbligatorju li t-tfal jilħqu l-livell C1 f’lingwa attiva tal-UE minbarra tagħhom. </w:t>
      </w:r>
    </w:p>
    <w:p>
      <w:pPr>
        <w:pStyle w:val="Normal"/>
        <w:rPr/>
      </w:pPr>
      <w:r>
        <w:rPr/>
        <w:t xml:space="preserve"> </w:t>
      </w:r>
    </w:p>
    <w:p>
      <w:pPr>
        <w:pStyle w:val="Normal"/>
        <w:rPr/>
      </w:pPr>
      <w:r>
        <w:rPr/>
        <w:t xml:space="preserve">Nagħmlu din ir-rakkomandazzjoni għaliex il-multilingwiżmu huwa għodda li tgħaqqad liċ-ċittadini u pont ma’ kulturi oħra, u b’hekk tagħmel pajjiżi oħra u l-kulturi tagħhom aktar aċċessibbli. Hija ssaħħaħ l-identità Ewropea u l-iskambji interkulturali. Huwa importanti li nsiru nafu kulturi oħra fil-kuntest tal-Unjoni Ewropea. Għalhekk, il-fatt li wieħed ikun jista’ jitkellem f’livell tajjeb f’żewġ lingwi jikkontribwixxi għall-ħolqien ta’ identità Ewropea komuni u l-fehim ta’ kulturi Ewropej oħra. Jeħtieġ li l-UE taħdem mill-qrib mal-istituzzjonijiet edukattivi biex tikseb riżultati tajbin fl-edukazzjoni. Jeħtieġ ukoll li jiġi stabbilit programm speċifiku (eż. pjattaformi diġitali, programmi Erasmus+ estiżi, eċċ.) għall-promozzjoni esklużiva tal-multilingwiżmu. L-Iskejjel Ewropej attwali jistgħu jservu ta’ mudell f’dan ir-rigward. L-UE għandha toħloq u tippromwovi b’mod aktar attiv skejjel bħal dawn. </w:t>
      </w:r>
    </w:p>
    <w:p>
      <w:pPr>
        <w:pStyle w:val="Normal"/>
        <w:rPr/>
      </w:pPr>
      <w:r>
        <w:rPr/>
      </w:r>
    </w:p>
    <w:p>
      <w:pPr>
        <w:pStyle w:val="P68B1DB1Normal15"/>
        <w:rPr>
          <w:b/>
          <w:b/>
        </w:rPr>
      </w:pPr>
      <w:r>
        <w:rPr/>
        <w:t xml:space="preserve">33. Nirrakkomandaw li l-UE tqajjem kuxjenza fost iż-żgħażagħ dwar il-perikli tal-internet u d-diġitalizzazzjoni billi toħloq suġġett obbligatorju fl-edukazzjoni primarja. L-UE għandha tiżviluppa għodod u toħloq spazji komuni ta’ taħriġ għaż-żgħażagħ biex jitgħallmu flimkien. </w:t>
      </w:r>
    </w:p>
    <w:p>
      <w:pPr>
        <w:pStyle w:val="Normal"/>
        <w:rPr/>
      </w:pPr>
      <w:r>
        <w:rPr/>
        <w:t xml:space="preserve"> </w:t>
      </w:r>
    </w:p>
    <w:p>
      <w:pPr>
        <w:pStyle w:val="Normal"/>
        <w:rPr/>
      </w:pPr>
      <w:r>
        <w:rPr/>
        <w:t xml:space="preserve">Nagħmlu din ir-rakkomandazzjoni għaliex l-inizjattivi jew il-programmi attwali f’dan il-qasam mhumiex biżżejjed. Barra minn hekk, ħafna ċittadini tal-UE mhumiex konxji tal-inizjattivi eżistenti tal-UE f’dawn l-oqsma. It-tfal mhumiex konxji biżżejjed tal-perikli tal-internet, u huwa għalhekk li għandna nagħmlu ħafna aktar biex inqajmu kuxjenza fost il-ġenerazzjoni żagħżugħa. </w:t>
      </w:r>
    </w:p>
    <w:p>
      <w:pPr>
        <w:pStyle w:val="Normal"/>
        <w:rPr/>
      </w:pPr>
      <w:r>
        <w:rPr/>
        <w:t xml:space="preserve"> </w:t>
      </w:r>
    </w:p>
    <w:p>
      <w:pPr>
        <w:pStyle w:val="P68B1DB1Normal15"/>
        <w:rPr>
          <w:b/>
          <w:b/>
        </w:rPr>
      </w:pPr>
      <w:r>
        <w:rPr/>
        <w:t xml:space="preserve">34. Nirrakkomandaw li l-UE taħdem biex tagħmel it-teknoloġija aktar aċċessibbli għall-anzjani billi tinkoraġġixxi programmi u inizjattivi, pereżempju fil-forma ta’ korsijiet imfassla għall-ħtiġijiet tagħhom. L-UE għandha tiggarantixxi d-dritt li tuża t-teknoloġija diġitali għal dawk li jixtiequha u tipproponi alternattivi għal dawk li ma jriduhiex. </w:t>
      </w:r>
    </w:p>
    <w:p>
      <w:pPr>
        <w:pStyle w:val="Normal"/>
        <w:rPr/>
      </w:pPr>
      <w:r>
        <w:rPr/>
        <w:t xml:space="preserve"> </w:t>
      </w:r>
    </w:p>
    <w:p>
      <w:pPr>
        <w:pStyle w:val="Normal"/>
        <w:rPr/>
      </w:pPr>
      <w:r>
        <w:rPr/>
        <w:t xml:space="preserve">Nagħmlu din ir-rakkomandazzjoni għaliex l-UE għandha tiżgura li l-anzjani jkunu jistgħu jipparteċipaw fid-dinja diġitali u li ħadd ma jiġi diskriminat. Għandhom jiġu stabbiliti għodod simplifikati għal ġenerazzjonijiet inqas esperjenzati fl-użu ta’ ċerti teknoloġiji, sabiex jiġu integrati fid-dinja tal-lum. Nirrakkomandaw li l-inizjattivi eżistenti jiġu promossi aħjar sabiex iċ-ċittadini jkunu konxji tagħhom. L-anzjani m’għandhomx jiġu diskriminati fl-UE fir-rigward tal-użu tal-għodod tal-IT. (Bħala inċident, dan ifisser li ċ-ċittadini għandhom ikunu jistgħu jgħixu ħajjithom mingħajr ma jkollhom għalfejn jgħaddu minn netwerk tal-internet). L-UE għandha torganizza u tqiegħed għad-dispożizzjoni tal-anzjani assistenza permanenti mingħajr ħlas biex tiffaċilita l-aċċess għall-għodod diġitali. </w:t>
      </w:r>
    </w:p>
    <w:p>
      <w:pPr>
        <w:pStyle w:val="Normal"/>
        <w:rPr/>
      </w:pPr>
      <w:r>
        <w:rPr/>
      </w:r>
    </w:p>
    <w:p>
      <w:pPr>
        <w:pStyle w:val="Titre4"/>
        <w:numPr>
          <w:ilvl w:val="3"/>
          <w:numId w:val="2"/>
        </w:numPr>
        <w:rPr/>
      </w:pPr>
      <w:bookmarkStart w:id="121" w:name="__RefHeading___Toc297177_1346298689"/>
      <w:bookmarkEnd w:id="121"/>
      <w:r>
        <w:rPr/>
        <w:t xml:space="preserve">Sub-assi 4.3 Skambju kulturali/Sotto-assi 4.4 Edukazzjoni ambjentali </w:t>
      </w:r>
    </w:p>
    <w:p>
      <w:pPr>
        <w:pStyle w:val="Normal"/>
        <w:rPr/>
      </w:pPr>
      <w:r>
        <w:rPr/>
        <w:t xml:space="preserve"> </w:t>
      </w:r>
    </w:p>
    <w:p>
      <w:pPr>
        <w:pStyle w:val="P68B1DB1Normal15"/>
        <w:rPr>
          <w:b/>
          <w:b/>
        </w:rPr>
      </w:pPr>
      <w:r>
        <w:rPr/>
        <w:t xml:space="preserve">35. Nirrakkomandaw li l-UE toħloq pjattaforma fejn il-materjali edukattivi dwar it-tibdil fil-klima, is-sostenibbiltà u l-kwistjonijiet ambjentali jkunu disponibbli għal skopijiet edukattivi. Din l-informazzjoni għandha tkun ibbażata fuq fatti, ivverifikata minn esperti u adattata għal kull Stat Membru. Il-pjattaforma: </w:t>
      </w:r>
    </w:p>
    <w:p>
      <w:pPr>
        <w:pStyle w:val="P68B1DB1Normal15"/>
        <w:rPr>
          <w:b/>
          <w:b/>
        </w:rPr>
      </w:pPr>
      <w:r>
        <w:rPr/>
        <w:t xml:space="preserve">● </w:t>
      </w:r>
      <w:r>
        <w:rPr/>
        <w:t xml:space="preserve">għandhom jinkludu lezzjonijiet għal diversi gruppi fil-mira, pereżempju għall-persuni li jgħixu f’żoni urbani jew rurali, il-gruppi ta’ età kollha u l-livelli ta’ għarfien preċedenti; </w:t>
      </w:r>
    </w:p>
    <w:p>
      <w:pPr>
        <w:pStyle w:val="P68B1DB1Normal15"/>
        <w:rPr>
          <w:b/>
          <w:b/>
        </w:rPr>
      </w:pPr>
      <w:r>
        <w:rPr/>
        <w:t xml:space="preserve">● </w:t>
      </w:r>
      <w:r>
        <w:rPr/>
        <w:t xml:space="preserve">għandu jkun disponibbli għall-Istati Membri kollha u jkun aċċessibbli faċilment; </w:t>
      </w:r>
    </w:p>
    <w:p>
      <w:pPr>
        <w:pStyle w:val="P68B1DB1Normal15"/>
        <w:rPr>
          <w:b/>
          <w:b/>
        </w:rPr>
      </w:pPr>
      <w:r>
        <w:rPr/>
        <w:t xml:space="preserve">● </w:t>
      </w:r>
      <w:r>
        <w:rPr/>
        <w:t xml:space="preserve">għandu jinkludi, fl-implimentazzjoni tiegħu, pjan ta’ promozzjoni li għandu jinvolvi lill-impriżi kkonċernati; </w:t>
      </w:r>
    </w:p>
    <w:p>
      <w:pPr>
        <w:pStyle w:val="P68B1DB1Normal15"/>
        <w:rPr>
          <w:b/>
          <w:b/>
        </w:rPr>
      </w:pPr>
      <w:r>
        <w:rPr/>
        <w:t xml:space="preserve">● </w:t>
      </w:r>
      <w:r>
        <w:rPr/>
        <w:t xml:space="preserve">jista’ jkun disponibbli fl-istess ħin ma’ programm ta’ finanzjament biex jappoġġja l-użu u l-implimentazzjoni tal-informazzjoni disponibbli fuq il-pjattaforma. Dan il-finanzjament għandu jappoġġja wkoll żjarat fuq il-post biex jiġu ppreżentati eżempji konkreti. </w:t>
      </w:r>
    </w:p>
    <w:p>
      <w:pPr>
        <w:pStyle w:val="Normal"/>
        <w:rPr/>
      </w:pPr>
      <w:r>
        <w:rPr/>
        <w:t xml:space="preserve"> </w:t>
      </w:r>
    </w:p>
    <w:p>
      <w:pPr>
        <w:pStyle w:val="Normal"/>
        <w:rPr/>
      </w:pPr>
      <w:r>
        <w:rPr/>
        <w:t xml:space="preserve">Nagħmlu din ir-rakkomandazzjoni għaliex persuni ta’ kull età jeħtieġu aċċess għal informazzjoni fattwali dwar kif għandhom jiġu indirizzati t-tibdil fil-klima, is-sostenibbiltà u l-kwistjonijiet ambjentali. Kunċetti importanti, bħall-impronta ekoloġika, għandhom jinftiehmu minn kulħadd, speċjalment iż-żgħażagħ, għaliex dak li nitgħallmu lit-tfal jakkumpanjana tul ħajjitna kollha. Dawn is-suġġetti huma kumplessi u d-diżinformazzjoni hija mifruxa. Neħtieġu sors affidabbli u l-UE għandha l-kredibbiltà u r-riżorsi biex tassumi dan ir-rwol. Dan huwa importanti wkoll minħabba li l-livelli ta’ għarfien u aċċess għal informazzjoni kredibbli jvarjaw minn Stat Membru għal ieħor. </w:t>
      </w:r>
    </w:p>
    <w:p>
      <w:pPr>
        <w:pStyle w:val="Normal"/>
        <w:rPr/>
      </w:pPr>
      <w:r>
        <w:rPr/>
      </w:r>
    </w:p>
    <w:p>
      <w:pPr>
        <w:pStyle w:val="P68B1DB1Normal15"/>
        <w:rPr>
          <w:b/>
          <w:b/>
        </w:rPr>
      </w:pPr>
      <w:r>
        <w:rPr/>
        <w:t xml:space="preserve">36. Nirrakkomandaw li l-UE tagħti prijorità lill-iżgurar li l-programmi ta’ skambju jkunu aċċessibbli għal kulħadd (gruppi ta’ età, Stati Membri, livelli ta’ edukazzjoni u kapaċità finanzjarja) u li tippermetti traineeships jew skambji bejn is-setturi, il-pajjiżi, l-istituzzjonijiet edukattivi, il-bliet u n-negozji. L-UE għandha tkun responsabbli għat-tnedija, il-medjazzjoni u l-finanzjament ta’ skambji kulturali u soċjali madwar l-UE, kemm fiżiċi kif ukoll diġitali. L-UE għandha tippromwovi b’mod attiv dawn l-inizjattivi u timmira lejn persuni li għadhom mhumiex konxji tal-programmi ta’ skambju kulturali u soċjali. Il-Konferenza dwar il-Futur tal-Ewropa, li għaliha ċ-ċittadini ntgħażlu b’mod aleatorju, hija l-eżempju perfett ta’ skambju Ewropew. Irridu aktar inizjattivi ta’ dan it-tip, iżda rridu wkoll inizjattivi fuq skala iżgħar, kif ukoll skambji fl-oqsma tal-isport, il-mużika, internships (soċjali), eċċ. </w:t>
      </w:r>
    </w:p>
    <w:p>
      <w:pPr>
        <w:pStyle w:val="P68B1DB1Normal15"/>
        <w:rPr>
          <w:b/>
          <w:b/>
        </w:rPr>
      </w:pPr>
      <w:r>
        <w:rPr/>
        <w:t xml:space="preserve"> </w:t>
      </w:r>
    </w:p>
    <w:p>
      <w:pPr>
        <w:pStyle w:val="Normal"/>
        <w:rPr/>
      </w:pPr>
      <w:r>
        <w:rPr/>
        <w:t xml:space="preserve">Nagħmlu din ir-rakkomandazzjoni għaliex huwa importanti li jinħoloq sens ta’ appartenenza u koeżjoni u li nippromwovu t-tolleranza għad-diversità u l-perspettivi magnífico tagħna, kif ukoll l-iżvilupp tal-ħiliet individwali. Dan il-proċess se jiżviluppa ħbiberiji, fehim reċiproku u ħsieb kritiku. Nixtiequ nippromwovu l-involviment tal-membri kollha tal-komunitajiet tagħna, anke dawk li s’issa għadhom ma pparteċipawx f’inizjattivi bħal dawn. </w:t>
      </w:r>
    </w:p>
    <w:p>
      <w:pPr>
        <w:pStyle w:val="Normal"/>
        <w:rPr/>
      </w:pPr>
      <w:r>
        <w:rPr/>
      </w:r>
    </w:p>
    <w:p>
      <w:pPr>
        <w:pStyle w:val="Titre4"/>
        <w:numPr>
          <w:ilvl w:val="3"/>
          <w:numId w:val="2"/>
        </w:numPr>
        <w:rPr/>
      </w:pPr>
      <w:bookmarkStart w:id="122" w:name="__RefHeading___Toc297179_1346298689"/>
      <w:bookmarkEnd w:id="122"/>
      <w:r>
        <w:rPr/>
        <w:t xml:space="preserve">Sotto-assi 4.5 Kwalità, finanzjament u aċċess għall-edukazzjoni/Sotto-assi 4.6 Armonizzazzjoni ta’ l-edukazzjoni </w:t>
      </w:r>
    </w:p>
    <w:p>
      <w:pPr>
        <w:pStyle w:val="Normal"/>
        <w:rPr/>
      </w:pPr>
      <w:r>
        <w:rPr/>
        <w:t xml:space="preserve"> </w:t>
      </w:r>
    </w:p>
    <w:p>
      <w:pPr>
        <w:pStyle w:val="P68B1DB1Normal15"/>
        <w:rPr>
          <w:b/>
          <w:b/>
        </w:rPr>
      </w:pPr>
      <w:r>
        <w:rPr/>
        <w:t xml:space="preserve">37. Nirrakkomandaw li l-Istati Membri kollha jiddefinixxu u jadottaw standard minimu ta’ edukazzjoni ċċertifikata f’suġġetti essenzjali mill-iskola primarja ‘l quddiem. L-għan huwa li jiġi żgurat li ċ-ċittadini kollha jkollhom aċċess ugwali għal edukazzjoni ta’ kwalità li tiggarantixxi l-ekwità u l-ugwaljanza. </w:t>
      </w:r>
    </w:p>
    <w:p>
      <w:pPr>
        <w:pStyle w:val="Normal"/>
        <w:rPr/>
      </w:pPr>
      <w:r>
        <w:rPr/>
      </w:r>
    </w:p>
    <w:p>
      <w:pPr>
        <w:pStyle w:val="Normal"/>
        <w:rPr/>
      </w:pPr>
      <w:r>
        <w:rPr/>
        <w:t xml:space="preserve">Aħna nagħmlu din ir-rakkomandazzjoni għar-raġunijiet li ġejjin: </w:t>
      </w:r>
    </w:p>
    <w:p>
      <w:pPr>
        <w:pStyle w:val="Normal"/>
        <w:rPr/>
      </w:pPr>
      <w:r>
        <w:rPr/>
        <w:t xml:space="preserve">● </w:t>
      </w:r>
      <w:r>
        <w:rPr/>
        <w:t xml:space="preserve">l-eżistenza ta’ standard minimu ssaħħaħ il-fiduċja tal-ġenituri, l-għalliema u l-istudenti fis-sistemi edukattivi tagħhom filwaqt li tħalli lok għal inizjattiva u diversità. </w:t>
      </w:r>
    </w:p>
    <w:p>
      <w:pPr>
        <w:pStyle w:val="Normal"/>
        <w:rPr/>
      </w:pPr>
      <w:r>
        <w:rPr/>
        <w:t xml:space="preserve">Jekk tiġi implimentata, ir-rakkomandazzjoni tagħna se ssaħħaħ u ssaħħaħ l-identità Ewropea komuni, filwaqt li trawwem il-koeżjoni, l-unità u s-sens ta’ appartenenza. </w:t>
      </w:r>
    </w:p>
    <w:p>
      <w:pPr>
        <w:pStyle w:val="Normal"/>
        <w:rPr/>
      </w:pPr>
      <w:r>
        <w:rPr/>
        <w:t xml:space="preserve">● </w:t>
      </w:r>
      <w:r>
        <w:rPr/>
        <w:t xml:space="preserve">L-implimentazzjoni ta’ din ir-rakkomandazzjoni ssaħħaħ il-kooperazzjoni u l-iskambji bejn l-iskejjel madwar l-UE, li ttejjeb ir-relazzjonijiet bejn l-għalliema u l-istudenti u tiffaċilita ħafna l-programmi ta’ skambju. </w:t>
      </w:r>
    </w:p>
    <w:p>
      <w:pPr>
        <w:pStyle w:val="Normal"/>
        <w:rPr/>
      </w:pPr>
      <w:r>
        <w:rPr/>
      </w:r>
    </w:p>
    <w:p>
      <w:pPr>
        <w:pStyle w:val="P68B1DB1Normal15"/>
        <w:rPr>
          <w:b/>
          <w:b/>
        </w:rPr>
      </w:pPr>
      <w:r>
        <w:rPr/>
        <w:t xml:space="preserve">38. Nirrakkomandaw li l-Ingliż jiġi mgħallem, skont standard ċert, bħala suġġett ewlieni fl-iskejjel primarji fl-Istati Membri kollha tal-UE sabiex tiġi ffaċilitata u msaħħa l-kapaċità taċ-ċittadini Ewropej li jikkomunikaw b’mod effettiv. </w:t>
      </w:r>
    </w:p>
    <w:p>
      <w:pPr>
        <w:pStyle w:val="Normal"/>
        <w:rPr/>
      </w:pPr>
      <w:r>
        <w:rPr/>
        <w:t xml:space="preserve"> </w:t>
      </w:r>
    </w:p>
    <w:p>
      <w:pPr>
        <w:pStyle w:val="Normal"/>
        <w:rPr/>
      </w:pPr>
      <w:r>
        <w:rPr/>
        <w:t xml:space="preserve">Aħna nagħmlu din ir-rakkomandazzjoni għar-raġunijiet li ġejjin: </w:t>
      </w:r>
    </w:p>
    <w:p>
      <w:pPr>
        <w:pStyle w:val="Normal"/>
        <w:rPr/>
      </w:pPr>
      <w:r>
        <w:rPr/>
        <w:t xml:space="preserve">● </w:t>
      </w:r>
      <w:r>
        <w:rPr/>
        <w:t xml:space="preserve">dan jippermetti aktar unità u ugwaljanza billi jsaħħaħ il-kapaċità taċ-ċittadini li jikkomunikaw ma’ xulxin u jappoġġja identità Ewropea komuni aktar b’saħħitha; </w:t>
      </w:r>
    </w:p>
    <w:p>
      <w:pPr>
        <w:pStyle w:val="Normal"/>
        <w:rPr/>
      </w:pPr>
      <w:r>
        <w:rPr/>
        <w:t xml:space="preserve">● </w:t>
      </w:r>
      <w:r>
        <w:rPr/>
        <w:t xml:space="preserve">dan għandu jespandi s-suq tax-xogħol u jagħmilha aktar flessibbli u aċċessibbli, u jagħti liċ-ċittadini l-fiduċja li jaħdmu u jikkomunikaw fl-Istati Membri l-oħra kollha li joffru perspettivi aktar personali u professjonali. </w:t>
      </w:r>
    </w:p>
    <w:p>
      <w:pPr>
        <w:pStyle w:val="Normal"/>
        <w:rPr/>
      </w:pPr>
      <w:r>
        <w:rPr/>
        <w:t xml:space="preserve">● </w:t>
      </w:r>
      <w:r>
        <w:rPr/>
        <w:t xml:space="preserve">approċċ bħal dan jippermetti t-tixrid ta’ lingwa Ewropea komuni f’perjodu ta’ żmien qasir ħafna; </w:t>
      </w:r>
    </w:p>
    <w:p>
      <w:pPr>
        <w:pStyle w:val="Normal"/>
        <w:rPr/>
      </w:pPr>
      <w:r>
        <w:rPr/>
        <w:t xml:space="preserve">● </w:t>
      </w:r>
      <w:r>
        <w:rPr/>
        <w:t xml:space="preserve">l-użu ta’ lingwaġġ komuni jaċċellera l-kondiviżjoni tal-informazzjoni, li tkun ta’ benefiċċju għall-kooperazzjoni, ir-rispons komuni għall-kriżijiet, l-għajnuna umanitarja u t-tqarrib bejn l-Ewropa u l-Ewropej. </w:t>
      </w:r>
    </w:p>
    <w:p>
      <w:pPr>
        <w:pStyle w:val="Normal"/>
        <w:rPr/>
      </w:pPr>
      <w:r>
        <w:rPr/>
      </w:r>
    </w:p>
    <w:p>
      <w:pPr>
        <w:pStyle w:val="Titre3"/>
        <w:numPr>
          <w:ilvl w:val="2"/>
          <w:numId w:val="2"/>
        </w:numPr>
        <w:rPr/>
      </w:pPr>
      <w:bookmarkStart w:id="123" w:name="__RefHeading___Toc297181_1346298689"/>
      <w:bookmarkEnd w:id="123"/>
      <w:r>
        <w:rPr/>
        <w:t xml:space="preserve">Assi 5 Trasformazzjoni diġitali etika u sigura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Sottoassi 5.1 Demokratizzazzjoni tat-trasformazzjoni diġitali/Sottoassi 5.2 Ċibersigurtà </w:t>
      </w:r>
      <w:commentRangeEnd w:id="3"/>
      <w:r>
        <w:commentReference w:id="3"/>
      </w:r>
      <w:r>
        <w:rPr/>
      </w:r>
    </w:p>
    <w:p>
      <w:pPr>
        <w:pStyle w:val="Normal"/>
        <w:rPr/>
      </w:pPr>
      <w:r>
        <w:rPr/>
        <w:t xml:space="preserve"> </w:t>
      </w:r>
    </w:p>
    <w:p>
      <w:pPr>
        <w:pStyle w:val="P68B1DB1Normal15"/>
        <w:rPr>
          <w:b/>
          <w:b/>
        </w:rPr>
      </w:pPr>
      <w:r>
        <w:rPr/>
        <w:t xml:space="preserve">39. Nirrakkomandaw li l-UE jkollha aktar setgħat biex tiġġieled kontra l-kontenut illegali u ċ-ċiberkriminalità. Nirrakkomandaw it-tisħiħ tal-kapaċità tal-Europol/Ċentru Ewropew taċ-Ċiberkriminalità, inkluż: </w:t>
      </w:r>
    </w:p>
    <w:p>
      <w:pPr>
        <w:pStyle w:val="P68B1DB1Normal15"/>
        <w:rPr>
          <w:b/>
          <w:b/>
        </w:rPr>
      </w:pPr>
      <w:r>
        <w:rPr/>
        <w:t xml:space="preserve">● </w:t>
      </w:r>
      <w:r>
        <w:rPr/>
        <w:t xml:space="preserve">żieda fir-riżorsi finanzjarji u l-persunal </w:t>
      </w:r>
    </w:p>
    <w:p>
      <w:pPr>
        <w:pStyle w:val="P68B1DB1Normal15"/>
        <w:rPr>
          <w:b/>
          <w:b/>
        </w:rPr>
      </w:pPr>
      <w:r>
        <w:rPr/>
        <w:t xml:space="preserve">● </w:t>
      </w:r>
      <w:r>
        <w:rPr/>
        <w:t xml:space="preserve">il-garanzija ta’ sanzjonijiet simili f’kull pajjiż ● l-iżgurar ta’ kontroll fil-pront u effettiv tal-legalità </w:t>
      </w:r>
    </w:p>
    <w:p>
      <w:pPr>
        <w:pStyle w:val="Normal"/>
        <w:rPr/>
      </w:pPr>
      <w:r>
        <w:rPr/>
        <w:t xml:space="preserve"> </w:t>
      </w:r>
    </w:p>
    <w:p>
      <w:pPr>
        <w:pStyle w:val="Normal"/>
        <w:rPr/>
      </w:pPr>
      <w:r>
        <w:rPr/>
        <w:t xml:space="preserve">Aħna nagħmlu din ir-rakkomandazzjoni biex niżguraw il-libertà fuq l-internet, filwaqt li niżguraw li d-diskriminazzjoni, l-abbuż u l-fastidju jiġu kkastigati. Aħna nappoġġaw l-idea ta’ korp pubbliku Ewropew għaliex ma rridux inħallu r-regolamentazzjoni tal-pjattaformi online f’idejn il-kumpaniji privati biss. Il-pjattaformi online jridu jieħdu r-responsabbiltà għall-kontenut distribwit, iżda rridu niżguraw li ma jkunux l-interessi tagħhom li jipprevalu. Ir-regolamentazzjoni tal-kontenut u l-prosekuzzjoni ta’ min iwettaq ir-reat għandhom ikunu f’waqthom u effettivi, sabiex ikollhom ukoll effett deterrenti fuq individwi malizzjużi. </w:t>
      </w:r>
    </w:p>
    <w:p>
      <w:pPr>
        <w:pStyle w:val="Normal"/>
        <w:rPr/>
      </w:pPr>
      <w:r>
        <w:rPr/>
      </w:r>
    </w:p>
    <w:p>
      <w:pPr>
        <w:pStyle w:val="P68B1DB1Normal15"/>
        <w:rPr>
          <w:b/>
          <w:b/>
        </w:rPr>
      </w:pPr>
      <w:r>
        <w:rPr/>
        <w:t xml:space="preserve">40. Nirrakkomandaw li l-UE tinvesti f’infrastruttura diġitali innovattiva u ta’ kwalità għolja (bħall-5G li qed jiġi żviluppat fl-Ewropa) biex tiżgura l-awtonomija tal-Ewropa u tipprevjeni d-dipendenza fuq pajjiżi terzi jew kumpaniji privati. L-UE għandha wkoll tagħti attenzjoni partikolari lill-investiment fir-reġjuni li għadhom lura. </w:t>
      </w:r>
    </w:p>
    <w:p>
      <w:pPr>
        <w:pStyle w:val="Normal"/>
        <w:rPr/>
      </w:pPr>
      <w:r>
        <w:rPr/>
        <w:t xml:space="preserve"> </w:t>
      </w:r>
    </w:p>
    <w:p>
      <w:pPr>
        <w:pStyle w:val="Normal"/>
        <w:rPr/>
      </w:pPr>
      <w:r>
        <w:rPr/>
        <w:t xml:space="preserve">Nagħmlu din ir-rakkomandazzjoni għaliex l-infrastruttura diġitali għandha rwol ewlieni fl-ekonomija Ewropea, kif ukoll fil-ħajja ta’ kuljum tal-Ewropej, li huma jiffaċilitaw. Għalhekk l-Ewropa teħtieġ infrastruttura diġitali ta’ kwalità għolja. Jekk tiddependi fuq partijiet terzi, l-Ewropa tista’ tkun vulnerabbli għal influwenzi negattivi minn kumpaniji privati jew pajjiżi barranin. Għalhekk, l-Ewropa għandha tinvesti fl-infrastruttura diġitali sabiex ittejjeb l-awtonomija tagħha. Huwa importanti wkoll li tiġi żgurata l-inklużjoni diġitali billi jiġi żgurat li r-reġjuni inqas żviluppati b’mod diġitali jibbenefikaw minn investimenti. </w:t>
      </w:r>
    </w:p>
    <w:p>
      <w:pPr>
        <w:pStyle w:val="Normal"/>
        <w:rPr/>
      </w:pPr>
      <w:r>
        <w:rPr/>
      </w:r>
    </w:p>
    <w:p>
      <w:pPr>
        <w:pStyle w:val="P68B1DB1Normal15"/>
        <w:rPr>
          <w:b/>
          <w:b/>
        </w:rPr>
      </w:pPr>
      <w:r>
        <w:rPr/>
        <w:t xml:space="preserve">41. Nirrakkomandaw li l-UE tippromwovi l-edukazzjoni dwar l-aħbarijiet foloz, id-diżinformazzjoni u s-sigurtà online fl-iskejjel Ewropej. Għandu jibbaża fuq eżempji ta’ prattika tajba minn madwar l-UE. L-UE għandha twaqqaf organizzazzjoni speċifikament responsabbli għall-promozzjoni ta’ din il-ħidma u tipprovdi rakkomandazzjonijiet lis-sistemi edukattivi. Għandha tippromovi wkoll l-edukazzjoni mhux formali kif ukoll tekniki ta’ tagħlim innovattivi u kreattivi (eż. logħob parteċipattiv). </w:t>
      </w:r>
    </w:p>
    <w:p>
      <w:pPr>
        <w:pStyle w:val="Normal"/>
        <w:rPr/>
      </w:pPr>
      <w:r>
        <w:rPr/>
      </w:r>
    </w:p>
    <w:p>
      <w:pPr>
        <w:pStyle w:val="Normal"/>
        <w:rPr/>
      </w:pPr>
      <w:r>
        <w:rPr/>
        <w:t xml:space="preserve">Nagħmlu din ir-rakkomandazzjoni għaliex l-introduzzjoni ta’ korsijiet dwar is-sigurtà online u l-kultura tas-sigurtà diġitali (il-ġlieda kontra l-iscams online, l-aħbarijiet foloz, eċċ.) fl-iskola hija importanti sabiex kulħadd jingħata l-għodda biex jipproteġi lilu nnifsu minn theddid online. Huwa importanti li jiġu mmirati ż-żgħażagħ, li huma esposti ħafna għal theddid bħal dan. L-iskejjel jistgħu jikkomunikaw ukoll mal-ġenituri biex jippromwovu prattiki tajbin. Dawn il-korsijiet jistgħu jkunu bbażati fuq eżempji ta’ prattika tajba fl-Ewropa (eż. il-Finlandja), filwaqt li jadattaw għall-ħtiġijiet ta’ kull pajjiż. </w:t>
      </w:r>
    </w:p>
    <w:p>
      <w:pPr>
        <w:pStyle w:val="Normal"/>
        <w:rPr/>
      </w:pPr>
      <w:r>
        <w:rPr/>
        <w:t xml:space="preserve"> </w:t>
      </w:r>
    </w:p>
    <w:p>
      <w:pPr>
        <w:pStyle w:val="Titre4"/>
        <w:numPr>
          <w:ilvl w:val="3"/>
          <w:numId w:val="2"/>
        </w:numPr>
        <w:rPr/>
      </w:pPr>
      <w:bookmarkStart w:id="125" w:name="__RefHeading___Toc297185_1346298689"/>
      <w:bookmarkEnd w:id="125"/>
      <w:r>
        <w:rPr/>
        <w:t xml:space="preserve">Sottoassi 5.3 Protezzjoni tad-data </w:t>
      </w:r>
    </w:p>
    <w:p>
      <w:pPr>
        <w:pStyle w:val="Normal"/>
        <w:rPr/>
      </w:pPr>
      <w:r>
        <w:rPr/>
        <w:t xml:space="preserve"> </w:t>
      </w:r>
    </w:p>
    <w:p>
      <w:pPr>
        <w:pStyle w:val="P68B1DB1Normal15"/>
        <w:rPr>
          <w:b/>
          <w:b/>
        </w:rPr>
      </w:pPr>
      <w:r>
        <w:rPr/>
        <w:t xml:space="preserve">42. Nirrakkomandaw aktar li jiġi limitat l-użu ħażin tad-data minn “ġganti tad-data” billi tiżdied il-konformità mal-GDPR (Regolament Ġenerali dwar il-Protezzjoni tad-Data), jinħolqu mekkaniżmi aktar standardizzati madwar l-UE, u jiġi żgurat li anke kumpaniji mhux Ewropej li joperaw fl-UE jikkonformaw ma’ dan ir-regolament. Dan it-titjib jenħtieġ li jipprovdi għal spjegazzjoni ċara u konċiża tal-kundizzjonijiet tal-użu tad-data sabiex tiġi evitata l-ambigwità u l-għoti ta’ informazzjoni addizzjonali dwar kif se tintuża d-data u minn min, u biex jiġi evitat il-kunsens għall-użu mill-ġdid u l-bejgħ mill-ġdid tad-data bħala l-għażla prestabbilita. Għandha tiżgura li d-data titħassar b’mod permanenti meta tintalab minn ċittadin. Jenħtieġ li ssaħħaħ ukoll il-konsistenza tal-monitoraġġ tal-konformità mar-regoli fir-rigward tat-tfassil ta’ profili tal-individwi abbażi tal-attivitajiet online tagħhom. Nipproponu żewġ tipi ta’ sanzjonijiet: multa proporzjonali għall-fatturat tal-kumpanija u l-limitazzjonijiet fuq l-attivitajiet tal-kumpanija. </w:t>
      </w:r>
    </w:p>
    <w:p>
      <w:pPr>
        <w:pStyle w:val="Normal"/>
        <w:rPr/>
      </w:pPr>
      <w:r>
        <w:rPr/>
        <w:t xml:space="preserve"> </w:t>
      </w:r>
    </w:p>
    <w:p>
      <w:pPr>
        <w:pStyle w:val="Normal"/>
        <w:rPr/>
      </w:pPr>
      <w:r>
        <w:rPr/>
        <w:t xml:space="preserve">Nagħmlu din ir-rakkomandazzjoni għaliex it-trasparenza bħalissa hija limitata ħafna fir-rigward tat-tip ta’ data miġbura, kif tiġi pproċessata u l-identità ta’ dawk li lilhom tinbiegħ. Jeħtieġ li nkomplu nillimitaw l-abbużi tal-poter mill-ġganti tad-data u niżguraw li ċ-ċittadini jagħtu l-kunsens tagħhom għall-ipproċessar tad-data tagħhom b’mod konxju. </w:t>
      </w:r>
    </w:p>
    <w:p>
      <w:pPr>
        <w:pStyle w:val="Normal"/>
        <w:rPr/>
      </w:pPr>
      <w:r>
        <w:rPr/>
        <w:t xml:space="preserve"> </w:t>
      </w:r>
    </w:p>
    <w:p>
      <w:pPr>
        <w:pStyle w:val="P68B1DB1Normal15"/>
        <w:rPr>
          <w:b/>
          <w:b/>
        </w:rPr>
      </w:pPr>
      <w:r>
        <w:rPr/>
        <w:t xml:space="preserve">43. Nirrakkomandaw il-ħolqien ta’ aġenzija pan-Ewropea indipendenti li għandha tiddefinixxi b’mod ċar l-imġiba intrużiva (eż. spam) u tiżviluppa linji gwida dwar kif iċ-ċittadini jistgħu jopponu l-ipproċessar tad-data tagħhom u jiksbu t-tħassir tagħha, b’mod partikolari minn partijiet terzi. Din l-aġenzija għandu jkollha l-mandat li tidentifika u tissanzjona l-frodaturi u l-organizzazzjonijiet li ma jikkonformawx mar-regoli. Għandha tiffoka fuq l-iżgurar tal-konformità mar-regoli tal-UE minn entitajiet stabbiliti barra mill-UE iżda li joperaw hemmhekk. Dan ikun iffinanzjat mill-istituzzjonijiet tal-UE u jkun jikkonsisti minn bord konġunt ta’ korpi indipendenti (jiġifieri esperti mill-akkademja u entitajiet li jirrappreżentaw lill-professjonisti). Għandu jkollu praesidium li jdur. Nipproponu żewġ tipi ta’ sanzjonijiet: multa proporzjonali għad-dħul mill-bejgħ ta’ l-impriżi u l-limitazzjonijiet fuq l-attività ta’ l-impriżi. </w:t>
      </w:r>
    </w:p>
    <w:p>
      <w:pPr>
        <w:pStyle w:val="Normal"/>
        <w:rPr/>
      </w:pPr>
      <w:r>
        <w:rPr/>
      </w:r>
    </w:p>
    <w:p>
      <w:pPr>
        <w:pStyle w:val="Normal"/>
        <w:rPr/>
      </w:pPr>
      <w:r>
        <w:rPr/>
        <w:t xml:space="preserve">Nagħmlu din ir-rakkomandazzjoni għaliex m’hemm l-ebda aġenzija ċentrali b’mandat b’saħħtu li tista’ tgħin liċ-ċittadini, speċjalment meta jkollhom problema u jeħtieġu għajnuna, pariri jew appoġġ. M’hemm l-ebda regoli ċari u vinkolanti li l-kumpaniji jridu jsegwu. Fir-rigward tas-sanzjonijiet, dawn mhumiex applikati jew għandhom impatt negliġibbli fuq il-kumpaniji. </w:t>
      </w:r>
    </w:p>
    <w:p>
      <w:pPr>
        <w:pStyle w:val="Normal"/>
        <w:rPr/>
      </w:pPr>
      <w:r>
        <w:rPr/>
        <w:t xml:space="preserve"> </w:t>
      </w:r>
    </w:p>
    <w:p>
      <w:pPr>
        <w:pStyle w:val="P68B1DB1Normal15"/>
        <w:rPr>
          <w:b/>
          <w:b/>
        </w:rPr>
      </w:pPr>
      <w:r>
        <w:rPr/>
        <w:t xml:space="preserve">44. Nirrakkomandaw li tinħoloq sistema ta’ ċertifikazzjoni tal-UE li turi konformità mal-GDPR (Regolament Ġenerali dwar il-Protezzjoni tad-Data) b’mod trasparenti u li tiżgura li l-informazzjoni dwar il-protezzjoni tad-data tiġi ppreżentata b’mod aċċessibbli, ċar u sempliċi. Dan iċ-ċertifikat ikun obbligatorju u viżibbli fuq is-siti web u l-pjattaformi. Dan għandu jinħareġ minn ċertifikatur indipendenti fil-livell Ewropew, eżistenti jew maħluq għal dan il-għan, li ma jkunx marbut mal-gvernijiet nazzjonali jew mas-settur privat. </w:t>
      </w:r>
    </w:p>
    <w:p>
      <w:pPr>
        <w:pStyle w:val="Normal"/>
        <w:rPr/>
      </w:pPr>
      <w:r>
        <w:rPr/>
        <w:t xml:space="preserve"> </w:t>
      </w:r>
    </w:p>
    <w:p>
      <w:pPr>
        <w:pStyle w:val="Normal"/>
        <w:rPr/>
      </w:pPr>
      <w:r>
        <w:rPr/>
        <w:t xml:space="preserve">Nagħmlu din ir-rakkomandazzjoni għaliex bħalissa hemm ftit jew xejn trasparenza dwar kif id-data hija protetta minn kull kumpanija, u l-utenti/klijenti ma jistgħux jagħmlu għażliet infurmati. </w:t>
      </w:r>
    </w:p>
    <w:p>
      <w:pPr>
        <w:pStyle w:val="Normal"/>
        <w:rPr/>
      </w:pPr>
      <w:r>
        <w:rPr/>
      </w:r>
    </w:p>
    <w:p>
      <w:pPr>
        <w:pStyle w:val="P68B1DB1Normal15"/>
        <w:rPr>
          <w:b/>
          <w:b/>
        </w:rPr>
      </w:pPr>
      <w:r>
        <w:rPr/>
        <w:t xml:space="preserve">45. Nirrakkomandaw li jiġi spjegat aħjar il-GDPR (Regolament Ġenerali dwar il-Protezzjoni tad-Data) u li tittejjeb il-komunikazzjoni dwaru billi jinħoloq test standard dwar il-konformità li juża lingwaġġ sempliċi u ċar, li jinftiehem minn kulħadd. Dan it-test għandu jippreżenta messaġġ ewlieni u/jew prinċipji fundamentali. Il-proċedura ta’ kunsens għandha tkun aktar viżiva (eż. talba għal awtorizzazzjoni espliċita ta’ aċċess telefoniku permezz ta’ applikazzjoni). Din għandha tkun akkumpanjata minn kampanja ta’ informazzjoni (inkluż it-televiżjoni) u, b’mod sistematiku, korsijiet obbligatorji (għall-inqas għal dawk li jaħdmu bid-data) u pariri dwar l-intenzjoni ta’ dawk li jeħtieġu l-assistenza. </w:t>
      </w:r>
    </w:p>
    <w:p>
      <w:pPr>
        <w:pStyle w:val="Normal"/>
        <w:rPr/>
      </w:pPr>
      <w:r>
        <w:rPr/>
        <w:t xml:space="preserve"> </w:t>
      </w:r>
    </w:p>
    <w:p>
      <w:pPr>
        <w:pStyle w:val="Normal"/>
        <w:rPr/>
      </w:pPr>
      <w:r>
        <w:rPr/>
        <w:t xml:space="preserve">Nagħmlu din ir-rakkomandazzjoni għaliex, fil-preżent, il-formulazzjoni tal-GDPR hija vaga wisq u teknika wisq u l-ammont ta’ informazzjoni huwa kbir ħafna u mhux aċċessibbli għal kulħadd. Barra minn hekk, il-komunikazzjoni mhijiex simili fil-pajjiżi kollha u ħafna drabi teskludi gruppi differenti, l-aktar l-anzjani u l-persuni mwielda qabel id-diġitalizzazzjoni. </w:t>
      </w:r>
    </w:p>
    <w:p>
      <w:pPr>
        <w:pStyle w:val="Normal"/>
        <w:rPr/>
      </w:pPr>
      <w:r>
        <w:rPr/>
      </w:r>
    </w:p>
    <w:p>
      <w:pPr>
        <w:pStyle w:val="Titre4"/>
        <w:numPr>
          <w:ilvl w:val="3"/>
          <w:numId w:val="2"/>
        </w:numPr>
        <w:rPr/>
      </w:pPr>
      <w:bookmarkStart w:id="126" w:name="__RefHeading___Toc297187_1346298689"/>
      <w:bookmarkEnd w:id="126"/>
      <w:r>
        <w:rPr/>
        <w:t xml:space="preserve">Is-sottoassi 5.4 It-Trasformazzjoni Diġitali u s-Saħħa </w:t>
      </w:r>
    </w:p>
    <w:p>
      <w:pPr>
        <w:pStyle w:val="Normal"/>
        <w:rPr/>
      </w:pPr>
      <w:r>
        <w:rPr/>
        <w:t xml:space="preserve"> </w:t>
      </w:r>
    </w:p>
    <w:p>
      <w:pPr>
        <w:pStyle w:val="P68B1DB1Normal15"/>
        <w:rPr>
          <w:b/>
          <w:b/>
        </w:rPr>
      </w:pPr>
      <w:r>
        <w:rPr/>
        <w:t xml:space="preserve">46. Nirrakkomandaw li l-UE tindirizza l-problema ta’ “informazzjoni falza” b’żewġ mezzi: </w:t>
      </w:r>
    </w:p>
    <w:p>
      <w:pPr>
        <w:pStyle w:val="P68B1DB1Normal15"/>
        <w:rPr>
          <w:b/>
          <w:b/>
        </w:rPr>
      </w:pPr>
      <w:r>
        <w:rPr/>
        <w:t xml:space="preserve">● </w:t>
      </w:r>
      <w:r>
        <w:rPr/>
        <w:t xml:space="preserve">leġiżlazzjoni li tippermetti lill-kumpaniji tal-midja soċjali jimplimentaw algoritmi ta’ tagħlim awtomatiku li jistgħu jenfasizzaw l-affidabbiltà tal-informazzjoni fuq il-midja soċjali u l-midja l-ġdida, filwaqt li jipprovdu lill-utent b’sorsi verifikati ta’ informazzjoni. Nirrakkomandaw li l-algoritmi jiġu kkontrollati minn esperti sabiex jiġi żgurat il-funzjonament xieraq tagħhom; </w:t>
      </w:r>
    </w:p>
    <w:p>
      <w:pPr>
        <w:pStyle w:val="P68B1DB1Normal15"/>
        <w:rPr>
          <w:b/>
          <w:b/>
        </w:rPr>
      </w:pPr>
      <w:r>
        <w:rPr/>
        <w:t xml:space="preserve">● </w:t>
      </w:r>
      <w:r>
        <w:rPr/>
        <w:t xml:space="preserve">l-istabbiliment ta’ pjattaforma diġitali biex jingħata punteġġ lill-informazzjoni mill-midja tradizzjonali (eż. it-televiżjoni, l-istampar, ir-radju) irrispettivament mill-interessi politiċi u ekonomiċi, u li tinforma liċ-ċittadini dwar il-kwalità tal-informazzjoni mingħajr ma tapplika l-ebda forma ta’ ċensura. Din il-pjattaforma għandha tkun soġġetta għal skrutinju pubbliku u tirrispetta l-ogħla standards ta’ trasparenza, u l-UE għandha tiżgura li l-fondi allokati lilha jintużaw għall-iskop maħsub. </w:t>
      </w:r>
    </w:p>
    <w:p>
      <w:pPr>
        <w:pStyle w:val="Normal"/>
        <w:rPr/>
      </w:pPr>
      <w:r>
        <w:rPr/>
        <w:t xml:space="preserve"> </w:t>
      </w:r>
    </w:p>
    <w:p>
      <w:pPr>
        <w:pStyle w:val="Normal"/>
        <w:rPr/>
      </w:pPr>
      <w:r>
        <w:rPr/>
        <w:t xml:space="preserve">Nagħmlu din ir-rakkomandazzjoni għaliex tipi differenti ta’ midja huma kkonċernati u nemmnu li sanzjonijiet jew tneħħija ta’ kontenut jistgħu jwasslu għal ċensura u jimminaw il-libertà tal-espressjoni u l-libertà tal-istampa. Nirrakkomandaw li l-esperti jiċċekkjaw u jikkontrollaw il-funzjonament xieraq tal-algoritmu biex jiżguraw li qed jaħdem kif suppost. Fl-aħħar nett, nirrakkomandaw li l-pjattaforma tkun politika u indipendenti biex tiżgura t-trasparenza u l-libertà tal-espressjoni. Barra minn hekk, peress li huwa impossibbli li wieħed jeħles kompletament mill-informazzjoni falza, id-disponibbiltà ta’ dawn l-għodod għaċ-ċittadini se tgħin biex jitnaqqsu l-effetti tagħhom fl-Ewropa. </w:t>
      </w:r>
    </w:p>
    <w:p>
      <w:pPr>
        <w:pStyle w:val="Normal"/>
        <w:rPr/>
      </w:pPr>
      <w:r>
        <w:rPr/>
        <w:t xml:space="preserve"> </w:t>
      </w:r>
    </w:p>
    <w:p>
      <w:pPr>
        <w:pStyle w:val="P68B1DB1Normal15"/>
        <w:rPr>
          <w:b/>
          <w:b/>
        </w:rPr>
      </w:pPr>
      <w:r>
        <w:rPr/>
        <w:t xml:space="preserve">47. Nirrakkomandaw li l-UE timplimenta azzjonijiet differenti biex tiżgura użu tajjeb tal-internet: </w:t>
      </w:r>
    </w:p>
    <w:p>
      <w:pPr>
        <w:pStyle w:val="P68B1DB1Normal15"/>
        <w:rPr>
          <w:b/>
          <w:b/>
        </w:rPr>
      </w:pPr>
      <w:r>
        <w:rPr/>
        <w:t xml:space="preserve">● </w:t>
      </w:r>
      <w:r>
        <w:rPr/>
        <w:t xml:space="preserve">L-ewwel nett, jeħtieġ li l-UE tindirizza n-nuqqas ta’ infrastruttura u tagħmir li jipprevjenu liċ-ċittadini milli jaċċessaw l-internet; </w:t>
      </w:r>
    </w:p>
    <w:p>
      <w:pPr>
        <w:pStyle w:val="P68B1DB1Normal15"/>
        <w:rPr>
          <w:b/>
          <w:b/>
        </w:rPr>
      </w:pPr>
      <w:r>
        <w:rPr/>
        <w:t xml:space="preserve">● </w:t>
      </w:r>
      <w:r>
        <w:rPr/>
        <w:t xml:space="preserve">Imbagħad nirrakkomandaw li l-UE tħeġġeġ lill-Istati Membri biex jużaw taħriġ fuq l-Internet u r-riskji tiegħu għall-gruppi ta’ età kollha. Dan jista’ jsir bl-introduzzjoni ta’ korsijiet fl-iskejjel għat-tfal u ż-żgħażagħ u l-ħolqien ta’ kurrikula u kurrikula differenti biex jilħqu liċ-ċittadini adulti u anzjani. Il-kontenut ta’ dawn il-korsijiet għandu jiġi determinat fil-livell Ewropew minn grupp ta’ esperti indipendenti. </w:t>
      </w:r>
    </w:p>
    <w:p>
      <w:pPr>
        <w:pStyle w:val="P68B1DB1Normal15"/>
        <w:rPr>
          <w:b/>
          <w:b/>
        </w:rPr>
      </w:pPr>
      <w:r>
        <w:rPr/>
        <w:t xml:space="preserve">● </w:t>
      </w:r>
      <w:r>
        <w:rPr/>
        <w:t xml:space="preserve">Fl-aħħar nett, nappellaw lill-UE biex tieħu l-miżuri kollha meħtieġa biex tiżgura li d-diġitalizzazzjoni tas-soċjetà ma teskludix lill-anzjani u biex tiżgura li s-servizzi essenzjali jkunu aċċessibbli wkoll personalment. </w:t>
      </w:r>
    </w:p>
    <w:p>
      <w:pPr>
        <w:pStyle w:val="Normal"/>
        <w:rPr/>
      </w:pPr>
      <w:r>
        <w:rPr/>
      </w:r>
    </w:p>
    <w:p>
      <w:pPr>
        <w:pStyle w:val="P68B1DB1Normal15"/>
        <w:rPr>
          <w:b/>
          <w:b/>
        </w:rPr>
      </w:pPr>
      <w:r>
        <w:rPr/>
        <w:t xml:space="preserve">● </w:t>
      </w:r>
      <w:r>
        <w:rPr/>
        <w:t xml:space="preserve">L-UE għandha tiżgura li l-fondi allokati speċifikament għal dawn l-attivitajiet jintużaw għall-iskop maħsub. </w:t>
      </w:r>
    </w:p>
    <w:p>
      <w:pPr>
        <w:pStyle w:val="Normal"/>
        <w:rPr/>
      </w:pPr>
      <w:r>
        <w:rPr/>
        <w:t xml:space="preserve"> </w:t>
      </w:r>
    </w:p>
    <w:p>
      <w:pPr>
        <w:pStyle w:val="Normal"/>
        <w:rPr/>
      </w:pPr>
      <w:r>
        <w:rPr/>
        <w:t xml:space="preserve">Aħna nagħmlu din ir-rakkomandazzjoni, minħabba n-nuqqas ta’ infrastruttura u tagħmir (eż. apparat) f’xi postijiet fl-Ewropa u l-ħtieġa li tiġi żgurata l-konnessjoni qabel ma ċ-ċittadini jiġu edukati, peress li nafu li l-aċċess għall-internet huwa limitat f’xi reġjuni u għal ċerti profili. Nirrakkomandaw li jiġu organizzati korsijiet biex jgħinu lit-tfal jiksbu ħiliet diġitali, jipprovdu programmi addizzjonali biex jgħinu lill-anzjani jiddiġitalizzaw, u jieħdu l-passi meħtieġa biex jiżguraw li t-trasformazzjoni diġitali ma ddgħajjifx id-drittijiet tal-anzjani. </w:t>
      </w:r>
    </w:p>
    <w:p>
      <w:pPr>
        <w:pStyle w:val="Normal"/>
        <w:rPr/>
      </w:pPr>
      <w:r>
        <w:rPr/>
      </w:r>
    </w:p>
    <w:p>
      <w:pPr>
        <w:pStyle w:val="P68B1DB1Normal15"/>
        <w:rPr>
          <w:b/>
          <w:b/>
        </w:rPr>
      </w:pPr>
      <w:r>
        <w:rPr/>
        <w:t xml:space="preserve">48. Nirrakkomandaw li l-UE tippromwovi l-edukazzjoni taċ-ċittadini f’kull Stat Membru sabiex issaħħaħ il-ħsieb kritiku, ix-xettiċiżmu u l-verifika tal-fatti u tgħallimhom jivvalutaw b’mod indipendenti jekk l-informazzjoni hijiex affidabbli jew le. Din l-edukazzjoni għandha tinvolvi l-organizzazzjoni ta’ korsijiet speċifiċi fil-livell ta’ edukazzjoni bażika u għandha tiġi offruta, fi spazji pubbliċi oħra, liċ-ċittadini ta’ kull età li jixtiequ jibbenefikaw minnha. L-UE għandha tiżgura li l-fondi allokati speċifikament għal dawn l-attivitajiet jintużaw għall-iskop maħsub. </w:t>
      </w:r>
    </w:p>
    <w:p>
      <w:pPr>
        <w:pStyle w:val="Normal"/>
        <w:rPr/>
      </w:pPr>
      <w:r>
        <w:rPr/>
        <w:t xml:space="preserve"> </w:t>
      </w:r>
    </w:p>
    <w:p>
      <w:pPr>
        <w:pStyle w:val="Normal"/>
        <w:rPr/>
      </w:pPr>
      <w:r>
        <w:rPr/>
        <w:t xml:space="preserve">Nagħmlu din ir-rakkomandazzjoni għaliex naħsbu li huwa impossibbli li neħilsu kompletament mill-informazzjoni falza. Dan it-taħriġ se jgħin liċ-ċittadini jirrikonoxxuhom għalihom infushom. B’riżultat ta’ dan, l-effetti ta’ informazzjoni falza fuq is-soċjetà u fuq iċ-ċittadini nfushom se jitnaqqsu. Dan joffri wkoll opportunitajiet akbar ta’ azzjoni liċ-ċittadini, aktar milli jserrħu fuq l-istituzzjonijiet biex jiksbu informazzjoni affidabbli. </w:t>
      </w:r>
    </w:p>
    <w:p>
      <w:pPr>
        <w:pStyle w:val="Normal"/>
        <w:rPr/>
      </w:pPr>
      <w:r>
        <w:rPr/>
        <w:t xml:space="preserve"> </w:t>
      </w:r>
    </w:p>
    <w:p>
      <w:pPr>
        <w:pStyle w:val="Titre3"/>
        <w:numPr>
          <w:ilvl w:val="2"/>
          <w:numId w:val="2"/>
        </w:numPr>
        <w:rPr/>
      </w:pPr>
      <w:bookmarkStart w:id="127" w:name="__RefHeading___Toc297189_1346298689"/>
      <w:bookmarkEnd w:id="127"/>
      <w:r>
        <w:rPr/>
        <w:t xml:space="preserve">Anness: RAKKOMANDAZZJONIJIET OĦRA KKUNSIDRATI MILL-BORD LI MA ĠEWX ADOTTATI </w:t>
      </w:r>
    </w:p>
    <w:p>
      <w:pPr>
        <w:pStyle w:val="Normal"/>
        <w:rPr/>
      </w:pPr>
      <w:r>
        <w:rPr/>
        <w:t xml:space="preserve"> </w:t>
      </w:r>
    </w:p>
    <w:p>
      <w:pPr>
        <w:pStyle w:val="Titre4"/>
        <w:numPr>
          <w:ilvl w:val="3"/>
          <w:numId w:val="2"/>
        </w:numPr>
        <w:rPr/>
      </w:pPr>
      <w:bookmarkStart w:id="128" w:name="__RefHeading___Toc297191_1346298689"/>
      <w:bookmarkEnd w:id="128"/>
      <w:r>
        <w:rPr/>
        <w:t xml:space="preserve">Assi 3 Soċjetà ġusta </w:t>
      </w:r>
    </w:p>
    <w:p>
      <w:pPr>
        <w:pStyle w:val="Normal"/>
        <w:rPr/>
      </w:pPr>
      <w:r>
        <w:rPr/>
        <w:t xml:space="preserve"> </w:t>
      </w:r>
    </w:p>
    <w:p>
      <w:pPr>
        <w:pStyle w:val="Normal"/>
        <w:rPr/>
      </w:pPr>
      <w:r>
        <w:rPr/>
        <w:t xml:space="preserve">Sottoassi 3.2 Ugwaljanza tad-drittijiet </w:t>
      </w:r>
    </w:p>
    <w:p>
      <w:pPr>
        <w:pStyle w:val="Normal"/>
        <w:rPr/>
      </w:pPr>
      <w:r>
        <w:rPr/>
        <w:t xml:space="preserve"> </w:t>
      </w:r>
    </w:p>
    <w:p>
      <w:pPr>
        <w:pStyle w:val="P68B1DB1Normal15"/>
        <w:rPr>
          <w:b/>
          <w:b/>
        </w:rPr>
      </w:pPr>
      <w:r>
        <w:rPr/>
        <w:t xml:space="preserve">Nirrakkomandaw li l-UE tistabbilixxi mekkaniżmu għall-monitoraġġ u r-rispett tad-drittijiet tal-minoranzi (eż. portal jew uffiċċju fejn in-nies ikunu jistgħu jressqu lmenti). </w:t>
      </w:r>
    </w:p>
    <w:p>
      <w:pPr>
        <w:pStyle w:val="Normal"/>
        <w:rPr/>
      </w:pPr>
      <w:r>
        <w:rPr/>
        <w:t xml:space="preserve"> </w:t>
      </w:r>
    </w:p>
    <w:p>
      <w:pPr>
        <w:pStyle w:val="Normal"/>
        <w:rPr/>
      </w:pPr>
      <w:r>
        <w:rPr/>
        <w:t xml:space="preserve">Nagħmlu din ir-rakkomandazzjoni għaliex nemmnu li kull individwu jista’ jesprimi l-opinjoni tiegħu u għandu d-dritt li jfittex u jirċievi l-għajnuna. Tali uffiċċju huwa meħtieġ biex jitnaqqsu t-tensjonijiet bejn il-minoranzi u l-maġġoranza. </w:t>
      </w:r>
    </w:p>
    <w:p>
      <w:pPr>
        <w:pStyle w:val="Normal"/>
        <w:rPr/>
      </w:pPr>
      <w:r>
        <w:rPr/>
      </w:r>
    </w:p>
    <w:p>
      <w:pPr>
        <w:pStyle w:val="Normal"/>
        <w:rPr/>
      </w:pPr>
      <w:r>
        <w:rPr/>
        <w:t xml:space="preserve">Is-sottoassi 3.3 Ekwità/Sottoassi 3.4 Aċċess għall-isport </w:t>
      </w:r>
    </w:p>
    <w:p>
      <w:pPr>
        <w:pStyle w:val="Normal"/>
        <w:rPr/>
      </w:pPr>
      <w:r>
        <w:rPr/>
        <w:t xml:space="preserve"> </w:t>
      </w:r>
    </w:p>
    <w:p>
      <w:pPr>
        <w:pStyle w:val="P68B1DB1Normal15"/>
        <w:rPr>
          <w:b/>
          <w:b/>
        </w:rPr>
      </w:pPr>
      <w:r>
        <w:rPr/>
        <w:t xml:space="preserve">Nirrakkomandaw li l-UE tqajjem kuxjenza dwar l-attività fiżika permezz tal-“immudellar tar-rwol”, li jinvolvi figuri pubbliċi (għalhekk l-avvenimenti organizzati mill-Parlament għandhom jinkludu xi forma ta’ attività fiżika jew moviment, għal ftit sekondi, bħal tiġbid, mixi jew jaqbeż). </w:t>
      </w:r>
    </w:p>
    <w:p>
      <w:pPr>
        <w:pStyle w:val="Normal"/>
        <w:rPr/>
      </w:pPr>
      <w:r>
        <w:rPr/>
        <w:t xml:space="preserve"> </w:t>
      </w:r>
    </w:p>
    <w:p>
      <w:pPr>
        <w:pStyle w:val="Normal"/>
        <w:rPr/>
      </w:pPr>
      <w:r>
        <w:rPr/>
        <w:t xml:space="preserve">Nagħmlu din ir-rakkomandazzjoni għaliex il-mobilizzazzjoni ta’ figuri pubbliċi għall-attività fiżika se tqajjem kuxjenza pubblika. </w:t>
      </w:r>
    </w:p>
    <w:p>
      <w:pPr>
        <w:pStyle w:val="Normal"/>
        <w:rPr/>
      </w:pPr>
      <w:r>
        <w:rPr/>
      </w:r>
    </w:p>
    <w:p>
      <w:pPr>
        <w:pStyle w:val="Titre4"/>
        <w:numPr>
          <w:ilvl w:val="3"/>
          <w:numId w:val="2"/>
        </w:numPr>
        <w:rPr/>
      </w:pPr>
      <w:bookmarkStart w:id="129" w:name="__RefHeading___Toc297193_1346298689"/>
      <w:bookmarkEnd w:id="129"/>
      <w:r>
        <w:rPr/>
        <w:t xml:space="preserve">Assi 5 Trasformazzjoni diġitali etika u sigura </w:t>
      </w:r>
    </w:p>
    <w:p>
      <w:pPr>
        <w:pStyle w:val="Normal"/>
        <w:rPr/>
      </w:pPr>
      <w:r>
        <w:rPr/>
        <w:t xml:space="preserve"> </w:t>
      </w:r>
    </w:p>
    <w:p>
      <w:pPr>
        <w:pStyle w:val="Normal"/>
        <w:rPr/>
      </w:pPr>
      <w:r>
        <w:rPr/>
        <w:t xml:space="preserve">Sottoassi 5.3 Protezzjoni tad-data </w:t>
      </w:r>
    </w:p>
    <w:p>
      <w:pPr>
        <w:pStyle w:val="Normal"/>
        <w:rPr/>
      </w:pPr>
      <w:r>
        <w:rPr/>
        <w:t xml:space="preserve"> </w:t>
      </w:r>
    </w:p>
    <w:p>
      <w:pPr>
        <w:pStyle w:val="P68B1DB1Normal15"/>
        <w:rPr>
          <w:b/>
          <w:b/>
        </w:rPr>
      </w:pPr>
      <w:r>
        <w:rPr/>
        <w:t xml:space="preserve">Nirrakkomandaw il-ħolqien ta’ web ID li taħżen data personali u sensittiva, iżda li tagħmilha disponibbli biss għall-awtoritajiet u l-pulizija. Il-pjattaformi u l-bejjiegħa online se jużaw il-kodiċi online assoċjat ma’ dak l-identifikatur tal-web u d-data meħtieġa għal attività partikolari. L-issettjar awtomatiku għall-kondiviżjoni tad-data bl-użu ta’ dan l-identifikatur jenħtieġ li jkun in-nuqqas ta’ kunsens. Id-data għandha tiġi kkomunikata biss lill-partijiet ikkonċernati direttament u mhux lil parti terza. Jekk id-data tiġi kkomunikata lil parti terza, ċittadin għandu jkun jista’ joġġezzjona għaliha faċilment. Id-data għandha tkun disponibbli biss għal perijodu limitat ta’ żmien jew għal tranżazzjoni speċifika. L-awtorizzazzjoni għall-użu tad-data għandha tkun limitata fiż-żmien jew tiddefinixxi b’mod ċar x’jistgħu jagħmlu l-kumpaniji b’din id-data. </w:t>
      </w:r>
    </w:p>
    <w:p>
      <w:pPr>
        <w:pStyle w:val="Normal"/>
        <w:rPr/>
      </w:pPr>
      <w:r>
        <w:rPr/>
        <w:t xml:space="preserve"> </w:t>
      </w:r>
    </w:p>
    <w:p>
      <w:pPr>
        <w:pStyle w:val="Normal"/>
        <w:rPr/>
      </w:pPr>
      <w:r>
        <w:rPr/>
        <w:t xml:space="preserve">Nagħmlu din ir-rakkomandazzjoni għaliex, fil-preżent, il-kumpaniji jistgħu jiġbru d-data kollha, inkluża d-data personali u d-data sensittiva, u jużawha għal ħafna skopijiet mingħajr ma jiżvelaw eżattament kif u għaliex. Għalhekk l-operaturi jiksbu aktar informazzjoni milli fil-fatt jeħtieġu biex jipprovdulna servizzi u mbagħad ikunu jistgħu jerġgħu jbigħu jew jużaw mill-ġdid data oħra mingħajr il-kunsens tagħna. Fl-istess ħin, dan se jiżgura r-responsabbiltà tal-utenti tal-internet filwaqt li jippreserva l-anonimità relattiva tagħhom. </w:t>
      </w:r>
      <w:r>
        <w:br w:type="page"/>
      </w:r>
    </w:p>
    <w:p>
      <w:pPr>
        <w:pStyle w:val="Titre2"/>
        <w:numPr>
          <w:ilvl w:val="1"/>
          <w:numId w:val="2"/>
        </w:numPr>
        <w:rPr/>
      </w:pPr>
      <w:bookmarkStart w:id="130" w:name="__RefHeading___Toc297195_1346298689"/>
      <w:bookmarkEnd w:id="130"/>
      <w:r>
        <w:rPr/>
        <w:t xml:space="preserve">Panel taċ-Ċittadini Ewropej 2: “Id-demokrazija Ewropea; valuri u drittijiet, stat tad-dritt, sigurtà </w:t>
      </w:r>
    </w:p>
    <w:p>
      <w:pPr>
        <w:pStyle w:val="Normal"/>
        <w:rPr/>
      </w:pPr>
      <w:r>
        <w:rPr/>
      </w:r>
    </w:p>
    <w:p>
      <w:pPr>
        <w:pStyle w:val="Normal"/>
        <w:rPr/>
      </w:pPr>
      <w:r>
        <w:rPr/>
        <w:t xml:space="preserve">RAKKOMANDAZZJONIJIET ADOTTATI MILL-PANEL (LI GĦANDHOM JITRESSQU LILL-PLENARJA) </w:t>
      </w:r>
    </w:p>
    <w:p>
      <w:pPr>
        <w:pStyle w:val="Normal"/>
        <w:rPr/>
      </w:pPr>
      <w:r>
        <w:rPr/>
        <w:t xml:space="preserve"> </w:t>
      </w:r>
    </w:p>
    <w:p>
      <w:pPr>
        <w:pStyle w:val="Titre3"/>
        <w:numPr>
          <w:ilvl w:val="2"/>
          <w:numId w:val="2"/>
        </w:numPr>
        <w:rPr/>
      </w:pPr>
      <w:bookmarkStart w:id="131" w:name="__RefHeading___Toc297197_1346298689"/>
      <w:bookmarkEnd w:id="131"/>
      <w:r>
        <w:rPr/>
        <w:t xml:space="preserve">Assi 1: Il-garanzija tad-drittijiet u n-nondiskriminazzjoni </w:t>
      </w:r>
    </w:p>
    <w:p>
      <w:pPr>
        <w:pStyle w:val="Normal"/>
        <w:rPr/>
      </w:pPr>
      <w:r>
        <w:rPr/>
        <w:t xml:space="preserve"> </w:t>
      </w:r>
    </w:p>
    <w:p>
      <w:pPr>
        <w:pStyle w:val="Titre4"/>
        <w:numPr>
          <w:ilvl w:val="3"/>
          <w:numId w:val="2"/>
        </w:numPr>
        <w:rPr/>
      </w:pPr>
      <w:bookmarkStart w:id="132" w:name="__RefHeading___Toc297199_1346298689"/>
      <w:bookmarkEnd w:id="132"/>
      <w:r>
        <w:rPr/>
        <w:t xml:space="preserve">Sotto-assi 1.1 Nuqqas ta’ diskriminazzjoni/Sotto-assi 1.2 Ugwaljanza bejn is-sessi </w:t>
      </w:r>
    </w:p>
    <w:p>
      <w:pPr>
        <w:pStyle w:val="Normal"/>
        <w:rPr/>
      </w:pPr>
      <w:r>
        <w:rPr/>
        <w:t xml:space="preserve"> </w:t>
      </w:r>
    </w:p>
    <w:p>
      <w:pPr>
        <w:pStyle w:val="P68B1DB1Normal15"/>
        <w:rPr>
          <w:b/>
          <w:b/>
        </w:rPr>
      </w:pPr>
      <w:r>
        <w:rPr/>
        <w:t xml:space="preserve">1. “Irrakkomandaw li l-UE tinkludi kriterji għall-ġlieda kontra d-diskriminazzjoni fis-suq tax-xogħol (kwoti għaż-żgħażagħ, l-anzjani, in-nisa, il-minoranzi). Jekk il-kumpaniji jissodisfaw dawn il-kriterji, huma jirċievu sussidji jew ħelsien mit-taxxa.” </w:t>
      </w:r>
    </w:p>
    <w:p>
      <w:pPr>
        <w:pStyle w:val="P68B1DB1Normal15"/>
        <w:rPr>
          <w:b/>
          <w:b/>
        </w:rPr>
      </w:pPr>
      <w:r>
        <w:rPr/>
        <w:t xml:space="preserve">Nirrakkomandaw li titqajjem kuxjenza fost l-impjegati dwar il-kwistjonijiet li ġejjin: </w:t>
      </w:r>
    </w:p>
    <w:p>
      <w:pPr>
        <w:pStyle w:val="P68B1DB1Normal15"/>
        <w:rPr>
          <w:b/>
          <w:b/>
        </w:rPr>
      </w:pPr>
      <w:r>
        <w:rPr/>
        <w:t xml:space="preserve">● </w:t>
      </w:r>
      <w:r>
        <w:rPr/>
        <w:t xml:space="preserve">l-istituzzjonijiet supranazzjonali u nazzjonali (eż. it-trade unions); </w:t>
      </w:r>
    </w:p>
    <w:p>
      <w:pPr>
        <w:pStyle w:val="P68B1DB1Normal15"/>
        <w:rPr>
          <w:b/>
          <w:b/>
        </w:rPr>
      </w:pPr>
      <w:r>
        <w:rPr/>
        <w:t xml:space="preserve">● </w:t>
      </w:r>
      <w:r>
        <w:rPr/>
        <w:t xml:space="preserve">mekkaniżmi li jiżguraw li l-kumpaniji jikkonformaw mar-regoli eżistenti dwar in-nondiskriminazzjoni fuq il-post tax-xogħol; </w:t>
      </w:r>
    </w:p>
    <w:p>
      <w:pPr>
        <w:pStyle w:val="P68B1DB1Normal15"/>
        <w:rPr>
          <w:b/>
          <w:b/>
        </w:rPr>
      </w:pPr>
      <w:r>
        <w:rPr/>
        <w:t xml:space="preserve">● </w:t>
      </w:r>
      <w:r>
        <w:rPr/>
        <w:t xml:space="preserve">programmi ta’ kwalifiki għall-gruppi soċjali li jiffaċċjaw diskriminazzjoni fis-suq tax-xogħol (żgħażagħ, anzjani, nisa, minoritajiet). </w:t>
      </w:r>
    </w:p>
    <w:p>
      <w:pPr>
        <w:pStyle w:val="Normal"/>
        <w:rPr/>
      </w:pPr>
      <w:r>
        <w:rPr/>
        <w:t xml:space="preserve"> </w:t>
      </w:r>
    </w:p>
    <w:p>
      <w:pPr>
        <w:pStyle w:val="P68B1DB1Normal15"/>
        <w:rPr>
          <w:b/>
          <w:b/>
        </w:rPr>
      </w:pPr>
      <w:r>
        <w:rPr/>
        <w:t xml:space="preserve">Nirrakkomandaw l-adozzjoni tal-leġiżlazzjoni tal-UE f’żewġ stadji. L-ewwel nett, għandhom jiġu pprovduti sussidji għar-reklutaġġ ta’ impjegati minn ċerti kategoriji li x’aktarx jiġu diskriminati. It-tieni, l-att leġislattiv għandu jirrikjedi li min iħaddem jimpjega dawn il-gruppi għal perjodu minimu ta’ żmien. </w:t>
      </w:r>
    </w:p>
    <w:p>
      <w:pPr>
        <w:pStyle w:val="Normal"/>
        <w:rPr/>
      </w:pPr>
      <w:r>
        <w:rPr/>
        <w:t xml:space="preserve"> </w:t>
      </w:r>
    </w:p>
    <w:p>
      <w:pPr>
        <w:pStyle w:val="Normal"/>
        <w:rPr/>
      </w:pPr>
      <w:r>
        <w:rPr/>
        <w:t xml:space="preserve">Fil-fatt, l-UE hija responsabbli għaż-żamma ta’ bilanċ bejn l-interessi tas-suq ħieles u l-protezzjoni ta’ gruppi vulnerabbli li jeħtieġ li jiġu protetti legalment. Gruppi eteroġeni huma mixtieqa għall-kumpaniji peress li joffru kwalifiki differenti. Is-sussidji huma inċentiv addizzjonali li għandu jiġi pprovdut lill-kumpaniji. </w:t>
      </w:r>
    </w:p>
    <w:p>
      <w:pPr>
        <w:pStyle w:val="Normal"/>
        <w:rPr/>
      </w:pPr>
      <w:r>
        <w:rPr/>
        <w:t xml:space="preserve"> </w:t>
      </w:r>
    </w:p>
    <w:p>
      <w:pPr>
        <w:pStyle w:val="P68B1DB1Normal15"/>
        <w:rPr>
          <w:b/>
          <w:b/>
        </w:rPr>
      </w:pPr>
      <w:r>
        <w:rPr/>
        <w:t xml:space="preserve">2. “Irrakkomandaw li l-UE toħloq programm ta’ inċentivi li jiffaċilita l-ħolqien ta’ kindergartens u playgrounds affordabbli f’negozji kbar u żgħar. Il-faċilitajiet kondiviżi huma wkoll soluzzjoni vijabbli għan-negozji ż-żgħar biex jibbenefikaw mis-sussidju. </w:t>
      </w:r>
    </w:p>
    <w:p>
      <w:pPr>
        <w:pStyle w:val="P68B1DB1Normal15"/>
        <w:rPr>
          <w:b/>
          <w:b/>
        </w:rPr>
      </w:pPr>
      <w:r>
        <w:rPr/>
        <w:t xml:space="preserve">Nirrakkomandaw li l-UE tobbliga lill-kumpaniji jwaqqfu kindergartens fi proporzjon man-numru ta’ impjegati. </w:t>
      </w:r>
    </w:p>
    <w:p>
      <w:pPr>
        <w:pStyle w:val="Normal"/>
        <w:rPr/>
      </w:pPr>
      <w:r>
        <w:rPr/>
        <w:t xml:space="preserve"> </w:t>
      </w:r>
    </w:p>
    <w:p>
      <w:pPr>
        <w:pStyle w:val="Normal"/>
        <w:rPr/>
      </w:pPr>
      <w:r>
        <w:rPr/>
        <w:t xml:space="preserve">Nirrakkomandaw dan għaliex ir-rikonċiljazzjoni bejn il-ħajja tal-familja u dik tax-xogħol ittejjeb il-prestazzjoni tax-xogħol, tnaqqas il-qgħad u tqiegħed lill-ġenituri, speċjalment lin-nisa, f’pożizzjoni li tippermettilhom isegwu l-karrieri tagħhom. B’enfasi fuq id-dimensjoni soċjali, is-soluzzjoni proposta tiżgura s-sikurezza tat-tfal u tnaqqas l-ansjetajiet tal-ġenituri. </w:t>
      </w:r>
    </w:p>
    <w:p>
      <w:pPr>
        <w:pStyle w:val="Normal"/>
        <w:rPr/>
      </w:pPr>
      <w:r>
        <w:rPr/>
      </w:r>
    </w:p>
    <w:p>
      <w:pPr>
        <w:pStyle w:val="Titre4"/>
        <w:numPr>
          <w:ilvl w:val="3"/>
          <w:numId w:val="2"/>
        </w:numPr>
        <w:rPr/>
      </w:pPr>
      <w:bookmarkStart w:id="133" w:name="__RefHeading___Toc297201_1346298689"/>
      <w:bookmarkEnd w:id="133"/>
      <w:r>
        <w:rPr/>
        <w:t xml:space="preserve">Sotto-assi 1.3: Il-protezzjoni tad-drittijiet tal-bniedem u tad-drittijiet tan-natura u tal-annimali </w:t>
      </w:r>
    </w:p>
    <w:p>
      <w:pPr>
        <w:pStyle w:val="Normal"/>
        <w:rPr/>
      </w:pPr>
      <w:r>
        <w:rPr/>
        <w:t xml:space="preserve"> </w:t>
      </w:r>
    </w:p>
    <w:p>
      <w:pPr>
        <w:pStyle w:val="P68B1DB1Normal15"/>
        <w:rPr>
          <w:b/>
          <w:b/>
        </w:rPr>
      </w:pPr>
      <w:r>
        <w:rPr/>
        <w:t xml:space="preserve">3. “Irrakkomandaw il-preservazzjoni tal-benessri u s-sostenibbiltà tal-annimali billi tiġi emendata d-Direttiva 98/58/KE dwar il-protezzjoni tal-annimali fl-irziezet. Jeħtieġ li jiġu definiti kriterji minimi aktar dettaljati. Għandhom ikunu preċiżi, miżurabbli u limitati biż-żmien. Il-kriterji minimi għandhom jiġu stabbiliti b’tali mod li jwasslu għal standards ogħla ta’ benessri tal-annimali u fl-istess ħin jippermettu tranżizzjoni lejn klima u ambjent sostenibbli u agrikoltura ekoloġika. </w:t>
      </w:r>
    </w:p>
    <w:p>
      <w:pPr>
        <w:pStyle w:val="Normal"/>
        <w:rPr/>
      </w:pPr>
      <w:r>
        <w:rPr/>
        <w:t xml:space="preserve"> </w:t>
      </w:r>
    </w:p>
    <w:p>
      <w:pPr>
        <w:pStyle w:val="Normal"/>
        <w:rPr/>
      </w:pPr>
      <w:r>
        <w:rPr/>
        <w:t xml:space="preserve">Bħala ċittadini, aħna nemmnu li huwa importanti li jkun hemm standards minimi aktar stretti biex jiġu armonizzati fl-UE għat-trobbija tal-bhejjem. Aħna konxji li t-tranżizzjoni tista’ toħloq problemi f’xi setturi agrikoli li jirċievu sussidji, u għal dawk fi tranżizzjoni lejn agrikoltura ekoloġika u sostenibbli. Madankollu, aħna nemmnu li huwa importanti ħafna li jiġi żgurat li din it-tranżizzjoni sseħħ. </w:t>
      </w:r>
    </w:p>
    <w:p>
      <w:pPr>
        <w:pStyle w:val="Normal"/>
        <w:rPr/>
      </w:pPr>
      <w:r>
        <w:rPr/>
        <w:t xml:space="preserve"> </w:t>
      </w:r>
    </w:p>
    <w:p>
      <w:pPr>
        <w:pStyle w:val="P68B1DB1Normal15"/>
        <w:rPr>
          <w:b/>
          <w:b/>
        </w:rPr>
      </w:pPr>
      <w:r>
        <w:rPr/>
        <w:t xml:space="preserve">4. Nirrakkomandaw il-promozzjoni ta’ agrikoltura aktar favur l-ambjent u l-klima fl-Ewropa u madwar id-dinja billi, pereżempju, jiġu ntaxxati l-emissjonijiet negattivi kollha, il-pestiċidi u l-użu estrem tal-ilma, skont l-impatt tagħhom fuq l-ambjent. Id-dazji doganali fuq il-prodotti agrikoli kollha importati fl-Unjoni għandhom jeliminaw il-vantaġġi kompetittivi ta’ pajjiżi terzi li ma jissodisfawx l-istess standards bħall-Unjoni. Biex nippromwovu l-agrikoltura li ma tagħmilx ħsara lill-annimali, nirrakkomandaw li jiġu ntaxxati l-emissjonijiet ikkawżati mit-trasport tal-annimali fuq distanzi twal. </w:t>
      </w:r>
    </w:p>
    <w:p>
      <w:pPr>
        <w:pStyle w:val="Normal"/>
        <w:rPr/>
      </w:pPr>
      <w:r>
        <w:rPr/>
        <w:t xml:space="preserve"> </w:t>
      </w:r>
    </w:p>
    <w:p>
      <w:pPr>
        <w:pStyle w:val="Normal"/>
        <w:rPr/>
      </w:pPr>
      <w:r>
        <w:rPr/>
        <w:t xml:space="preserve">Bl-istabbiliment ta’ sistema bħal din, aħna nemmnu li huwa possibbli li tiġi appoġġata t-tranżizzjoni lejn agrikoltura li ma tagħmilx ħsara lill-klima u li ma tagħmilx ħsara lill-ambjent. </w:t>
      </w:r>
    </w:p>
    <w:p>
      <w:pPr>
        <w:pStyle w:val="Normal"/>
        <w:rPr/>
      </w:pPr>
      <w:r>
        <w:rPr/>
        <w:t xml:space="preserve"> </w:t>
      </w:r>
    </w:p>
    <w:p>
      <w:pPr>
        <w:pStyle w:val="P68B1DB1Normal15"/>
        <w:rPr>
          <w:b/>
          <w:b/>
        </w:rPr>
      </w:pPr>
      <w:r>
        <w:rPr/>
        <w:t xml:space="preserve">5. Filwaqt li ħafna aħbarijiet foloz kienu qed jiċċirkolaw dan l-aħħar, nirrakkomandaw il-promozzjoni ta’ kopertura tal-midja aktar indipendenti, oġġettiva u bbilanċjata billi jittieħdu l-passi li ġejjin: 1. tiżviluppa Direttiva tal-UE li tistabbilixxi standards minimi għall-indipendenza tal-midja; 2. li jippromwovi fil-livell tal-Unjoni l-iżvilupp tal-ħiliet tal-midja għal kull ċittadin.” </w:t>
      </w:r>
    </w:p>
    <w:p>
      <w:pPr>
        <w:pStyle w:val="Normal"/>
        <w:rPr/>
      </w:pPr>
      <w:r>
        <w:rPr/>
        <w:t xml:space="preserve"> </w:t>
      </w:r>
    </w:p>
    <w:p>
      <w:pPr>
        <w:pStyle w:val="Normal"/>
        <w:rPr/>
      </w:pPr>
      <w:r>
        <w:rPr/>
        <w:t xml:space="preserve">Jeħtieġ li l-UE tiżviluppa direttiva biex tiggarantixxi l-indipendenza tal-midja u l-libertà tal-espressjoni. </w:t>
      </w:r>
    </w:p>
    <w:p>
      <w:pPr>
        <w:pStyle w:val="Normal"/>
        <w:rPr/>
      </w:pPr>
      <w:r>
        <w:rPr/>
        <w:t xml:space="preserve"> </w:t>
      </w:r>
    </w:p>
    <w:p>
      <w:pPr>
        <w:pStyle w:val="Normal"/>
        <w:rPr/>
      </w:pPr>
      <w:r>
        <w:rPr>
          <w:b/>
        </w:rPr>
        <w:t>6. Nirrakkomandaw li nwaqqfu s-sussidjar tal-produzzjoni agrikola tal-massa jekk din ma twassalx għal tranżizzjoni lejn agrikoltura klimatika, ekoloġika u sostenibbli. Minflok, nirrakkomandaw li l-għotjiet jiġu diretti mill-ġdid biex jappoġġaw tranżizzjoni sostenibbli.</w:t>
      </w:r>
      <w:r>
        <w:rPr/>
        <w:t xml:space="preserve"> </w:t>
      </w:r>
    </w:p>
    <w:p>
      <w:pPr>
        <w:pStyle w:val="Normal"/>
        <w:rPr/>
      </w:pPr>
      <w:r>
        <w:rPr/>
        <w:t xml:space="preserve"> </w:t>
      </w:r>
    </w:p>
    <w:p>
      <w:pPr>
        <w:pStyle w:val="Normal"/>
        <w:rPr/>
      </w:pPr>
      <w:r>
        <w:rPr/>
        <w:t xml:space="preserve">Minflok ma jiġi ssussidjat is-settur agrikolu tat-trobbija tal-massa, is-sussidji għandhom jiġu diretti mill-ġdid lejn azjendi agrikoli li jinsabu fi tranżizzjoni biex jissodisfaw l-istandards minimi l-ġodda tal-benessri tal-annimali. </w:t>
      </w:r>
    </w:p>
    <w:p>
      <w:pPr>
        <w:pStyle w:val="Normal"/>
        <w:rPr/>
      </w:pPr>
      <w:r>
        <w:rPr/>
        <w:t xml:space="preserve"> </w:t>
      </w:r>
    </w:p>
    <w:p>
      <w:pPr>
        <w:pStyle w:val="Titre4"/>
        <w:numPr>
          <w:ilvl w:val="3"/>
          <w:numId w:val="2"/>
        </w:numPr>
        <w:rPr/>
      </w:pPr>
      <w:bookmarkStart w:id="134" w:name="__RefHeading___Toc297203_1346298689"/>
      <w:bookmarkEnd w:id="134"/>
      <w:r>
        <w:rPr/>
        <w:t xml:space="preserve">Sotto-assi 1.4 Id-dritt għall-privatezza </w:t>
      </w:r>
    </w:p>
    <w:p>
      <w:pPr>
        <w:pStyle w:val="Normal"/>
        <w:rPr/>
      </w:pPr>
      <w:r>
        <w:rPr/>
        <w:t xml:space="preserve"> </w:t>
      </w:r>
    </w:p>
    <w:p>
      <w:pPr>
        <w:pStyle w:val="P68B1DB1Normal15"/>
        <w:rPr>
          <w:b/>
          <w:b/>
        </w:rPr>
      </w:pPr>
      <w:r>
        <w:rPr/>
        <w:t xml:space="preserve">7. “Irrakkomandaw li l-entitajiet li jipproċessaw id-data personali jiġu awtorizzati fil-livell tal-UE. Dawn l-entitajiet se jkollhom ukoll ikunu soġġetti għal awditjar annwali estern indipendenti dwar il-protezzjoni tad-data. Dawn l-entitajiet se jiġu penalizzati għal ksur tal-protezzjoni tad-data fi proporzjon mal-fatturat annwali tagħhom, b’mod aktar strett milli skont ir-Regolament attwali. L-approvazzjoni għandha tiġi rtirata wara żewġ vjolazzjonijiet konsekuttivi, u immedjatament wara ksur serju. </w:t>
      </w:r>
    </w:p>
    <w:p>
      <w:pPr>
        <w:pStyle w:val="Normal"/>
        <w:rPr/>
      </w:pPr>
      <w:r>
        <w:rPr/>
        <w:t xml:space="preserve"> </w:t>
      </w:r>
    </w:p>
    <w:p>
      <w:pPr>
        <w:pStyle w:val="Normal"/>
        <w:rPr/>
      </w:pPr>
      <w:r>
        <w:rPr/>
        <w:t xml:space="preserve">Aħna nirrakkomandaw tali miżuri, peress li r-regolament attwali (GDPR) mhuwiex biżżejjed u l-entitajiet jeħtieġ li jiġu kkontrollati u sanzjonati aħjar biex jiġi żgurat li ma jiksrux il-protezzjoni tad-data u d-dritt għall-privatezza. </w:t>
      </w:r>
    </w:p>
    <w:p>
      <w:pPr>
        <w:pStyle w:val="Normal"/>
        <w:rPr/>
      </w:pPr>
      <w:r>
        <w:rPr/>
        <w:t xml:space="preserve"> </w:t>
      </w:r>
    </w:p>
    <w:p>
      <w:pPr>
        <w:pStyle w:val="P68B1DB1Normal15"/>
        <w:rPr>
          <w:b/>
          <w:b/>
        </w:rPr>
      </w:pPr>
      <w:r>
        <w:rPr/>
        <w:t xml:space="preserve">8. “Irrakkomandaw it-tisħiħ tal-kompetenzi tal-Unjoni fl-oqsma li ġejjin: 1) edukazzjoni dwar il-protezzjoni tad-data, 2) sensibilizzazzjoni dwar il-protezzjoni tad-data u 3) protezzjoni tad-data personali tal-minorenni. Nirrakkomandaw li jiġu ċċarati u msaħħa r-regoli dwar l-ipproċessar tad-data tal-minorenni fil-GDPR, inklużi r-regoli dwar il-kunsens, il-verifika tal-età u l-kontroll minn tuturi legali. Nirrakkomandaw ukoll l-introduzzjoni fil-GDPR ta’ kategorija speċjali għal data sensittiva ta’ minorenni (eż. rekord kriminali, informazzjoni dwar is-saħħa, nudità) sabiex il-minorenni jkunu protetti minn kwalunkwe forma ta’ abbuż u diskriminazzjoni. </w:t>
      </w:r>
    </w:p>
    <w:p>
      <w:pPr>
        <w:pStyle w:val="Normal"/>
        <w:rPr/>
      </w:pPr>
      <w:r>
        <w:rPr/>
        <w:t xml:space="preserve"> </w:t>
      </w:r>
    </w:p>
    <w:p>
      <w:pPr>
        <w:pStyle w:val="Normal"/>
        <w:rPr/>
      </w:pPr>
      <w:r>
        <w:rPr/>
        <w:t xml:space="preserve">Din ir-rakkomandazzjoni hija meħtieġa minħabba li l-minorenni huma partikolarment vulnerabbli għall-protezzjoni tad-data u l-ksur tal-privatezza u minħabba li, fil-preżent, il-popolazzjoni ġenerali (speċjalment il-minorenni, l-għalliema u l-kustodji legali) mhijiex konxja biżżejjed tal-protezzjoni tad-data. Kollha jeħtieġ li jitgħallmu kif jużaw is-servizzi tad-data online u offline u jipproteġu d-drittijiet tal-privatezza tat-tfal. Barra minn hekk, il-kustodji legali spiss jistgħu jagħtu l-kunsens tagħhom għall-ipproċessar tad-data tat-tfal mingħajr ma jkunu kompletament konxji jew infurmati u t-tfal jistgħu jiffalsifikaw il-kunsens tal-ġenituri. Fl-aħħar nett, din ir-rakkomandazzjoni hija meħtieġa minħabba li ma hemm l-ebda kampanja reali ta’ sensibilizzazzjoni dwar il-protezzjoni tad-data madwar l-UE mmirata, b’mod partikolari, lejn il-minorenni, il-kustodji legali u l-għalliema, filwaqt li kampanja bħal din hija indispensabbli. </w:t>
      </w:r>
    </w:p>
    <w:p>
      <w:pPr>
        <w:pStyle w:val="Normal"/>
        <w:rPr/>
      </w:pPr>
      <w:r>
        <w:rPr/>
      </w:r>
    </w:p>
    <w:p>
      <w:pPr>
        <w:pStyle w:val="P68B1DB1Normal15"/>
        <w:rPr>
          <w:b/>
          <w:b/>
        </w:rPr>
      </w:pPr>
      <w:r>
        <w:rPr/>
        <w:t xml:space="preserve">9. Nirrakkomandaw li jiġu stabbiliti politiki ta’ privatezza standardizzati u formoli ta’ kunsens faċli biex jinftiehmu, konċiżi u intuwittivi, li jindikaw b’mod ċar liema pproċessar tad-data huwa strettament meħtieġ u x’inhu fakultattiv. Nirrakkomandaw li l-irtirar tal-kunsens ikun faċli, rapidu u permanenti. Nirrakkomandaw li l-entitajiet jiġu pprojbiti milli jirrestrinġu s-servizzi tagħhom aktar milli meħtieġ jekk ma jingħatax kunsens għall-ipproċessar fakultattiv tad-data. </w:t>
      </w:r>
    </w:p>
    <w:p>
      <w:pPr>
        <w:pStyle w:val="Normal"/>
        <w:rPr/>
      </w:pPr>
      <w:r>
        <w:rPr/>
        <w:t xml:space="preserve"> </w:t>
      </w:r>
    </w:p>
    <w:p>
      <w:pPr>
        <w:pStyle w:val="Normal"/>
        <w:rPr/>
      </w:pPr>
      <w:r>
        <w:rPr/>
        <w:t xml:space="preserve">Nirrakkomandaw dan għaliex ir-regoli attwali tal-UE mhumiex preċiżi biżżejjed, l-irtirar tal-kunsens huwa twil, temporanju u kumpless, u l-entitajiet ma għandhom l-ebda interess li joffru s-servizzi tagħhom liċ-ċittadini li jinvokaw id-dritt tagħhom għall-protezzjoni tad-data. </w:t>
      </w:r>
    </w:p>
    <w:p>
      <w:pPr>
        <w:pStyle w:val="Normal"/>
        <w:rPr/>
      </w:pPr>
      <w:r>
        <w:rPr/>
        <w:t xml:space="preserve"> </w:t>
      </w:r>
    </w:p>
    <w:p>
      <w:pPr>
        <w:pStyle w:val="Titre3"/>
        <w:numPr>
          <w:ilvl w:val="2"/>
          <w:numId w:val="2"/>
        </w:numPr>
        <w:rPr/>
      </w:pPr>
      <w:bookmarkStart w:id="135" w:name="__RefHeading___Toc297205_1346298689"/>
      <w:bookmarkEnd w:id="135"/>
      <w:r>
        <w:rPr/>
        <w:t xml:space="preserve">Assi 2: Il-protezzjoni tad-demokrazija u l-istat tad-dritt </w:t>
      </w:r>
    </w:p>
    <w:p>
      <w:pPr>
        <w:pStyle w:val="Normal"/>
        <w:rPr/>
      </w:pPr>
      <w:r>
        <w:rPr/>
        <w:t xml:space="preserve"> </w:t>
      </w:r>
    </w:p>
    <w:p>
      <w:pPr>
        <w:pStyle w:val="Titre4"/>
        <w:numPr>
          <w:ilvl w:val="3"/>
          <w:numId w:val="2"/>
        </w:numPr>
        <w:rPr/>
      </w:pPr>
      <w:bookmarkStart w:id="136" w:name="__RefHeading___Toc297207_1346298689"/>
      <w:bookmarkEnd w:id="136"/>
      <w:r>
        <w:rPr/>
        <w:t xml:space="preserve">Sottoassi 2.1 Protezzjoni tal-Istat tad-Dritt </w:t>
      </w:r>
    </w:p>
    <w:p>
      <w:pPr>
        <w:pStyle w:val="Normal"/>
        <w:rPr/>
      </w:pPr>
      <w:r>
        <w:rPr/>
        <w:t xml:space="preserve"> </w:t>
      </w:r>
    </w:p>
    <w:p>
      <w:pPr>
        <w:pStyle w:val="P68B1DB1Normal15"/>
        <w:rPr>
          <w:b/>
          <w:b/>
        </w:rPr>
      </w:pPr>
      <w:r>
        <w:rPr/>
        <w:t xml:space="preserve">10. “Aħna nirrakkomandaw li r-Regolament dwar il-Kundizzjonalità (2020/2092, adottat fis-16 ta’ Diċembru 2020) jiġi emendat biex japplika għall-ksur kollu tal-istat tad-dritt aktar milli għall-ksur li għandu impatt fuq il-baġit tal-UE.” </w:t>
      </w:r>
    </w:p>
    <w:p>
      <w:pPr>
        <w:pStyle w:val="Normal"/>
        <w:rPr/>
      </w:pPr>
      <w:r>
        <w:rPr/>
        <w:t xml:space="preserve"> </w:t>
      </w:r>
    </w:p>
    <w:p>
      <w:pPr>
        <w:pStyle w:val="Normal"/>
        <w:rPr/>
      </w:pPr>
      <w:r>
        <w:rPr/>
        <w:t xml:space="preserve">Ir-Regolament dwar il-Kundizzjonalità jippermetti s-sospensjoni tal-iżborż tal-fondi tal-UE lill-Istati Membri li jiksru l-istat tad-dritt. Madankollu, fil-formulazzjoni attwali tiegħu, dan japplika biss għal ksur li għandu jew li x’aktarx ikollu impatt fuq il-baġit tal-UE. Barra minn hekk, il-formulazzjoni attwali tar-Regolament dwar il-Kundizzjonalità tipproteġi l-baġit tal-UE u l-istituzzjonijiet tal-UE aktar milli ċ-ċittadini tal-Istati Membri kkonċernati. Għalhekk, nirrakkomandaw li t-test attwali tar-Regolament jiġi emendat biex ikopri l-ksur kollu tal-istat tad-dritt. </w:t>
      </w:r>
    </w:p>
    <w:p>
      <w:pPr>
        <w:pStyle w:val="Normal"/>
        <w:rPr/>
      </w:pPr>
      <w:r>
        <w:rPr/>
        <w:t xml:space="preserve"> </w:t>
      </w:r>
    </w:p>
    <w:p>
      <w:pPr>
        <w:pStyle w:val="P68B1DB1Normal15"/>
        <w:rPr>
          <w:b/>
          <w:b/>
        </w:rPr>
      </w:pPr>
      <w:r>
        <w:rPr/>
        <w:t xml:space="preserve">11. “Aħna nirrakkomandaw li l-UE torganizza konferenzi annwali dwar l-istat tad-dritt wara l-pubblikazzjoni tar-Rapport annwali dwar l-Istat tad-Dritt (il-mekkaniżmu tal-Kummissjoni għall-monitoraġġ tal-konformità mal-istat tad-dritt mill-Istati Membri). L-Istati Membri għandhom ikunu obbligati jibagħtu diversi delegazzjonijiet soċjali nazzjonali għall-Konferenza, inklużi kemm iċ-ċittadini kif ukoll l-impjegati taċ-ċivil.” </w:t>
      </w:r>
    </w:p>
    <w:p>
      <w:pPr>
        <w:pStyle w:val="Normal"/>
        <w:rPr/>
      </w:pPr>
      <w:r>
        <w:rPr/>
        <w:t xml:space="preserve"> </w:t>
      </w:r>
    </w:p>
    <w:p>
      <w:pPr>
        <w:pStyle w:val="Normal"/>
        <w:rPr/>
      </w:pPr>
      <w:r>
        <w:rPr/>
        <w:t xml:space="preserve">Din il-konferenza tippromwovi d-djalogu bejn iċ-ċittadini tal-UE dwar kwistjonijiet tal-istat tad-dritt kif ukoll id-djalogu bejn iċ-ċittadini u l-esperti li jfasslu r-rapporti annwali dwar l-istat tad-dritt. Aħna nemmnu li, fi klima ta’ apprezzament u kondiviżjoni reċiproċi, il-parteċipanti se jkunu jistgħu jġibu lura l-aħjar prattiki u ideat f’pajjiżhom. Barra minn hekk, il-konferenza tqajjem kuxjenza u fehim tal-prinċipju tal-istat tad-dritt u l-konklużjonijiet u l-proċess sottostanti għar-rapport annwali dwar l-istat tad-dritt. Dan jiġbed ukoll l-attenzjoni tal-midja u jippermetti liċ-ċittadini jaqsmu l-esperjenzi tagħhom u jqabbluhom mas-sejbiet tar-rapport. </w:t>
      </w:r>
    </w:p>
    <w:p>
      <w:pPr>
        <w:pStyle w:val="Normal"/>
        <w:rPr/>
      </w:pPr>
      <w:r>
        <w:rPr/>
      </w:r>
    </w:p>
    <w:p>
      <w:pPr>
        <w:pStyle w:val="Titre4"/>
        <w:numPr>
          <w:ilvl w:val="3"/>
          <w:numId w:val="2"/>
        </w:numPr>
        <w:rPr/>
      </w:pPr>
      <w:bookmarkStart w:id="137" w:name="__RefHeading___Toc297209_1346298689"/>
      <w:bookmarkEnd w:id="137"/>
      <w:r>
        <w:rPr/>
        <w:t xml:space="preserve">Sottoassi 2.2 Protezzjoni u tisħiħ tad-demokrazija/Sottoassi 2.4 Il-midja u d-diżinformazzjoni </w:t>
      </w:r>
    </w:p>
    <w:p>
      <w:pPr>
        <w:pStyle w:val="Normal"/>
        <w:rPr/>
      </w:pPr>
      <w:r>
        <w:rPr/>
        <w:t xml:space="preserve"> </w:t>
      </w:r>
    </w:p>
    <w:p>
      <w:pPr>
        <w:pStyle w:val="P68B1DB1Normal15"/>
        <w:rPr>
          <w:b/>
          <w:b/>
        </w:rPr>
      </w:pPr>
      <w:r>
        <w:rPr/>
        <w:t xml:space="preserve">12. “Irrakkomandaw li l-UE tapplika r-regoli tal-kompetizzjoni tagħha b’mod aktar rigoruż fis-settur tal-midja sabiex tiżgura l-protezzjoni tal-pluraliżmu tal-midja fl-Istati Membri kollha. L-UE għandha tipprevjeni monopolji kbar tal-midja u ħatriet politiċi fuq il-bordijiet tal-midja. Nirrakkomandaw ukoll li l-leġiżlazzjoni futura tal-UE dwar il-libertà tal-midja tinkludi regoli li jipprevjenu lill-politiċi milli jippossjedu jew ikollhom influwenza qawwija fuq il-kontenut tagħhom. </w:t>
      </w:r>
    </w:p>
    <w:p>
      <w:pPr>
        <w:pStyle w:val="Normal"/>
        <w:rPr/>
      </w:pPr>
      <w:r>
        <w:rPr/>
        <w:t xml:space="preserve"> </w:t>
      </w:r>
    </w:p>
    <w:p>
      <w:pPr>
        <w:pStyle w:val="Normal"/>
        <w:rPr/>
      </w:pPr>
      <w:r>
        <w:rPr/>
        <w:t xml:space="preserve">Nirrakkomandaw dan għaliex l-applikazzjoni tar-regoli tal-kompetizzjoni tal-UE trawwem xenarju medjatiku pluralistiku li fih iċ-ċittadini għandhom għażla. Peress li l-Kummissjoni bħalissa qed tħejji att leġiżlattiv (dwar il-libertà tal-midja) għall-integrità tas-suq tal-midja tal-UE, għandu jiġi previst ukoll li l-midja ma għandhiex tinżamm jew tiġi influwenzata mill-politiċi. </w:t>
      </w:r>
    </w:p>
    <w:p>
      <w:pPr>
        <w:pStyle w:val="Normal"/>
        <w:rPr/>
      </w:pPr>
      <w:r>
        <w:rPr/>
        <w:t xml:space="preserve"> </w:t>
      </w:r>
    </w:p>
    <w:p>
      <w:pPr>
        <w:pStyle w:val="Titre4"/>
        <w:numPr>
          <w:ilvl w:val="3"/>
          <w:numId w:val="2"/>
        </w:numPr>
        <w:rPr/>
      </w:pPr>
      <w:bookmarkStart w:id="138" w:name="__RefHeading___Toc297211_1346298689"/>
      <w:bookmarkEnd w:id="138"/>
      <w:r>
        <w:rPr/>
        <w:t xml:space="preserve">Sotto-assi 2.3 Sigurtà </w:t>
      </w:r>
    </w:p>
    <w:p>
      <w:pPr>
        <w:pStyle w:val="Normal"/>
        <w:rPr/>
      </w:pPr>
      <w:r>
        <w:rPr/>
        <w:t xml:space="preserve"> </w:t>
      </w:r>
    </w:p>
    <w:p>
      <w:pPr>
        <w:pStyle w:val="P68B1DB1Normal15"/>
        <w:rPr>
          <w:b/>
          <w:b/>
        </w:rPr>
      </w:pPr>
      <w:r>
        <w:rPr/>
        <w:t xml:space="preserve">13. “Aħna nirrakkomandaw li l-istituzzjonijiet tal-UE jkollhom rwol aktar importanti bl-għodod kollha għad-dispożizzjoni tagħhom, inklużi ċ-Ċentri Nazzjonali taċ-Ċibersigurtà u l-Aġenzija tal-Unjoni Ewropea għaċ-Ċibersigurtà (ENISA), sabiex iċ-ċittadini, l-organizzazzjonijiet u l-istituzzjonijiet jiġu protetti minn theddid ġdid li jirriżulta minn ksur taċ-ċibersigurtà u l-użu tal-intelliġenza artifiċjali għal skopijiet kriminali. Nirrakkomandaw ukoll li d-direttivi mill-Ewropa u l-aġenziji tagħha jiġu implimentati u mxerrda kif suppost fl-Istati Membri kollha.” </w:t>
      </w:r>
    </w:p>
    <w:p>
      <w:pPr>
        <w:pStyle w:val="Normal"/>
        <w:rPr/>
      </w:pPr>
      <w:r>
        <w:rPr/>
        <w:t xml:space="preserve"> </w:t>
      </w:r>
    </w:p>
    <w:p>
      <w:pPr>
        <w:pStyle w:val="Normal"/>
        <w:rPr/>
      </w:pPr>
      <w:r>
        <w:rPr/>
        <w:t xml:space="preserve">Nirrakkomandaw dan għax iċ-ċittadini jħossuhom bla saħħa u ma jafux x’qed tagħmel l-Unjoni Ewropea biex tiġġieled dan it-theddid. Nirrakkomandaw dan għaliex dan it-theddid jikkostitwixxi problema serja ta’ sigurtà nazzjonali u Ewropea. Nirrakkomandaw dan għaliex l-Ewropa għandha tkun mutur veru tal-innovazzjoni f’dan il-qasam. </w:t>
      </w:r>
    </w:p>
    <w:p>
      <w:pPr>
        <w:pStyle w:val="Normal"/>
        <w:rPr/>
      </w:pPr>
      <w:r>
        <w:rPr/>
        <w:t xml:space="preserve"> </w:t>
      </w:r>
    </w:p>
    <w:p>
      <w:pPr>
        <w:pStyle w:val="P68B1DB1Normal15"/>
        <w:rPr>
          <w:b/>
          <w:b/>
        </w:rPr>
      </w:pPr>
      <w:r>
        <w:rPr/>
        <w:t xml:space="preserve">14. “Irrakkomandaw li, fir-relazzjonijiet tagħha mal-pajjiżi esterni, l-Unjoni l-ewwel issaħħaħ il-valuri demokratiċi komuni fil-fruntieri tagħha. Huwa biss wara li nilħqu dan il-għan li nirrakkomandaw li l-Unjoni ssir l-ambaxxatur tal-mudell demokratiku tagħna f’pajjiżi li huma lesti li japplikaw dan il-mudell u li huma lesti li jagħmlu dan permezz tad-diplomazija u d-djalogu. </w:t>
      </w:r>
    </w:p>
    <w:p>
      <w:pPr>
        <w:pStyle w:val="Normal"/>
        <w:rPr/>
      </w:pPr>
      <w:r>
        <w:rPr/>
        <w:t xml:space="preserve"> </w:t>
      </w:r>
    </w:p>
    <w:p>
      <w:pPr>
        <w:pStyle w:val="Normal"/>
        <w:rPr/>
      </w:pPr>
      <w:r>
        <w:rPr/>
        <w:t xml:space="preserve">Nirrakkomandaw din il-miżura għaliex għandna nħarsu ‘l ġewwa qabel ma nħarsu ‘l barra. Minħabba li l-Ewropa tista’ u għandha tgħin lill-Istati Membri jsaħħu d-demokraziji tagħhom. Għax huwa wkoll billi nagħtu eżempju u nappoġġaw l-isforzi tal-pajjiżi esterni għad-demokrazija li nipproteġu lilna nfusna. </w:t>
      </w:r>
    </w:p>
    <w:p>
      <w:pPr>
        <w:pStyle w:val="Normal"/>
        <w:rPr/>
      </w:pPr>
      <w:r>
        <w:rPr/>
        <w:t xml:space="preserve"> </w:t>
      </w:r>
    </w:p>
    <w:p>
      <w:pPr>
        <w:pStyle w:val="Titre3"/>
        <w:numPr>
          <w:ilvl w:val="2"/>
          <w:numId w:val="2"/>
        </w:numPr>
        <w:rPr/>
      </w:pPr>
      <w:bookmarkStart w:id="139" w:name="__RefHeading___Toc297213_1346298689"/>
      <w:bookmarkEnd w:id="139"/>
      <w:r>
        <w:rPr/>
        <w:t xml:space="preserve">Assi 3: Ir-riforma ta’ l-Unjoni Ewropea </w:t>
      </w:r>
    </w:p>
    <w:p>
      <w:pPr>
        <w:pStyle w:val="Normal"/>
        <w:rPr/>
      </w:pPr>
      <w:r>
        <w:rPr/>
        <w:t xml:space="preserve"> </w:t>
      </w:r>
    </w:p>
    <w:p>
      <w:pPr>
        <w:pStyle w:val="Titre4"/>
        <w:numPr>
          <w:ilvl w:val="3"/>
          <w:numId w:val="2"/>
        </w:numPr>
        <w:rPr/>
      </w:pPr>
      <w:bookmarkStart w:id="140" w:name="__RefHeading___Toc297215_1346298689"/>
      <w:bookmarkEnd w:id="140"/>
      <w:r>
        <w:rPr/>
        <w:t>Sottoassi 3.1 Riforma istituzzjonali</w:t>
      </w:r>
    </w:p>
    <w:p>
      <w:pPr>
        <w:pStyle w:val="Normal"/>
        <w:rPr/>
      </w:pPr>
      <w:r>
        <w:rPr/>
        <w:t xml:space="preserve"> </w:t>
      </w:r>
    </w:p>
    <w:p>
      <w:pPr>
        <w:pStyle w:val="Normal"/>
        <w:rPr/>
      </w:pPr>
      <w:r>
        <w:rPr>
          <w:b/>
        </w:rPr>
        <w:t>15. “Irrakkomandaw li jinbidlu l-ismijiet tal-istituzzjonijiet tal-UE biex jiġu ċċarati l-funzjonijiet tagħhom. Pereżempju, il-Kunsill tal-Unjoni Ewropea jista’ jissejjaħ is-Senat tal-Unjoni Ewropea. Il-Kummissjoni Ewropea tista’ tissejjaħ il-Kummissjoni Eżekuttiva tal-Unjoni Ewropea</w:t>
      </w:r>
      <w:r>
        <w:rPr/>
        <w:t xml:space="preserve">. </w:t>
      </w:r>
    </w:p>
    <w:p>
      <w:pPr>
        <w:pStyle w:val="Normal"/>
        <w:rPr/>
      </w:pPr>
      <w:r>
        <w:rPr/>
        <w:t xml:space="preserve"> </w:t>
      </w:r>
    </w:p>
    <w:p>
      <w:pPr>
        <w:pStyle w:val="Normal"/>
        <w:rPr/>
      </w:pPr>
      <w:r>
        <w:rPr/>
        <w:t xml:space="preserve">Nirrakkomandaw dan peress li bħalissa huwa diffiċli għaċ-ċittadini li jifhmu r-rwoli u l-funzjonijiet ta’ kull istituzzjoni tal-UE. L-ismijiet tagħhom ma jirriflettux il-funzjonijiet tagħhom. Iċ-ċittadini ma jistgħux ikunu mistennija li jiddistingwu bejn il-Kunsill tal-Unjoni Ewropea, il-Kunsill Ewropew u l-Kunsill tal-Ewropa. Huwa importanti li jiġu evitati d-duplikazzjonijiet. </w:t>
      </w:r>
    </w:p>
    <w:p>
      <w:pPr>
        <w:pStyle w:val="Normal"/>
        <w:rPr/>
      </w:pPr>
      <w:r>
        <w:rPr/>
        <w:t xml:space="preserve"> </w:t>
      </w:r>
    </w:p>
    <w:p>
      <w:pPr>
        <w:pStyle w:val="P68B1DB1Normal15"/>
        <w:rPr>
          <w:b/>
          <w:b/>
        </w:rPr>
      </w:pPr>
      <w:r>
        <w:rPr/>
        <w:t xml:space="preserve">16. Nirrakkomandaw l-adozzjoni ta’ liġi elettorali għall-Parlament Ewropew, li tarmonizza l-kundizzjonijiet elettorali (l-età tad-dritt tal-vot, id-data tal-elezzjonijiet, ir-rekwiżiti relatati mad-distretti elettorali, il-kandidati, il-partiti politiċi u l-finanzjament tagħhom). Iċ-ċittadini Ewropej għandu jkollhom id-dritt li jivvutaw għal partiti differenti fil-livell tal-UE, kull wieħed magħmul minn kandidati minn diversi Stati Membri. Matul perjodu tranżitorju suffiċjenti, iċ-ċittadini xorta jistgħu jivvutaw għall-partiti nazzjonali u transnazzjonali. </w:t>
      </w:r>
    </w:p>
    <w:p>
      <w:pPr>
        <w:pStyle w:val="Normal"/>
        <w:rPr/>
      </w:pPr>
      <w:r>
        <w:rPr/>
        <w:t xml:space="preserve"> </w:t>
      </w:r>
    </w:p>
    <w:p>
      <w:pPr>
        <w:pStyle w:val="Normal"/>
        <w:rPr/>
      </w:pPr>
      <w:r>
        <w:rPr/>
        <w:t xml:space="preserve">Nirrakkomandaw dan għaliex l-Unjoni teħtieġ tiżviluppa sens ta’ unità, li jista’ joħroġ permezz ta’ elezzjoni verament unifikata tal-Parlament Ewropew. Din l-elezzjoni konġunta se tagħmilha possibbli li l-Membri tal-Parlament Ewropew jingħataw is-setgħa u li l-kampanja elettorali tiffoka fuq temi Ewropej komuni. </w:t>
      </w:r>
    </w:p>
    <w:p>
      <w:pPr>
        <w:pStyle w:val="Normal"/>
        <w:rPr/>
      </w:pPr>
      <w:r>
        <w:rPr/>
        <w:t xml:space="preserve"> </w:t>
      </w:r>
    </w:p>
    <w:p>
      <w:pPr>
        <w:pStyle w:val="Titre4"/>
        <w:numPr>
          <w:ilvl w:val="3"/>
          <w:numId w:val="2"/>
        </w:numPr>
        <w:rPr/>
      </w:pPr>
      <w:bookmarkStart w:id="141" w:name="__RefHeading___Toc297217_1346298689"/>
      <w:bookmarkEnd w:id="141"/>
      <w:r>
        <w:rPr/>
        <w:t xml:space="preserve">Sottoassi 3.2 Teħid ta’ deċiżjonijiet </w:t>
      </w:r>
    </w:p>
    <w:p>
      <w:pPr>
        <w:pStyle w:val="Normal"/>
        <w:rPr/>
      </w:pPr>
      <w:r>
        <w:rPr/>
        <w:t xml:space="preserve"> </w:t>
      </w:r>
    </w:p>
    <w:p>
      <w:pPr>
        <w:pStyle w:val="P68B1DB1Normal15"/>
        <w:rPr>
          <w:b/>
          <w:b/>
        </w:rPr>
      </w:pPr>
      <w:r>
        <w:rPr/>
        <w:t xml:space="preserve">17. Nirrakkomandaw li tinħoloq pjattaforma online fejn iċ-ċittadini jkunu jistgħu jsibu u jitolbu informazzjoni fattwalment ivverifikata. Il-pjattaforma għandha tkun assoċjata b’mod ċar mal-istituzzjonijiet tal-UE, tkun tematikament strutturata u faċilment aċċessibbli (eż. billi tipprovdi hotline). Iċ-ċittadini għandu jkollhom l-opportunità li jistaqsu mistoqsijiet kritiċi lill-esperti (eż. akkademiċi, ġurnalisti) u jiksbu tweġibiet fattwali minn sorsi. </w:t>
      </w:r>
    </w:p>
    <w:p>
      <w:pPr>
        <w:pStyle w:val="Normal"/>
        <w:rPr/>
      </w:pPr>
      <w:r>
        <w:rPr/>
        <w:t xml:space="preserve"> </w:t>
      </w:r>
    </w:p>
    <w:p>
      <w:pPr>
        <w:pStyle w:val="Normal"/>
        <w:rPr/>
      </w:pPr>
      <w:r>
        <w:rPr/>
        <w:t xml:space="preserve">L-aċċess liberu għall-informazzjoni fattwali huwa tal-akbar importanza għas-soċjetà tagħna, sabiex iċ-ċittadini jkunu infurmati tajjeb u protetti mill-aħbarijiet foloz u d-diżinformazzjoni. Neħtieġu sors kredibbli u indipendenti ta’ informazzjoni li mhuwiex influwenzat minn interessi politiċi, ekonomiċi u nazzjonali. Barra minn hekk, il-pjattaforma tista’ tistabbilixxi pont (jiġifieri relazzjoni diretta) bejn iċ-ċittadini u l-UE. </w:t>
      </w:r>
    </w:p>
    <w:p>
      <w:pPr>
        <w:pStyle w:val="Normal"/>
        <w:rPr/>
      </w:pPr>
      <w:r>
        <w:rPr/>
      </w:r>
    </w:p>
    <w:p>
      <w:pPr>
        <w:pStyle w:val="P68B1DB1Normal15"/>
        <w:rPr>
          <w:b/>
          <w:b/>
        </w:rPr>
      </w:pPr>
      <w:r>
        <w:rPr/>
        <w:t xml:space="preserve">18. Nirrakkomandaw li jsir referendum madwar l-UE kollha f’każijiet eċċezzjonali dwar kwistjonijiet ta’ importanza kbira għaċ-ċittadini Ewropej kollha. Ir-referendum għandu jitnieda mill-Parlament Ewropew u għandu jkun legalment vinkolanti. </w:t>
      </w:r>
    </w:p>
    <w:p>
      <w:pPr>
        <w:pStyle w:val="Normal"/>
        <w:rPr/>
      </w:pPr>
      <w:r>
        <w:rPr/>
        <w:t xml:space="preserve"> </w:t>
      </w:r>
    </w:p>
    <w:p>
      <w:pPr>
        <w:pStyle w:val="Normal"/>
        <w:rPr/>
      </w:pPr>
      <w:r>
        <w:rPr/>
        <w:t xml:space="preserve">Iċ-ċittadini tal-UE għandu jkollhom influwenza aktar diretta fuq deċiżjonijiet importanti dwar kwistjonijiet Ewropej. Madankollu, ir-referenda għandhom isiru biss f’ċirkostanzi eċċezzjonali, peress li, minħabba l-ispejjeż għoljin tagħhom, ma jkunx possibbli li dawn isiru b’mod regolari. Aħna konxji li din ir-rakkomandazzjoni tista’ teħtieġ emenda tat-Trattat u l-adattament tal-kostituzzjonijiet nazzjonali. </w:t>
      </w:r>
    </w:p>
    <w:p>
      <w:pPr>
        <w:pStyle w:val="Normal"/>
        <w:rPr/>
      </w:pPr>
      <w:r>
        <w:rPr/>
        <w:t xml:space="preserve"> </w:t>
      </w:r>
    </w:p>
    <w:p>
      <w:pPr>
        <w:pStyle w:val="P68B1DB1Normal15"/>
        <w:rPr>
          <w:b/>
          <w:b/>
        </w:rPr>
      </w:pPr>
      <w:r>
        <w:rPr/>
        <w:t xml:space="preserve">19. Nirrakkomandaw li tinħoloq pjattaforma diġitali multifunzjonali li permezz tagħha ċ-ċittadini jkunu jistgħu jivvutaw f’elezzjonijiet u stħarriġ online. Iċ-ċittadini għandhom jingħataw l-opportunità li jimmotivaw il-vot tagħhom dwar kwistjonijiet importanti u proposti leġislattivi mill-istituzzjonijiet Ewropej. Din il-pjattaforma għandha tkun sigura, aċċessibbli b’mod wiesa’ u viżibbli ħafna għal kull ċittadin. </w:t>
      </w:r>
    </w:p>
    <w:p>
      <w:pPr>
        <w:pStyle w:val="Normal"/>
        <w:rPr/>
      </w:pPr>
      <w:r>
        <w:rPr/>
        <w:t xml:space="preserve"> </w:t>
      </w:r>
    </w:p>
    <w:p>
      <w:pPr>
        <w:pStyle w:val="Normal"/>
        <w:rPr/>
      </w:pPr>
      <w:r>
        <w:rPr/>
        <w:t xml:space="preserve">L-għan ta’ din il-pjattaforma huwa li żżid il-parteċipazzjoni fil-politika Ewropea u li tiffaċilita l-aċċess taċ-ċittadini għall-konsultazzjoni u l-votazzjoni. L-għodod u l-proċessi eżistenti mhumiex viżibbli biżżejjed, u huwa għalhekk li neħtieġu għodda integrata ġdida għal dawn il-funzjonijiet differenti. Parteċipazzjoni akbar twassal għal deċiżjonijiet aħjar, fiduċja akbar fost iċ-ċittadini Ewropej u funzjonament aħjar tal-Unjoni b’mod ġenerali. </w:t>
      </w:r>
    </w:p>
    <w:p>
      <w:pPr>
        <w:pStyle w:val="Normal"/>
        <w:rPr/>
      </w:pPr>
      <w:r>
        <w:rPr/>
        <w:t xml:space="preserve"> </w:t>
      </w:r>
    </w:p>
    <w:p>
      <w:pPr>
        <w:pStyle w:val="P68B1DB1Normal15"/>
        <w:rPr>
          <w:b/>
          <w:b/>
        </w:rPr>
      </w:pPr>
      <w:r>
        <w:rPr/>
        <w:t xml:space="preserve">20. “Irrakkomandaw li s-sistemi ta’ votazzjoni fl-istituzzjonijiet tal-UE jiġu vvalutati mill-ġdid billi ssir enfasi fuq il-kwistjoni tal-votazzjoni b’unanimità. L-“ippeżar” tal-voti għandu jiġi kkalkulat b’mod ġust, sabiex jiġu protetti l-interessi tal-pajjiżi ż-żgħar. </w:t>
      </w:r>
    </w:p>
    <w:p>
      <w:pPr>
        <w:pStyle w:val="Normal"/>
        <w:rPr/>
      </w:pPr>
      <w:r>
        <w:rPr/>
        <w:t xml:space="preserve"> </w:t>
      </w:r>
    </w:p>
    <w:p>
      <w:pPr>
        <w:pStyle w:val="Normal"/>
        <w:rPr/>
      </w:pPr>
      <w:r>
        <w:rPr/>
        <w:t xml:space="preserve">L-unanimità hija sfida importanti għat-teħid tad-deċiżjonijiet fl-UE. Minħabba l-għadd kbir ta’ Stati Membri, huwa diffiċli ħafna li jintlaħaq ftehim. Jekk ikun meħtieġ, it-Trattati Ewropej għandhom jiġu emendati biex isolvu l-kwistjoni tal-unanimità. </w:t>
      </w:r>
    </w:p>
    <w:p>
      <w:pPr>
        <w:pStyle w:val="Normal"/>
        <w:rPr/>
      </w:pPr>
      <w:r>
        <w:rPr/>
        <w:t xml:space="preserve"> </w:t>
      </w:r>
    </w:p>
    <w:p>
      <w:pPr>
        <w:pStyle w:val="Titre4"/>
        <w:numPr>
          <w:ilvl w:val="3"/>
          <w:numId w:val="2"/>
        </w:numPr>
        <w:rPr/>
      </w:pPr>
      <w:bookmarkStart w:id="142" w:name="__RefHeading___Toc297219_1346298689"/>
      <w:bookmarkEnd w:id="142"/>
      <w:r>
        <w:rPr/>
        <w:t xml:space="preserve">Sottoassi 3.3 Integrazzjoni aktar mill-qrib </w:t>
      </w:r>
    </w:p>
    <w:p>
      <w:pPr>
        <w:pStyle w:val="Normal"/>
        <w:rPr/>
      </w:pPr>
      <w:r>
        <w:rPr/>
        <w:t xml:space="preserve"> </w:t>
      </w:r>
    </w:p>
    <w:p>
      <w:pPr>
        <w:pStyle w:val="P68B1DB1Normal15"/>
        <w:rPr>
          <w:b/>
          <w:b/>
        </w:rPr>
      </w:pPr>
      <w:r>
        <w:rPr/>
        <w:t xml:space="preserve">21. “Irrakkomandaw li l-Unjoni tagħmel investimenti pubbliċi li jwasslu għall-ħolqien ta’ impjiegi xierqa u t-titjib u l-armonizzazzjoni tal-kwalità tal-ħajja madwar l-Unjoni, bejn l-Istati Membri u fi ħdan l-Istati Membri (jiġifieri fil-livell reġjonali). Hemm bżonn li jiġu żgurati sorveljanza, trasparenza u komunikazzjoni effettivi liċ-ċittadini fl-implimentazzjoni tal-investimenti pubbliċi u li ċ-ċittadini jkunu jistgħu jimmonitorjaw il-proċess kollu tal-investiment. Għal kwalità ta’ ħajja aħjar, jenħtieġ li jsiru investimenti f’oqsma bħall-edukazzjoni, is-saħħa, l-akkomodazzjoni, l-infrastruttura fiżika, il-kura tal-anzjani u l-persuni b’diżabbiltà, filwaqt li jitqiesu l-ħtiġijiet ta’ kull Stat Membru. L-investimenti addizzjonali għandu jkollhom l-għan li jistabbilixxu bilanċ tajjeb bejn il-ħajja tax-xogħol u dik personali xierqa sabiex jippermettu stil ta’ ħajja tajjeb għas-saħħa. </w:t>
      </w:r>
    </w:p>
    <w:p>
      <w:pPr>
        <w:pStyle w:val="Normal"/>
        <w:rPr/>
      </w:pPr>
      <w:r>
        <w:rPr/>
        <w:t xml:space="preserve"> </w:t>
      </w:r>
    </w:p>
    <w:p>
      <w:pPr>
        <w:pStyle w:val="Normal"/>
        <w:rPr/>
      </w:pPr>
      <w:r>
        <w:rPr/>
        <w:t xml:space="preserve">Nirrakkomandaw din il-miżura għaliex l-armonizzazzjoni tal-livell ta’ għajxien fl-Unjoni se ttejjeb il-progress ekonomiku madwar l-Unjoni, li jwassal għal Unjoni Ewropea unifikata. Dan huwa indikatur ewlieni għal aktar integrazzjoni tal-Unjoni. Għalkemm xi wħud minn dawn il-mekkaniżmi diġà jinsabu fis-seħħ, aħna nemmnu li xorta jistgħu jittejbu. </w:t>
      </w:r>
    </w:p>
    <w:p>
      <w:pPr>
        <w:pStyle w:val="Normal"/>
        <w:rPr/>
      </w:pPr>
      <w:r>
        <w:rPr/>
        <w:t xml:space="preserve"> </w:t>
      </w:r>
    </w:p>
    <w:p>
      <w:pPr>
        <w:pStyle w:val="P68B1DB1Normal15"/>
        <w:rPr>
          <w:b/>
          <w:b/>
        </w:rPr>
      </w:pPr>
      <w:r>
        <w:rPr/>
        <w:t xml:space="preserve">22. “Irrakkomandaw li tiġi stabbilita bażi komuni, ibbażata fuq sett ta’ indikaturi ekonomiċi u tal-kwalità tal-ħajja, għall-Istati Membri kollha, sabiex jiġu offruti opportunitajiet indaqs u kulħadd jitqiegħed fuq l-istess livell biex tinkiseb struttura ekonomika komuni. Huwa importanti li din il-bażi komuni tiġi stabbilita skont skeda ċara u realistika stabbilita mill-istituzzjonijiet fuq ir-rakkomandazzjoni tal-esperti. L-esperti għandhom jiġu kkonsultati wkoll dwar il-forma ta’ struttura ekonomika komuni bħal din. Huwa importanti wkoll li l-indikaturi li fuqhom hija bbażata din il-bażi komuni jiġu definiti b’mod aktar preċiż bl-għajnuna tal-esperti. </w:t>
      </w:r>
    </w:p>
    <w:p>
      <w:pPr>
        <w:pStyle w:val="Normal"/>
        <w:rPr/>
      </w:pPr>
      <w:r>
        <w:rPr/>
        <w:t xml:space="preserve"> </w:t>
      </w:r>
    </w:p>
    <w:p>
      <w:pPr>
        <w:pStyle w:val="Normal"/>
        <w:rPr/>
      </w:pPr>
      <w:r>
        <w:rPr/>
        <w:t xml:space="preserve">Nirrakkomandaw dan għax jekk ikollna Unjoni ġusta, ikollna Ewropa aktar magħquda. Biex inkunu ġusti, irridu noffru opportunitajiet indaqs u bażi komuni għall-Unjoni kollha. Se jkun possibbli biss li tinkiseb struttura ekonomika komuni ladarba tiġi stabbilita bażi komuni. </w:t>
      </w:r>
    </w:p>
    <w:p>
      <w:pPr>
        <w:pStyle w:val="Normal"/>
        <w:rPr/>
      </w:pPr>
      <w:r>
        <w:rPr/>
        <w:t xml:space="preserve"> </w:t>
      </w:r>
    </w:p>
    <w:p>
      <w:pPr>
        <w:pStyle w:val="P68B1DB1Normal15"/>
        <w:rPr>
          <w:b/>
          <w:b/>
        </w:rPr>
      </w:pPr>
      <w:r>
        <w:rPr/>
        <w:t xml:space="preserve">23. Nirrakkomandaw li l-kumpaniji l-kbar u d-dħul korporattiv jiġu ntaxxati biex jikkontribwixxu għall-investiment pubbliku, u jużaw it-tassazzjoni biex jinvestu fl-edukazzjoni u l-iżvilupp f’kull pajjiż (R &amp; Ż, boroż ta’ studju — Erasmus, eċċ.). Huwa importanti wkoll li jiġi żgurat li r-rifuġji fiskali jitneħħew fl-UE.” </w:t>
      </w:r>
    </w:p>
    <w:p>
      <w:pPr>
        <w:pStyle w:val="Normal"/>
        <w:rPr/>
      </w:pPr>
      <w:r>
        <w:rPr/>
        <w:t xml:space="preserve"> </w:t>
      </w:r>
    </w:p>
    <w:p>
      <w:pPr>
        <w:pStyle w:val="Normal"/>
        <w:rPr/>
      </w:pPr>
      <w:r>
        <w:rPr/>
        <w:t xml:space="preserve">Nirrakkomandaw din il-miżura peress li se tgħin fil-prevenzjoni tal-evażjoni tat-taxxa u l-ħolqien ta’ rifuġji fiskali u tippromwovi l-konformità. </w:t>
      </w:r>
    </w:p>
    <w:p>
      <w:pPr>
        <w:pStyle w:val="Normal"/>
        <w:rPr/>
      </w:pPr>
      <w:r>
        <w:rPr/>
      </w:r>
    </w:p>
    <w:p>
      <w:pPr>
        <w:pStyle w:val="Titre3"/>
        <w:numPr>
          <w:ilvl w:val="2"/>
          <w:numId w:val="2"/>
        </w:numPr>
        <w:rPr/>
      </w:pPr>
      <w:bookmarkStart w:id="143" w:name="__RefHeading___Toc297221_1346298689"/>
      <w:bookmarkEnd w:id="143"/>
      <w:r>
        <w:rPr/>
        <w:t xml:space="preserve">Assi 4: Il-bini ta’ identità Ewropea </w:t>
      </w:r>
    </w:p>
    <w:p>
      <w:pPr>
        <w:pStyle w:val="Normal"/>
        <w:rPr/>
      </w:pPr>
      <w:r>
        <w:rPr/>
        <w:t xml:space="preserve"> </w:t>
      </w:r>
    </w:p>
    <w:p>
      <w:pPr>
        <w:pStyle w:val="Titre4"/>
        <w:numPr>
          <w:ilvl w:val="3"/>
          <w:numId w:val="2"/>
        </w:numPr>
        <w:rPr/>
      </w:pPr>
      <w:bookmarkStart w:id="144" w:name="__RefHeading___Toc297223_1346298689"/>
      <w:bookmarkEnd w:id="144"/>
      <w:r>
        <w:rPr/>
        <w:t xml:space="preserve">Sottoassi 4.1 Edukazzjoni għad-demokrazija </w:t>
      </w:r>
    </w:p>
    <w:p>
      <w:pPr>
        <w:pStyle w:val="Normal"/>
        <w:rPr/>
      </w:pPr>
      <w:r>
        <w:rPr/>
        <w:t xml:space="preserve"> </w:t>
      </w:r>
    </w:p>
    <w:p>
      <w:pPr>
        <w:pStyle w:val="P68B1DB1Normal15"/>
        <w:rPr>
          <w:b/>
          <w:b/>
        </w:rPr>
      </w:pPr>
      <w:r>
        <w:rPr/>
        <w:t xml:space="preserve">24. Nirrakkomandaw li l-edukazzjoni demokratika fl-UE ttejjeb u tikseb livell minimu ta’ għarfien fl-Istati Membri kollha. Din l-edukazzjoni għandha tkopri, iżda mhux biss, il-proċessi demokratiċi u l-informazzjoni ġenerali dwar l-Unjoni, li għandhom jiġu mgħallma fl-Istati Membri kollha tal-UE. Għandu jissaħħaħ permezz ta’ sett ta’ kunċetti differenti mmirati lejn it-tagħlim tal-proċess demokratiku, li għandu jkun attraenti u adattat għall-età. </w:t>
      </w:r>
    </w:p>
    <w:p>
      <w:pPr>
        <w:pStyle w:val="Normal"/>
        <w:rPr/>
      </w:pPr>
      <w:r>
        <w:rPr/>
        <w:t xml:space="preserve"> </w:t>
      </w:r>
    </w:p>
    <w:p>
      <w:pPr>
        <w:pStyle w:val="Normal"/>
        <w:rPr/>
      </w:pPr>
      <w:r>
        <w:rPr/>
        <w:t xml:space="preserve">Din ir-rakkomandazzjoni u r-raġunijiet għaliha huma importanti għaliex, jekk tiġi implimentata, se twassal għal ħajja aktar armonjuża u demokratika fl-Unjoni. Il-ġustifikazzjonijiet huma kif ġej: iż-żgħażagħ ikunu edukati fil-proċessi demokratiċi; din l-edukazzjoni tista’ tillimita l-populiżmu u d-diżinformazzjoni fid-dibattitu pubbliku; dan jista’ jnaqqas id-diskriminazzjoni; u, fl-aħħar nett, ikun possibbli li ċ-ċittadini jiġu edukati u mobilizzati għad-demokrazija lil hinn mid-dmir sempliċi tagħhom li jivvutaw. </w:t>
      </w:r>
    </w:p>
    <w:p>
      <w:pPr>
        <w:pStyle w:val="Normal"/>
        <w:rPr/>
      </w:pPr>
      <w:r>
        <w:rPr/>
        <w:t xml:space="preserve"> </w:t>
      </w:r>
    </w:p>
    <w:p>
      <w:pPr>
        <w:pStyle w:val="P68B1DB1Normal15"/>
        <w:rPr>
          <w:b/>
          <w:b/>
        </w:rPr>
      </w:pPr>
      <w:r>
        <w:rPr/>
        <w:t xml:space="preserve">25. “Aħna nirrakkomandaw li t-teknoloġiji tat-traduzzjoni eżistenti u emerġenti, bħall-intelliġenza artifiċjali, jiġu żviluppati aktar, imtejba u jsiru aktar aċċessibbli sabiex jitnaqqsu l-ostakli lingwistiċi u jissaħħu l-identità u d-demokrazija komuni fl-UE.” </w:t>
      </w:r>
    </w:p>
    <w:p>
      <w:pPr>
        <w:pStyle w:val="Normal"/>
        <w:rPr/>
      </w:pPr>
      <w:r>
        <w:rPr/>
        <w:t xml:space="preserve"> </w:t>
      </w:r>
    </w:p>
    <w:p>
      <w:pPr>
        <w:pStyle w:val="Normal"/>
        <w:rPr/>
      </w:pPr>
      <w:r>
        <w:rPr/>
        <w:t xml:space="preserve">Din ir-rakkomandazzjoni u r-raġunijiet għaliha huma importanti għaliex, jekk tiġi implimentata, se tikkontribwixxi għall-bini ta’ identità Ewropea komuni billi ttejjeb il-komunikazzjoni bejn iċ-ċittadini tal-Istati Membri kollha. </w:t>
      </w:r>
    </w:p>
    <w:p>
      <w:pPr>
        <w:pStyle w:val="Normal"/>
        <w:rPr/>
      </w:pPr>
      <w:r>
        <w:rPr/>
        <w:t xml:space="preserve"> </w:t>
      </w:r>
    </w:p>
    <w:p>
      <w:pPr>
        <w:pStyle w:val="P68B1DB1Normal15"/>
        <w:rPr>
          <w:b/>
          <w:b/>
        </w:rPr>
      </w:pPr>
      <w:r>
        <w:rPr/>
        <w:t xml:space="preserve">26. Nirrakkomandaw li l-informazzjoni verifikabbli tkun aċċessibbli faċilment, f’termini li jinftiehmu, għaċ-ċittadini permezz ta’ app mobbli, sabiex jittejbu t-trasparenza, id-dibattitu pubbliku u d-demokrazija. Din l-applikazzjoni tista’ tintuża biex tinxtered l-informazzjoni dwar, pereżempju, il-leġislazzjoni, id-diskussjonijiet fi ħdan l-UE, l-emendi għat-Trattati, eċċ. </w:t>
      </w:r>
    </w:p>
    <w:p>
      <w:pPr>
        <w:pStyle w:val="Normal"/>
        <w:rPr/>
      </w:pPr>
      <w:r>
        <w:rPr/>
        <w:t xml:space="preserve"> </w:t>
      </w:r>
    </w:p>
    <w:p>
      <w:pPr>
        <w:pStyle w:val="Normal"/>
        <w:rPr/>
      </w:pPr>
      <w:r>
        <w:rPr/>
        <w:t xml:space="preserve">Din ir-rakkomandazzjoni u r-raġunijiet għaliha huma importanti għaliex, jekk tiġi implimentata, se tiffaċilita l-komunikazzjoni sal-punt li tippermetti dibattitu aktar infurmat fost iċ-ċittadini tal-Istati Membri differenti, permezz ta’ applikazzjoni li jista’ jkollha ħafna funzjonijiet differenti. Din l-applikazzjoni għandha titfassal b’tali mod li x’aktarx tkun ta’ interess għal kulħadd u kapaċi tattira aktar kurżità u tagħmel l-informazzjoni teknika aktar aċċessibbli u attraenti. L-applikazzjoni għandha titqies bħala sors komplementari, li jxerred l-informazzjoni uffiċjalment ivverifikata direttament mill-Unjoni sabiex jittejbu l-fiduċja u t-trasparenza fid-dibattitu pubbliku u jikkontribwixxi għall-bini ta’ identità Ewropea komuni. </w:t>
      </w:r>
    </w:p>
    <w:p>
      <w:pPr>
        <w:pStyle w:val="Normal"/>
        <w:rPr/>
      </w:pPr>
      <w:r>
        <w:rPr/>
      </w:r>
    </w:p>
    <w:p>
      <w:pPr>
        <w:pStyle w:val="Titre4"/>
        <w:numPr>
          <w:ilvl w:val="3"/>
          <w:numId w:val="2"/>
        </w:numPr>
        <w:rPr/>
      </w:pPr>
      <w:bookmarkStart w:id="145" w:name="__RefHeading___Toc297225_1346298689"/>
      <w:bookmarkEnd w:id="145"/>
      <w:r>
        <w:rPr/>
        <w:t xml:space="preserve">Is-sottoassi 4.2 Il-valuri u l-identità Ewropej </w:t>
      </w:r>
    </w:p>
    <w:p>
      <w:pPr>
        <w:pStyle w:val="Normal"/>
        <w:rPr/>
      </w:pPr>
      <w:r>
        <w:rPr/>
        <w:t xml:space="preserve"> </w:t>
      </w:r>
    </w:p>
    <w:p>
      <w:pPr>
        <w:pStyle w:val="P68B1DB1Normal15"/>
        <w:rPr>
          <w:b/>
          <w:b/>
        </w:rPr>
      </w:pPr>
      <w:r>
        <w:rPr/>
        <w:t xml:space="preserve">27. “Irrakkomandaw li l-UE tistabbilixxi fond speċjali għal interazzjonijiet online u offline (jiġifieri programmi ta’ skambju, panels, laqgħat) ta’ żmien qasir u twil bejn iċ-ċittadini tal-UE, sabiex tissaħħaħ l-identità Ewropea. Il-parteċipanti għandhom ikunu rappreżentattivi tas-soċjetà fl-Unjoni, inklużi gruppi magħżula b’mod immirat abbażi ta’ diversi kriterji, jiġifieri kriterji demografiċi, soċjoekonomiċi u okkupazzjonali. L-għanijiet ta’ dan il-fond għandhom jiġu ddikjarati b’mod ċar sabiex tiġi promossa l-identità Ewropea, u dan il-fond għandu jiġi evalwat f’intervalli regolari. </w:t>
      </w:r>
    </w:p>
    <w:p>
      <w:pPr>
        <w:pStyle w:val="Normal"/>
        <w:rPr/>
      </w:pPr>
      <w:r>
        <w:rPr/>
        <w:t xml:space="preserve"> </w:t>
      </w:r>
    </w:p>
    <w:p>
      <w:pPr>
        <w:pStyle w:val="Normal"/>
        <w:rPr/>
      </w:pPr>
      <w:r>
        <w:rPr/>
        <w:t xml:space="preserve">Nirrakkomandaw dan peress li din it-tip ta’ interazzjoni tippermetti liċ-ċittadini jaqsmu l-ideat, u skambji itwal jippermettulhom jifhmu kulturi differenti u jaqsmu l-esperjenzi, inklużi l-prattiki professjonali. Huwa meħtieġ fond tal-UE, peress li huwa importanti li kulħadd ikun jista’ jipparteċipa, inklużi dawk li normalment ma jipparteċipawx. </w:t>
      </w:r>
    </w:p>
    <w:p>
      <w:pPr>
        <w:pStyle w:val="Normal"/>
        <w:rPr/>
      </w:pPr>
      <w:r>
        <w:rPr/>
        <w:t xml:space="preserve"> </w:t>
      </w:r>
    </w:p>
    <w:p>
      <w:pPr>
        <w:pStyle w:val="P68B1DB1Normal15"/>
        <w:rPr>
          <w:b/>
          <w:b/>
        </w:rPr>
      </w:pPr>
      <w:r>
        <w:rPr/>
        <w:t xml:space="preserve">28. “Aħna nirrakkomandaw li l-UE tinvesti malajr fil-ġlieda kontra d-diżinformazzjoni, tappoġġa organizzazzjonijiet u inizjattivi eżistenti, bħall-Kodiċi ta’ Prattika dwar id-Diżinformazzjoni u l-Osservatorju Ewropew tal-Media Diġitali, kif ukoll inizjattivi komparabbli fl-Istati Membri. Jistgħu jiddaħħlu fis-seħħ kontromiżuri differenti: il-verifika tal-fatti, is-sensibilizzazzjoni dwar id-diżinformazzjoni, il-produzzjoni ta’ statistika faċilment aċċessibbli, l-impożizzjoni ta’ sanzjonijiet xierqa skont qafas legali fuq dawk li jxerrdu d-diżinformazzjoni, u l-ġlieda kontra s-sorsi ta’ diżinformazzjoni. </w:t>
      </w:r>
    </w:p>
    <w:p>
      <w:pPr>
        <w:pStyle w:val="Normal"/>
        <w:rPr/>
      </w:pPr>
      <w:r>
        <w:rPr/>
        <w:t xml:space="preserve"> </w:t>
      </w:r>
    </w:p>
    <w:p>
      <w:pPr>
        <w:pStyle w:val="Normal"/>
        <w:rPr/>
      </w:pPr>
      <w:r>
        <w:rPr/>
        <w:t xml:space="preserve">Din ir-rakkomandazzjoni hija importanti għaliex il-miżinformazzjoni u d-diżinformazzjoni, minn ġewwa u minn barra l-UE, għandhom l-effett li joħolqu kunflitti bejn iċ-ċittadini tal-UE, jippolarizzaw is-soċjetà, jipperikolaw id-demokrazija u jagħmlu ħsara lill-ekonomija. Minħabba l-kumplessità tas-suġġett, hemm bżonn ta’ riżorsi umani u finanzjarji sinifikanti. </w:t>
      </w:r>
    </w:p>
    <w:p>
      <w:pPr>
        <w:pStyle w:val="Normal"/>
        <w:rPr/>
      </w:pPr>
      <w:r>
        <w:rPr/>
        <w:t xml:space="preserve"> </w:t>
      </w:r>
    </w:p>
    <w:p>
      <w:pPr>
        <w:pStyle w:val="P68B1DB1Normal15"/>
        <w:rPr>
          <w:b/>
          <w:b/>
        </w:rPr>
      </w:pPr>
      <w:r>
        <w:rPr/>
        <w:t xml:space="preserve">29. “Irrakkomandaw 1) li tiżdied il-frekwenza tal-interazzjonijiet online u offline bejn l-Unjoni u ċ-ċittadini tagħha (jiġifieri billi ċ-ċittadini jiġu intervistati direttament dwar kwistjonijiet Ewropej u tinħoloq pjattaforma faċli biex tintuża biex jiġi żgurat li kull ċittadin ikun jista’ jinteraġixxi mal-istituzzjonijiet u l-uffiċjali tal-UE); u 2) billi jiġi żgurat li ċ-ċittadini jkunu jistgħu jipparteċipaw fil-proċess tat-tfassil tal-politika tal-UE, jesprimu l-opinjonijiet tagħhom u jiksbu feedback, u nirrakkomandaw il-ħolqien ta’ Karta jew Kodiċi ta’ Kondotta jew linji gwida għall-uffiċjali tal-UE. Għandhom jeżistu mezzi differenti ta’ interazzjoni sabiex kull ċittadin ikun jista’ jipparteċipa. </w:t>
      </w:r>
    </w:p>
    <w:p>
      <w:pPr>
        <w:pStyle w:val="Normal"/>
        <w:rPr/>
      </w:pPr>
      <w:r>
        <w:rPr/>
        <w:t xml:space="preserve"> </w:t>
      </w:r>
    </w:p>
    <w:p>
      <w:pPr>
        <w:pStyle w:val="Normal"/>
        <w:rPr/>
      </w:pPr>
      <w:r>
        <w:rPr/>
        <w:t xml:space="preserve">Nirrakkomandaw din il-miżura għaliex hemm diversi modi kif wieħed jista’ jikkuntattja lill-istituzzjonijiet Ewropej (pjattaformi online, korpi rappreżentattivi), iżda dawn mhumiex magħrufa, mhumiex effettivi u mhumiex trasparenti. L-aċċessibbiltà tvarja b’mod konsiderevoli minn pajjiż għall-ieħor. Interazzjonijiet aktar frekwenti u aħjar se jagħtu lok għal sens ta’ sjieda taċ-ċittadinanza Ewropea. </w:t>
      </w:r>
    </w:p>
    <w:p>
      <w:pPr>
        <w:pStyle w:val="Normal"/>
        <w:rPr/>
      </w:pPr>
      <w:r>
        <w:rPr/>
        <w:t xml:space="preserve"> </w:t>
      </w:r>
    </w:p>
    <w:p>
      <w:pPr>
        <w:pStyle w:val="P68B1DB1Normal15"/>
        <w:rPr>
          <w:b/>
          <w:b/>
        </w:rPr>
      </w:pPr>
      <w:r>
        <w:rPr/>
        <w:t xml:space="preserve">30. Nirrakkomandaw li l-identità u l-valuri Ewropej (jiġifieri l-istat tad-dritt, id-demokrazija u s-solidarjetà) jaqdu rwol speċjali fil-proċess ta’ integrazzjoni tal-migranti. Jistgħu jiġu previsti miżuri differenti, bħall-ħolqien ta’ programmi jew l-appoġġ ta’ programmi (lokali) diġà eżistenti, sabiex jitħeġġu l-interazzjonijiet soċjali bejn il-migranti u ċ-ċittadini tal-UE, jew il-parteċipazzjoni ta’ negozji fi programmi li jappoġġjaw l-integrazzjoni tal-migranti. Fl-istess ħin, għandhom jitniedu programmi simili biex titqajjem kuxjenza fost iċ-ċittadini tal-UE dwar kwistjonijiet relatati mal-migrazzjoni. </w:t>
      </w:r>
    </w:p>
    <w:p>
      <w:pPr>
        <w:pStyle w:val="Normal"/>
        <w:rPr/>
      </w:pPr>
      <w:r>
        <w:rPr/>
        <w:t xml:space="preserve"> </w:t>
      </w:r>
    </w:p>
    <w:p>
      <w:pPr>
        <w:pStyle w:val="Normal"/>
        <w:rPr/>
      </w:pPr>
      <w:r>
        <w:rPr/>
        <w:t xml:space="preserve">Din ir-rakkomandazzjoni hija importanti, peress li l-programmi ta’ interazzjoni soċjali jistgħu jgħinu lill-migranti fil-ħajja l-ġdida tagħhom u jippermettu lil dawk li mhumiex migranti jifhmu aħjar il-ħajja ta’ kuljum tal-migranti. Jekk il-migranti jgħixu f’ghettos, m’hemm l-ebda possibbiltà li dawn jiġu integrati fis-soċjetà fil-livell nazzjonali jew tal-UE. Politika komuni hija meħtieġa, għax ladarba l-migranti jidħlu fit-territorju ta’ l-Unjoni, ikunu jistgħu jmorru fil-pajjiżi kollha ta’ l-UE. L-inizjattivi lokali għandhom jiġu appoġġjati, peress li l-gvernijiet lokali se jużaw il-fondi b’mod aktar effettiv milli fil-livell nazzjonali. </w:t>
      </w:r>
    </w:p>
    <w:p>
      <w:pPr>
        <w:pStyle w:val="Normal"/>
        <w:rPr/>
      </w:pPr>
      <w:r>
        <w:rPr/>
        <w:t xml:space="preserve"> </w:t>
      </w:r>
    </w:p>
    <w:p>
      <w:pPr>
        <w:pStyle w:val="Titre4"/>
        <w:numPr>
          <w:ilvl w:val="3"/>
          <w:numId w:val="2"/>
        </w:numPr>
        <w:rPr/>
      </w:pPr>
      <w:bookmarkStart w:id="146" w:name="__RefHeading___Toc297227_1346298689"/>
      <w:bookmarkEnd w:id="146"/>
      <w:r>
        <w:rPr/>
        <w:t xml:space="preserve">Sotto-assi 4.3 Informazzjoni ta’ l-UE </w:t>
      </w:r>
    </w:p>
    <w:p>
      <w:pPr>
        <w:pStyle w:val="Normal"/>
        <w:rPr/>
      </w:pPr>
      <w:r>
        <w:rPr/>
        <w:t xml:space="preserve"> </w:t>
      </w:r>
    </w:p>
    <w:p>
      <w:pPr>
        <w:pStyle w:val="P68B1DB1Normal15"/>
        <w:rPr>
          <w:b/>
          <w:b/>
        </w:rPr>
      </w:pPr>
      <w:r>
        <w:rPr/>
        <w:t xml:space="preserve">31. “Irrakkomandaw li l-UE tinforma aħjar liċ-ċittadini Ewropej. Biex tagħmel dan, l-Unjoni għandha tuża l-mezzi kollha meħtieġa filwaqt li tirrispetta l-libertà u l-indipendenza tal-midja. Huwa għandu jipprovdi lill-midja b’riżorsi ġenerali u affidabbli u b’informazzjoni dwar l-attivitajiet u l-politiki tal-Unjoni. L-Unjoni għandha tiżgura li l-informazzjoni titqassam b’mod ugwali fl-Istati Membri kollha permezz tal-midja nazzjonali u Ewropea u tiżgura li l-Istati Membri jinkoraġġixxu lix-xandara pubbliċi u lill-aġenziji tal-aħbarijiet pubbliċi biex jittrattaw kwistjonijiet Ewropej.” </w:t>
      </w:r>
    </w:p>
    <w:p>
      <w:pPr>
        <w:pStyle w:val="Normal"/>
        <w:rPr/>
      </w:pPr>
      <w:r>
        <w:rPr/>
      </w:r>
    </w:p>
    <w:p>
      <w:pPr>
        <w:pStyle w:val="Normal"/>
        <w:rPr/>
      </w:pPr>
      <w:r>
        <w:rPr/>
        <w:t xml:space="preserve">Nirrakkomandaw dan għaliex, fl-esperjenza personali tagħna u skont id-data tal-Ewrobarometru, il-maġġoranza taċ-ċittadini Ewropej huma infurmati mill-midja prinċipali (l-istampa, ir-radju u t-televiżjoni) u dawn il-kanali attwalment joffru ftit li xejn informazzjoni dwar l-UE. Il-midja, inkluża l-midja pubblika, għandha funzjoni ta’ servizz pubbliku. Għalhekk huwa essenzjali li jiġu ttrattati l-kwistjonijiet Ewropej li jaffettwaw il-popolazzjoni Ewropea sabiex din il-funzjoni tiġi ssodisfata. Nirrakkomandaw li l-informazzjoni tal-UE mxerrda fl-Istati Membri differenti tkun l-istess sabiex tiġi promossa l-integrazzjoni u nirrakkomandaw li tiġi evitata informazzjoni diverġenti dwar kwistjonijiet differenti f’kull pajjiż. Huwa aktar konvenjenti u irħas li jintużaw il-kanali tal-midja eżistenti milli jinħoloq kanal ġdid, għall-istess riżultat. Il-kanali eżistenti għandhom ukoll il-vantaġġ li jkunu diġà magħrufa miċ-ċittadini. L-ebda ċittadin m’għandu jkollu jagħżel bejn kanali differenti biex ikollu aċċess għal kontenut differenti (nazzjonali jew Ewropew). </w:t>
      </w:r>
    </w:p>
    <w:p>
      <w:pPr>
        <w:pStyle w:val="Normal"/>
        <w:rPr/>
      </w:pPr>
      <w:r>
        <w:rPr/>
        <w:t xml:space="preserve"> </w:t>
      </w:r>
    </w:p>
    <w:p>
      <w:pPr>
        <w:pStyle w:val="P68B1DB1Normal15"/>
        <w:rPr>
          <w:b/>
          <w:b/>
        </w:rPr>
      </w:pPr>
      <w:r>
        <w:rPr/>
        <w:t xml:space="preserve">32. “Irrakkomandaw li l-UE toħloq u tippromwovi forums online multilingwi u laqgħat offline li jippermettu liċ-ċittadini jinvolvu ruħhom f’dibattitu mar-rappreżentanti tal-UE, irrispettivament mis-suġġett u l-ambitu ġeografiku tal-kwistjoni mqajma. It-tweġibiet għall-mistoqsijiet imqajma f’dawn il-fora online u l-laqgħat offline għandhom jiġu pprovduti f’perjodu ta’ żmien qasir definit sew. L-informazzjoni kollha relatata ma’ dawn l-ispazji għandha tkun ċentralizzata fuq sit web uffiċjali integrat b’karatteristiċi differenti, bħal spazju għal mistoqsijiet frekwenti, il-possibbiltà li jiġu kondiviżi ideat, proposti jew tħassib ma’ ċittadini oħra, u mekkaniżmu li jindika liema minnhom għandhom l-aktar appoġġ. Fi kwalunkwe każ, l-aċċess għal dan is-sit għandu jkun faċli u għandu jintuża lingwaġġ mhux burokratiku. </w:t>
      </w:r>
    </w:p>
    <w:p>
      <w:pPr>
        <w:pStyle w:val="Normal"/>
        <w:rPr/>
      </w:pPr>
      <w:r>
        <w:rPr/>
        <w:t xml:space="preserve"> </w:t>
      </w:r>
    </w:p>
    <w:p>
      <w:pPr>
        <w:pStyle w:val="Normal"/>
        <w:rPr/>
      </w:pPr>
      <w:r>
        <w:rPr/>
        <w:t xml:space="preserve">Nirrakkomandaw dan għaliex huwa mod kif jinħoloq pont dirett bejn iċ-ċittadini Ewropej u r-rappreżentanti Ewropej biex jitkellmu u jinvolvu ruħhom flimkien, biex iċ-ċittadini jingħataw aċċess faċli għall-informazzjoni dwar l-Unjoni u biex jiġu infurmati aħjar dwar l-informazzjoni diġà disponibbli. Dan se joħloq Unjoni aktar trasparenti u miftuħa u se jgħin liċ-ċittadini jaqsmu l-problemi u r-riflessjonijiet tagħhom u jirċievu risponsi u soluzzjonijiet ta’ politika, u jippermetti liċ-ċittadini jinvolvu ruħhom u jikkondividu perspettivi u esperjenzi ma’ ċittadini oħra. </w:t>
      </w:r>
    </w:p>
    <w:p>
      <w:pPr>
        <w:pStyle w:val="Normal"/>
        <w:rPr/>
      </w:pPr>
      <w:r>
        <w:rPr/>
        <w:t xml:space="preserve"> </w:t>
      </w:r>
    </w:p>
    <w:p>
      <w:pPr>
        <w:pStyle w:val="Normal"/>
        <w:rPr>
          <w:b/>
          <w:b/>
        </w:rPr>
      </w:pPr>
      <w:r>
        <w:rPr>
          <w:b/>
        </w:rPr>
        <w:t xml:space="preserve">33. </w:t>
      </w:r>
      <w:commentRangeStart w:id="4"/>
      <w:r>
        <w:rPr>
          <w:b/>
        </w:rPr>
        <w:t>“</w:t>
      </w:r>
      <w:r>
        <w:rPr>
          <w:b/>
          <w:i/>
        </w:rPr>
        <w:t>Nirrakkomandaw li l-istituzzjonijiet u r-rappreżentanti tal-UE jużaw lingwaġġ aktar aċċessibbli u jevitaw l-użu ta’ termini burokratiċi fil-komunikazzjonijiet tagħhom, filwaqt li jżommu l-kwalità u l-livell tekniku tal-informazzjoni mogħtija.</w:t>
      </w:r>
      <w:r>
        <w:rPr>
          <w:b/>
        </w:rPr>
        <w:t xml:space="preserve"> </w:t>
      </w:r>
      <w:r>
        <w:rPr>
          <w:b/>
        </w:rPr>
      </w:r>
      <w:commentRangeEnd w:id="4"/>
      <w:r>
        <w:commentReference w:id="4"/>
      </w:r>
      <w:r>
        <w:rPr>
          <w:b/>
        </w:rPr>
        <w:t xml:space="preserve">L-Unjoni għandha tadatta wkoll l-informazzjoni li tipprovdi liċ-ċittadini li jużaw kanali ta’ komunikazzjoni differenti u udjenzi differenti (eż. gazzetti, televiżjoni, midja soċjali). L-UE għandha tagħmel sforz speċjali biex tadatta l-komunikazzjoni għall-midja diġitali sabiex iżżid il-kapaċità tagħha li tilħaq liż-żgħażagħ.” </w:t>
      </w:r>
    </w:p>
    <w:p>
      <w:pPr>
        <w:pStyle w:val="Normal"/>
        <w:rPr/>
      </w:pPr>
      <w:r>
        <w:rPr/>
        <w:t xml:space="preserve"> </w:t>
      </w:r>
    </w:p>
    <w:p>
      <w:pPr>
        <w:pStyle w:val="Normal"/>
        <w:rPr/>
      </w:pPr>
      <w:r>
        <w:rPr/>
        <w:t xml:space="preserve">Nirrakkomandaw din il-miżura, peress li jekk ikun hemm informazzjoni li tinftiehem, l-Unjoni tkun tista’ tilħaq aktar ċittadini Ewropej u mhux biss lil dawk involuti. B’għodod moderni ġodda biex jiġu mmirati udjenzi speċifiċi, iċ-ċittadini se jiksbu fehim aħjar tal-attivitajiet u l-politiki tal-UE, speċjalment iż-żgħażagħ li ma jħossuhomx qrib jew marbuta mal-UE. </w:t>
      </w:r>
    </w:p>
    <w:p>
      <w:pPr>
        <w:pStyle w:val="Normal"/>
        <w:rPr/>
      </w:pPr>
      <w:r>
        <w:rPr/>
      </w:r>
    </w:p>
    <w:p>
      <w:pPr>
        <w:pStyle w:val="Titre3"/>
        <w:numPr>
          <w:ilvl w:val="2"/>
          <w:numId w:val="2"/>
        </w:numPr>
        <w:rPr/>
      </w:pPr>
      <w:bookmarkStart w:id="147" w:name="__RefHeading___Toc297229_1346298689"/>
      <w:bookmarkEnd w:id="147"/>
      <w:r>
        <w:rPr/>
        <w:t xml:space="preserve">Assi 5: It-tisħiħ tal-parteċipazzjoni taċ-ċittadini </w:t>
      </w:r>
    </w:p>
    <w:p>
      <w:pPr>
        <w:pStyle w:val="Normal"/>
        <w:rPr/>
      </w:pPr>
      <w:r>
        <w:rPr/>
        <w:t xml:space="preserve"> </w:t>
      </w:r>
    </w:p>
    <w:p>
      <w:pPr>
        <w:pStyle w:val="Titre4"/>
        <w:numPr>
          <w:ilvl w:val="3"/>
          <w:numId w:val="2"/>
        </w:numPr>
        <w:rPr/>
      </w:pPr>
      <w:bookmarkStart w:id="148" w:name="__RefHeading___Toc297231_1346298689"/>
      <w:bookmarkEnd w:id="148"/>
      <w:r>
        <w:rPr/>
        <w:t xml:space="preserve">Sottoassi 5.1 Parteċipazzjoni taċ-ċittadini </w:t>
      </w:r>
    </w:p>
    <w:p>
      <w:pPr>
        <w:pStyle w:val="Normal"/>
        <w:rPr/>
      </w:pPr>
      <w:r>
        <w:rPr/>
        <w:t xml:space="preserve"> </w:t>
      </w:r>
    </w:p>
    <w:p>
      <w:pPr>
        <w:pStyle w:val="P68B1DB1Normal15"/>
        <w:rPr>
          <w:b/>
          <w:b/>
        </w:rPr>
      </w:pPr>
      <w:r>
        <w:rPr/>
        <w:t xml:space="preserve">34. “Irrakkomandaw li osservaturi indipendenti taċ-ċittadini jkunu preżenti fil-proċessi kollha tat-teħid tad-deċiżjonijiet tal-UE. Għandu jkun hemm forum permanenti jew korp ta’ rappreżentanti taċ-ċittadini, li jkun responsabbli għat-tixrid ta’ informazzjoni rilevanti u importanti liċ-ċittadini kollha tal-Unjoni definiti bħala tali. Dawn iċ-ċittadini jimpenjaw ruħhom maċ-ċittadini Ewropej l-oħra kollha f’approċċ minn fuq għal isfel/minn isfel għal fuq, li jkompli jiżviluppa d-djalogu bejn iċ-ċittadini u l-istituzzjonijiet tal-UE.” </w:t>
      </w:r>
    </w:p>
    <w:p>
      <w:pPr>
        <w:pStyle w:val="Normal"/>
        <w:rPr/>
      </w:pPr>
      <w:r>
        <w:rPr/>
        <w:t xml:space="preserve"> </w:t>
      </w:r>
    </w:p>
    <w:p>
      <w:pPr>
        <w:pStyle w:val="Normal"/>
        <w:rPr/>
      </w:pPr>
      <w:r>
        <w:rPr/>
        <w:t xml:space="preserve">Naturalment, iċ-ċittadini jistħoqqilhom li jinżammu infurmati dwar il-kwistjonijiet kollha, u huwa importanti li jiġi żgurat li l-politiċi ma jkunux jistgħu jinjoraw xi wħud mill-kwistjonijiet li jippreferu jinjoraw. Miżura bħal din tnaqqas id-distakk bejn iċ-ċittadini u r-rappreżentanti eletti billi tistabbilixxi toroq ġodda ta’ fiduċja. </w:t>
      </w:r>
    </w:p>
    <w:p>
      <w:pPr>
        <w:pStyle w:val="Normal"/>
        <w:rPr/>
      </w:pPr>
      <w:r>
        <w:rPr/>
        <w:t xml:space="preserve"> </w:t>
      </w:r>
    </w:p>
    <w:p>
      <w:pPr>
        <w:pStyle w:val="P68B1DB1Normal15"/>
        <w:rPr>
          <w:b/>
          <w:b/>
        </w:rPr>
      </w:pPr>
      <w:r>
        <w:rPr/>
        <w:t xml:space="preserve"> </w:t>
      </w:r>
      <w:r>
        <w:rPr/>
        <w:t xml:space="preserve">35. “Irrakkomandaw li l-Unjoni tiftaħ mill-ġdid id-diskussjoni dwar il-kostituzzjoni tal-Ewropa bil-ħsieb li titfassal kostituzzjoni ispirata miċ-ċittadini tal-Unjoni. Iċ-ċittadini għandhom ikunu jistgħu jivvutaw għal kostituzzjoni bħal din. Sabiex jiġi evitat kwalunkwe kunflitt mal-Istati Membri, il-valuri tad-drittijiet tal-bniedem u d-demokrazija għandhom jiġu inklużi bħala kwistjoni ta’ prijorità f’din il-kostituzzjoni. Fit-tfassil ta’ kostituzzjoni bħal din, għandhom jitqiesu l-isforzi preċedenti li qatt ma rriżultaw f’kostituzzjoni. </w:t>
      </w:r>
    </w:p>
    <w:p>
      <w:pPr>
        <w:pStyle w:val="Normal"/>
        <w:rPr/>
      </w:pPr>
      <w:r>
        <w:rPr/>
        <w:t xml:space="preserve"> </w:t>
      </w:r>
    </w:p>
    <w:p>
      <w:pPr>
        <w:pStyle w:val="Normal"/>
        <w:rPr/>
      </w:pPr>
      <w:r>
        <w:rPr/>
        <w:t xml:space="preserve">Minħabba li din il-kostituzzjoni tinvolvi liż-żgħażagħ fil-politika fil-livell tal-UE u tfixkel il-forzi tan-nazzjonaliżmu li qed jirrankaw. Din tipprovdi definizzjoni komuni ta’ x’inhi d-demokrazija fl-Ewropa u x’tista’ tiġi implimentata b’mod ugwali fl-Istati Membri kollha. Għax l-UE tikkondividi valuri komuni dwar id-demokrazija u d-drittijiet tal-bniedem. Minħabba li ċ-ċittadini jkollhom l-opportunità li jkunu involuti fil-proċess tat-teħid tad-deċiżjonijiet u li jidentifikaw ruħhom aktar mal-Unjoni billi jipparteċipaw f’dak il-proċess. </w:t>
      </w:r>
    </w:p>
    <w:p>
      <w:pPr>
        <w:pStyle w:val="Normal"/>
        <w:rPr/>
      </w:pPr>
      <w:r>
        <w:rPr/>
        <w:t xml:space="preserve"> </w:t>
      </w:r>
    </w:p>
    <w:p>
      <w:pPr>
        <w:pStyle w:val="P68B1DB1Normal15"/>
        <w:rPr>
          <w:b/>
          <w:b/>
        </w:rPr>
      </w:pPr>
      <w:r>
        <w:rPr/>
        <w:t xml:space="preserve">36. Nirrakkomandaw li l-politiċi jkunu aktar responsabbli dwar kif jirrappreżentaw liċ-ċittadini li eleġġewhom. Iż-żgħażagħ, b’mod partikolari, huma partikolarment maqtugħin mill-politika u ma jittiħdux bis-serjetà meta jipparteċipaw. Iżda n-nuqqas ta’ interess huwa problema universali u l-persuni ta’ kull età għandhom ikunu aktar involuti milli huma issa. </w:t>
      </w:r>
    </w:p>
    <w:p>
      <w:pPr>
        <w:pStyle w:val="Normal"/>
        <w:rPr/>
      </w:pPr>
      <w:r>
        <w:rPr/>
        <w:t xml:space="preserve"> </w:t>
      </w:r>
    </w:p>
    <w:p>
      <w:pPr>
        <w:pStyle w:val="Normal"/>
        <w:rPr/>
      </w:pPr>
      <w:r>
        <w:rPr/>
        <w:t xml:space="preserve">Minħabba li d-definizzjoni tad-demokrazija għandha tiġi aġġornata. Irridu niftakru x’inhi verament id-demokrazija. Għax iż-żgħażagħ kellhom biżżejjed u huma diżilużi mill-politiċi li jaraw bħala eliti li ma jaqsmux l-opinjonijiet tagħhom. Din hija r-raġuni għaliex iċ-ċittadini jeħtieġ li jkunu aktar involuti b’mod oriġinali u attraenti. Is-sistema edukattiva, il-midja soċjali u l-forom l-oħra kollha tal-midja jistgħu jaqdu dan ir-rwol matul iċ-ċiklu tal-ħajja u fil-lingwi kollha. </w:t>
      </w:r>
    </w:p>
    <w:p>
      <w:pPr>
        <w:pStyle w:val="Normal"/>
        <w:rPr/>
      </w:pPr>
      <w:r>
        <w:rPr/>
        <w:t xml:space="preserve"> </w:t>
      </w:r>
    </w:p>
    <w:p>
      <w:pPr>
        <w:pStyle w:val="Titre4"/>
        <w:numPr>
          <w:ilvl w:val="3"/>
          <w:numId w:val="2"/>
        </w:numPr>
        <w:rPr/>
      </w:pPr>
      <w:bookmarkStart w:id="149" w:name="__RefHeading___Toc297233_1346298689"/>
      <w:bookmarkEnd w:id="149"/>
      <w:r>
        <w:rPr/>
        <w:t xml:space="preserve">Sottoassi 5.2 Parteċipazzjoni taċ-ċittadini </w:t>
      </w:r>
    </w:p>
    <w:p>
      <w:pPr>
        <w:pStyle w:val="Normal"/>
        <w:rPr/>
      </w:pPr>
      <w:r>
        <w:rPr/>
        <w:t xml:space="preserve"> </w:t>
      </w:r>
    </w:p>
    <w:p>
      <w:pPr>
        <w:pStyle w:val="P68B1DB1Normal15"/>
        <w:rPr>
          <w:b/>
          <w:b/>
        </w:rPr>
      </w:pPr>
      <w:r>
        <w:rPr/>
        <w:t xml:space="preserve">37. “Irrakkomandaw li l-UE toqrob aktar lejn iċ-ċittadini b’mod aktar assertiv. Biex jinkiseb dan, l-Istati Membri għandhom ikunu involuti fil-promozzjoni tal-parteċipazzjoni taċ-ċittadini fl-Unjoni. L-Unjoni għandha tippromwovi l-użu ta’ mekkaniżmi ta’ parteċipazzjoni taċ-ċittadini billi tistabbilixxi kampanji kummerċjali u ta’ reklamar. Il-gvernijiet nazzjonali u lokali għandhom ikunu obbligati li jipparteċipaw f’dan il-proċess. L-Unjoni għandha tiżgura l-effettività tal-pjattaformi ta’ demokrazija parteċipattiva.” </w:t>
      </w:r>
    </w:p>
    <w:p>
      <w:pPr>
        <w:pStyle w:val="Normal"/>
        <w:rPr/>
      </w:pPr>
      <w:r>
        <w:rPr/>
        <w:t xml:space="preserve"> </w:t>
      </w:r>
    </w:p>
    <w:p>
      <w:pPr>
        <w:pStyle w:val="Normal"/>
        <w:rPr/>
      </w:pPr>
      <w:r>
        <w:rPr/>
        <w:t xml:space="preserve">Nirrakkomandaw dan għaliex il-pjattaforma li diġà teżisti jeħtieġ li tissaħħaħ u ssir aktar effettiva: jeħtieġ li jkun hemm aktar rispons miċ-ċittadini lejn l-UE u viċi versa. M’hemmx biżżejjed dibattitu fi ħdan l-UE, kemm bejn iċ-ċittadini kif ukoll bejn il-gvernijiet. Minħabba li ċ-ċittadini ma jressqux petizzjonijiet, jew minħabba li ma jafux li jeżisti l-mekkaniżmu, jew għax ma jemmnux li dawn il-petizzjonijiet jistgħu jirnexxu. </w:t>
      </w:r>
    </w:p>
    <w:p>
      <w:pPr>
        <w:pStyle w:val="Normal"/>
        <w:rPr/>
      </w:pPr>
      <w:r>
        <w:rPr/>
        <w:t xml:space="preserve"> </w:t>
      </w:r>
    </w:p>
    <w:p>
      <w:pPr>
        <w:pStyle w:val="P68B1DB1Normal15"/>
        <w:rPr>
          <w:b/>
          <w:b/>
        </w:rPr>
      </w:pPr>
      <w:r>
        <w:rPr/>
        <w:t xml:space="preserve">38. “Irrakkomandaw li l-Unjoni toħloq u timplimenta kurrikuli għall-iskejjel dwar dak li qed isir fl-UE fir-rigward tal-mekkaniżmi ta’ parteċipazzjoni. Programmi bħal dawn għandhom jiġu integrati fil-kurrikuli tal-iskejjel dwar iċ-ċittadinanza u l-etika Ewropea, b’kontenut adattat għall-età tal-istudenti. Għandu jkun hemm ukoll programmi għall-adulti. Il-programmi ta’ tagħlim tul il-ħajja għandhom ikunu disponibbli għaċ-ċittadini sabiex japprofondixxu l-għarfien tagħhom dwar l-opportunitajiet għall-parteċipazzjoni taċ-ċittadini fl-Unjoni.” </w:t>
      </w:r>
    </w:p>
    <w:p>
      <w:pPr>
        <w:pStyle w:val="Normal"/>
        <w:rPr/>
      </w:pPr>
      <w:r>
        <w:rPr/>
        <w:t xml:space="preserve"> </w:t>
      </w:r>
    </w:p>
    <w:p>
      <w:pPr>
        <w:pStyle w:val="Normal"/>
        <w:rPr/>
      </w:pPr>
      <w:r>
        <w:rPr/>
        <w:t xml:space="preserve">Nirrakkomandaw din il-miżura għaliex huwa importanti għall-futur tat-tfal tagħna. Iċ-ċittadini jridu jkunu jafu kif jesprimu l-vuċi tagħhom. Huwa importanti li jkunu jafu l-mekkaniżmi eżatti u kif jistgħu jintużaw, sabiex il-vuċi tagħhom tinstema’ mill-Unjoni. Dan huwa importanti għaċ-ċittadini Ewropej kollha li jkunu fuq l-istess livell. Bħala ċittadini Ewropej, jeħtieġ li nkunu nafu kif nużaw id-drittijiet tagħna. Bħala ċittadini Ewropej, għandna d-dritt li nkunu nafu din l-informazzjoni. </w:t>
      </w:r>
    </w:p>
    <w:p>
      <w:pPr>
        <w:pStyle w:val="Normal"/>
        <w:rPr/>
      </w:pPr>
      <w:r>
        <w:rPr/>
        <w:t xml:space="preserve"> </w:t>
      </w:r>
    </w:p>
    <w:p>
      <w:pPr>
        <w:pStyle w:val="Titre4"/>
        <w:numPr>
          <w:ilvl w:val="3"/>
          <w:numId w:val="2"/>
        </w:numPr>
        <w:rPr/>
      </w:pPr>
      <w:bookmarkStart w:id="150" w:name="__RefHeading___Toc297235_1346298689"/>
      <w:bookmarkEnd w:id="150"/>
      <w:r>
        <w:rPr/>
        <w:t xml:space="preserve">Sottoassi 5.3 Parteċipazzjoni taċ-ċittadini </w:t>
      </w:r>
    </w:p>
    <w:p>
      <w:pPr>
        <w:pStyle w:val="Normal"/>
        <w:rPr/>
      </w:pPr>
      <w:r>
        <w:rPr/>
        <w:t xml:space="preserve"> </w:t>
      </w:r>
    </w:p>
    <w:p>
      <w:pPr>
        <w:pStyle w:val="P68B1DB1Normal15"/>
        <w:rPr>
          <w:b/>
          <w:b/>
        </w:rPr>
      </w:pPr>
      <w:r>
        <w:rPr/>
        <w:t xml:space="preserve">39. Nirrakkomandaw li l-Unjoni torganizza assembleji taċ-ċittadini. Nirrakkomandaw bil-qawwa li dawn jiddaħħlu fis-seħħ taħt liġi jew regolament legalment vinkolanti u obbligatorju. Dawn l-assemblej taċ-ċittadini għandhom isiru kull 12 sa 18-il xahar. Il-parteċipazzjoni taċ-ċittadini m’għandhiex tkun obbligatorja, iżda għandha titħeġġeġ, filwaqt li tiġi organizzata fuq il-bażi ta’ mandati limitati. Il-parteċipanti għandhom jintgħażlu b’mod aleatorju skont il-kriterji tar-rappreżentattività. Huma m’għandhom jirrappreżentaw l-ebda tip ta’ organizzazzjoni u m’għandhomx jintalbu jipparteċipaw minħabba l-funzjoni professjonali tagħhom meta jkunu membri tal-assemblea. Jekk ikun meħtieġ, ser jingħata appoġġ mill-esperti biex jiġi żgurat li l-membri tal-assemblea jkollhom biżżejjed informazzjoni biex jiddeliberaw. It-teħid tad-deċiżjonijiet se jkun f’idejn iċ-ċittadini. L-Unjoni għandha tiggarantixxi l-impenn tal-politiċi għad-deċiżjonijiet meħuda miċ-ċittadini fl-assembleji taċ-ċittadini. Jekk il-proposti taċ-ċittadini jiġu injorati jew miċħuda b’mod espliċitu, l-istituzzjonijiet Ewropej għandhom jirrapportaw dwarhom, filwaqt li jiddikjaraw ir-raġunijiet għalfejn ittieħdet din id-deċiżjoni. </w:t>
      </w:r>
    </w:p>
    <w:p>
      <w:pPr>
        <w:pStyle w:val="Normal"/>
        <w:rPr/>
      </w:pPr>
      <w:r>
        <w:rPr/>
        <w:t xml:space="preserve"> </w:t>
      </w:r>
    </w:p>
    <w:p>
      <w:pPr>
        <w:pStyle w:val="Normal"/>
        <w:rPr/>
      </w:pPr>
      <w:r>
        <w:rPr/>
        <w:t xml:space="preserve">Nirrakkomandaw it-twaqqif ta’ assembleji taċ-ċittadini, għaliex irridu li ċ-ċittadini jħossuhom eqreb lejn l-istituzzjonijiet Ewropej u li jikkontribwixxu direttament għat-teħid tad-deċiżjonijiet, flimkien mal-politiċi, sabiex jissaħħaħ is-sens ta’ appartenenza u effettività diretta. Barra minn hekk, irridu li l-partiti politiċi jinżammu responsabbli lejn iċ-ċittadini, inklużi l-programmi elettorali tagħhom. </w:t>
      </w:r>
    </w:p>
    <w:p>
      <w:pPr>
        <w:pStyle w:val="Normal"/>
        <w:rPr/>
      </w:pPr>
      <w:r>
        <w:rPr/>
        <w:t xml:space="preserve"> </w:t>
      </w:r>
    </w:p>
    <w:p>
      <w:pPr>
        <w:pStyle w:val="Titre3"/>
        <w:numPr>
          <w:ilvl w:val="2"/>
          <w:numId w:val="2"/>
        </w:numPr>
        <w:rPr/>
      </w:pPr>
      <w:bookmarkStart w:id="151" w:name="__RefHeading___Toc297237_1346298689"/>
      <w:bookmarkEnd w:id="151"/>
      <w:r>
        <w:rPr/>
        <w:t xml:space="preserve">Anness: RAKKOMANDAZZJONIJIET OĦRA KKUNSIDRATI MILL-BORD IŻDA MHUX ADOTTATI </w:t>
      </w:r>
    </w:p>
    <w:p>
      <w:pPr>
        <w:pStyle w:val="Normal"/>
        <w:rPr/>
      </w:pPr>
      <w:r>
        <w:rPr/>
        <w:t xml:space="preserve"> </w:t>
      </w:r>
    </w:p>
    <w:p>
      <w:pPr>
        <w:pStyle w:val="Titre4"/>
        <w:numPr>
          <w:ilvl w:val="3"/>
          <w:numId w:val="2"/>
        </w:numPr>
        <w:rPr/>
      </w:pPr>
      <w:bookmarkStart w:id="152" w:name="__RefHeading___Toc297239_1346298689"/>
      <w:bookmarkEnd w:id="152"/>
      <w:r>
        <w:rPr/>
        <w:t xml:space="preserve">Assi 1: Il-garanzija tad-drittijiet u n-nondiskriminazzjoni </w:t>
      </w:r>
    </w:p>
    <w:p>
      <w:pPr>
        <w:pStyle w:val="Normal"/>
        <w:rPr/>
      </w:pPr>
      <w:r>
        <w:rPr/>
        <w:t xml:space="preserve"> </w:t>
      </w:r>
    </w:p>
    <w:p>
      <w:pPr>
        <w:pStyle w:val="Normal"/>
        <w:rPr/>
      </w:pPr>
      <w:r>
        <w:rPr/>
        <w:t xml:space="preserve">Sotto-assi 1.1 Nuqqas ta’ diskriminazzjoni/Sotto-assi 1.2 Ugwaljanza bejn is-sessi </w:t>
      </w:r>
    </w:p>
    <w:p>
      <w:pPr>
        <w:pStyle w:val="Normal"/>
        <w:rPr/>
      </w:pPr>
      <w:r>
        <w:rPr/>
        <w:t xml:space="preserve"> </w:t>
      </w:r>
    </w:p>
    <w:p>
      <w:pPr>
        <w:pStyle w:val="P68B1DB1Normal15"/>
        <w:rPr>
          <w:b/>
          <w:b/>
        </w:rPr>
      </w:pPr>
      <w:r>
        <w:rPr/>
        <w:t>“</w:t>
      </w:r>
      <w:r>
        <w:rPr/>
        <w:t xml:space="preserve">Irrakkomandaw li l-UE tinvolvi b’mod attiv lill-minoranzi fit-tfassil tal-politika dwar aspetti ewlenin tal-istituzzjonijiet tal-istat (eż. il-pulizija u l-NGOs). Nirrakkomandaw li l-Unjoni twaqqaf kunsill konsultattiv, elett direttament mill-minoranzi. Għandu jkun magħmul prinċipalment minn rappreżentanti tal-minoranzi, filwaqt li jinkludi wkoll rappreżentanti tal-NGOs. Għandu jkollu rwol ta’ taħriġ fis-sensibilizzazzjoni tal-uffiċjali pubbliċi dwar il-ħtiġijiet tal-minoranzi. Dan il-korp għandu jkollu veto fuq kwistjonijiet ta’ minoranza. </w:t>
      </w:r>
    </w:p>
    <w:p>
      <w:pPr>
        <w:pStyle w:val="Normal"/>
        <w:rPr/>
      </w:pPr>
      <w:r>
        <w:rPr/>
        <w:t xml:space="preserve">Nirrakkomandaw dan għaliex l-ilħna tal-minoranzi ma jinstemgħux biżżejjed. Huma għandhom jesprimu ruħhom f’isimhom stess, b’mod awtodeterminat u f’livell professjonali; huwa għalhekk li għaqqdna rappreżentazzjoni permezz tal-votazzjoni u l-għarfien espert. </w:t>
      </w:r>
    </w:p>
    <w:p>
      <w:pPr>
        <w:pStyle w:val="Normal"/>
        <w:rPr/>
      </w:pPr>
      <w:r>
        <w:rPr/>
        <w:t xml:space="preserve"> </w:t>
      </w:r>
    </w:p>
    <w:p>
      <w:pPr>
        <w:pStyle w:val="Titre4"/>
        <w:numPr>
          <w:ilvl w:val="3"/>
          <w:numId w:val="2"/>
        </w:numPr>
        <w:rPr/>
      </w:pPr>
      <w:bookmarkStart w:id="153" w:name="__RefHeading___Toc297241_1346298689"/>
      <w:bookmarkEnd w:id="153"/>
      <w:r>
        <w:rPr/>
        <w:t xml:space="preserve">Assi 2: Il-protezzjoni tad-demokrazija u l-istat tad-dritt </w:t>
      </w:r>
    </w:p>
    <w:p>
      <w:pPr>
        <w:pStyle w:val="Normal"/>
        <w:rPr/>
      </w:pPr>
      <w:r>
        <w:rPr/>
        <w:t xml:space="preserve"> </w:t>
      </w:r>
    </w:p>
    <w:p>
      <w:pPr>
        <w:pStyle w:val="Normal"/>
        <w:rPr/>
      </w:pPr>
      <w:r>
        <w:rPr/>
        <w:t xml:space="preserve">Sottoassi 2.2 Protezzjoni u tisħiħ tad-demokrazija/Sottoassi 2.4 Il-midja u d-diżinformazzjoni </w:t>
      </w:r>
    </w:p>
    <w:p>
      <w:pPr>
        <w:pStyle w:val="Normal"/>
        <w:rPr/>
      </w:pPr>
      <w:r>
        <w:rPr/>
        <w:t xml:space="preserve"> </w:t>
      </w:r>
    </w:p>
    <w:p>
      <w:pPr>
        <w:pStyle w:val="P68B1DB1Normal15"/>
        <w:rPr>
          <w:b/>
          <w:b/>
        </w:rPr>
      </w:pPr>
      <w:r>
        <w:rPr/>
        <w:t>“</w:t>
      </w:r>
      <w:r>
        <w:rPr/>
        <w:t xml:space="preserve">Irrakkomandaw il-ħolqien ta’ aġenzija ta’ monitoraġġ għall-midja awdjoviżiva, stampata u diġitali fil-livell Ewropew. Din l-aġenzija għandha tivverifika li l-midja nazzjonali qed issegwi proċess imparzjali u oġġettiv fil-produzzjoni tal-kontenut tagħhom. Sabiex tiġi evitata d-diżinformazzjoni, l-Aġenzija għandha tipprevedi sistema għall-klassifikazzjoni tal-affidabbiltà tal-midja nazzjonali. Din is-sistema ta’ klassifikazzjoni għandha tkun faċli għaċ-ċittadini biex jifhmuha. </w:t>
      </w:r>
    </w:p>
    <w:p>
      <w:pPr>
        <w:pStyle w:val="Normal"/>
        <w:rPr/>
      </w:pPr>
      <w:r>
        <w:rPr/>
        <w:t xml:space="preserve"> </w:t>
      </w:r>
    </w:p>
    <w:p>
      <w:pPr>
        <w:pStyle w:val="Normal"/>
        <w:rPr/>
      </w:pPr>
      <w:r>
        <w:rPr/>
        <w:t xml:space="preserve">Nirrakkomandaw dan għaliex għandna bżonn valutazzjoni tal-midja u l-affidabbiltà tagħhom, iżda wkoll id-diversità tal-midja fil-pajjiżi tal-UE. Aġenzija Ewropea tkun l-aktar entità oġġettiva biex tiżgura tali missjoni. Barra minn hekk, sistema ta’ klassifikazzjoni bħal din tippermetti liċ-ċittadini jagħmlu għażliet infurmati u tħeġġeġ lill-midja biex tipprovdi informazzjoni affidabbli. Jekk is-sistema ta’ klassifikazzjoni ma tkunx biżżejjed biex tiżgura l-affidabbiltà tal-midja, l-aġenzija għandha wkoll tingħata s-setgħa li timponi sanzjonijiet. </w:t>
      </w:r>
    </w:p>
    <w:p>
      <w:pPr>
        <w:pStyle w:val="Normal"/>
        <w:rPr/>
      </w:pPr>
      <w:r>
        <w:rPr/>
        <w:t xml:space="preserve"> </w:t>
      </w:r>
    </w:p>
    <w:p>
      <w:pPr>
        <w:pStyle w:val="Titre3"/>
        <w:numPr>
          <w:ilvl w:val="2"/>
          <w:numId w:val="2"/>
        </w:numPr>
        <w:rPr/>
      </w:pPr>
      <w:bookmarkStart w:id="154" w:name="__RefHeading___Toc297243_1346298689"/>
      <w:bookmarkEnd w:id="154"/>
      <w:r>
        <w:rPr/>
        <w:t xml:space="preserve">Assi 5: It-tisħiħ tal-parteċipazzjoni taċ-ċittadini </w:t>
      </w:r>
    </w:p>
    <w:p>
      <w:pPr>
        <w:pStyle w:val="Normal"/>
        <w:rPr/>
      </w:pPr>
      <w:r>
        <w:rPr/>
        <w:t xml:space="preserve"> </w:t>
      </w:r>
    </w:p>
    <w:p>
      <w:pPr>
        <w:pStyle w:val="Titre4"/>
        <w:numPr>
          <w:ilvl w:val="3"/>
          <w:numId w:val="2"/>
        </w:numPr>
        <w:rPr/>
      </w:pPr>
      <w:r>
        <w:rPr/>
        <w:t xml:space="preserve">Sottoassi 5.1 Parteċipazzjoni taċ-ċittadini </w:t>
      </w:r>
    </w:p>
    <w:p>
      <w:pPr>
        <w:pStyle w:val="Normal"/>
        <w:rPr/>
      </w:pPr>
      <w:r>
        <w:rPr/>
        <w:t xml:space="preserve"> </w:t>
      </w:r>
    </w:p>
    <w:p>
      <w:pPr>
        <w:pStyle w:val="P68B1DB1Normal15"/>
        <w:rPr>
          <w:b/>
          <w:b/>
        </w:rPr>
      </w:pPr>
      <w:r>
        <w:rPr/>
        <w:t>“</w:t>
      </w:r>
      <w:r>
        <w:rPr/>
        <w:t xml:space="preserve">Irrakkomandaw il-ħolqien ta’ korp rappreżentattiv taċ-ċittadini biex jiddiskuti u jikkontribwixxi b’mod sinifikanti għall-proċess tat-teħid tad-deċiżjonijiet — kull meta kwistjoni ewlenija għaċ-ċittadini Ewropej tiġi deċiża fil-livell tal-UE (skont id-deċiżjoni taċ-ċittadini — possibbilment permezz ta’ investigazzjoni). Dan għandu jkun grupp eteroġenju ta’ madwar 100 ċittadin mill-pajjiżi kollha tal-UE, fejn kull pajjiż huwa rappreżentat b’mod ugwali. Għandu jkun grupp b’rotazzjoni, li l-membri tiegħu jiġu sostitwiti b’mod regolari. </w:t>
      </w:r>
    </w:p>
    <w:p>
      <w:pPr>
        <w:pStyle w:val="Normal"/>
        <w:rPr/>
      </w:pPr>
      <w:r>
        <w:rPr/>
        <w:t xml:space="preserve"> </w:t>
      </w:r>
    </w:p>
    <w:p>
      <w:pPr>
        <w:pStyle w:val="Normal"/>
        <w:rPr/>
      </w:pPr>
      <w:r>
        <w:rPr/>
        <w:t xml:space="preserve">Minħabba li huwa importanti li jiġu evitati problemi bħall-korruzzjoni, li tista’ tirriżulta minn korp rappreżentattiv permanenti, u huwa vitali li korp bħal dan ikollu rappreżentanza ugwali tal-pajjiżi kollha biex jevita setgħa ta’ teħid ta’ deċiżjonijiet inġusta. Minħabba li dan il-mod ta’ tħaddim jevita problemi relatati mal-installazzjoni jew l-użu kostanti ta’ teknoloġiji remoti.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Panel taċ-Ċittadini Ewropej 3: It-Tibdil fil-Klima u l-Ambjent/is-Saħħa </w:t>
      </w:r>
    </w:p>
    <w:p>
      <w:pPr>
        <w:pStyle w:val="Normal"/>
        <w:rPr/>
      </w:pPr>
      <w:r>
        <w:rPr/>
        <w:t xml:space="preserve"> </w:t>
      </w:r>
    </w:p>
    <w:p>
      <w:pPr>
        <w:pStyle w:val="Normal"/>
        <w:rPr/>
      </w:pPr>
      <w:r>
        <w:rPr/>
        <w:t xml:space="preserve">RAKKOMANDAZZJONIJIET ADOTTATI MILL-PANEL (LI GĦANDHOM JIĠU PPREŻENTATI LILL-PLENARJA) </w:t>
      </w:r>
    </w:p>
    <w:p>
      <w:pPr>
        <w:pStyle w:val="Normal"/>
        <w:rPr/>
      </w:pPr>
      <w:r>
        <w:rPr/>
        <w:t xml:space="preserve"> </w:t>
      </w:r>
    </w:p>
    <w:p>
      <w:pPr>
        <w:pStyle w:val="Titre3"/>
        <w:numPr>
          <w:ilvl w:val="2"/>
          <w:numId w:val="2"/>
        </w:numPr>
        <w:rPr/>
      </w:pPr>
      <w:bookmarkStart w:id="156" w:name="__RefHeading___Toc297247_1346298689"/>
      <w:bookmarkEnd w:id="156"/>
      <w:r>
        <w:rPr/>
        <w:t xml:space="preserve">Assi 1: Modi aħjar ta’ ħajja </w:t>
      </w:r>
    </w:p>
    <w:p>
      <w:pPr>
        <w:pStyle w:val="Normal"/>
        <w:rPr/>
      </w:pPr>
      <w:r>
        <w:rPr/>
        <w:t xml:space="preserve"> </w:t>
      </w:r>
    </w:p>
    <w:p>
      <w:pPr>
        <w:pStyle w:val="Titre4"/>
        <w:numPr>
          <w:ilvl w:val="3"/>
          <w:numId w:val="2"/>
        </w:numPr>
        <w:rPr/>
      </w:pPr>
      <w:bookmarkStart w:id="157" w:name="__RefHeading___Toc297249_1346298689"/>
      <w:bookmarkEnd w:id="157"/>
      <w:r>
        <w:rPr/>
        <w:t xml:space="preserve">Sottoassi 1.1 Stili ta’ ħajja tajbin għas-saħħa </w:t>
      </w:r>
    </w:p>
    <w:p>
      <w:pPr>
        <w:pStyle w:val="P68B1DB1Normal15"/>
        <w:rPr>
          <w:b/>
          <w:b/>
        </w:rPr>
      </w:pPr>
      <w:r>
        <w:rPr/>
        <w:t xml:space="preserve">1. Nirrakkomandaw li l-UE tipprovdi sussidji għall-biedja organika, inklużi inċentivi għall-pestiċidi organiċi, sabiex il-prodotti organiċi jsiru aktar affordabbli. Barra minn hekk, l-UE għandha bżonn tappoġġja l-edukazzjoni tal-bdiewa dwar il-biedja organika u sostenibbli u l-monokulturi għandhom jiġu evitati. Azjendi agrikoli organiċi żgħar, azjendi agrikoli mhux intensivi u azjendi agrikoli bi ktajjen tal-provvista qosra jenħtieġ li jibbenefikaw minn appoġġ li jippermettilhom li jkunu aktar kompetittivi. </w:t>
      </w:r>
    </w:p>
    <w:p>
      <w:pPr>
        <w:pStyle w:val="Normal"/>
        <w:rPr/>
      </w:pPr>
      <w:r>
        <w:rPr/>
        <w:t xml:space="preserve"> </w:t>
      </w:r>
    </w:p>
    <w:p>
      <w:pPr>
        <w:pStyle w:val="Normal"/>
        <w:rPr/>
      </w:pPr>
      <w:r>
        <w:rPr/>
        <w:t xml:space="preserve">Is-sussidjar ta’ prodotti organiċi jagħmilhom aktar affordabbli. Għandna ngħinu lis-supermarkets li jużaw ktajjen tal-provvista iqsar u bdiewa żgħar billi noffrulhom opportunitajiet biex ibigħu l-prodotti tagħhom. Dan jagħmilha possibbli li jiġi estiż l-aċċess għal prodotti aktar friski. Barra minn hekk, il-prezzijiet baxxi ta’ prodotti mhux organiċi ma jirriflettux il-ħsara li jikkawżaw. </w:t>
      </w:r>
    </w:p>
    <w:p>
      <w:pPr>
        <w:pStyle w:val="Normal"/>
        <w:rPr/>
      </w:pPr>
      <w:r>
        <w:rPr/>
        <w:t xml:space="preserve"> </w:t>
      </w:r>
    </w:p>
    <w:p>
      <w:pPr>
        <w:pStyle w:val="P68B1DB1Normal15"/>
        <w:rPr>
          <w:b/>
          <w:b/>
        </w:rPr>
      </w:pPr>
      <w:r>
        <w:rPr/>
        <w:t xml:space="preserve">2. Nirrakkomandaw li l-innovazzjoni fl-agrikoltura vertikali tiġi ffinanzjata mill-investimenti tal-UE. </w:t>
      </w:r>
    </w:p>
    <w:p>
      <w:pPr>
        <w:pStyle w:val="Normal"/>
        <w:rPr/>
      </w:pPr>
      <w:r>
        <w:rPr/>
        <w:t xml:space="preserve">L-agrikoltura vertikali tippermettilna nsalvaw l-ispazju tal-art li minflok jista’ jintuża għall-forestrija. Lanqas ma teħtieġ pestiċidi, li jippermettulna nipproduċu aktar ikel organiku. Barra minn hekk, mhijiex affettwata minn kundizzjonijiet ħżiena tat-temp, li huma dejjem aktar komuni minħabba t-tibdil fil-klima, u jistgħu jqassru l-ktajjen tal-provvista. </w:t>
      </w:r>
    </w:p>
    <w:p>
      <w:pPr>
        <w:pStyle w:val="Normal"/>
        <w:rPr/>
      </w:pPr>
      <w:r>
        <w:rPr/>
        <w:t xml:space="preserve"> </w:t>
      </w:r>
    </w:p>
    <w:p>
      <w:pPr>
        <w:pStyle w:val="P68B1DB1Normal15"/>
        <w:rPr>
          <w:b/>
          <w:b/>
        </w:rPr>
      </w:pPr>
      <w:r>
        <w:rPr/>
        <w:t xml:space="preserve">3. L-UE għandha tistabbilixxi standards minimi dwar il-kwalità tal-ikel, it-traċċabbiltà tal-ikel u l-konsum ta’ prodotti staġjonali fil-kantins tal-iskejjel. Ingredjenti tajbin għas-saħħa għall-kantins tal-iskola għandhom għalhekk jiġu ssussidjati sabiex jipprovdu lill-istudenti b’ikel ta’ kwalità affordabbli. </w:t>
      </w:r>
    </w:p>
    <w:p>
      <w:pPr>
        <w:pStyle w:val="Normal"/>
        <w:rPr/>
      </w:pPr>
      <w:r>
        <w:rPr/>
        <w:t xml:space="preserve"> </w:t>
      </w:r>
    </w:p>
    <w:p>
      <w:pPr>
        <w:pStyle w:val="Normal"/>
        <w:rPr/>
      </w:pPr>
      <w:r>
        <w:rPr/>
        <w:t xml:space="preserve">Aħna niksbu minn drawwiet ta’ età bikrija li jsawru l-attitudni tagħna lejn is-saħħa; għandhom jitħeġġu drawwiet tajbin fl-iskola u l-istudenti jistgħu jirreplikawhom id-dar. Hija wkoll kwistjoni ta’ ġustizzja soċjali: kull student tal-UE għandu jkun intitolat għal ikel ta’ kwalità fl-iskola. </w:t>
      </w:r>
    </w:p>
    <w:p>
      <w:pPr>
        <w:pStyle w:val="Normal"/>
        <w:rPr/>
      </w:pPr>
      <w:r>
        <w:rPr/>
        <w:t xml:space="preserve"> </w:t>
      </w:r>
    </w:p>
    <w:p>
      <w:pPr>
        <w:pStyle w:val="P68B1DB1Normal15"/>
        <w:rPr>
          <w:b/>
          <w:b/>
        </w:rPr>
      </w:pPr>
      <w:r>
        <w:rPr/>
        <w:t xml:space="preserve">4. Nirrakkomandaw li jsir investiment f’mogħdijiet ġodda għar-roti u li jittejbu t-traċċi eżistenti, sabiex iċ-ċikliżmu jsir sikur u attraenti, u biex jiġi żgurat li l-gruppi ta’ età kollha jkunu jistgħu jibbenefikaw minn taħriġ fir-regoli tat-traffiku fit-toroq fl-Ewropa, speċjalment għall-utenti tar-roti elettroniċi u għall-persuni mingħajr liċenzja tas-sewwieq. Il-manifatturi ta’ roti elettriċi jenħtieġ li jkunu meħtieġa jipprovdu informazzjoni dwar l-użu tar-rota elettrika u r-riskji assoċjati. Għandha tingħata protezzjoni legali liċ-ċiklisti f’każ ta’ inċident li jinvolvi vettura (ara r-regoli Olandiżi). Aħna favur żoni ħielsa mill-karozzi fl-ibliet (mingħajr ma ssir ħsara liż-żoni kummerċjali). B’mod aktar ġenerali, nirrakkomandaw li ċ-ċiklisti u l-persuni mixjin fit-triq jingħataw prijorità u drittijiet addizzjonali fuq vetturi bil-mutur, filwaqt li jiġu żgurati s-sikurezza fit-toroq u l-konformità mar-regoli tat-traffiku. </w:t>
      </w:r>
    </w:p>
    <w:p>
      <w:pPr>
        <w:pStyle w:val="Normal"/>
        <w:rPr/>
      </w:pPr>
      <w:r>
        <w:rPr/>
        <w:t xml:space="preserve"> </w:t>
      </w:r>
    </w:p>
    <w:p>
      <w:pPr>
        <w:pStyle w:val="Normal"/>
        <w:rPr/>
      </w:pPr>
      <w:r>
        <w:rPr/>
        <w:t xml:space="preserve">Dawn ir-rakkomandazzjonijiet huma importanti għaliex iċ-ċikliżmu jġib benefiċċji f’termini ta’ saħħa individwali u pubblika, kwalità tal-arja, livelli ta’ storbju, klima u traffiku fiċ-ċentri tal-bliet. Iċ-ċiklisti u l-persuni mexjin iridu jħossuhom sikuri, minħabba r-riskji assoċjati maż-żieda fl-użu tar-rota elettrika. Xi drabi l-korsiji taċ-ċikliżmu jkunu neqsin jew jinsabu f’kundizzjoni ħażina. </w:t>
      </w:r>
    </w:p>
    <w:p>
      <w:pPr>
        <w:pStyle w:val="Normal"/>
        <w:rPr/>
      </w:pPr>
      <w:r>
        <w:rPr/>
        <w:t xml:space="preserve"> </w:t>
      </w:r>
    </w:p>
    <w:p>
      <w:pPr>
        <w:pStyle w:val="P68B1DB1Normal15"/>
        <w:rPr>
          <w:b/>
          <w:b/>
        </w:rPr>
      </w:pPr>
      <w:r>
        <w:rPr/>
        <w:t xml:space="preserve">5. Nirrakkomandaw l-integrazzjoni tal-produzzjoni tal-ikel fl-edukazzjoni pubblika. Nirrakkomandaw li nissussidjaw u nappoġġjaw il-ħolqien ta’ ġonna fl-iskejjel, jekk possibbli, u proġetti ta’ ġardinaġġ urban fi spazji pubbliċi u privati. L-oqfsa tal-ippjanar urban għandhom jintegraw il-ħtieġa għall-ispazju, l-ilma u l-infrastruttura ta’ appoġġ. Pereżempju, il-parkeġġi preċedenti jistgħu jintużaw għal proġetti ta’ ekoloġizzazzjoni, proġetti ta’ ġardinaġġ vertikali jistgħu jitwettqu fuq bini jew il-kisba ta’ permessi tal-bini tista’ tkun ikkundizzjonata mill-integrazzjoni ta’ spazji ħodor. Nirrakkomandaw li jiġu kondiviżi prattiki innovattivi u tajbin fl-Istati Membri kollha. </w:t>
      </w:r>
    </w:p>
    <w:p>
      <w:pPr>
        <w:pStyle w:val="Normal"/>
        <w:rPr/>
      </w:pPr>
      <w:r>
        <w:rPr/>
        <w:t xml:space="preserve"> </w:t>
      </w:r>
    </w:p>
    <w:p>
      <w:pPr>
        <w:pStyle w:val="Normal"/>
        <w:rPr/>
      </w:pPr>
      <w:r>
        <w:rPr/>
        <w:t xml:space="preserve">Il-proġetti tal-ġardinaġġ jippromwovu r-reżiljenza tal-bliet u l-abitanti tagħhom, billi jlaqqgħu flimkien persuni ta’ etajiet u gruppi soċjali differenti. Il-multiplikazzjoni tal-ispazji ekoloġiċi ttejjeb il-kwalità tal-ħajja, il-kwalità tal-arja, is-saħħa mentali u fiżika u l-ambjent. </w:t>
      </w:r>
    </w:p>
    <w:p>
      <w:pPr>
        <w:pStyle w:val="Normal"/>
        <w:rPr/>
      </w:pPr>
      <w:r>
        <w:rPr/>
        <w:t xml:space="preserve"> </w:t>
      </w:r>
    </w:p>
    <w:p>
      <w:pPr>
        <w:pStyle w:val="Titre4"/>
        <w:numPr>
          <w:ilvl w:val="3"/>
          <w:numId w:val="2"/>
        </w:numPr>
        <w:rPr/>
      </w:pPr>
      <w:bookmarkStart w:id="158" w:name="__RefHeading___Toc297251_1346298689"/>
      <w:bookmarkEnd w:id="158"/>
      <w:r>
        <w:rPr/>
        <w:t xml:space="preserve">Sottoassi 1.2 Edukazzjoni ambjentali </w:t>
      </w:r>
    </w:p>
    <w:p>
      <w:pPr>
        <w:pStyle w:val="P68B1DB1Normal15"/>
        <w:rPr>
          <w:b/>
          <w:b/>
        </w:rPr>
      </w:pPr>
      <w:r>
        <w:rPr/>
        <w:t>6. Nirrakkomandaw li l-UE tadotta direttiva li tirrikjedi li l-programmi ta’ ppjanar urban jikkonformaw ma’ rekwiżiti ambjentali speċifiċi sabiex il-bliet isiru aktar ekoloġiċi. Din id-direttiva għandha tapplika għal beni privati u pubbliċi u spazji, b’mod partikolari għal bini ġdid li qed jiġi żviluppat. Għandha timponi standards minimi biex tiżgura li l-bini u l-ispazji jkunu kemm jista’ jkun ekoloġiċi. L-aġġettiv “aħdar” hawnhekk jirreferi għall-użu ta’ sorsi ta’ enerġija rinnovabbli, tnaqqis fil-konsum tal-enerġija, emissjonijiet baxxi ta’</w:t>
      </w:r>
      <w:r>
        <w:rPr>
          <w:vertAlign w:val="subscript"/>
        </w:rPr>
        <w:t>CO2 u</w:t>
      </w:r>
      <w:r>
        <w:rPr/>
        <w:t xml:space="preserve"> l-inklużjoni ta’ impjanti fi proġetti arkitettoniċi. </w:t>
      </w:r>
    </w:p>
    <w:p>
      <w:pPr>
        <w:pStyle w:val="Normal"/>
        <w:rPr/>
      </w:pPr>
      <w:r>
        <w:rPr/>
        <w:t xml:space="preserve"> </w:t>
      </w:r>
    </w:p>
    <w:p>
      <w:pPr>
        <w:pStyle w:val="Normal"/>
        <w:rPr/>
      </w:pPr>
      <w:r>
        <w:rPr/>
        <w:t>Bliet aktar ekoloġiċi qed jikkontribwixxu b’mod attiv għat-tnaqqis tal-effetti tat-tibdil fil-klima u l-emissjonijiet tas-CO2 u tal-</w:t>
      </w:r>
      <w:r>
        <w:rPr>
          <w:vertAlign w:val="subscript"/>
        </w:rPr>
        <w:t>ożonu</w:t>
      </w:r>
      <w:r>
        <w:rPr/>
        <w:t xml:space="preserve">, b’mod partikolari, li għandhom impatt negattiv fuq is-saħħa taċ-ċittadini. L-investiment fi bliet aktar ekoloġiċi jikkontribwixxi għall-iżvilupp sostenibbli tal-komunità li jwassal għal benefiċċji ekonomiċi u soċjali fit-tul. </w:t>
      </w:r>
    </w:p>
    <w:p>
      <w:pPr>
        <w:pStyle w:val="Normal"/>
        <w:rPr/>
      </w:pPr>
      <w:r>
        <w:rPr/>
        <w:t xml:space="preserve"> </w:t>
      </w:r>
    </w:p>
    <w:p>
      <w:pPr>
        <w:pStyle w:val="P68B1DB1Normal15"/>
        <w:rPr>
          <w:b/>
          <w:b/>
        </w:rPr>
      </w:pPr>
      <w:r>
        <w:rPr/>
        <w:t xml:space="preserve">7. Nirrakkomandaw li l-UE, bl-għajnuna tal-Istati Membri, tiżviluppa, tadotta u timplimenta Karta Ewropea komuni mmirata lejn kwistjonijiet ambjentali fil-kumplessità tagħhom. Il-Karta se tipprovdi lill-Istati Membri b’qafas biex jorganizzaw kampanji regolari ta’ informazzjoni u taħriġ, imxerrdin permezz tal-mezzi kollha disponibbli tal-midja u fuq portal ġdid ta’ informazzjoni maħluq għal dan il-għan. Dawn il-kampanji għandhom jiġu organizzati madwar l-UE u fil-livelli kollha sabiex titqajjem kuxjenza dwar l-ambjent fost iċ-ċittadini kollha. </w:t>
      </w:r>
    </w:p>
    <w:p>
      <w:pPr>
        <w:pStyle w:val="Normal"/>
        <w:rPr/>
      </w:pPr>
      <w:r>
        <w:rPr/>
        <w:t xml:space="preserve"> </w:t>
      </w:r>
    </w:p>
    <w:p>
      <w:pPr>
        <w:pStyle w:val="Normal"/>
        <w:rPr/>
      </w:pPr>
      <w:r>
        <w:rPr/>
        <w:t xml:space="preserve">In-nuqqas ta’ koordinazzjoni bejn l-Istati Membri jfixkel l-effettività tal-kampanji eżistenti u jrażżan l-isforzi biex tiġi indirizzata l-isfida globali tat-tibdil fil-klima. Karta komuni se trawwem sinerġiji bejn il-pjanijiet ta’ azzjoni tal-Istati Membri, li tiżgura effettività akbar tal-isforzi. Barra minn hekk, se tiżgura li tingħata informazzjoni konsistenti u konsistenti liċ-ċittadini dwar l-impatt tal-azzjonijiet ta’ kuljum tagħhom, bħall-għażla tal-mezz tat-trasport u t-trattament tal-iskart tagħhom. </w:t>
      </w:r>
    </w:p>
    <w:p>
      <w:pPr>
        <w:pStyle w:val="Normal"/>
        <w:rPr/>
      </w:pPr>
      <w:r>
        <w:rPr/>
        <w:t xml:space="preserve"> </w:t>
      </w:r>
    </w:p>
    <w:p>
      <w:pPr>
        <w:pStyle w:val="Titre3"/>
        <w:numPr>
          <w:ilvl w:val="2"/>
          <w:numId w:val="2"/>
        </w:numPr>
        <w:rPr/>
      </w:pPr>
      <w:bookmarkStart w:id="159" w:name="__RefHeading___Toc297253_1346298689"/>
      <w:bookmarkEnd w:id="159"/>
      <w:r>
        <w:rPr/>
        <w:t xml:space="preserve">Assi 2: Nipproteġu l-ambjent u s-saħħa tagħna </w:t>
      </w:r>
    </w:p>
    <w:p>
      <w:pPr>
        <w:pStyle w:val="Titre4"/>
        <w:numPr>
          <w:ilvl w:val="3"/>
          <w:numId w:val="2"/>
        </w:numPr>
        <w:rPr/>
      </w:pPr>
      <w:bookmarkStart w:id="160" w:name="__RefHeading___Toc297255_1346298689"/>
      <w:bookmarkEnd w:id="160"/>
      <w:r>
        <w:rPr/>
        <w:t xml:space="preserve">Sottoassi 2.1 Ambjent naturali b’saħħtu </w:t>
      </w:r>
    </w:p>
    <w:p>
      <w:pPr>
        <w:pStyle w:val="P68B1DB1Normal15"/>
        <w:rPr>
          <w:b/>
          <w:b/>
        </w:rPr>
      </w:pPr>
      <w:r>
        <w:rPr/>
        <w:t xml:space="preserve">8. Nirrakkomandaw sistema uniformi ta’ punteġġ ekoloġiku li turi l-impronta ambjentali ġenerali ta’ kull prodott disponibbli li jinxtara fl-UE. Il-prodotti minn pajjiżi terzi għandhom jirrispettaw din is-sistema ta’ eko-punteġġi b’mod trasparenti. Din is-sistema għandha tkun ibbażata fuq kriterji ċari ta’ klassifikazzjoni applikabbli għall-prodotti nfushom u għandha tuża, pereżempju, kodiċi QR li jipprovdi informazzjoni aktar dettaljata dwar il-prodott. </w:t>
      </w:r>
    </w:p>
    <w:p>
      <w:pPr>
        <w:pStyle w:val="Normal"/>
        <w:rPr/>
      </w:pPr>
      <w:r>
        <w:rPr/>
        <w:t xml:space="preserve"> </w:t>
      </w:r>
    </w:p>
    <w:p>
      <w:pPr>
        <w:pStyle w:val="Normal"/>
        <w:rPr/>
      </w:pPr>
      <w:r>
        <w:rPr/>
        <w:t xml:space="preserve">Din l-informazzjoni dwar iċ-ċiklu tal-ħajja tal-prodott hija fundamentali għaċ-ċittadini kollha tal-UE sabiex il-konsumaturi jingħataw is-setgħa meta jixtru. Dan se jippermetti liċ-ċittadini tal-UE jieħdu deċiżjonijiet responsabbli li jikkontribwixxu għall-ħarsien tal-ambjent tagħhom. </w:t>
      </w:r>
    </w:p>
    <w:p>
      <w:pPr>
        <w:pStyle w:val="Normal"/>
        <w:rPr/>
      </w:pPr>
      <w:r>
        <w:rPr/>
        <w:t xml:space="preserve"> </w:t>
      </w:r>
    </w:p>
    <w:p>
      <w:pPr>
        <w:pStyle w:val="P68B1DB1Normal15"/>
        <w:rPr>
          <w:b/>
          <w:b/>
        </w:rPr>
      </w:pPr>
      <w:r>
        <w:rPr/>
        <w:t xml:space="preserve">9. Nirrakkomandaw li jsiru aktar investimenti biex jiġu esplorati sorsi ġodda ta’ enerġija li ma jagħmlux ħsara lill-ambjent u, sal-użu ta’ dawn is-sorsi ġodda, li jiġu allokati investimenti addizzjonali għal soluzzjonijiet ottimi eżistenti għall-produzzjoni tal-enerġija. Nirrakkomandaw ukoll li ċ-ċittadini Ewropej jiġu infurmati u edukati b’mod trasparenti dwar sorsi speċifiċi ta’ enerġija. Nirrakkomandaw bil-qawwa li jitqiesu l-impatti ekoloġiċi u soċjali ġenerali tal-proċess tal-produzzjoni tal-enerġija għall-ġenerazzjonijiet attwali u futuri. </w:t>
      </w:r>
    </w:p>
    <w:p>
      <w:pPr>
        <w:pStyle w:val="Normal"/>
        <w:rPr/>
      </w:pPr>
      <w:r>
        <w:rPr/>
        <w:t xml:space="preserve"> </w:t>
      </w:r>
    </w:p>
    <w:p>
      <w:pPr>
        <w:pStyle w:val="Normal"/>
        <w:rPr/>
      </w:pPr>
      <w:r>
        <w:rPr/>
        <w:t xml:space="preserve">Qed niffaċċjaw livelli għoljin ħafna ta’ emissjonijiet tal-karbonju u sustanzi tossiċi oħra mill-produzzjoni tal-enerġija li jiddegradaw il-klima u l-kwalità tal-arja. Biex inkunu konformi mal-linji gwida tal-UE, mar-rakkomandazzjonijiet tar-rapporti tal-IPCC u mal-objettivi tal-COP26, jeħtieġ li nsaħħu r-riċerka u l-investiment biex tinkiseb produzzjoni tal-enerġija newtrali għall-klima. </w:t>
      </w:r>
    </w:p>
    <w:p>
      <w:pPr>
        <w:pStyle w:val="Normal"/>
        <w:rPr/>
      </w:pPr>
      <w:r>
        <w:rPr/>
        <w:t xml:space="preserve"> </w:t>
      </w:r>
    </w:p>
    <w:p>
      <w:pPr>
        <w:pStyle w:val="Titre4"/>
        <w:numPr>
          <w:ilvl w:val="3"/>
          <w:numId w:val="2"/>
        </w:numPr>
        <w:rPr/>
      </w:pPr>
      <w:bookmarkStart w:id="161" w:name="__RefHeading___Toc297257_1346298689"/>
      <w:bookmarkEnd w:id="161"/>
      <w:r>
        <w:rPr/>
        <w:t xml:space="preserve">Sottoassi 2.2 Il-protezzjoni tal-bijodiversità tagħna </w:t>
      </w:r>
    </w:p>
    <w:p>
      <w:pPr>
        <w:pStyle w:val="P68B1DB1Normal15"/>
        <w:rPr>
          <w:b/>
          <w:b/>
        </w:rPr>
      </w:pPr>
      <w:r>
        <w:rPr/>
        <w:t xml:space="preserve">10. Nirrakkomandaw li jitnaqqas drastikament l-użu ta’ pestiċidi u fertilizzanti kimiċi fit-tipi kollha ta’ agrikoltura billi tiġi żgurata l-applikazzjoni ta’ standards komuni aktar stretti, titħaffef ir-riċerka dwar alternattivi naturali u tiġi appoġġata l-adozzjoni ta’ soluzzjonijiet ġodda, inkluż it-taħriġ għall-bdiewa. </w:t>
      </w:r>
    </w:p>
    <w:p>
      <w:pPr>
        <w:pStyle w:val="Normal"/>
        <w:rPr/>
      </w:pPr>
      <w:r>
        <w:rPr/>
        <w:t xml:space="preserve"> </w:t>
      </w:r>
    </w:p>
    <w:p>
      <w:pPr>
        <w:pStyle w:val="Normal"/>
        <w:rPr/>
      </w:pPr>
      <w:r>
        <w:rPr/>
        <w:t xml:space="preserve">Għalkemm sar progress fir-rigward tal-fertilizzanti u l-pestiċidi alternattivi, il-biċċa l-kbira minnhom għadhom ma jistgħux jintużaw minn azjendi agrikoli kbar. Għalhekk huwa meħtieġ sforz aktar sostnut biex jiġu żviluppati soluzzjonijiet ġodda. Ir-riċerka għandha titħeġġeġ permezz tal-infiq pubbliku u standards ogħla għall-użu tal-pestiċidi u l-fertilizzanti. Ir-riżultati tar-riċerka jeħtieġ li jixxerrdu malajr fil-livell tal-UE. </w:t>
      </w:r>
    </w:p>
    <w:p>
      <w:pPr>
        <w:pStyle w:val="Normal"/>
        <w:rPr/>
      </w:pPr>
      <w:r>
        <w:rPr/>
        <w:t xml:space="preserve"> </w:t>
      </w:r>
    </w:p>
    <w:p>
      <w:pPr>
        <w:pStyle w:val="P68B1DB1Normal15"/>
        <w:rPr>
          <w:b/>
          <w:b/>
        </w:rPr>
      </w:pPr>
      <w:r>
        <w:rPr/>
        <w:t xml:space="preserve">11. Nirrakkomandaw l-estensjoni ta’ żoni protetti għall-konservazzjoni tal-bijodiversità (mammiferi, għasafar, insetti u pjanti) u t-tisħiħ tal-istat tad-dritt fir-rigward tal-intervent tal-bniedem f’dawn iż-żoni. Iż-żoni protetti se jitqiesu mhux biss bħala ħwienet żgħar, iżda wkoll bħala kontinwazzjoni b’żoni urbani aktar ekoloġiċi, f’konformità mal-istandards armonizzati tal-UE. </w:t>
      </w:r>
    </w:p>
    <w:p>
      <w:pPr>
        <w:pStyle w:val="Normal"/>
        <w:rPr/>
      </w:pPr>
      <w:r>
        <w:rPr/>
        <w:t xml:space="preserve"> </w:t>
      </w:r>
    </w:p>
    <w:p>
      <w:pPr>
        <w:pStyle w:val="Normal"/>
        <w:rPr/>
      </w:pPr>
      <w:r>
        <w:rPr/>
        <w:t xml:space="preserve">Il-bijodiversità tbati ħafna mid-deforestazzjoni. Il-ħolqien ta’ żoni protetti huwa wieħed mill-mezzi ewlenin għall-protezzjoni tal-bijodiversità terrestri. Madankollu, huwa diffiċli li jiġu ppreservati żoni protetti qrib bliet imniġġsa jew li tiġi evitata interferenza umana meta ż-żoni tal-madwar iħallu ftit spazju għan-natura. Jeħtieġ li nħaddmu ż-żoni tal-għajxien u nintegrawhom fin-natura tal-madwar tagħhom. </w:t>
      </w:r>
    </w:p>
    <w:p>
      <w:pPr>
        <w:pStyle w:val="Normal"/>
        <w:rPr/>
      </w:pPr>
      <w:r>
        <w:rPr/>
        <w:t xml:space="preserve"> </w:t>
      </w:r>
    </w:p>
    <w:p>
      <w:pPr>
        <w:pStyle w:val="Normal"/>
        <w:rPr/>
      </w:pPr>
      <w:r>
        <w:rPr>
          <w:b/>
        </w:rPr>
        <w:t>12. Nirrakkomandaw li s-sussidji ġeneriċi jiġu diretti mill-ġdid lejn l-agrikoltura prinċipalment lejn proġetti relatati mal-iżvilupp ta’ agrikoltura sostenibbli, inkluż ir-rispett għan-natura u l-ħaddiema. Il-benefiċjarji għandhom jirrispettaw standards ambjentali ċari u jiġu mmonitorjati mill-qrib.</w:t>
      </w:r>
      <w:r>
        <w:rPr/>
        <w:t xml:space="preserve"> </w:t>
      </w:r>
    </w:p>
    <w:p>
      <w:pPr>
        <w:pStyle w:val="Normal"/>
        <w:rPr/>
      </w:pPr>
      <w:r>
        <w:rPr/>
        <w:t xml:space="preserve"> </w:t>
      </w:r>
    </w:p>
    <w:p>
      <w:pPr>
        <w:pStyle w:val="Normal"/>
        <w:rPr/>
      </w:pPr>
      <w:r>
        <w:rPr/>
        <w:t xml:space="preserve">Aħna nemmnu li għandha titħeġġeġ biss l-agrikoltura sostenibbli, li jimplika l-allokazzjoni mill-ġdid tal-fondi li bħalissa qed jintużaw għal sussidji ġeneriċi. Barra minn hekk, huwa possibbli li tiżdied l-effiċjenza tal-fondi użati billi ssir enfasi fuq proġetti trasformattivi u soluzzjonijiet innovattivi aktar milli fuq pagamenti annwali. Għandu jiġi żgurat monitoraġġ aħjar tal-impatt ekoloġiku tal-attivitajiet u l-proġetti agrikoli. Id-drittijiet tal-bniedem tal-ħaddiema għandhom jitqiesu wkoll bħala parti integrali mis-sostenibbiltà. </w:t>
      </w:r>
    </w:p>
    <w:p>
      <w:pPr>
        <w:pStyle w:val="Normal"/>
        <w:rPr/>
      </w:pPr>
      <w:r>
        <w:rPr/>
        <w:t xml:space="preserve"> </w:t>
      </w:r>
    </w:p>
    <w:p>
      <w:pPr>
        <w:pStyle w:val="Normal"/>
        <w:rPr/>
      </w:pPr>
      <w:r>
        <w:rPr>
          <w:b/>
        </w:rPr>
        <w:t>13. Nirrakkomandaw li l-UE tiżgura kompetizzjoni ġusta għal prodotti agrikoli li ma jagħmlux ħsara lill-ambjent billi tistabbilixxi standards ogħla kemm għall-prodotti tal-UE kif ukoll għal dawk importati, filwaqt li tiżgura t-traċċabbiltà, it-tikkettar u l-kontroll tal-kwalità.</w:t>
      </w:r>
      <w:r>
        <w:rPr/>
        <w:t xml:space="preserve"> </w:t>
      </w:r>
    </w:p>
    <w:p>
      <w:pPr>
        <w:pStyle w:val="Normal"/>
        <w:rPr/>
      </w:pPr>
      <w:r>
        <w:rPr/>
        <w:t xml:space="preserve"> </w:t>
      </w:r>
    </w:p>
    <w:p>
      <w:pPr>
        <w:pStyle w:val="Normal"/>
        <w:rPr/>
      </w:pPr>
      <w:r>
        <w:rPr/>
        <w:t xml:space="preserve">Il-produttività aktar baxxa ta’ prodotti agrikoli sostenibbli ddgħajjef il-kostkompetittività tagħhom. Il-prodotti importati għandhom jissodisfaw l-istess standards stretti fir-rigward tal-impatt ambjentali tal-produzzjoni tagħhom. L-awtoritajiet tagħna għandhom ikunu jistgħu jiżguraw it-traċċabbiltà tal-prodotti agrikoli importati. </w:t>
      </w:r>
    </w:p>
    <w:p>
      <w:pPr>
        <w:pStyle w:val="Normal"/>
        <w:rPr/>
      </w:pPr>
      <w:r>
        <w:rPr/>
        <w:t xml:space="preserve"> </w:t>
      </w:r>
    </w:p>
    <w:p>
      <w:pPr>
        <w:pStyle w:val="P68B1DB1Normal15"/>
        <w:rPr>
          <w:b/>
          <w:b/>
        </w:rPr>
      </w:pPr>
      <w:r>
        <w:rPr/>
        <w:t xml:space="preserve">14. Nirrakkomandaw riforestazzjoni u afforestazzjoni rapida u massiva fl-UE, bis-saħħa tal-użu ottimizzat tal-art. Għandha tingħata attenzjoni partikolari għat-tisġir mill-ġdid ta’ foresti sfruttati jew meqruda u l-afforestazzjoni ta’ żoni b’ħamrija degradata. Għandhom jiġu promossi soluzzjonijiet ġodda u aktar responsabbli għal użu aħjar tal-injam, pereżempju biex jiġu sostitwiti l-plastik u sustanzi kimiċi oħra, tinkiseb aktar effiċjenza fl-użu tal-enerġija mill-bijomassa u jiġu riċiklati l-prodotti tal-injam. </w:t>
      </w:r>
    </w:p>
    <w:p>
      <w:pPr>
        <w:pStyle w:val="Normal"/>
        <w:rPr/>
      </w:pPr>
      <w:r>
        <w:rPr/>
        <w:t xml:space="preserve"> </w:t>
      </w:r>
    </w:p>
    <w:p>
      <w:pPr>
        <w:pStyle w:val="Normal"/>
        <w:rPr/>
      </w:pPr>
      <w:r>
        <w:rPr/>
        <w:t xml:space="preserve">Ir-riforestazzjoni għandha impatt pożittiv ċar fuq l-ambjent u l-bijodiversità b’mod ġenerali. Fl-istess ħin, jeħtieġ li nużaw inqas injam biex insaħħnu lilna nfusna, iżda aktar biex nagħmluhom prodotti b’valur miżjud għoli; pereżempju, biex jiġu sostitwiti l-plastiks, l-użu tal-injam huwa ta’ importanza kbira. </w:t>
      </w:r>
    </w:p>
    <w:p>
      <w:pPr>
        <w:pStyle w:val="Normal"/>
        <w:rPr/>
      </w:pPr>
      <w:r>
        <w:rPr/>
        <w:t xml:space="preserve"> </w:t>
      </w:r>
    </w:p>
    <w:p>
      <w:pPr>
        <w:pStyle w:val="Titre4"/>
        <w:numPr>
          <w:ilvl w:val="3"/>
          <w:numId w:val="2"/>
        </w:numPr>
        <w:rPr/>
      </w:pPr>
      <w:bookmarkStart w:id="162" w:name="__RefHeading___Toc297259_1346298689"/>
      <w:bookmarkEnd w:id="162"/>
      <w:r>
        <w:rPr/>
        <w:t xml:space="preserve">Sottoassi 2.3 Ikel Sikur u b’Saħħtu </w:t>
      </w:r>
    </w:p>
    <w:p>
      <w:pPr>
        <w:pStyle w:val="P68B1DB1Normal15"/>
        <w:rPr>
          <w:b/>
          <w:b/>
        </w:rPr>
      </w:pPr>
      <w:r>
        <w:rPr/>
        <w:t xml:space="preserve">15. Nirrakkomandaw it-tneħħija rapida u gradwali tal-imballaġġ mhux sostenibbli użat għall-ikel, inkluż l-imballaġġ tal-plastik u imballaġġ ieħor mhux bijodegradabbli. Għal dan il-għan, nissuġġerixxu li jiġu offruti inċentivi finanzjarji lill-kumpaniji li jimxu lejn forom kompletament bijodegradabbli ta’ imballaġġ, li jinvestu fis-sejba ta’ alternattivi u li jimponu sanzjonijiet fuq kumpaniji li ma jużawx imballaġġ bijodegradabbli. </w:t>
      </w:r>
    </w:p>
    <w:p>
      <w:pPr>
        <w:pStyle w:val="Normal"/>
        <w:rPr/>
      </w:pPr>
      <w:r>
        <w:rPr/>
        <w:t xml:space="preserve"> </w:t>
      </w:r>
    </w:p>
    <w:p>
      <w:pPr>
        <w:pStyle w:val="Normal"/>
        <w:rPr/>
      </w:pPr>
      <w:r>
        <w:rPr/>
        <w:t xml:space="preserve">L-iskart tal-plastik, speċjalment il-mikroplastiċi, qed isir dejjem aktar abbundanti u degradanti bil-mod. Il-konsum tal-plastik idgħajjef il-kwalità u s-sikurezza tal-ikel u, fl-istess ħin, joħloq riskji għas-saħħa tal-bniedem u tal-annimali. Barra minn hekk, il-leġiżlazzjoni eżistenti tal-UE biex jitnaqqas l-imballaġġ mhux bijodegradabbli mhijiex biżżejjed. </w:t>
      </w:r>
    </w:p>
    <w:p>
      <w:pPr>
        <w:pStyle w:val="Normal"/>
        <w:rPr/>
      </w:pPr>
      <w:r>
        <w:rPr/>
        <w:t xml:space="preserve"> </w:t>
      </w:r>
    </w:p>
    <w:p>
      <w:pPr>
        <w:pStyle w:val="P68B1DB1Normal15"/>
        <w:rPr>
          <w:b/>
          <w:b/>
        </w:rPr>
      </w:pPr>
      <w:r>
        <w:rPr/>
        <w:t xml:space="preserve">16. Nirrakkomandaw l-abbandun gradwali tal-biedja intensiva, inkluż it-tmiem ta’ kundizzjonijiet ta’ għajxien degradanti għall-annimali. Aħna nipproponu li nistabbilixxu standards komuni għat-trobbija tal-bhejjem (eż. għadd massimu ta’ annimali, spazju fil-beraħ adattat) u li ninvestu aktar f’metodi mhux intensivi (agrikoltura estensiva u sostenibbli) billi nipprovdu inċentivi finanzjarji u taħriġ lill-bdiewa biex jappoġġaw dan l-iżvilupp. </w:t>
      </w:r>
    </w:p>
    <w:p>
      <w:pPr>
        <w:pStyle w:val="Normal"/>
        <w:rPr/>
      </w:pPr>
      <w:r>
        <w:rPr/>
        <w:t xml:space="preserve"> </w:t>
      </w:r>
    </w:p>
    <w:p>
      <w:pPr>
        <w:pStyle w:val="Normal"/>
        <w:rPr/>
      </w:pPr>
      <w:r>
        <w:rPr/>
        <w:t xml:space="preserve">It-tneħħija gradwali tal-agrikoltura intensiva se tnaqqas il-livelli ta’ tniġġis ambjentali u ssaħħaħ il-protezzjoni tan-natura. Barra minn hekk, it-tneħħija gradwali tat-trobbija intensiva tal-bhejjem se tnaqqas l-ammont ta’ mediċini meħtieġa biex jiġi miġġieled il-mard tal-annimali u titjieb il-kwalità tad-dieta tagħna. Barra minn hekk, il-biedja intensiva ma tirrispettax il-benessri tal-annimali, iżda hemm forom aktar sostenibbli ta’ biedja, bħall-biedja estensiva; jeħtieġ li jiġu pprovduti sussidji lill-bdiewa biex jgħinuhom jidħlu f’din it-triq. </w:t>
      </w:r>
    </w:p>
    <w:p>
      <w:pPr>
        <w:pStyle w:val="Normal"/>
        <w:rPr/>
      </w:pPr>
      <w:r>
        <w:rPr/>
        <w:t xml:space="preserve"> </w:t>
      </w:r>
    </w:p>
    <w:p>
      <w:pPr>
        <w:pStyle w:val="P68B1DB1Normal15"/>
        <w:rPr>
          <w:b/>
          <w:b/>
        </w:rPr>
      </w:pPr>
      <w:r>
        <w:rPr/>
        <w:t xml:space="preserve">17. Nirrakkomandaw li jissaħħu l-kontrolli fuq il-projbizzjoni ta’ użu mhux meħtieġ ta’ antibijotiċi u prodotti mediċinali veterinarji oħra fl-addittivi tal-għalf: ejjew inwettqu din l-inizjattiva! Nipproponu li l-użu tal-antibijotiċi fit-trobbija tal-bhejjem għandu jkun permess biss meta jkun assolutament meħtieġ, biex jiġu protetti s-saħħa u l-benessri tal-annimali, aktar milli b’mod preventiv. Barra minn hekk, hemm bżonn li jsir aktar investiment fit-tfittxija għal antibijotiċi aktar effettivi, filwaqt li jiġu żviluppati alternattivi filwaqt li nibnu fuq ir-riċerka li għaddejja f’dan il-qasam. </w:t>
      </w:r>
    </w:p>
    <w:p>
      <w:pPr>
        <w:pStyle w:val="Normal"/>
        <w:rPr/>
      </w:pPr>
      <w:r>
        <w:rPr/>
        <w:t xml:space="preserve"> </w:t>
      </w:r>
    </w:p>
    <w:p>
      <w:pPr>
        <w:pStyle w:val="Normal"/>
        <w:rPr/>
      </w:pPr>
      <w:r>
        <w:rPr/>
        <w:t xml:space="preserve">Ir-reżistenza tal-bniedem għall-antibijotiċi titnaqqas minħabba l-konsum ta’ ikel li ġej minn annimali li ngħatawlhom l-antibijotiċi. Barra minn hekk, jeħtieġ iż-żmien biex jiġu żviluppati soluzzjonijiet xierqa biex jiġu sostitwiti l-antibijotiċi eżistenti u biex jiġi żgurat li l-bdiewa jkunu infurmati u lesti li jużawhom. Nirrikonoxxu li hemm direttivi dwar l-antibijotiċi tal-UE; madankollu, dawn ma ġewx implimentati bl-istess mod fl-Istati Membri kollha. Fl-aħħar nett, il-prodotti mediċinali veterinarji jintużaw ħażin għal skopijiet ta’ doping; għalhekk, leġiżlazzjoni aktar stretta f’dan il-qasam se ttejjeb il-benessri tal-annimali u ttejjeb il-kwalità tal-ħajja tagħhom. </w:t>
      </w:r>
    </w:p>
    <w:p>
      <w:pPr>
        <w:pStyle w:val="Normal"/>
        <w:rPr/>
      </w:pPr>
      <w:r>
        <w:rPr/>
        <w:t xml:space="preserve"> </w:t>
      </w:r>
    </w:p>
    <w:p>
      <w:pPr>
        <w:pStyle w:val="P68B1DB1Normal15"/>
        <w:rPr>
          <w:b/>
          <w:b/>
        </w:rPr>
      </w:pPr>
      <w:r>
        <w:rPr/>
        <w:t xml:space="preserve">18. Nirrakkomandaw li l-leġiżlazzjoni tal-UE tirrikjedi r-rappurtar tal-użu ta’ sustanzi ormonali u interferenti endokrinali fil-produzzjoni tal-ikel sabiex jiġu speċifikati t-tip, il-kwantità u l-esponiment tal-prodott finali użat. It-tikketti li jindikaw b’mod ċar is-sustanzi preżenti u r-raġunijiet għall-użu tagħhom għandhom jidhru fuq l-imballaġġ tal-prodotti kollha tal-ikel ikkonċernati. Barra minn hekk, ir-riċerka dwar l-effetti tas-sustanzi ormonali u l-interferenti endokrinali fuq is-saħħa tal-bniedem għandha tiġi aċċellerata. </w:t>
      </w:r>
    </w:p>
    <w:p>
      <w:pPr>
        <w:pStyle w:val="Normal"/>
        <w:rPr/>
      </w:pPr>
      <w:r>
        <w:rPr/>
        <w:t xml:space="preserve"> </w:t>
      </w:r>
    </w:p>
    <w:p>
      <w:pPr>
        <w:pStyle w:val="Normal"/>
        <w:rPr/>
      </w:pPr>
      <w:r>
        <w:rPr/>
        <w:t xml:space="preserve">Bħalissa, it-traċċabbiltà tal-prodotti tal-ikel mhijiex biżżejjed, b’mod partikolari fir-rigward tas-sustanzi ormonali u l-interferenti endokrinali. Aħna nemmnu li t-trasparenza fil-produzzjoni tal-ikel hija meħtieġa biex tintlaħaq ir-responsabbiltà. Barra minn hekk, il-konsumaturi għandhom ikunu jistgħu jkunu jafu l-kompożizzjoni, fl-intier tagħha, tal-oġġetti tal-ikel li jikkunsmaw u għandhom ikunu jistgħu jagħżlu liberament dak li jieklu. Barra minn hekk, ma hemmx biżżejjed riċerka dwar l-impatt fuq il-bnedmin (u r-riskji potenzjali) assoċjati mal-konsum ta’ prodotti tal-ikel li fihom sustanzi ormonali u interferenti endokrinali. </w:t>
      </w:r>
    </w:p>
    <w:p>
      <w:pPr>
        <w:pStyle w:val="Normal"/>
        <w:rPr/>
      </w:pPr>
      <w:r>
        <w:rPr/>
        <w:t xml:space="preserve"> </w:t>
      </w:r>
    </w:p>
    <w:p>
      <w:pPr>
        <w:pStyle w:val="P68B1DB1Normal15"/>
        <w:rPr>
          <w:b/>
          <w:b/>
        </w:rPr>
      </w:pPr>
      <w:r>
        <w:rPr/>
        <w:t xml:space="preserve">19. Nirrakkomandaw li jiġi skoraġġut il-konsum ta’ ikel ipproċessat billi jiġu applikati taxxi fuq l-ikel li huma ta’ ħsara għas-saħħa u billi jiġu investiti fondi f’ikel tajjeb għas-saħħa. Nipproponu li tiġi stabbilita sistema ta’ klassifikazzjoni madwar l-Ewropa kollha għal ikel tajjeb għas-saħħa bbażata fuq l-aħjar prattiki fl-Istati Membri u li jitqiegħdu tikketti fuq l-ikel biex il-konsumaturi jiġu infurmati dwar l-effetti tagħhom fuq is-saħħa. </w:t>
      </w:r>
    </w:p>
    <w:p>
      <w:pPr>
        <w:pStyle w:val="Normal"/>
        <w:rPr/>
      </w:pPr>
      <w:r>
        <w:rPr/>
        <w:t xml:space="preserve"> </w:t>
      </w:r>
    </w:p>
    <w:p>
      <w:pPr>
        <w:pStyle w:val="Normal"/>
        <w:rPr/>
      </w:pPr>
      <w:r>
        <w:rPr/>
        <w:t xml:space="preserve">B’dan il-mod, il-fondi miġbura jistgħu jintużaw biex jiġu żviluppati kampanji ta’ sensibilizzazzjoni u promozzjoni, jipprijoritizzaw l-ikel tajjeb għas-saħħa fis-settur tal-edukazzjoni, u jagħmlu l-ikel mhux tajjeb għas-saħħa inqas viżibbli fis-supermarkets. L-investimenti f’ikel tajjeb għas-saħħa jikkontribwixxu wkoll għat-titjib tas-saħħa ġenerali tal-popolazzjoni u, konsegwentement, għat-tnaqqis tal-livell ta’ nfiq pubbliku meħtieġ biex jiġu indirizzati l-problemi tas-saħħa li jirriżultaw minn nutrizzjoni ħażina. Barra minn hekk, aħna nemmnu li t-taxxi u s-sussidji se jħeġġu lin-negozji jipproduċu ikel aktar tajjeb għas-saħħa. </w:t>
      </w:r>
    </w:p>
    <w:p>
      <w:pPr>
        <w:pStyle w:val="Normal"/>
        <w:rPr/>
      </w:pPr>
      <w:r>
        <w:rPr/>
        <w:t xml:space="preserve"> </w:t>
      </w:r>
    </w:p>
    <w:p>
      <w:pPr>
        <w:pStyle w:val="Titre3"/>
        <w:numPr>
          <w:ilvl w:val="2"/>
          <w:numId w:val="2"/>
        </w:numPr>
        <w:rPr/>
      </w:pPr>
      <w:bookmarkStart w:id="163" w:name="__RefHeading___Toc297261_1346298689"/>
      <w:bookmarkEnd w:id="163"/>
      <w:r>
        <w:rPr/>
        <w:t xml:space="preserve">Assi 3: orjentazzjoni mill-ġdid tal-ekonomija u l-konsum tagħna </w:t>
      </w:r>
    </w:p>
    <w:p>
      <w:pPr>
        <w:pStyle w:val="Titre4"/>
        <w:numPr>
          <w:ilvl w:val="3"/>
          <w:numId w:val="2"/>
        </w:numPr>
        <w:rPr/>
      </w:pPr>
      <w:bookmarkStart w:id="164" w:name="__RefHeading___Toc297263_1346298689"/>
      <w:bookmarkEnd w:id="164"/>
      <w:r>
        <w:rPr/>
        <w:t xml:space="preserve">Sottoassi 3.1 Ir-regolazzjoni tal-produzzjoni żejda u l-konsum żejjed </w:t>
      </w:r>
    </w:p>
    <w:p>
      <w:pPr>
        <w:pStyle w:val="P68B1DB1Normal15"/>
        <w:rPr>
          <w:b/>
          <w:b/>
        </w:rPr>
      </w:pPr>
      <w:r>
        <w:rPr/>
        <w:t xml:space="preserve">20. Nirrakkomandaw li l-UE tieħu aktar miżuri biex tippermetti lill-konsumaturi jużaw il-prodotti aktar fit-tul u biex tħeġġiġhom jagħmlu dan. L-UE għandha tiġġieled kontra l-obsolexxenza ppjanata billi testendi l-garanzija tal-prodott u tistabbilixxi prezz massimu għall-ispare parts wara li jiskadi l-perjodu ta’ garanzija. L-Istati Membri kollha għandhom jintroduċu tnaqqis fit-taxxa għas-servizzi ta’ tiswija, kif inhu l-każ fl-Iżvezja. Il-manifatturi għandhom ikunu meħtieġa jindikaw il-ħajja mistennija tal-prodotti tagħhom. L-UE għandha tipprovdi informazzjoni dwar l-użu mill-ġdid u t-tiswija ta’ prodotti permezz ta’ sit web u permezz tal-edukazzjoni. </w:t>
      </w:r>
    </w:p>
    <w:p>
      <w:pPr>
        <w:pStyle w:val="Normal"/>
        <w:rPr/>
      </w:pPr>
      <w:r>
        <w:rPr/>
        <w:t xml:space="preserve"> </w:t>
      </w:r>
    </w:p>
    <w:p>
      <w:pPr>
        <w:pStyle w:val="Normal"/>
        <w:rPr/>
      </w:pPr>
      <w:r>
        <w:rPr/>
        <w:t xml:space="preserve">Is-soċjetà tal-iskart tagħna mhijiex vijabbli għax tiġġenera wisq skart. Bl-applikazzjoni tal-miżuri proposti, aħna ser niżviluppaw lejn soċjetà fejn il-prodotti ser jintużaw mill-ġdid u jissewwew, li l-għadd tagħhom ser jonqos, u b’hekk jitnaqqas il-konsum eċċessiv. </w:t>
      </w:r>
    </w:p>
    <w:p>
      <w:pPr>
        <w:pStyle w:val="Normal"/>
        <w:rPr/>
      </w:pPr>
      <w:r>
        <w:rPr/>
        <w:t xml:space="preserve"> </w:t>
      </w:r>
    </w:p>
    <w:p>
      <w:pPr>
        <w:pStyle w:val="P68B1DB1Normal15"/>
        <w:rPr>
          <w:b/>
          <w:b/>
        </w:rPr>
      </w:pPr>
      <w:r>
        <w:rPr/>
        <w:t xml:space="preserve">21. Nirrakkomandaw li l-UE tapplika standards ambjentali aktar stretti u tiżgura kundizzjonijiet tax-xogħol ġusti tul il-katina tal-produzzjoni. L-istandards tal-produzzjoni tal-UE għandhom ikunu aktar sostenibbli u armonizzati bejn l-Istati Membri u jiġu applikati għall-prodotti importati. Dawn l-istandards għandhom ikunu wkoll ta’ natura soċjali, inkluż dħul deċenti għall-ħaddiema u kundizzjonijiet tax-xogħol sodisfaċenti fil-fabbriki. Għandu jkun hemm konsegwenzi għall-oġġetti li ma jissodisfawx dawn l-istandards. </w:t>
      </w:r>
    </w:p>
    <w:p>
      <w:pPr>
        <w:pStyle w:val="Normal"/>
        <w:rPr/>
      </w:pPr>
      <w:r>
        <w:rPr/>
        <w:t xml:space="preserve"> </w:t>
      </w:r>
    </w:p>
    <w:p>
      <w:pPr>
        <w:pStyle w:val="Normal"/>
        <w:rPr/>
      </w:pPr>
      <w:r>
        <w:rPr/>
        <w:t xml:space="preserve">Huwa importanti li jiġu stabbiliti standards ta’ manifattura ambjentalment u soċjalment omoġenji fl-Ewropa biex jiġi żgurat li l-prodotti kollha offruti jiġu prodotti b’mod sostenibbli. Dawn il-miżuri huma essenzjali għall-orjentazzjoni mill-ġdid tal-ekonomija tagħna u t-tibdil fix-xejriet tal-produzzjoni tan-negozju. </w:t>
      </w:r>
    </w:p>
    <w:p>
      <w:pPr>
        <w:pStyle w:val="Normal"/>
        <w:rPr/>
      </w:pPr>
      <w:r>
        <w:rPr/>
        <w:t xml:space="preserve"> </w:t>
      </w:r>
    </w:p>
    <w:p>
      <w:pPr>
        <w:pStyle w:val="P68B1DB1Normal15"/>
        <w:rPr>
          <w:b/>
          <w:b/>
        </w:rPr>
      </w:pPr>
      <w:r>
        <w:rPr/>
        <w:t xml:space="preserve">22. Nirrakkomandaw li l-UE u l-Istati Membri jistabbilixxu miżuri biex jillimitaw ir-reklamar ta’ prodotti li jagħmlu ħsara lill-ambjent. Prodotti b’durabbiltà baxxa għandhom ikunu soġġetti għal klawżola obbligatorja ta’ nuqqas ta’ responsabbiltà fil-forom kollha ta’ reklamar li juru li huma ta’ ħsara għall-ambjent. L-UE għandha tipprojbixxi r-reklamar għal prodotti li mhumiex sostenibbli. </w:t>
      </w:r>
    </w:p>
    <w:p>
      <w:pPr>
        <w:pStyle w:val="Normal"/>
        <w:rPr/>
      </w:pPr>
      <w:r>
        <w:rPr/>
        <w:t xml:space="preserve"> </w:t>
      </w:r>
    </w:p>
    <w:p>
      <w:pPr>
        <w:pStyle w:val="Normal"/>
        <w:rPr/>
      </w:pPr>
      <w:r>
        <w:rPr/>
        <w:t xml:space="preserve">Ir-reklamar jinkoraġġixxi l-konsum; il-prodotti li jagħmlu ħsara lill-ambjent m’għandhomx jiġu enfasizzati. B’dan il-mod, il-konsumaturi se jkunu inqas probabbli li jixtru prodotti li jagħmlu ħsara lill-ambjent. </w:t>
      </w:r>
    </w:p>
    <w:p>
      <w:pPr>
        <w:pStyle w:val="Normal"/>
        <w:rPr/>
      </w:pPr>
      <w:r>
        <w:rPr/>
        <w:t xml:space="preserve"> </w:t>
      </w:r>
    </w:p>
    <w:p>
      <w:pPr>
        <w:pStyle w:val="P68B1DB1Normal15"/>
        <w:rPr>
          <w:b/>
          <w:b/>
        </w:rPr>
      </w:pPr>
      <w:r>
        <w:rPr/>
        <w:t xml:space="preserve">23. Nirrakkomandaw li l-UE tistabbilixxi u tiżviluppa infrastruttura ta’ sistemi ta’ depożitu għall-imballaġġ primarju kollu tal-ħġieġ, plastik, aluminju, eċċ., b’mod uniformi madwar l-UE. Il-manifatturi għandhom, sa fejn ikun possibbli, jerġgħu jużaw l-imballaġġ ta’ ritorn billi jisterilizzawhom aktar milli sempliċiment jirriċiklaw il-materjali. Minbarra l-imballaġġ tal-ikel u tax-xorb, l-apparat għandu jkopri wkoll tipi oħra ta’ fliexken u kontenituri, bħal fliexken tax-xampù. </w:t>
      </w:r>
    </w:p>
    <w:p>
      <w:pPr>
        <w:pStyle w:val="Normal"/>
        <w:rPr/>
      </w:pPr>
      <w:r>
        <w:rPr/>
        <w:t xml:space="preserve"> </w:t>
      </w:r>
    </w:p>
    <w:p>
      <w:pPr>
        <w:pStyle w:val="Normal"/>
        <w:rPr/>
      </w:pPr>
      <w:r>
        <w:rPr/>
        <w:t xml:space="preserve">Bħalissa, il-konsumaturi qed jarmu wisq imballaġġ, iniġġsu u jeqirdu l-ekosistemi tagħna. Is-sistemi ta’ depożitu jgħinu biex jitnaqqas l-iskart billi jħeġġu liċ-ċittadini jġibu lura l-imballaġġ minflok jarmuh. Permezz tal-iżvilupp ta’ din is-sistema, se nużaw inqas riżorsi; l-ammont ta’ skart iġġenerat se jitnaqqas. </w:t>
      </w:r>
    </w:p>
    <w:p>
      <w:pPr>
        <w:pStyle w:val="Normal"/>
        <w:rPr/>
      </w:pPr>
      <w:r>
        <w:rPr/>
        <w:t xml:space="preserve"> </w:t>
      </w:r>
    </w:p>
    <w:p>
      <w:pPr>
        <w:pStyle w:val="Titre4"/>
        <w:numPr>
          <w:ilvl w:val="3"/>
          <w:numId w:val="2"/>
        </w:numPr>
        <w:rPr/>
      </w:pPr>
      <w:bookmarkStart w:id="165" w:name="__RefHeading___Toc297265_1346298689"/>
      <w:bookmarkEnd w:id="165"/>
      <w:r>
        <w:rPr/>
        <w:t xml:space="preserve">Sotto-assi 3.2 It-tnaqqis ta’ l-iskart </w:t>
      </w:r>
    </w:p>
    <w:p>
      <w:pPr>
        <w:pStyle w:val="P68B1DB1Normal15"/>
        <w:rPr>
          <w:b/>
          <w:b/>
        </w:rPr>
      </w:pPr>
      <w:r>
        <w:rPr/>
        <w:t xml:space="preserve">24. Nirrakkomandaw il-promozzjoni ta’ implimentazzjoni aktar b’saħħitha tal-politiki tal-ekonomija ċirkolari fil-livell Ewropew, immirati kemm lejn in-negozji kif ukoll lejn iċ-ċittadini, fil-forma ta’ inċentivi finanzjarji għal dawk li jikkonformaw magħhom. </w:t>
      </w:r>
    </w:p>
    <w:p>
      <w:pPr>
        <w:pStyle w:val="Normal"/>
        <w:rPr/>
      </w:pPr>
      <w:r>
        <w:rPr/>
        <w:t xml:space="preserve"> </w:t>
      </w:r>
    </w:p>
    <w:p>
      <w:pPr>
        <w:pStyle w:val="Normal"/>
        <w:rPr/>
      </w:pPr>
      <w:r>
        <w:rPr/>
        <w:t xml:space="preserve">Ħafna nies eventwalment isibu ruħhom qiegħda jekk il-kumpaniji tal-produzzjoni jnaqqsu l-forza tax-xogħol tagħhom jew saħansitra jispiċċaw fi stat ta’ waqfien mill-ħlas/posponiment. Il-miżuri ta’ taħriġ mill-ġdid għall-persuni qiegħda se jinkoraġġixxu prattiki li ma jagħmlux ħsara lill-ambjent filwaqt li jillimitaw il-qgħad u jippromwovu l-modernizzazzjoni ta’ ekonomija diversifikata. </w:t>
      </w:r>
    </w:p>
    <w:p>
      <w:pPr>
        <w:pStyle w:val="Normal"/>
        <w:rPr/>
      </w:pPr>
      <w:r>
        <w:rPr/>
        <w:t xml:space="preserve"> </w:t>
      </w:r>
    </w:p>
    <w:p>
      <w:pPr>
        <w:pStyle w:val="P68B1DB1Normal15"/>
        <w:rPr>
          <w:b/>
          <w:b/>
        </w:rPr>
      </w:pPr>
      <w:r>
        <w:rPr/>
        <w:t xml:space="preserve">25. Nirrakkomandaw li l-UE tirregola l-użu ta’ imballaġġ ambjentalment sikur (jiġifieri imballaġġ ibbażat fuq materjali bijodegradabbli jew riċiklabbli jew aktar sostenibbli, jekk possibbli) u/jew l-użu ta’ imballaġġ inqas goff, anke b’kodiċi QR li jipprovdi informazzjoni rilevanti għall-proċess ta’ riċiklaġġ u/jew rimi tal-imballaġġ wara l-użu. </w:t>
      </w:r>
    </w:p>
    <w:p>
      <w:pPr>
        <w:pStyle w:val="Normal"/>
        <w:rPr/>
      </w:pPr>
      <w:r>
        <w:rPr/>
        <w:t xml:space="preserve"> </w:t>
      </w:r>
    </w:p>
    <w:p>
      <w:pPr>
        <w:pStyle w:val="Normal"/>
        <w:rPr/>
      </w:pPr>
      <w:r>
        <w:rPr/>
        <w:t xml:space="preserve">Din ir-rakkomandazzjoni se tirriżulta fi tnaqqis fl-imballaġġ, tnaqqis fl-iskart u, konsegwentement, tniġġis; għalhekk, l-ambjent se jkun aktar nadif u, fl-aħħar mill-aħħar, il-marka tal-karbonju se tkun inqas. Il-piż tat-taxxa fuq il-produtturi se jkun ukoll aktar baxx. </w:t>
      </w:r>
    </w:p>
    <w:p>
      <w:pPr>
        <w:pStyle w:val="Normal"/>
        <w:rPr/>
      </w:pPr>
      <w:r>
        <w:rPr/>
        <w:t xml:space="preserve"> </w:t>
      </w:r>
    </w:p>
    <w:p>
      <w:pPr>
        <w:pStyle w:val="Titre4"/>
        <w:numPr>
          <w:ilvl w:val="3"/>
          <w:numId w:val="2"/>
        </w:numPr>
        <w:rPr/>
      </w:pPr>
      <w:bookmarkStart w:id="166" w:name="__RefHeading___Toc297267_1346298689"/>
      <w:bookmarkEnd w:id="166"/>
      <w:r>
        <w:rPr/>
        <w:t xml:space="preserve">Sottoassi 3.3 Prodotti ġusti, aċċess ugwali u konsum ġust </w:t>
      </w:r>
    </w:p>
    <w:p>
      <w:pPr>
        <w:pStyle w:val="P68B1DB1Normal15"/>
        <w:rPr>
          <w:b/>
          <w:b/>
        </w:rPr>
      </w:pPr>
      <w:r>
        <w:rPr/>
        <w:t xml:space="preserve">26. Nirrakkomandaw li l-Unjoni Ewropea tistabbilixxi qafas legali biex tiżgura li l-konsumaturi Ewropej kollha jkollhom aċċess affordabbli u mtejjeb għall-prodotti tal-ikel ta’ kwalità u lokali. </w:t>
      </w:r>
    </w:p>
    <w:p>
      <w:pPr>
        <w:pStyle w:val="Normal"/>
        <w:rPr/>
      </w:pPr>
      <w:r>
        <w:rPr/>
        <w:t xml:space="preserve"> </w:t>
      </w:r>
    </w:p>
    <w:p>
      <w:pPr>
        <w:pStyle w:val="Normal"/>
        <w:rPr/>
      </w:pPr>
      <w:r>
        <w:rPr/>
        <w:t xml:space="preserve">Fil-fatt, bħalissa m’hemm l-ebda interpretazzjoni komuni fil-livell tal-UE ta’ x’għandu jitqies bħala ikel lokali u ta’ kwalità. Dan in-nuqqas jeħtieġ li jimtela. </w:t>
      </w:r>
    </w:p>
    <w:p>
      <w:pPr>
        <w:pStyle w:val="Normal"/>
        <w:rPr/>
      </w:pPr>
      <w:r>
        <w:rPr/>
        <w:t xml:space="preserve">L-importazzjoni ta’ prodotti ta’ kwalità baxxa għandha impatt negattiv dirett fuq l-ambjent. Biex niġġieldu t-tibdil fil-klima, irridu nindirizzaw il-kawżi kollha tiegħu, inkluż l-importazzjoni ta’ prodotti ta’ kwalità baxxa: hemm bżonn li titnaqqas id-distanza tat-trasport u li jiġu promossi l-prodotti staġjonali. </w:t>
      </w:r>
    </w:p>
    <w:p>
      <w:pPr>
        <w:pStyle w:val="Normal"/>
        <w:rPr/>
      </w:pPr>
      <w:r>
        <w:rPr/>
        <w:t xml:space="preserve">Din ir-rakkomandazzjoni hija promettenti peress li tista’ tapplika wkoll għal prodotti mhux tal-ikel. </w:t>
      </w:r>
    </w:p>
    <w:p>
      <w:pPr>
        <w:pStyle w:val="Normal"/>
        <w:rPr/>
      </w:pPr>
      <w:r>
        <w:rPr/>
        <w:t xml:space="preserve"> </w:t>
      </w:r>
    </w:p>
    <w:p>
      <w:pPr>
        <w:pStyle w:val="P68B1DB1Normal15"/>
        <w:rPr>
          <w:b/>
          <w:b/>
        </w:rPr>
      </w:pPr>
      <w:r>
        <w:rPr/>
        <w:t xml:space="preserve">27. Nirrakkomandaw li l-Unjoni Ewropea tħeġġeġ ir-riċerka u l-iżvilupp permezz ta’ programmi ta’ finanzjament biex tiżgura li fis-suq Ewropew ikunu disponibbli prodotti aktar sostenibbli u affordabbli fis-suq Ewropew. L-Unjoni Ewropea għandha torganizza wkoll konsultazzjonijiet maċ-ċittadini, fil-livelli kollha tat-teħid tad-deċiżjonijiet, inkluż fil-livell lokali, biex tiddetermina l-ħtiġijiet tagħhom għal prodotti sostenibbli. </w:t>
      </w:r>
    </w:p>
    <w:p>
      <w:pPr>
        <w:pStyle w:val="Normal"/>
        <w:rPr/>
      </w:pPr>
      <w:r>
        <w:rPr/>
        <w:t xml:space="preserve"> </w:t>
      </w:r>
    </w:p>
    <w:p>
      <w:pPr>
        <w:pStyle w:val="Normal"/>
        <w:rPr/>
      </w:pPr>
      <w:r>
        <w:rPr/>
        <w:t xml:space="preserve">Aħna nemmnu li r-riċerka dwar prodotti sostenibbli mhijiex biżżejjed u hemm bżonn urġenti li jiġu allokati aktar riżorsi finanzjarji għar-riċerka sabiex l-Ewropej ikollhom aċċess għal prodotti sostenibbli aktar affordabbli. </w:t>
      </w:r>
    </w:p>
    <w:p>
      <w:pPr>
        <w:pStyle w:val="Normal"/>
        <w:rPr/>
      </w:pPr>
      <w:r>
        <w:rPr/>
        <w:t xml:space="preserve">Iċ-ċittadini għandhom jipparteċipaw fil-proċess tat-teħid tad-deċiżjonijiet. Il-programm għall-azzjonijiet ta’ riċerka u innovazzjoni għandu jitfassal b’mod konġunt maċ-ċittadini. Huma għandhom jiġu infurmati dwar is-segwitu u r-riżultati għandhom jiġu kkomunikati lilhom. </w:t>
      </w:r>
    </w:p>
    <w:p>
      <w:pPr>
        <w:pStyle w:val="Normal"/>
        <w:rPr/>
      </w:pPr>
      <w:r>
        <w:rPr/>
      </w:r>
    </w:p>
    <w:p>
      <w:pPr>
        <w:pStyle w:val="P68B1DB1Normal15"/>
        <w:rPr>
          <w:b/>
          <w:b/>
        </w:rPr>
      </w:pPr>
      <w:r>
        <w:rPr/>
        <w:t xml:space="preserve">28. Nirrakkomandaw li l-Unjoni Ewropea tintroduċi mekkaniżmu regolatorju għall-oġġetti tal-moda li jidħlu fis-suq komuni. Dan il-mekkaniżmu jkun maħsub biex jinkoraġġixxi konsum aħjar permezz ta’ indikatur li jiżgura li l-prodott jissodisfa l-kriterji ta’ sostenibbiltà. </w:t>
      </w:r>
    </w:p>
    <w:p>
      <w:pPr>
        <w:pStyle w:val="Normal"/>
        <w:rPr/>
      </w:pPr>
      <w:r>
        <w:rPr/>
        <w:t xml:space="preserve"> </w:t>
      </w:r>
    </w:p>
    <w:p>
      <w:pPr>
        <w:pStyle w:val="Normal"/>
        <w:rPr/>
      </w:pPr>
      <w:r>
        <w:rPr/>
        <w:t xml:space="preserve">Is-settur tal-moda, li jipproduċi wisq prodotti ta’ kwalità baxxa barra mill-fruntieri Ewropej, ma japplikax standards etiċi u ma jadottax imġiba sostenibbli. </w:t>
      </w:r>
    </w:p>
    <w:p>
      <w:pPr>
        <w:pStyle w:val="Normal"/>
        <w:rPr/>
      </w:pPr>
      <w:r>
        <w:rPr/>
        <w:t xml:space="preserve">Jeħtieġ li nsibu mekkaniżmu ġust li jippermetti lill-konsumaturi jikkunsmaw aħjar. Madankollu, huwa importanti li ma jiżdiedux it-taxxi, li jkollhom konsegwenzi negattivi għall-konsumaturi billi jnaqqsu l-kapaċità tal-akkwist tagħhom. </w:t>
      </w:r>
    </w:p>
    <w:p>
      <w:pPr>
        <w:pStyle w:val="Normal"/>
        <w:rPr/>
      </w:pPr>
      <w:r>
        <w:rPr/>
        <w:t xml:space="preserve">Il-konsumaturi għandhom ikunu jafu taħt liema kundizzjonijiet il-prodotti li jixtru huma manifatturati u jekk jissodisfawx l-istandards ta’ kwalità sostenibbli. </w:t>
      </w:r>
    </w:p>
    <w:p>
      <w:pPr>
        <w:pStyle w:val="Normal"/>
        <w:rPr/>
      </w:pPr>
      <w:r>
        <w:rPr/>
        <w:t xml:space="preserve"> </w:t>
      </w:r>
    </w:p>
    <w:p>
      <w:pPr>
        <w:pStyle w:val="Titre3"/>
        <w:numPr>
          <w:ilvl w:val="2"/>
          <w:numId w:val="2"/>
        </w:numPr>
        <w:rPr/>
      </w:pPr>
      <w:bookmarkStart w:id="167" w:name="__RefHeading___Toc297269_1346298689"/>
      <w:bookmarkEnd w:id="167"/>
      <w:r>
        <w:rPr/>
        <w:t xml:space="preserve">Assi 4: lejn soċjetà sostenibbli </w:t>
      </w:r>
    </w:p>
    <w:p>
      <w:pPr>
        <w:pStyle w:val="Titre4"/>
        <w:numPr>
          <w:ilvl w:val="3"/>
          <w:numId w:val="2"/>
        </w:numPr>
        <w:rPr/>
      </w:pPr>
      <w:bookmarkStart w:id="168" w:name="__RefHeading___Toc297271_1346298689"/>
      <w:bookmarkEnd w:id="168"/>
      <w:r>
        <w:rPr/>
        <w:t xml:space="preserve">Sottoassi 4.1 Enerġiji rinnovabbli, minn issa ‘l quddiem </w:t>
      </w:r>
    </w:p>
    <w:p>
      <w:pPr>
        <w:pStyle w:val="P68B1DB1Normal15"/>
        <w:rPr>
          <w:b/>
          <w:b/>
        </w:rPr>
      </w:pPr>
      <w:r>
        <w:rPr/>
        <w:t xml:space="preserve">29. Nirrakkomandaw li l-UE tieħu passi biex tagħmel il-filtri tas-CO2 obbligatorji, speċjalment għall-impjanti tal-enerġija li jaħdmu bil-faħam, matul perjodu tranżitorju, sakemm inkomplu niddependu fuq l-enerġija konvenzjonali. Barra minn hekk, nirrakkomandaw li l-UE tipprovdi assistenza finanzjarja lill-Istati Membri li m’għandhomx riżorsi finanzjarji biex jimplimentaw filtri tas-CO2. L-għajnuna tiddependi fuq il-konformità mal-politiki tal-UE dwar il-klima relatati mal-Ftehim ta’ Pariġi, mal-Patt Ekoloġiku u ma’ kwalunkwe liġi ġdida dwar il-klima. </w:t>
      </w:r>
    </w:p>
    <w:p>
      <w:pPr>
        <w:pStyle w:val="Normal"/>
        <w:rPr/>
      </w:pPr>
      <w:r>
        <w:rPr>
          <w:b/>
        </w:rPr>
        <w:t>Dan huwa pass konkret li għandu jittieħed b’mod parallel mal-investiment kontinwu fir-riċerka dwar is-sikurezza tal-produzzjoni tal-enerġija u li għandu l-għan li jgħin lill-Istati Membri tal-UE jiksbu gradwalment il-miri komuni għat-tnaqqis tas-CO2.</w:t>
      </w:r>
      <w:r>
        <w:rPr/>
        <w:t xml:space="preserve"> </w:t>
      </w:r>
    </w:p>
    <w:p>
      <w:pPr>
        <w:pStyle w:val="Normal"/>
        <w:rPr/>
      </w:pPr>
      <w:r>
        <w:rPr/>
        <w:t xml:space="preserve"> </w:t>
      </w:r>
    </w:p>
    <w:p>
      <w:pPr>
        <w:pStyle w:val="Normal"/>
        <w:rPr/>
      </w:pPr>
      <w:r>
        <w:rPr/>
        <w:t xml:space="preserve">Aħna nafu li l-użu ta’ fjuwils konvenzjonali jwassal għal emissjonijiet ta’ gassijiet serra u li l-Istati Membri tal-UE jeħtieġ li jnaqqsu l-użu ta’ fjuwils konvenzjonali biex jikkonformaw mal-Ftehim ta’ Pariġi. Peress li mhuwiex possibbli li jintemmu immedjatament l-emissjonijiet tas-CO2 u għadna dipendenti fuq il-faħam, jeħtieġ li nieħdu azzjoni fuq medda qasira u medja ta’ żmien. </w:t>
      </w:r>
    </w:p>
    <w:p>
      <w:pPr>
        <w:pStyle w:val="Normal"/>
        <w:rPr/>
      </w:pPr>
      <w:r>
        <w:rPr/>
        <w:t xml:space="preserve">It-tnaqqis tal-emissjonijiet tas-CO2 huwa ta’ interess komuni għaċ-ċittadini kollha, kemm ġewwa kif ukoll barra l-UE; l-UE, bħala istituzzjoni, għandha r-responsabbiltajiet tagħha stess u l-istituzzjoni tagħmel rakkomandazzjonijiet u tipprovdi soluzzjonijiet għaliex l-Istati Membri ma jistgħux jiksbu l-objettivi waħedhom. </w:t>
      </w:r>
    </w:p>
    <w:p>
      <w:pPr>
        <w:pStyle w:val="Normal"/>
        <w:rPr/>
      </w:pPr>
      <w:r>
        <w:rPr/>
      </w:r>
    </w:p>
    <w:p>
      <w:pPr>
        <w:pStyle w:val="P68B1DB1Normal15"/>
        <w:rPr>
          <w:b/>
          <w:b/>
        </w:rPr>
      </w:pPr>
      <w:r>
        <w:rPr/>
        <w:t xml:space="preserve">30. Nirrakkomandaw li titnaqqas it-trobbija industrijali intensiva biex jitnaqqsu l-produzzjoni tal-metan u t-tniġġis tal-ilma. Għal dan il-għan, l-UE qed tirrevedi l-Politika Agrikola Komuni tagħha biex tidderieġi s-sussidji tagħha lejn agrikoltura sostenibbli u lokali, inkluż permezz ta’ sistema ta’ tikkettar li tippermetti lill-konsumaturi jirrikonoxxu prodotti tal-laħam sostenibbli. Inħeġġu wkoll lill-UE tinvesti f’metodi ta’ użu mill-ġdid ta’ skart mill-produzzjoni tal-annimali u industriji oħra. </w:t>
      </w:r>
    </w:p>
    <w:p>
      <w:pPr>
        <w:pStyle w:val="Normal"/>
        <w:rPr/>
      </w:pPr>
      <w:r>
        <w:rPr/>
        <w:t xml:space="preserve"> </w:t>
      </w:r>
    </w:p>
    <w:p>
      <w:pPr>
        <w:pStyle w:val="Normal"/>
        <w:rPr/>
      </w:pPr>
      <w:r>
        <w:rPr/>
        <w:t xml:space="preserve">Il-popolazzjoni qed tikber, u dan se jirriżulta f’żieda fid-domanda għal-laħam fil-futur. Din hija r-raġuni għaliex il-konsum tal-laħam jeħtieġ li jitnaqqas. </w:t>
      </w:r>
    </w:p>
    <w:p>
      <w:pPr>
        <w:pStyle w:val="Normal"/>
        <w:rPr/>
      </w:pPr>
      <w:r>
        <w:rPr/>
        <w:t xml:space="preserve">Peress li l-metan jipproduċi gassijiet b’effett ta’ serra, aħna nemmnu li huwa naturali li nibdew billi nnaqqsu l-emissjonijiet tal-bhejjem. </w:t>
      </w:r>
    </w:p>
    <w:p>
      <w:pPr>
        <w:pStyle w:val="Normal"/>
        <w:rPr/>
      </w:pPr>
      <w:r>
        <w:rPr/>
        <w:t xml:space="preserve">Aħna lkoll nafu li għandu jiġi kkunsmat inqas laħam u għalhekk l-għadd ta’ bhejjem tal-ifrat għandu jitnaqqas kif xieraq. </w:t>
      </w:r>
    </w:p>
    <w:p>
      <w:pPr>
        <w:pStyle w:val="Normal"/>
        <w:rPr/>
      </w:pPr>
      <w:r>
        <w:rPr/>
        <w:t xml:space="preserve"> </w:t>
      </w:r>
    </w:p>
    <w:p>
      <w:pPr>
        <w:pStyle w:val="P68B1DB1Normal15"/>
        <w:rPr>
          <w:b/>
          <w:b/>
        </w:rPr>
      </w:pPr>
      <w:r>
        <w:rPr/>
        <w:t xml:space="preserve">31. Għalkemm il-produzzjoni tal-idroġenu ekoloġiku hija proċess għali, peress li 75 % tal-enerġija tieħu 25 % tal-idroġenu, din it-tip ta’ enerġija għandha ħafna aspetti pożittivi. L-aħjar soluzzjoni tista’ tkun il-produzzjoni ta’ enerġija ħielsa mis-CO2 flimkien mal-iżvilupp tal-idroġenu ekoloġiku. L-enerġija mir-riħ għandha tintuża għall-produzzjoni tal-idroġenu ekoloġiku u l-UE għandha tinvesti aktar u żżid il-produzzjoni tal-enerġija mir-riħ u taħżenha għall-ħtiġijiet futuri. </w:t>
      </w:r>
    </w:p>
    <w:p>
      <w:pPr>
        <w:pStyle w:val="Normal"/>
        <w:rPr/>
      </w:pPr>
      <w:r>
        <w:rPr/>
        <w:t xml:space="preserve"> </w:t>
      </w:r>
    </w:p>
    <w:p>
      <w:pPr>
        <w:pStyle w:val="Normal"/>
        <w:rPr/>
      </w:pPr>
      <w:r>
        <w:rPr/>
        <w:t xml:space="preserve">L-idroġenu ekoloġiku huwa flessibbli u jista’ jinħażen għall-użu meta jkun meħtieġ. Ma jikkawżax tniġġis tas-CO2. </w:t>
      </w:r>
    </w:p>
    <w:p>
      <w:pPr>
        <w:pStyle w:val="Normal"/>
        <w:rPr/>
      </w:pPr>
      <w:r>
        <w:rPr/>
        <w:t xml:space="preserve"> </w:t>
      </w:r>
    </w:p>
    <w:p>
      <w:pPr>
        <w:pStyle w:val="Titre4"/>
        <w:numPr>
          <w:ilvl w:val="3"/>
          <w:numId w:val="2"/>
        </w:numPr>
        <w:rPr/>
      </w:pPr>
      <w:bookmarkStart w:id="169" w:name="__RefHeading___Toc297273_1346298689"/>
      <w:bookmarkEnd w:id="169"/>
      <w:r>
        <w:rPr/>
        <w:t xml:space="preserve">Sottoassi 4.2 Bidla ta’ appoġġ </w:t>
      </w:r>
    </w:p>
    <w:p>
      <w:pPr>
        <w:pStyle w:val="P68B1DB1Normal15"/>
        <w:rPr>
          <w:b/>
          <w:b/>
        </w:rPr>
      </w:pPr>
      <w:r>
        <w:rPr/>
        <w:t xml:space="preserve">32. Nirrakkomandaw li l-UE tistabbilixxi sistema ta’ sfurzar u ppremjar għall-ġlieda kontra t-tniġġis, inkluż l-ilma, il-ħamrija, l-arja u r-radjazzjoni. Għandhom jiġu imposti multi fuq dawk li jniġġsu, flimkien mal-appoġġ obbligatorju ta’ organizzazzjoni speċjalizzata, imfassla speċifikament biex tgħin lill-entitajiet jeliminaw it-tniġġis u jirrestawraw l-ekosistema. Din l-organizzazzjoni speċjalizzata għandu jkollha rwol ewlieni fil-prevenzjoni u l-kontroll tal-livelli tat-tniġġis. </w:t>
      </w:r>
    </w:p>
    <w:p>
      <w:pPr>
        <w:pStyle w:val="Normal"/>
        <w:rPr/>
      </w:pPr>
      <w:r>
        <w:rPr/>
        <w:t xml:space="preserve"> </w:t>
      </w:r>
    </w:p>
    <w:p>
      <w:pPr>
        <w:pStyle w:val="Normal"/>
        <w:rPr/>
      </w:pPr>
      <w:r>
        <w:rPr/>
        <w:t xml:space="preserve">Minħabba li huwa importanti li ssir enfasi fuq ir-responsabbiltajiet ta’ min iniġġes u li l-entitajiet jitħeġġu jnaqqsu t-tniġġis billi jimmiraw lejn it-tniġġis żero. Huwa essenzjali li jkun hemm pjaneta b’saħħitha, peress li hija marbuta direttament mal-benesseri tagħna u l-eżistenza futura tagħna. </w:t>
      </w:r>
    </w:p>
    <w:p>
      <w:pPr>
        <w:pStyle w:val="Normal"/>
        <w:rPr/>
      </w:pPr>
      <w:r>
        <w:rPr/>
        <w:t xml:space="preserve"> </w:t>
      </w:r>
    </w:p>
    <w:p>
      <w:pPr>
        <w:pStyle w:val="P68B1DB1Normal15"/>
        <w:rPr>
          <w:b/>
          <w:b/>
        </w:rPr>
      </w:pPr>
      <w:r>
        <w:rPr/>
        <w:t xml:space="preserve">33. Nirrakkomandaw li l-UE tistabbilixxi sit web/pjattaforma speċifika vverifikata minn diversi esperti — b’informazzjoni xjentifika ambjentali varjata u aġġornata regolarment — li tkun faċilment aċċessibbli u trasparenti għaċ-ċittadini kollha. Dan is-sit web/pjattaforma se jkun assoċjat ma’ forum fejn iċ-ċittadini u l-esperti jistgħu jinteraġixxu. Nirrakkomandaw ukoll bil-qawwa li titnieda kampanja tal-midja biex tippromwovi dan is-sit web/pjattaforma (eż. permezz tal-midja soċjali bħal YouTube, TikTok u LinkedIn). </w:t>
      </w:r>
    </w:p>
    <w:p>
      <w:pPr>
        <w:pStyle w:val="Normal"/>
        <w:rPr/>
      </w:pPr>
      <w:r>
        <w:rPr/>
        <w:t xml:space="preserve"> </w:t>
      </w:r>
    </w:p>
    <w:p>
      <w:pPr>
        <w:pStyle w:val="Normal"/>
        <w:rPr/>
      </w:pPr>
      <w:r>
        <w:rPr/>
        <w:t xml:space="preserve">Iċ-ċittadini kollha għandu jkollhom sorsi indipendenti ta’ informazzjoni, ibbażati fuq evidenza xjentifika, biex jifhmu l-isfidi relatati mat-tibdil fil-klima (il-konsegwenzi tiegħu u l-miżuri li għandhom jittieħdu biex dan jitreġġa’ lura), kif ukoll biex jittrattaw aħbarijiet foloz. Il-kampanja tal-midja se tqajjem kuxjenza dwar l-eżistenza ta’ din il-pjattaforma/sit web. Huwa importanti wkoll li l-informazzjoni pprovduta mis-sit web/pjattaforma tkun tinftiehem miċ-ċittadini kollha, b’aċċess għal materjal ta’ sors għal dawk li jixtiequ japprofondixxu s-suġġett. </w:t>
      </w:r>
    </w:p>
    <w:p>
      <w:pPr>
        <w:pStyle w:val="Normal"/>
        <w:rPr/>
      </w:pPr>
      <w:r>
        <w:rPr/>
        <w:t xml:space="preserve"> </w:t>
      </w:r>
    </w:p>
    <w:p>
      <w:pPr>
        <w:pStyle w:val="P68B1DB1Normal15"/>
        <w:rPr>
          <w:b/>
          <w:b/>
        </w:rPr>
      </w:pPr>
      <w:r>
        <w:rPr/>
        <w:t xml:space="preserve">34. Nirrakkomandaw li l-UE tnaqqas l-ammont ta’ prodotti importati li ma jissodisfawx l-istandards tal-impronta ambjentali tal-UE. </w:t>
      </w:r>
    </w:p>
    <w:p>
      <w:pPr>
        <w:pStyle w:val="Normal"/>
        <w:rPr/>
      </w:pPr>
      <w:r>
        <w:rPr/>
        <w:t xml:space="preserve"> </w:t>
      </w:r>
    </w:p>
    <w:p>
      <w:pPr>
        <w:pStyle w:val="Normal"/>
        <w:rPr/>
      </w:pPr>
      <w:r>
        <w:rPr/>
        <w:t xml:space="preserve">B’hekk, qed niżguraw li l-oġġetti importati fl-UE jkollhom impronta aktar ekoloġika. L-għan huwa li jitnaqqas it-tniġġis globalment. Huwa importanti wkoll li jiġu ppreżentati l-istandards lill-pajjiżi jekk jixtiequ jesportaw oġġetti lejn l-UE. </w:t>
      </w:r>
    </w:p>
    <w:p>
      <w:pPr>
        <w:pStyle w:val="Normal"/>
        <w:rPr/>
      </w:pPr>
      <w:r>
        <w:rPr/>
        <w:t xml:space="preserve"> </w:t>
      </w:r>
    </w:p>
    <w:p>
      <w:pPr>
        <w:pStyle w:val="P68B1DB1Normal15"/>
        <w:rPr>
          <w:b/>
          <w:b/>
        </w:rPr>
      </w:pPr>
      <w:r>
        <w:rPr/>
        <w:t xml:space="preserve">35. Nirrakkomandaw li l-UE tħeġġeġ, tippromwovi u tiffaċilita d-djalogu dwar it-tibdil fil-klima bejn il-livelli kollha tat-teħid tad-deċiżjonijiet, minn lokali ħafna (ċittadini) għal globali (nazzjonali, internazzjonali u interkontinentali), sabiex jiġi indirizzat it-tħassib tal-partijiet interessati kollha. </w:t>
      </w:r>
    </w:p>
    <w:p>
      <w:pPr>
        <w:pStyle w:val="Normal"/>
        <w:rPr/>
      </w:pPr>
      <w:r>
        <w:rPr/>
        <w:t xml:space="preserve"> </w:t>
      </w:r>
    </w:p>
    <w:p>
      <w:pPr>
        <w:pStyle w:val="Normal"/>
        <w:rPr/>
      </w:pPr>
      <w:r>
        <w:rPr/>
        <w:t xml:space="preserve">Minħabba li d-djalogu u l-kunsens huma l-aħjar mod biex jiġu indirizzati l-isfidi tat-tibdil fil-klima: jekk il-partijiet jifhmu lil xulxin, hemm aktar rieda li tinstab bażi komuni. </w:t>
      </w:r>
    </w:p>
    <w:p>
      <w:pPr>
        <w:pStyle w:val="Normal"/>
        <w:rPr/>
      </w:pPr>
      <w:r>
        <w:rPr/>
        <w:t xml:space="preserve"> </w:t>
      </w:r>
    </w:p>
    <w:p>
      <w:pPr>
        <w:pStyle w:val="Titre4"/>
        <w:numPr>
          <w:ilvl w:val="3"/>
          <w:numId w:val="2"/>
        </w:numPr>
        <w:rPr/>
      </w:pPr>
      <w:bookmarkStart w:id="170" w:name="__RefHeading___Toc297275_1346298689"/>
      <w:bookmarkEnd w:id="170"/>
      <w:r>
        <w:rPr/>
        <w:t xml:space="preserve">Sotto-assi 4.3 Trasport favur l-ambjent </w:t>
      </w:r>
    </w:p>
    <w:p>
      <w:pPr>
        <w:pStyle w:val="Normal"/>
        <w:rPr/>
      </w:pPr>
      <w:r>
        <w:rPr>
          <w:b/>
        </w:rPr>
        <w:t>36. Nirrakkomandaw li l-UE tappoġġa finanzjarjament lill-Istati Membri Ewropej biex itejbu l-konnettività fiż-żoni rurali. Dan jirrikjedi l-iżvilupp ta’ netwerk Ewropew tat-trasport pubbliku bbażat fuq prezzijiet affordabbli (il-prijoritizzazzjoni tal-ferroviji) u inċentivi għall-użu tat-trasport pubbliku. Għal dan il-għan, il-konnettività tal-internet għandha tiġi żviluppata wkoll fi żmien qasir u realistiku fiż-żoni rurali.</w:t>
      </w:r>
      <w:r>
        <w:rPr/>
        <w:t xml:space="preserve"> </w:t>
      </w:r>
    </w:p>
    <w:p>
      <w:pPr>
        <w:pStyle w:val="Normal"/>
        <w:rPr/>
      </w:pPr>
      <w:r>
        <w:rPr/>
        <w:t xml:space="preserve"> </w:t>
      </w:r>
    </w:p>
    <w:p>
      <w:pPr>
        <w:pStyle w:val="Normal"/>
        <w:rPr/>
      </w:pPr>
      <w:r>
        <w:rPr/>
        <w:t xml:space="preserve">Nagħmlu din ir-rakkomandazzjoni għaliex m’hemmx aċċess ugwali għat-trasport pubbliku u l-konnettività tal-internet bejn iż-żoni rurali u urbani. Proġett Ewropew komuni jissaħħaħ peress li ċ-ċittadini kollha jħossu li għandhom l-istess drittijiet. It-tisħiħ tan-netwerk tat-trasport pubbliku u l-konnettività tal-internet jinkoraġġixxi lin-nies biex jistabbilixxu ruħhom f’żoni rurali. Dan il-proċess inaqqas it-tniġġis peress li inqas nies jgħixu fi bliet iffullati żżejjed. </w:t>
      </w:r>
    </w:p>
    <w:p>
      <w:pPr>
        <w:pStyle w:val="Normal"/>
        <w:rPr/>
      </w:pPr>
      <w:r>
        <w:rPr/>
        <w:t xml:space="preserve"> </w:t>
      </w:r>
    </w:p>
    <w:p>
      <w:pPr>
        <w:pStyle w:val="P68B1DB1Normal15"/>
        <w:rPr>
          <w:b/>
          <w:b/>
        </w:rPr>
      </w:pPr>
      <w:r>
        <w:rPr/>
        <w:t xml:space="preserve">37. Nirrakkomandaw li tittejjeb l-infrastruttura eżistenti tat-trasport li ma baqgħetx tintuża jew li tista’ tittejjeb aktar mil-lat ekoloġiku (l-istabbiliment ta’ ferroviji elettriċi). Dan il-proċess għandu jitwettaq mingħajr preġudizzju għaż-żoni ambjentalment protetti. </w:t>
      </w:r>
    </w:p>
    <w:p>
      <w:pPr>
        <w:pStyle w:val="Normal"/>
        <w:rPr/>
      </w:pPr>
      <w:r>
        <w:rPr/>
        <w:t xml:space="preserve"> </w:t>
      </w:r>
    </w:p>
    <w:p>
      <w:pPr>
        <w:pStyle w:val="Normal"/>
        <w:rPr/>
      </w:pPr>
      <w:r>
        <w:rPr/>
        <w:t>It-titjib tal-infrastruttura eżistenti jevita li jintefqu wisq riżorsi u jagħmel ħsara lil żoni protetti importanti għall-konservazzjoni tal-bijodiversità. Iż-żieda fl-infrastruttura ferrovjarja tnaqqas l-emissjonijiet tas-</w:t>
      </w:r>
      <w:r>
        <w:rPr>
          <w:vertAlign w:val="subscript"/>
        </w:rPr>
        <w:t>CO2 u tippromwovi</w:t>
      </w:r>
      <w:r>
        <w:rPr/>
        <w:t xml:space="preserve"> l-mobilità tan-nies miż-żoni urbani għal dawk rurali. </w:t>
      </w:r>
    </w:p>
    <w:p>
      <w:pPr>
        <w:pStyle w:val="Normal"/>
        <w:rPr/>
      </w:pPr>
      <w:r>
        <w:rPr/>
        <w:t xml:space="preserve"> </w:t>
      </w:r>
    </w:p>
    <w:p>
      <w:pPr>
        <w:pStyle w:val="P68B1DB1Normal15"/>
        <w:rPr>
          <w:b/>
          <w:b/>
        </w:rPr>
      </w:pPr>
      <w:r>
        <w:rPr/>
        <w:t xml:space="preserve">38. Nirrakkomandaw li l-UE tħeġġeġ ix-xiri ta’ vetturi elettriċi li jilħqu standards tajbin tal-ħajja tal-batteriji. Għal dan il-għan, l-UE tista’ tieħu inċentivi għall-Istati Membri kollha u ttejjeb l-infrastruttura tal-elettriku. Fl-istess ħin, l-UE għandha tinvesti fl-iżvilupp ta’ teknoloġiji nodfa oħra, bħall-bijokarburanti u l-idroġenu għall-vetturi li l-elettrifikazzjoni tagħhom hija diffiċli li tinkiseb, bħad-dgħajjes u t-trakkijiet. </w:t>
      </w:r>
    </w:p>
    <w:p>
      <w:pPr>
        <w:pStyle w:val="Normal"/>
        <w:rPr/>
      </w:pPr>
      <w:r>
        <w:rPr/>
        <w:t xml:space="preserve"> </w:t>
      </w:r>
    </w:p>
    <w:p>
      <w:pPr>
        <w:pStyle w:val="Normal"/>
        <w:rPr/>
      </w:pPr>
      <w:r>
        <w:rPr/>
        <w:t xml:space="preserve">Nagħmlu din ir-rakkomandazzjoni għaliex l-elettriku huwa l-aktar mod mgħaġġel biex jitnaqqsu l-emissjonijiet tal-vetturi, b’sorsi oħra ta’ enerġija bħall-idroġenu u l-bijofjuwils. Fil-fatt, l-aktar soluzzjoni mgħaġġla, ekonomika u fattibbli hija l-elettriku, segwit mill-bijofjuwils. Fit-tul, l-idroġenu ekoloġiku għandu jkollu rwol komplementari fil-kopertura tal-modi tat-trasport li ma jistgħux jiġu elettrifikati. </w:t>
      </w:r>
    </w:p>
    <w:p>
      <w:pPr>
        <w:pStyle w:val="Normal"/>
        <w:rPr/>
      </w:pPr>
      <w:r>
        <w:rPr/>
        <w:t xml:space="preserve"> </w:t>
      </w:r>
    </w:p>
    <w:p>
      <w:pPr>
        <w:pStyle w:val="Titre3"/>
        <w:numPr>
          <w:ilvl w:val="2"/>
          <w:numId w:val="2"/>
        </w:numPr>
        <w:rPr/>
      </w:pPr>
      <w:bookmarkStart w:id="171" w:name="__RefHeading___Toc297277_1346298689"/>
      <w:bookmarkEnd w:id="171"/>
      <w:r>
        <w:rPr/>
        <w:t xml:space="preserve">Assi 5 Kura għal kulħadd </w:t>
      </w:r>
    </w:p>
    <w:p>
      <w:pPr>
        <w:pStyle w:val="Titre4"/>
        <w:numPr>
          <w:ilvl w:val="3"/>
          <w:numId w:val="2"/>
        </w:numPr>
        <w:rPr/>
      </w:pPr>
      <w:bookmarkStart w:id="172" w:name="__RefHeading___Toc297279_1346298689"/>
      <w:bookmarkEnd w:id="172"/>
      <w:r>
        <w:rPr/>
        <w:t xml:space="preserve">Sotto-assi 5.1 Issaħħaħ is-sistema tal-kura tas-saħħa </w:t>
      </w:r>
    </w:p>
    <w:p>
      <w:pPr>
        <w:pStyle w:val="P68B1DB1Normal15"/>
        <w:rPr>
          <w:b/>
          <w:b/>
        </w:rPr>
      </w:pPr>
      <w:r>
        <w:rPr/>
        <w:t xml:space="preserve">39. Nirrakkomandaw li l-Unjoni Ewropea tiggarantixxi standards tas-saħħa komuni, iżda tippromwovi wkoll pagi minimi deċenti, sigħat massimi tax-xogħol u l-istess standards ta’ taħriġ, għall-istess kwalifiki, għall-professjonisti tas-saħħa fl-Unjoni Ewropea kollha. </w:t>
      </w:r>
    </w:p>
    <w:p>
      <w:pPr>
        <w:pStyle w:val="Normal"/>
        <w:rPr/>
      </w:pPr>
      <w:r>
        <w:rPr/>
        <w:t xml:space="preserve"> </w:t>
      </w:r>
    </w:p>
    <w:p>
      <w:pPr>
        <w:pStyle w:val="Normal"/>
        <w:rPr/>
      </w:pPr>
      <w:r>
        <w:rPr/>
        <w:t xml:space="preserve">Jekk m’għandniex standards komuni ta’ kura tas-saħħa, pagi u taħriġ komuni għall-professjonisti tas-saħħa, id-differenzi bejn l-Istati Membri jistgħu jwasslu għal sitwazzjonijiet żbilanċjati madwar l-Unjoni Ewropea. L-istandardizzazzjoni tal-kura tas-saħħa tista’ tikkontribwixxi għal sistema aktar b’saħħitha, aktar effiċjenti u aktar reżiljenti (eż. il-kriżi tal-COVID-19 dwar l-istabbiltà tas-sistemi tagħna). Dan jiffaċilita wkoll il-kondiviżjoni tal-għarfien u l-informazzjoni fis-settur tal-professjonisti tas-saħħa. </w:t>
      </w:r>
    </w:p>
    <w:p>
      <w:pPr>
        <w:pStyle w:val="Normal"/>
        <w:rPr/>
      </w:pPr>
      <w:r>
        <w:rPr/>
        <w:t xml:space="preserve"> </w:t>
      </w:r>
    </w:p>
    <w:p>
      <w:pPr>
        <w:pStyle w:val="P68B1DB1Normal15"/>
        <w:rPr>
          <w:b/>
          <w:b/>
        </w:rPr>
      </w:pPr>
      <w:r>
        <w:rPr/>
        <w:t xml:space="preserve">40. Nirrakkomandaw li l-Unjoni Ewropea tiżgura li t-trattamenti fl-UE kollha jkunu ta’ kwalità ugwali u bi spiża lokali ġusta. Dan jista’ jiġi żgurat, pereżempju permezz ta’ estensjoni tal-kompetenzi tal-Aġenzija Ewropea għall-Mediċini (EMA) jew il-ħolqien ta’ aġenzija Ewropea ġdida għall-akkwist pubbliku, li tkun kompetenti biex tinnegozja u tikseb prezzijiet aktar adatti għall-mediċini għall-Istati Membri kollha. Ir-riskju ta’ monopolji fl-industrija farmaċewtika għandu jitnaqqas kemm jista’ jkun. </w:t>
      </w:r>
    </w:p>
    <w:p>
      <w:pPr>
        <w:pStyle w:val="Normal"/>
        <w:rPr/>
      </w:pPr>
      <w:r>
        <w:rPr/>
        <w:t xml:space="preserve"> </w:t>
      </w:r>
    </w:p>
    <w:p>
      <w:pPr>
        <w:pStyle w:val="Normal"/>
        <w:rPr/>
      </w:pPr>
      <w:r>
        <w:rPr/>
        <w:t xml:space="preserve">L-ugwaljanza tad-dispożizzjonijiet mediċi u t-trattament fl-UE tiggarantixxi drittijiet ugwali tas-saħħa għaċ-ċittadini Ewropej kollha. Iż-żieda fil-kapaċità tax-xiri tiżgura kundizzjonijiet aħjar tax-xiri. Madankollu, dan m’għandux iwassal għal strutturi ta’ monopolju u lobbying farmaċewtiku. Il-ġestjoni tal-kriżi tal-COVID-19 kienet eżempju tajjeb ta’ ġestjoni kollaborattiva tas-saħħa mill-Unjoni Ewropea kollha kemm hi. </w:t>
      </w:r>
    </w:p>
    <w:p>
      <w:pPr>
        <w:pStyle w:val="Normal"/>
        <w:rPr/>
      </w:pPr>
      <w:r>
        <w:rPr/>
        <w:t xml:space="preserve"> </w:t>
      </w:r>
    </w:p>
    <w:p>
      <w:pPr>
        <w:pStyle w:val="P68B1DB1Normal15"/>
        <w:rPr>
          <w:b/>
          <w:b/>
        </w:rPr>
      </w:pPr>
      <w:r>
        <w:rPr/>
        <w:t xml:space="preserve">41. Nirrakkomandaw il-ħolqien ta’ bażi tad-data Ewropea dwar il-kura tas-saħħa, li fiha r-rekords mediċi jkunu aċċessibbli f’każ ta’ emerġenza jew mard. Il-parteċipazzjoni għandha tkun fakultattiva u għandha tiġi żgurata l-protezzjoni tad-data personali. </w:t>
      </w:r>
    </w:p>
    <w:p>
      <w:pPr>
        <w:pStyle w:val="Normal"/>
        <w:rPr/>
      </w:pPr>
      <w:r>
        <w:rPr/>
        <w:t xml:space="preserve"> </w:t>
      </w:r>
    </w:p>
    <w:p>
      <w:pPr>
        <w:pStyle w:val="Normal"/>
        <w:rPr/>
      </w:pPr>
      <w:r>
        <w:rPr/>
        <w:t xml:space="preserve">L-aċċess għad-data u l-użu tad-data jagħmluha possibbli li wieħed jirreaġixxi malajr f’każijiet fejn il-ħajja tkun f’riskju. Il-piraterija jew l-użu ħażin huma theddid kbir għal tali sistema Ewropea ta’ bażi tad-data tal-kura tas-saħħa, u għalhekk il-ħtieġa li tiġi żgurata d-data, filwaqt li l-parteċipazzjoni tibqa’ fakultattiva, u naturalment għall-prevenzjoni ta’ theddid relatat mas-sigurtà. </w:t>
      </w:r>
    </w:p>
    <w:p>
      <w:pPr>
        <w:pStyle w:val="Normal"/>
        <w:rPr/>
      </w:pPr>
      <w:r>
        <w:rPr/>
        <w:t xml:space="preserve"> </w:t>
      </w:r>
    </w:p>
    <w:p>
      <w:pPr>
        <w:pStyle w:val="P68B1DB1Normal15"/>
        <w:rPr>
          <w:b/>
          <w:b/>
        </w:rPr>
      </w:pPr>
      <w:r>
        <w:rPr/>
        <w:t xml:space="preserve">42. Nirrakkomandaw li l-Unjoni Ewropea tkompli tiżviluppa u tissinkronizza l-programmi eżistenti ta’ riċerka u innovazzjoni dwar is-saħħa, kif inhu l-każ taħt il-programm Orizzont Ewropa eżistenti. Ir-riżultati tal-istudji għandhom ikunu disponibbli liberament fl-Istati Membri kollha. </w:t>
      </w:r>
    </w:p>
    <w:p>
      <w:pPr>
        <w:pStyle w:val="Normal"/>
        <w:rPr/>
      </w:pPr>
      <w:r>
        <w:rPr/>
        <w:t xml:space="preserve"> </w:t>
      </w:r>
    </w:p>
    <w:p>
      <w:pPr>
        <w:pStyle w:val="Normal"/>
        <w:rPr/>
      </w:pPr>
      <w:r>
        <w:rPr/>
        <w:t xml:space="preserve">Il-kooperazzjoni xjentifika fil-livell tal-UE tista’ jarrikkixxi l-kapaċitajiet xjentifiċi u l-għarfien ta’ riċerkaturi individwali. Il-qsim tal-għarfien jista’, pereżempju, iwassal għal dijanjożi bikrija u trattamenti aħjar biex jitnaqqas mard serju u fatali madwar l-Ewropa. Hija tippromwovi wkoll l-awtosuffiċjenza Ewropea fil-mediċini u t-tagħmir. </w:t>
      </w:r>
    </w:p>
    <w:p>
      <w:pPr>
        <w:pStyle w:val="Normal"/>
        <w:rPr/>
      </w:pPr>
      <w:r>
        <w:rPr/>
        <w:t xml:space="preserve"> </w:t>
      </w:r>
    </w:p>
    <w:p>
      <w:pPr>
        <w:pStyle w:val="P68B1DB1Normal15"/>
        <w:rPr>
          <w:b/>
          <w:b/>
        </w:rPr>
      </w:pPr>
      <w:r>
        <w:rPr/>
        <w:t xml:space="preserve">43. Nirrakkomandaw li l-UE żżid il-baġit tagħha għal proġetti konġunti ta’ riċerka u innovazzjoni fil-qasam tas-saħħa (mingħajr tnaqqis baġitarju fi programmi oħra tal-UE relatati mas-saħħa). Dan isaħħaħ ukoll l-istituzzjonijiet xjentifiċi u ta’ riċerka Ewropej kollha kemm huma. </w:t>
      </w:r>
    </w:p>
    <w:p>
      <w:pPr>
        <w:pStyle w:val="Normal"/>
        <w:rPr/>
      </w:pPr>
      <w:r>
        <w:rPr/>
        <w:t xml:space="preserve"> </w:t>
      </w:r>
    </w:p>
    <w:p>
      <w:pPr>
        <w:pStyle w:val="Normal"/>
        <w:rPr/>
      </w:pPr>
      <w:r>
        <w:rPr/>
        <w:t xml:space="preserve">Ir-riċerka u l-investimenti fil-qasam tas-saħħa se jsaħħu l-mediċina preventiva fit-tul u jnaqqsu l-ispejjeż relatati mas-saħħa. Iż-żieda fil-finanzjament tista’ tipprevjeni l-eżodu ta’ mħuħ Ewropej lejn pajjiżi żviluppati oħra b’baġits ogħla għar-riċerka u l-iżvilupp għas-saħħa. Dan il-finanzjament m’għandux jiġi minn riżorsi finanzjarji eżistenti għall-kura tas-saħħa. </w:t>
      </w:r>
    </w:p>
    <w:p>
      <w:pPr>
        <w:pStyle w:val="Normal"/>
        <w:rPr/>
      </w:pPr>
      <w:r>
        <w:rPr/>
        <w:t xml:space="preserve"> </w:t>
      </w:r>
    </w:p>
    <w:p>
      <w:pPr>
        <w:pStyle w:val="Titre4"/>
        <w:numPr>
          <w:ilvl w:val="3"/>
          <w:numId w:val="2"/>
        </w:numPr>
        <w:rPr/>
      </w:pPr>
      <w:bookmarkStart w:id="173" w:name="__RefHeading___Toc297281_1346298689"/>
      <w:bookmarkEnd w:id="173"/>
      <w:r>
        <w:rPr/>
        <w:t xml:space="preserve">Sotto-assi 5.2 Viżjoni usa’ tas-saħħa </w:t>
      </w:r>
    </w:p>
    <w:p>
      <w:pPr>
        <w:pStyle w:val="P68B1DB1Normal15"/>
        <w:rPr>
          <w:b/>
          <w:b/>
        </w:rPr>
      </w:pPr>
      <w:r>
        <w:rPr/>
        <w:t xml:space="preserve">44. Nirrakkomandaw it-twaqqif ta’ Ġimgħa tas-Saħħa bħala inizjattiva tal-UE fl-Istati Membri kollha, fl-istess ġimgħa, iddedikata għall-kwistjonijiet kollha tas-saħħa, b’enfasi fuq is-saħħa mentali. Matul din il-ġimgħa, is-suġġetti ewlenin kollha tas-saħħa mentali se jiġu koperti u promossi b’mod kollettiv, kif ukoll inizjattivi oħra li diġà jeżistu, bħal dawk tas-Saħħa Mentali Ewropa. </w:t>
      </w:r>
    </w:p>
    <w:p>
      <w:pPr>
        <w:pStyle w:val="Normal"/>
        <w:rPr/>
      </w:pPr>
      <w:r>
        <w:rPr/>
        <w:t xml:space="preserve"> </w:t>
      </w:r>
    </w:p>
    <w:p>
      <w:pPr>
        <w:pStyle w:val="Normal"/>
        <w:rPr/>
      </w:pPr>
      <w:r>
        <w:rPr/>
        <w:t xml:space="preserve">Nagħmlu din ir-rakkomandazzjoni għaliex iċ-ċittadini Ewropej kollha għandhom iħossuhom aċċettati u inklużi, speċjalment jekk ibatu minn problemi ta’ saħħa mentali. Barra minn hekk, hemm bżonn li jiġi standardizzat u mtejjeb l-għarfien dwar il-problemi tas-saħħa mentali, kif ukoll li jiġu evitati problemi soċjali relatati bħad-diskriminazzjoni. Barra minn hekk, peress li l-problemi tas-saħħa mentali żdiedu bil-pandemija u x’aktarx se jkomplu, din l-inizjattiva hija aktar u aktar importanti. </w:t>
      </w:r>
    </w:p>
    <w:p>
      <w:pPr>
        <w:pStyle w:val="Normal"/>
        <w:rPr/>
      </w:pPr>
      <w:r>
        <w:rPr/>
        <w:t xml:space="preserve"> </w:t>
      </w:r>
    </w:p>
    <w:p>
      <w:pPr>
        <w:pStyle w:val="P68B1DB1Normal15"/>
        <w:rPr>
          <w:b/>
          <w:b/>
        </w:rPr>
      </w:pPr>
      <w:r>
        <w:rPr/>
        <w:t xml:space="preserve">45. Nirrakkomandaw li l-prodotti tal-iġjene tan-nisa ma jibqgħux jitqiesu bħala oġġetti ta’ lussu f’termini ta’ tassazzjoni, peress li huma prodotti essenzjali. Nirrakkomandaw ukoll li l-prodotti kontraċettivi ormonali użati għal raġunijiet mediċi, bħall-fibromijalġija u l-endometrijożi, jiġu ntaxxati bħala trattament mediku regolari. Nirrakkomandaw ukoll li l-Unjoni Ewropea tħeġġeġ l-armonizzazzjoni tat-trattament riproduttiv medikament assistit għan-nisa kollha (weħidhom jew miżżewġa) fl-Istati Membri kollha. </w:t>
      </w:r>
    </w:p>
    <w:p>
      <w:pPr>
        <w:pStyle w:val="Normal"/>
        <w:rPr/>
      </w:pPr>
      <w:r>
        <w:rPr/>
        <w:t xml:space="preserve"> </w:t>
      </w:r>
    </w:p>
    <w:p>
      <w:pPr>
        <w:pStyle w:val="Normal"/>
        <w:rPr/>
      </w:pPr>
      <w:r>
        <w:rPr/>
        <w:t xml:space="preserve">F’xi pajjiżi Ewropej, il-prodotti iġjeniċi tan-nisa huma ntaxxati bħala oġġetti ta’ lussu, li huwa inġust. Xi kontraċettivi ormonali jintużaw għal skopijiet mediċi u għalhekk għandhom jiġu ntaxxati skont dan. Minħabba li t-trattamenti riproduttivi għan-nisa, bħall-metodi ta’ fertilizzazzjoni in vitro u l-iffriżar tal-bajd, għandhom kundizzjonijiet ta’ eliġibbiltà differenti madwar l-Istati Membri, u l-Unjoni Ewropea għandha tistinka biex tarmonizzahom. </w:t>
      </w:r>
    </w:p>
    <w:p>
      <w:pPr>
        <w:pStyle w:val="Normal"/>
        <w:rPr/>
      </w:pPr>
      <w:r>
        <w:rPr/>
        <w:t xml:space="preserve"> </w:t>
      </w:r>
    </w:p>
    <w:p>
      <w:pPr>
        <w:pStyle w:val="P68B1DB1Normal15"/>
        <w:rPr>
          <w:b/>
          <w:b/>
        </w:rPr>
      </w:pPr>
      <w:r>
        <w:rPr/>
        <w:t xml:space="preserve">46. Nirrakkomandaw li l-Unjoni Ewropea tadotta pożizzjoni soda biex tħeġġeġ lill-Istati Membri kollha biex jinkludu fil-kurrikuli tal-iskola tagħhom, fejn xieraq, kwistjonijiet relatati mas-saħħa mentali u l-edukazzjoni sesswali. Biex tgħin lill-Istati Membri jadottaw dawn il-kwistjonijiet fil-kurrikuli tal-iskejjel, l-Unjoni Ewropea għandha tiżviluppa u tagħmel disponibbli programm standard dwar is-saħħa mentali u kwistjonijiet sesswali. </w:t>
      </w:r>
    </w:p>
    <w:p>
      <w:pPr>
        <w:pStyle w:val="Normal"/>
        <w:rPr/>
      </w:pPr>
      <w:r>
        <w:rPr/>
        <w:t xml:space="preserve"> </w:t>
      </w:r>
    </w:p>
    <w:p>
      <w:pPr>
        <w:pStyle w:val="Normal"/>
        <w:rPr/>
      </w:pPr>
      <w:r>
        <w:rPr/>
        <w:t xml:space="preserve">Hemm bżonn li jitnaqqsu d-diskriminazzjoni u t-tabù fir-rigward ta’ problemi ta’ saħħa mentali. Id-diżinformazzjoni u l-approċċi mhux xjentifiċi għandhom jiġu evitati wkoll. Barra minn hekk, l-edukazzjoni sesswali hija fundamentali għal ħajja b’saħħitha u l-komunità, u tipprevjeni problemi bħal tqala fost l-adolexxenti. </w:t>
      </w:r>
    </w:p>
    <w:p>
      <w:pPr>
        <w:pStyle w:val="Normal"/>
        <w:rPr/>
      </w:pPr>
      <w:r>
        <w:rPr/>
        <w:t xml:space="preserve"> </w:t>
      </w:r>
    </w:p>
    <w:p>
      <w:pPr>
        <w:pStyle w:val="P68B1DB1Normal15"/>
        <w:rPr>
          <w:b/>
          <w:b/>
        </w:rPr>
      </w:pPr>
      <w:r>
        <w:rPr/>
        <w:t xml:space="preserve">47. Nirrakkomandaw li l-Unjoni Ewropea tiżviluppa sistema ta’ komunikazzjoni aħjar għall-inizjattivi kollha tagħha dwar is-saħħa mentali, jiġifieri l-portal tas-saħħa pubblika dwar l-aħjar prattiki, fl-Istati Membri u għaċ-ċittadini kollha. Il-Membri tal-PE jistgħu jippreżentaw dawn l-aħjar prattiki lil xulxin sabiex jagħmluhom aktar magħrufa fl-Istati Membri kollha. </w:t>
      </w:r>
    </w:p>
    <w:p>
      <w:pPr>
        <w:pStyle w:val="Normal"/>
        <w:rPr/>
      </w:pPr>
      <w:r>
        <w:rPr/>
        <w:t xml:space="preserve"> </w:t>
      </w:r>
    </w:p>
    <w:p>
      <w:pPr>
        <w:pStyle w:val="Normal"/>
        <w:rPr/>
      </w:pPr>
      <w:r>
        <w:rPr/>
        <w:t xml:space="preserve">Iċ-ċittadini mhumiex infurmati tajjeb dwar l-inizjattivi tal-UE u l-iskambju tal-aħjar prattiki jippermettilna nitgħallmu minn xulxin. </w:t>
      </w:r>
    </w:p>
    <w:p>
      <w:pPr>
        <w:pStyle w:val="Normal"/>
        <w:rPr/>
      </w:pPr>
      <w:r>
        <w:rPr/>
        <w:t xml:space="preserve"> </w:t>
      </w:r>
    </w:p>
    <w:p>
      <w:pPr>
        <w:pStyle w:val="Titre4"/>
        <w:numPr>
          <w:ilvl w:val="3"/>
          <w:numId w:val="2"/>
        </w:numPr>
        <w:rPr/>
      </w:pPr>
      <w:bookmarkStart w:id="174" w:name="__RefHeading___Toc297283_1346298689"/>
      <w:bookmarkEnd w:id="174"/>
      <w:r>
        <w:rPr/>
        <w:t xml:space="preserve">Sottoassi 5.3 Aċċess ugwali għas-saħħa għal kulħadd </w:t>
      </w:r>
    </w:p>
    <w:p>
      <w:pPr>
        <w:pStyle w:val="P68B1DB1Normal15"/>
        <w:rPr>
          <w:b/>
          <w:b/>
        </w:rPr>
      </w:pPr>
      <w:r>
        <w:rPr/>
        <w:t xml:space="preserve">48. Nirrakkomandaw li l-UE tistabbilixxi u tippromwovi standards minimi għall-kura dentali ta’ kwalità, inkluża l-profilassi, għall-Istati Membri kollha tal-UE. It-tfal, il-gruppi bi dħul baxx u gruppi vulnerabbli oħra għandhom jingħataw kura dentali bla ħlas. Fi żmien 15–20 sena, l-UE għandha tiżgura li l-kura dentali affordabbli tkun aċċessibbli għal kulħadd. </w:t>
      </w:r>
    </w:p>
    <w:p>
      <w:pPr>
        <w:pStyle w:val="Normal"/>
        <w:rPr/>
      </w:pPr>
      <w:r>
        <w:rPr/>
        <w:t xml:space="preserve"> </w:t>
      </w:r>
    </w:p>
    <w:p>
      <w:pPr>
        <w:pStyle w:val="Normal"/>
        <w:rPr/>
      </w:pPr>
      <w:r>
        <w:rPr/>
        <w:t xml:space="preserve">Nagħmlu din ir-rakkomandazzjoni minħabba li bħalissa l-kura dentali mhijiex affordabbli għal ħafna nies li jgħixu fl-UE. In-nuqqas ta’ kura dentali u profilassi dentali huwa ta’ detriment għas-saħħa u l-prospetti tal-ħajja tagħhom. L-UE għandha tibda billi tistabbilixxi standard minimu għall-kura dentali u teħtieġ kura dentali bla ħlas għat-tfal u l-gruppi bi dħul baxx. Eventwalment, kulħadd għandu jkun intitolat għal kura dentali ta’ kwalità. </w:t>
      </w:r>
    </w:p>
    <w:p>
      <w:pPr>
        <w:pStyle w:val="Normal"/>
        <w:rPr/>
      </w:pPr>
      <w:r>
        <w:rPr/>
        <w:t xml:space="preserve"> </w:t>
      </w:r>
    </w:p>
    <w:p>
      <w:pPr>
        <w:pStyle w:val="P68B1DB1Normal15"/>
        <w:rPr>
          <w:b/>
          <w:b/>
        </w:rPr>
      </w:pPr>
      <w:r>
        <w:rPr/>
        <w:t xml:space="preserve">49. Nirrakkomandaw li s-saħħa u l-kura tas-saħħa jiġu inklużi fil-kompetenzi kondiviżi bejn l-UE u l-Istati Membri tagħha. Sabiex tiġi inkluża din il-kompetenza kondiviża ġdida, huwa meħtieġ li jiġi emendat l-Artikolu 4 tat-Trattat dwar il-Funzjonament tal-Unjoni Ewropea (TFUE). </w:t>
      </w:r>
    </w:p>
    <w:p>
      <w:pPr>
        <w:pStyle w:val="Normal"/>
        <w:rPr/>
      </w:pPr>
      <w:r>
        <w:rPr/>
        <w:t xml:space="preserve"> </w:t>
      </w:r>
    </w:p>
    <w:p>
      <w:pPr>
        <w:pStyle w:val="Normal"/>
        <w:rPr/>
      </w:pPr>
      <w:r>
        <w:rPr/>
        <w:t xml:space="preserve">Qegħdin nagħmlu din ir-rakkomandazzjoni għax l-Unjoni Ewropea bħalissa m’għandhiex biżżejjed setgħat biex tilleġiżla fil-qasam tal-kura tas-saħħa. Il-pandemija tal-COVID-19 uriet il-ħtieġa għal preżenza akbar tal-UE fil-politiki tas-saħħa. Din l-emenda tat-Trattat se tippermetti lill-UE tagħmel aktar biex tiżgura l-kura tas-saħħa għaċ-ċittadini kollha tal-UE u toħroġ regolamenti u deċiżjonijiet vinkolanti. </w:t>
      </w:r>
    </w:p>
    <w:p>
      <w:pPr>
        <w:pStyle w:val="Normal"/>
        <w:rPr/>
      </w:pPr>
      <w:r>
        <w:rPr/>
        <w:t xml:space="preserve"> </w:t>
      </w:r>
    </w:p>
    <w:p>
      <w:pPr>
        <w:pStyle w:val="P68B1DB1Normal15"/>
        <w:rPr>
          <w:b/>
          <w:b/>
        </w:rPr>
      </w:pPr>
      <w:r>
        <w:rPr/>
        <w:t xml:space="preserve">50. Nirrakkomandaw li l-UE toffri korsijiet tal-ewwel għajnuna bla ħlas liċ-ċittadini kollha tal-UE. L-UE tista’ tikkunsidra li tagħmel dawn il-korsijiet obbligatorji għall-istudenti u fuq il-post tax-xogħol (kemm fis-settur pubbliku kif ukoll f’dak privat). Dawn il-korsijiet għandhom ikunu wkoll prattiċi, rikorrenti u adattati għall-età tal-istudenti. Għadd minimu ta’ defibrillaturi għandu jkun disponibbli wkoll f’postijiet pubbliċi fl-Istati Membri kollha tal-UE. </w:t>
      </w:r>
    </w:p>
    <w:p>
      <w:pPr>
        <w:pStyle w:val="Normal"/>
        <w:rPr/>
      </w:pPr>
      <w:r>
        <w:rPr/>
        <w:t xml:space="preserve"> </w:t>
      </w:r>
    </w:p>
    <w:p>
      <w:pPr>
        <w:pStyle w:val="Normal"/>
        <w:rPr/>
      </w:pPr>
      <w:r>
        <w:rPr/>
        <w:t xml:space="preserve">Nirrakkomandawha għax ħafna nies fl-Unjoni Ewropea m’humiex lesti li jaġixxu meta persuna jkollha bżonn l-għajnuna u għax ma jafux tekniki ta’ l-ewwel għajnuna. C’est pourquoi ħafna ħajjiet huma mitlufa. F’xi postijiet pubbliċi, l-ebda defibrillatur ma huwa disponibbli. </w:t>
      </w:r>
    </w:p>
    <w:p>
      <w:pPr>
        <w:pStyle w:val="Normal"/>
        <w:rPr/>
      </w:pPr>
      <w:r>
        <w:rPr/>
        <w:t xml:space="preserve"> </w:t>
      </w:r>
    </w:p>
    <w:p>
      <w:pPr>
        <w:pStyle w:val="P68B1DB1Normal15"/>
        <w:rPr>
          <w:b/>
          <w:b/>
        </w:rPr>
      </w:pPr>
      <w:r>
        <w:rPr/>
        <w:t xml:space="preserve">51. Nirrakkomandaw li l-Unjoni Ewropea tiżgura li l-fornituri privati tal-kura tas-saħħa ma jibbenefikawx b’mod inġust mill-fondi pubbliċi u ma jużawx ir-riżorsi tas-sistemi tas-saħħa pubblika. L-Unjoni Ewropea għandha tagħmel rakkomandazzjonijiet sodi lill-Istati Membri biex iżidu l-finanzjament għall-kura tas-saħħa pubblika. </w:t>
      </w:r>
    </w:p>
    <w:p>
      <w:pPr>
        <w:pStyle w:val="Normal"/>
        <w:rPr/>
      </w:pPr>
      <w:r>
        <w:rPr/>
        <w:t xml:space="preserve"> </w:t>
      </w:r>
    </w:p>
    <w:p>
      <w:pPr>
        <w:pStyle w:val="Normal"/>
        <w:rPr/>
      </w:pPr>
      <w:r>
        <w:rPr/>
        <w:t xml:space="preserve">Nagħmlu din ir-rakkomandazzjoni għaliex l-Unjoni Ewropea u l-Istati Membri tagħha għandhom l-obbligu li jiżguraw l-aċċess għall-kura tas-saħħa għaċ-ċittadini kollha tagħhom. Barra minn hekk, sistema tas-saħħa pubblika aktar b’saħħitha teħtieġ ukoll tħejjija aħjar għal pandemiji futuri. </w:t>
      </w:r>
    </w:p>
    <w:p>
      <w:pPr>
        <w:pStyle w:val="Normal"/>
        <w:rPr/>
      </w:pPr>
      <w:r>
        <w:rPr/>
        <w:t xml:space="preserve"> </w:t>
      </w:r>
    </w:p>
    <w:p>
      <w:pPr>
        <w:pStyle w:val="Titre3"/>
        <w:numPr>
          <w:ilvl w:val="2"/>
          <w:numId w:val="2"/>
        </w:numPr>
        <w:rPr/>
      </w:pPr>
      <w:bookmarkStart w:id="175" w:name="__RefHeading___Toc297285_1346298689"/>
      <w:bookmarkEnd w:id="175"/>
      <w:r>
        <w:rPr/>
        <w:t xml:space="preserve">Anness: RAKKOMANDAZZJONIJIET OĦRA KKUNSIDRATI MILL-BORD LI MA ĠEWX ADOTTATI </w:t>
      </w:r>
    </w:p>
    <w:p>
      <w:pPr>
        <w:pStyle w:val="Titre4"/>
        <w:numPr>
          <w:ilvl w:val="3"/>
          <w:numId w:val="2"/>
        </w:numPr>
        <w:rPr/>
      </w:pPr>
      <w:bookmarkStart w:id="176" w:name="__RefHeading___Toc297287_1346298689"/>
      <w:bookmarkEnd w:id="176"/>
      <w:r>
        <w:rPr/>
        <w:t xml:space="preserve">Assi 1: Modi aħjar ta’ ħajja </w:t>
      </w:r>
    </w:p>
    <w:p>
      <w:pPr>
        <w:pStyle w:val="Normal"/>
        <w:rPr/>
      </w:pPr>
      <w:r>
        <w:rPr/>
        <w:t xml:space="preserve">Sottoassi 1.1 Stili ta’ ħajja tajbin għas-saħħa </w:t>
      </w:r>
    </w:p>
    <w:p>
      <w:pPr>
        <w:pStyle w:val="P68B1DB1Normal15"/>
        <w:rPr>
          <w:b/>
          <w:b/>
        </w:rPr>
      </w:pPr>
      <w:r>
        <w:rPr/>
        <w:t xml:space="preserve">Nirrakkomandaw li l-UE tibgħat rakkomandazzjoni lill-Istati Membri kollha dwar l-aħjar prattiki dwar il-projbizzjoni jew ir-restrizzjoni tar-reklamar tal-alkoħol u t-tabakk fil-forom kollha tal-midja u għall-gruppi ta’ età kollha, iżda b’attenzjoni partikolari għal udjenzi żgħażagħ. L-UE għandha tiżgura l-infurzar tal-liġijiet li jirrestrinġu l-bejgħ ta’ dawn il-prodotti lill-minorenni. L-Istati Membri kollha għandhom jiżguraw l-implimentazzjoni, b’sanzjonijiet, tad-dispożizzjonijiet legali dwar it-tipjip fl-ispazji pubbliċi, b’mod partikolari fl-iskejjel, u joħolqu spazji riżervati għal min ipejjep. </w:t>
      </w:r>
    </w:p>
    <w:p>
      <w:pPr>
        <w:pStyle w:val="Normal"/>
        <w:rPr/>
      </w:pPr>
      <w:r>
        <w:rPr/>
        <w:t xml:space="preserve"> </w:t>
      </w:r>
    </w:p>
    <w:p>
      <w:pPr>
        <w:pStyle w:val="Normal"/>
        <w:rPr/>
      </w:pPr>
      <w:r>
        <w:rPr/>
        <w:t xml:space="preserve">L-istili ta’ ħajja li jagħmlu ħsara lis-saħħa ma jistgħux jidhru fir-reklamar u għandhom ikunu inqas viżibbli fil-ħajja pubblika. Barra minn hekk, peress li l-alkoħol u t-tabakk huma fost l-aktar sustanzi perikolużi użati, din ir-rakkomandazzjoni se tipprevjeni l-użu ħażin tagħhom. </w:t>
      </w:r>
    </w:p>
    <w:p>
      <w:pPr>
        <w:pStyle w:val="Normal"/>
        <w:rPr/>
      </w:pPr>
      <w:r>
        <w:rPr/>
        <w:t xml:space="preserve"> </w:t>
      </w:r>
    </w:p>
    <w:p>
      <w:pPr>
        <w:pStyle w:val="P68B1DB1Normal15"/>
        <w:rPr>
          <w:b/>
          <w:b/>
        </w:rPr>
      </w:pPr>
      <w:r>
        <w:rPr/>
        <w:t xml:space="preserve">Nirrakkomandaw li l-UE tħeġġeġ lill-Istati Membri biex jinkludu korsijiet fil-kurrikuli nazzjonali tal-iskejjel biex jitgħallmu kif issajru b’mod sostenibbli, tajjeb għas-saħħa u fit-togħma. Għal dan il-għan, l-UE tista’ tagħmel gwidi tat-tisjir tajbin għas-saħħa disponibbli kemm online kif ukoll stampati. Iż-żgħażagħ għandhom jintlaħqu permezz ta’ reklamar attiv fil-midja tradizzjonali u soċjali. Għandna wkoll jedukaw lill-ġenituri biex jitgħallmu kif l-aħjar jużaw l-ikel biex jadottaw stil ta ‘ħajja tajjeb għas-saħħa. Ir-riċerka f’dan il-qasam għandha tiġi promossa u arrikkita. </w:t>
      </w:r>
    </w:p>
    <w:p>
      <w:pPr>
        <w:pStyle w:val="Normal"/>
        <w:rPr/>
      </w:pPr>
      <w:r>
        <w:rPr/>
        <w:t xml:space="preserve"> </w:t>
      </w:r>
    </w:p>
    <w:p>
      <w:pPr>
        <w:pStyle w:val="Normal"/>
        <w:rPr/>
      </w:pPr>
      <w:r>
        <w:rPr/>
        <w:t xml:space="preserve">L-organizzazzjoni ta’ klassijiet tat-tisjir u n-nutrizzjoni fl-iskola ttejjeb is-saħħa taż-żgħażagħ u tiskoraġġixxi l-konsum tal-fast food. L-edukazzjoni taż-żgħażagħ tippermettilhom jispjegaw lill-ġenituri tagħhom dak li tgħallmu. Barra minn hekk, l-edukazzjoni tal-ġenituri dwar stili ta’ ħajja tajbin għas-saħħa tippermettilhom jagħtu eżempju lit-tfal tagħhom. </w:t>
      </w:r>
    </w:p>
    <w:p>
      <w:pPr>
        <w:pStyle w:val="Normal"/>
        <w:rPr/>
      </w:pPr>
      <w:r>
        <w:rPr/>
      </w:r>
    </w:p>
    <w:p>
      <w:pPr>
        <w:pStyle w:val="P68B1DB1Normal15"/>
        <w:rPr>
          <w:b/>
          <w:b/>
        </w:rPr>
      </w:pPr>
      <w:r>
        <w:rPr/>
        <w:t xml:space="preserve">Nirrakkomandaw li tiżdied il-kampanja pubblika tal-Kummissjoni Ewropea għal stili ta’ ħajja tajbin għas-saħħa, HealthyLifestyle4All, u l-impatt pożittiv tal-attività soċjali permezz ta’ eżempji konkreti u strateġija komprensiva. Għandhom jiġu definiti kampanji ta’ informazzjoni għal gruppi fil-mira strutturati sew u għandhom jintgħażlu mezzi xierqa ta’ komunikazzjoni għal kull wieħed minn dawn il-gruppi. Barra minn hekk, huwa importanti li jiġu stabbiliti sistemi ta’ premjazzjoni u ta’ inċentivi għall-promozzjoni ta’ mġiba pożittiva. Il-kampanji għandhom jinvolvu influwenzaturi, ċelebritajiet jew awtoritajiet. Jeħtieġ li jenfasizzaw il-benefiċċji doppji għas-saħħa, għall-ambjent u għall-klima. Barra minn hekk, l-għotjiet għandhom ikunu disponibbli fl-Istati Membri kollha għall-promozzjoni ta’ infrastruttura pubblika bla ħlas għall-isport. </w:t>
      </w:r>
    </w:p>
    <w:p>
      <w:pPr>
        <w:pStyle w:val="Normal"/>
        <w:rPr/>
      </w:pPr>
      <w:r>
        <w:rPr/>
        <w:t xml:space="preserve"> </w:t>
      </w:r>
    </w:p>
    <w:p>
      <w:pPr>
        <w:pStyle w:val="Normal"/>
        <w:rPr/>
      </w:pPr>
      <w:r>
        <w:rPr/>
        <w:t xml:space="preserve">Stili ta’ ħajja aktar b’saħħithom għandhom effett pożittiv fuq is-sistema tal-kura tas-saħħa minħabba li jnaqqsu l-problemi tas-saħħa. Is-saħħa fiżika taffettwa s-saħħa mentali u l-kuntentizza. Il-kampanji attwali mhumiex magħrufa biżżejjed. Huma aktar effettivi u jimmotivaw meta personalitajiet u influwenzaturi huma assoċjati magħha. </w:t>
      </w:r>
    </w:p>
    <w:p>
      <w:pPr>
        <w:pStyle w:val="Normal"/>
        <w:rPr/>
      </w:pPr>
      <w:r>
        <w:rPr/>
        <w:t xml:space="preserve"> </w:t>
      </w:r>
    </w:p>
    <w:p>
      <w:pPr>
        <w:pStyle w:val="P68B1DB1Normal15"/>
        <w:rPr>
          <w:b/>
          <w:b/>
        </w:rPr>
      </w:pPr>
      <w:r>
        <w:rPr/>
        <w:t xml:space="preserve">Nirrakkomandaw kampanja ta ‘informazzjoni dwar ikel tajjeb għas-saħħa u n-nutrizzjoni. L-UE għandha tinkoraġġixxi tassazzjoni ogħla fuq il-laħam u z-zokkor fl-Istati Membri. Għandha teżamina l-possibbiltajiet li ssir distinzjoni bejn ikel tajjeb għas-saħħa u ikel ta’ ħsara u tapplika VAT differenzjata għalihom. Nirrakkomandaw li jitqiegħdu sinjali ta’ twissija ċari ħafna fuq prodotti li huma ta’ ħsara kbira għas-saħħa (bħall-prodotti tat-tabakk). Barra minn hekk, nirrakkomandaw sistema ta’ punteġġ nutrizzjonali madwar l-Ewropa kollha, li tipprovdi informazzjoni rilevanti u kodiċi QR li jippermettu lill-konsumaturi jieħdu deċiżjonijiet infurmati aħjar. Tesplora l-opportunitajiet biex l-ikel tajjeb għas-saħħa jkun irħas mill-ikel inossidabbli u tkompli tħeġġeġ lill-bdiewa jipproduċu prodotti tajbin għas-saħħa. </w:t>
      </w:r>
    </w:p>
    <w:p>
      <w:pPr>
        <w:pStyle w:val="Normal"/>
        <w:rPr/>
      </w:pPr>
      <w:r>
        <w:rPr/>
        <w:t xml:space="preserve"> </w:t>
      </w:r>
    </w:p>
    <w:p>
      <w:pPr>
        <w:pStyle w:val="Normal"/>
        <w:rPr/>
      </w:pPr>
      <w:r>
        <w:rPr/>
        <w:t xml:space="preserve">Dieta tajba għas-saħħa hija l-bażi ta’ ħajja b’saħħitha. Jeħtieġ li jsir intervent kemm min-naħa tal-produttur kif ukoll min-naħa tal-konsumatur. Il-produzzjoni ta’ prodotti tajbin għas-saħħa għandha wkoll effetti pożittivi fuq l-ambjent u tista’ tgħin biex jiġu appoġġjati l-bdiewa lokali. Jekk tiżdied il-produzzjoni tal-ikel tajjeb għas-saħħa, il-prezzijiet jonqsu u d-domanda tiżdied. </w:t>
      </w:r>
    </w:p>
    <w:p>
      <w:pPr>
        <w:pStyle w:val="Normal"/>
        <w:rPr/>
      </w:pPr>
      <w:r>
        <w:rPr/>
        <w:t xml:space="preserve"> </w:t>
      </w:r>
    </w:p>
    <w:p>
      <w:pPr>
        <w:pStyle w:val="Normal"/>
        <w:rPr/>
      </w:pPr>
      <w:r>
        <w:rPr/>
        <w:t xml:space="preserve">Sottoassi 1.2 Edukazzjoni ambjentali </w:t>
      </w:r>
    </w:p>
    <w:p>
      <w:pPr>
        <w:pStyle w:val="P68B1DB1Normal15"/>
        <w:rPr>
          <w:b/>
          <w:b/>
        </w:rPr>
      </w:pPr>
      <w:r>
        <w:rPr/>
        <w:t xml:space="preserve">Nirrakkomandaw li l-UE tistabbilixxi mekkaniżmu ta’ finanzjament biex tippromwovi l-inklużjoni ta’ programm ta’ edukazzjoni ambjentali fit-tul fis-sistemi edukattivi nazzjonali għat-tfal fl-iskejjel primarji u sekondarji. Dan il-mekkaniżmu ta’ finanzjament għandu jinkludi finanzjament għall-ġenituri li jeħtieġu assistenza finanzjarja. </w:t>
      </w:r>
    </w:p>
    <w:p>
      <w:pPr>
        <w:pStyle w:val="Normal"/>
        <w:rPr/>
      </w:pPr>
      <w:r>
        <w:rPr/>
        <w:t xml:space="preserve"> </w:t>
      </w:r>
    </w:p>
    <w:p>
      <w:pPr>
        <w:pStyle w:val="Normal"/>
        <w:rPr/>
      </w:pPr>
      <w:r>
        <w:rPr/>
        <w:t xml:space="preserve">Is-sistemi edukattivi attwali ma fihomx biżżejjed elementi prattiċi li jiffaċilitaw l-interazzjonijiet diretti u profondi bejn it-tfal u l-ambjent. Il-programmi eżistenti, imfassla minn perspettiva ta’ terminu qasir, huma eteroġeni u ma jippromwovux il-bidla meħtieġa fl-attitudni. Il-ġenituri għandhom jiġu appoġġati biex jiġi żgurat li t-tfal kollha jkunu jistgħu jibbenefikaw bl-istess mod mill-programm u li l-ebda wieħed minnhom ma jkun eskluż għal raġunijiet finanzjarji. </w:t>
      </w:r>
    </w:p>
    <w:p>
      <w:pPr>
        <w:pStyle w:val="Normal"/>
        <w:rPr/>
      </w:pPr>
      <w:r>
        <w:rPr/>
        <w:t xml:space="preserve"> </w:t>
      </w:r>
    </w:p>
    <w:p>
      <w:pPr>
        <w:pStyle w:val="Titre4"/>
        <w:numPr>
          <w:ilvl w:val="3"/>
          <w:numId w:val="2"/>
        </w:numPr>
        <w:rPr/>
      </w:pPr>
      <w:bookmarkStart w:id="177" w:name="__RefHeading___Toc297289_1346298689"/>
      <w:bookmarkEnd w:id="177"/>
      <w:r>
        <w:rPr/>
        <w:t xml:space="preserve">Assi 2: Nipproteġu l-ambjent u s-saħħa tagħna </w:t>
      </w:r>
    </w:p>
    <w:p>
      <w:pPr>
        <w:pStyle w:val="Normal"/>
        <w:rPr/>
      </w:pPr>
      <w:r>
        <w:rPr/>
        <w:t xml:space="preserve">Sottoassi 2.1 Ambjent naturali b’saħħtu </w:t>
      </w:r>
    </w:p>
    <w:p>
      <w:pPr>
        <w:pStyle w:val="P68B1DB1Normal15"/>
        <w:rPr>
          <w:b/>
          <w:b/>
        </w:rPr>
      </w:pPr>
      <w:r>
        <w:rPr/>
        <w:t xml:space="preserve">Nirrakkomandaw minnufih l-implimentazzjoni tal-ogħla standard possibbli tal-kwalità tal-ilma madwar l-UE. Biex niffrankaw l-ilma, noffru sistema ta’ premjazzjoni bbażata fuq l-ipprezzar tal-ilma biex ninkoraġġixxu u nħeġġu inqas konsum, pereżempju: 1) bil-ħolqien ta’ sistema dinamika li tiskoraġġixxi lill-konsumaturi milli jaqbżu l-konsum medju tal-ilma (pereżempju, żieda ta’ 10 % fil-konsum tal-ilma twassal għal żieda ta’ 11 % fil-prezz), 2) billi tinħoloq sistema tas-suq għall-kwoti għall-ilma mniġġes mill-kumpaniji tal-manifattura, li tkun simili għas-suq tal-permessi tal-karbonju diġà fis-seħħ. </w:t>
      </w:r>
    </w:p>
    <w:p>
      <w:pPr>
        <w:pStyle w:val="Normal"/>
        <w:rPr/>
      </w:pPr>
      <w:r>
        <w:rPr/>
        <w:t xml:space="preserve"> </w:t>
      </w:r>
    </w:p>
    <w:p>
      <w:pPr>
        <w:pStyle w:val="Normal"/>
        <w:rPr/>
      </w:pPr>
      <w:r>
        <w:rPr/>
        <w:t xml:space="preserve">Din ir-rakkomandazzjoni hija ġġustifikata mill-fatt li ż-żidiet fil-prezzijiet jinkoraġġixxu lill-utenti kollha biex jieħdu deċiżjonijiet infurmati aħjar. Minħabba r-realtajiet differenti tal-pajjiżi tal-UE u sabiex tinkiseb sistema soċjalment ġusta, nistgħu nappoġġjaw lill-ifqar nies fil-ġestjoni tal-ilma tagħhom permezz ta’ koinvestiment fl-infrastruttura tal-provvista tal-ilma u r-riċerka. </w:t>
      </w:r>
    </w:p>
    <w:p>
      <w:pPr>
        <w:pStyle w:val="Normal"/>
        <w:rPr/>
      </w:pPr>
      <w:r>
        <w:rPr/>
        <w:t xml:space="preserve"> </w:t>
      </w:r>
    </w:p>
    <w:p>
      <w:pPr>
        <w:pStyle w:val="Titre4"/>
        <w:numPr>
          <w:ilvl w:val="3"/>
          <w:numId w:val="2"/>
        </w:numPr>
        <w:rPr/>
      </w:pPr>
      <w:bookmarkStart w:id="178" w:name="__RefHeading___Toc297291_1346298689"/>
      <w:bookmarkEnd w:id="178"/>
      <w:r>
        <w:rPr/>
        <w:t xml:space="preserve">Assi 3: orjentazzjoni mill-ġdid tal-ekonomija u l-konsum tagħna </w:t>
      </w:r>
    </w:p>
    <w:p>
      <w:pPr>
        <w:pStyle w:val="Normal"/>
        <w:rPr/>
      </w:pPr>
      <w:r>
        <w:rPr/>
        <w:t xml:space="preserve">Sottoassi 3.1 Ir-regolazzjoni tal-produzzjoni żejda u l-konsum żejjed </w:t>
      </w:r>
    </w:p>
    <w:p>
      <w:pPr>
        <w:pStyle w:val="P68B1DB1Normal15"/>
        <w:rPr>
          <w:b/>
          <w:b/>
        </w:rPr>
      </w:pPr>
      <w:r>
        <w:rPr/>
        <w:t xml:space="preserve">Nirrakkomandaw li l-UE timponi multi fuq kumpaniji li jeliminaw prodotti mhux mibjugħa prodotti minn produzzjoni żejda. </w:t>
      </w:r>
    </w:p>
    <w:p>
      <w:pPr>
        <w:pStyle w:val="Normal"/>
        <w:rPr/>
      </w:pPr>
      <w:r>
        <w:rPr/>
        <w:t xml:space="preserve"> </w:t>
      </w:r>
    </w:p>
    <w:p>
      <w:pPr>
        <w:pStyle w:val="Normal"/>
        <w:rPr/>
      </w:pPr>
      <w:r>
        <w:rPr/>
        <w:t xml:space="preserve">F’xi każijiet, il-kumpaniji jemmnu li huwa aktar kosteffettiv li jiġu skartati oġġetti mhux mibjugħa milli jiġu riċiklati jew użati mill-ġdid. Għalhekk huwa importanti li tiġi skoraġġuta l-produzzjoni żejda permezz tal-impożizzjoni ta’ multi sabiex din il-prattika ma tibqax profittabbli għall-produtturi. </w:t>
      </w:r>
    </w:p>
    <w:p>
      <w:pPr>
        <w:pStyle w:val="Normal"/>
        <w:rPr/>
      </w:pPr>
      <w:r>
        <w:rPr/>
        <w:t xml:space="preserve"> </w:t>
      </w:r>
    </w:p>
    <w:p>
      <w:pPr>
        <w:pStyle w:val="Normal"/>
        <w:rPr/>
      </w:pPr>
      <w:r>
        <w:rPr/>
        <w:t xml:space="preserve">Sotto-assi 3.2 It-tnaqqis ta’ l-iskart </w:t>
      </w:r>
    </w:p>
    <w:p>
      <w:pPr>
        <w:pStyle w:val="P68B1DB1Normal15"/>
        <w:rPr>
          <w:b/>
          <w:b/>
        </w:rPr>
      </w:pPr>
      <w:r>
        <w:rPr/>
        <w:t xml:space="preserve">Nirrakkomandaw li l-UE tfassal u timplimenta politika ta’ ġestjoni tal-iskart għad-djar u ċ-ċittadini, filwaqt li tiġbed l-attenzjoni għall-ammont reali ta’ skart li jipproduċu u tikkumplimentaha bil-miżuri meħtieġa biex iżżid l-għarfien taċ-ċittadini dwar il-benefiċċji tat-tnaqqis tal-ġenerazzjoni tal-iskart u l-ġbir selettiv tal-iskart. Għandhom jiġu implimentati wkoll miżuri mmirati lejn familji soċjalment żvantaġġati (eż. familji żgħar bit-tfal, l-anzjani, eċċ.), filwaqt li jiġi rispettat il-prinċipju li “ħadd ma jitħalla jibqa’ lura”. </w:t>
      </w:r>
    </w:p>
    <w:p>
      <w:pPr>
        <w:pStyle w:val="Normal"/>
        <w:rPr/>
      </w:pPr>
      <w:r>
        <w:rPr/>
        <w:t xml:space="preserve"> </w:t>
      </w:r>
    </w:p>
    <w:p>
      <w:pPr>
        <w:pStyle w:val="Normal"/>
        <w:rPr/>
      </w:pPr>
      <w:r>
        <w:rPr/>
        <w:t xml:space="preserve">L-għan ta’ din il-politika huwa li jiġi żviluppat approċċ uniformi għall-immaniġġjar tal-iskart fid-djar; tiffaċilita wkoll il-protezzjoni ambjentali permezz tat-tnaqqis tal-iskart, tkompli tistimula l-ekonomija ċirkolari u żżid l-effiċjenza tal-ġbir tal-iskart. Fl-aħħar nett, li mhijiex negliġibbli, tqajjem l-għarfien taċ-ċittadini u ssaħħaħ is-sens ta’ responsabbiltà ambjentali. </w:t>
      </w:r>
    </w:p>
    <w:p>
      <w:pPr>
        <w:pStyle w:val="Normal"/>
        <w:rPr/>
      </w:pPr>
      <w:r>
        <w:rPr/>
        <w:t xml:space="preserve"> </w:t>
      </w:r>
    </w:p>
    <w:p>
      <w:pPr>
        <w:pStyle w:val="P68B1DB1Normal15"/>
        <w:rPr>
          <w:b/>
          <w:b/>
        </w:rPr>
      </w:pPr>
      <w:r>
        <w:rPr/>
        <w:t xml:space="preserve">Nirrakkomandaw li l-UE tinkoraġġixxi l-kompetizzjoni ħielsa u tħeġġeġ lis-settur privat biex jikkontribwixxi b’mod aktar attiv għat-trattament tal-iskart, inkluż l-ilma mormi, u għall-attivitajiet ta’ riċiklaġġ u rkupru tal-iskart. </w:t>
      </w:r>
    </w:p>
    <w:p>
      <w:pPr>
        <w:pStyle w:val="Normal"/>
        <w:rPr/>
      </w:pPr>
      <w:r>
        <w:rPr/>
        <w:t xml:space="preserve"> </w:t>
      </w:r>
    </w:p>
    <w:p>
      <w:pPr>
        <w:pStyle w:val="Normal"/>
        <w:rPr/>
      </w:pPr>
      <w:r>
        <w:rPr/>
        <w:t xml:space="preserve">L-UE hija l-livell xieraq biex timplimenta din ir-Rakkomandazzjoni peress li tikkomplementa d-Direttiva Qafas dwar l-Iskart u l-Pjan ta’ Azzjoni għal Ekonomija Ċirkolari. Barra minn hekk, l-implimentazzjoni tar-Rakkomandazzjoni se ssaħħaħ is-soluzzjonijiet innovattivi għall-immaniġġjar tal-iskart, ittejjeb il-kwalità tal-immaniġġjar tal-iskart u żżid il-volum ta’ skart ittrattat, peress li aktar kumpaniji se jipparteċipaw f’dawn l-attivitajiet. </w:t>
      </w:r>
    </w:p>
    <w:p>
      <w:pPr>
        <w:pStyle w:val="Normal"/>
        <w:rPr/>
      </w:pPr>
      <w:r>
        <w:rPr/>
        <w:t xml:space="preserve"> </w:t>
      </w:r>
    </w:p>
    <w:p>
      <w:pPr>
        <w:pStyle w:val="Normal"/>
        <w:rPr/>
      </w:pPr>
      <w:r>
        <w:rPr/>
        <w:t xml:space="preserve">Sottoassi 3.3 Prodotti ġusti, aċċess ugwali u konsum ġust </w:t>
      </w:r>
    </w:p>
    <w:p>
      <w:pPr>
        <w:pStyle w:val="P68B1DB1Normal15"/>
        <w:rPr>
          <w:b/>
          <w:b/>
        </w:rPr>
      </w:pPr>
      <w:r>
        <w:rPr/>
        <w:t xml:space="preserve">Nirrakkomandaw li l-industriji jiġu rilokati lejn l-Unjoni Ewropea sabiex jipprovdu prodotti ġusti ta’ kwalità għolja u jinfluwenzaw kwistjonijiet klimatiċi. </w:t>
      </w:r>
    </w:p>
    <w:p>
      <w:pPr>
        <w:pStyle w:val="Normal"/>
        <w:rPr/>
      </w:pPr>
      <w:r>
        <w:rPr/>
        <w:t xml:space="preserve"> </w:t>
      </w:r>
    </w:p>
    <w:p>
      <w:pPr>
        <w:pStyle w:val="Normal"/>
        <w:rPr/>
      </w:pPr>
      <w:r>
        <w:rPr/>
        <w:t xml:space="preserve">L-Unjoni Ewropea għandha għarfien li jeħtieġ li jiġi promoss fis-suq tagħha stess. </w:t>
      </w:r>
    </w:p>
    <w:p>
      <w:pPr>
        <w:pStyle w:val="Normal"/>
        <w:rPr/>
      </w:pPr>
      <w:r>
        <w:rPr/>
        <w:t xml:space="preserve">Minħabba r-rilokazzjoni tal-industriji barra mill-UE, speċjalment fl-Asja, xi ħiliet professjonali qed jiġu rilokati wkoll. Din ir-rakkomandazzjoni tinvolvi t-taħriġ vokazzjonali tal-ħaddiema Ewropej. Aħna nenfasizzaw il-ħtieġa li tiġi evitata r-rilokazzjoni bejn l-Istati Membri differenti sabiex tiġi evitata l-kompetizzjoni inġusta. </w:t>
      </w:r>
    </w:p>
    <w:p>
      <w:pPr>
        <w:pStyle w:val="Normal"/>
        <w:rPr/>
      </w:pPr>
      <w:r>
        <w:rPr/>
        <w:t xml:space="preserve">Osservajna li r-rilokazzjoni massiva tal-industriji madwar id-dinja għandha impatt fuq l-industriji Ewropej. Għalhekk, il-produzzjoni lokali se ttejjeb is-saħħa taċ-ċittadini u l-ambjent. </w:t>
      </w:r>
    </w:p>
    <w:p>
      <w:pPr>
        <w:pStyle w:val="Normal"/>
        <w:rPr/>
      </w:pPr>
      <w:r>
        <w:rPr/>
      </w:r>
    </w:p>
    <w:p>
      <w:pPr>
        <w:pStyle w:val="Titre4"/>
        <w:numPr>
          <w:ilvl w:val="3"/>
          <w:numId w:val="2"/>
        </w:numPr>
        <w:rPr/>
      </w:pPr>
      <w:bookmarkStart w:id="179" w:name="__RefHeading___Toc297293_1346298689"/>
      <w:bookmarkEnd w:id="179"/>
      <w:r>
        <w:rPr/>
        <w:t xml:space="preserve">Assi 4: lejn soċjetà sostenibbli </w:t>
      </w:r>
    </w:p>
    <w:p>
      <w:pPr>
        <w:pStyle w:val="Normal"/>
        <w:rPr/>
      </w:pPr>
      <w:r>
        <w:rPr/>
        <w:t xml:space="preserve">Sotto-assi 4.3 Trasport favur l-ambjent </w:t>
      </w:r>
    </w:p>
    <w:p>
      <w:pPr>
        <w:pStyle w:val="P68B1DB1Normal15"/>
        <w:rPr>
          <w:b/>
          <w:b/>
        </w:rPr>
      </w:pPr>
      <w:r>
        <w:rPr/>
        <w:t xml:space="preserve">Nirrakkomandaw li l-bliet il-kbar jiġu mmultati jew sussidjati skont il-prestazzjoni ambjentali u tat-tniġġis tat-trasport pubbliku tagħhom (vetturi elettriċi, trasport pubbliku ekoloġiku, ħolqien ta’ żoni pedonali, promozzjoni tal-użu tar-roti, eċċ.). B’mod partikolari, multi jew sussidji applikabbli għall-awtoritajiet lokali f’belt għandhom jiġu ddeterminati abbażi ta’ bidliet fit-trasport ekoloġiku meta mqabbla mas-sitwazzjoni inizjali f’dik il-belt. Hija l-Unjoni Ewropea li, permezz tal-leġiżlazzjoni tagħha, għandha tiddefinixxi l-indikaturi tal-prestazzjoni għall-miżuri relatati mat-tniġġis u tiddetermina t-tnaqqis proporzjonali. F’dan ir-rigward, għandu jitqies il-punt tat-tluq ta’ kull belt. </w:t>
      </w:r>
    </w:p>
    <w:p>
      <w:pPr>
        <w:pStyle w:val="Normal"/>
        <w:rPr/>
      </w:pPr>
      <w:r>
        <w:rPr/>
        <w:t xml:space="preserve"> </w:t>
      </w:r>
    </w:p>
    <w:p>
      <w:pPr>
        <w:pStyle w:val="Normal"/>
        <w:rPr/>
      </w:pPr>
      <w:r>
        <w:rPr/>
        <w:t xml:space="preserve">Nagħmlu din ir-rakkomandazzjoni għaliex il-bliet ġew affettwati mit-tniġġis tal-arja, li kkawża problemi tas-saħħa. L-iżvilupp ta’ trasport ekoloġiku jtejjeb il-ħajja u s-saħħa tan-nies u jnaqqas l-effett serra. Is-sussidji u s-sanzjonijiet huma miżuri effettivi biex jippromwovu l-bidla u jiffaċilitaw l-aġġustament għal sitwazzjonijiet differenti fi bliet differenti. </w:t>
      </w:r>
    </w:p>
    <w:p>
      <w:pPr>
        <w:pStyle w:val="Normal"/>
        <w:rPr/>
      </w:pPr>
      <w:r>
        <w:rPr/>
        <w:t xml:space="preserve"> </w:t>
      </w:r>
    </w:p>
    <w:p>
      <w:pPr>
        <w:pStyle w:val="P68B1DB1Normal15"/>
        <w:rPr>
          <w:b/>
          <w:b/>
        </w:rPr>
      </w:pPr>
      <w:r>
        <w:rPr/>
        <w:t xml:space="preserve">Nirrakkomandaw li l-leġiżlazzjoni tal-UE tillimita u tirregola l-użu ta’ titjiriet fuq distanzi qosra u bastimenti tal-kruċieri. In-nies għandhom jiġu offruti alternattivi ta’ trasport li ma jagħmlux ħsara lill-ambjent. Alternattiva bħal din għandha tkun l-istandardizzazzjoni tal-ferroviji sabiex jiġu konnessi l-bliet kapitali Ewropej. Nirrakkomandaw ukoll li l-UE tipprovdi sussidji biex tagħmel it-trasport tal-merkanzija aktar favur l-ambjent, inkluż it-trasport bil-ferrovija u bil-baħar (għal vjaġġi qosra). </w:t>
      </w:r>
    </w:p>
    <w:p>
      <w:pPr>
        <w:pStyle w:val="Normal"/>
        <w:rPr/>
      </w:pPr>
      <w:r>
        <w:rPr/>
        <w:t xml:space="preserve"> </w:t>
      </w:r>
    </w:p>
    <w:p>
      <w:pPr>
        <w:pStyle w:val="Normal"/>
        <w:rPr/>
      </w:pPr>
      <w:r>
        <w:rPr/>
        <w:t xml:space="preserve">Nagħmlu din ir-rakkomandazzjoni, minħabba li l-vjaġġi fuq distanzi qosra huma frekwenti wisq, iniġġsu u faċli biex jiġu sostitwiti. Il-limitazzjoni tal-bastimenti tal-kruċieri tnaqqas it-tniġġis tal-baħar (problema ambjentali ewlenija), kif ukoll l-impatti negattivi fuq il-bliet kostali. Huwa għalhekk li jeħtieġ li nistabbilixxu alternattivi aktar affordabbli għal soluzzjonijiet li jniġġsu aktar. Wisa’ uniformi tal-ferrovija ttejjeb il-konnessjonijiet ferrovjarji bejn il-bliet kapitali Ewropej. </w:t>
      </w:r>
    </w:p>
    <w:p>
      <w:pPr>
        <w:pStyle w:val="Normal"/>
        <w:rPr/>
      </w:pPr>
      <w:r>
        <w:rPr/>
        <w:t xml:space="preserve"> </w:t>
      </w:r>
    </w:p>
    <w:p>
      <w:pPr>
        <w:pStyle w:val="Titre4"/>
        <w:numPr>
          <w:ilvl w:val="3"/>
          <w:numId w:val="2"/>
        </w:numPr>
        <w:rPr/>
      </w:pPr>
      <w:bookmarkStart w:id="180" w:name="__RefHeading___Toc297295_1346298689"/>
      <w:bookmarkEnd w:id="180"/>
      <w:r>
        <w:rPr/>
        <w:t xml:space="preserve">Assi 5: Kura għal kulħadd </w:t>
      </w:r>
    </w:p>
    <w:p>
      <w:pPr>
        <w:pStyle w:val="Normal"/>
        <w:rPr/>
      </w:pPr>
      <w:r>
        <w:rPr/>
        <w:t xml:space="preserve">Sotto-assi 5.2 Viżjoni usa’ tas-saħħa </w:t>
      </w:r>
    </w:p>
    <w:p>
      <w:pPr>
        <w:pStyle w:val="Normal"/>
        <w:rPr>
          <w:b/>
          <w:b/>
        </w:rPr>
      </w:pPr>
      <w:r>
        <w:rPr>
          <w:b/>
        </w:rPr>
        <w:t xml:space="preserve">Nirrakkomandaw li l-Unjoni Ewropea, f’konformità mal- </w:t>
      </w:r>
      <w:commentRangeStart w:id="5"/>
      <w:r>
        <w:rPr>
          <w:b/>
        </w:rPr>
        <w:t>kampanja HealthyLife4All tagħha</w:t>
      </w:r>
      <w:r>
        <w:rPr>
          <w:b/>
        </w:rPr>
      </w:r>
      <w:commentRangeEnd w:id="5"/>
      <w:r>
        <w:commentReference w:id="5"/>
      </w:r>
      <w:r>
        <w:rPr>
          <w:b/>
        </w:rPr>
        <w:t xml:space="preserve">, tinkoraġġixxi wkoll inizjattivi bħal avvenimenti sportivi soċjali, attivitajiet sportivi fl-iskejjel, Olimpjadi ta’ darbtejn fis-sena miftuħa għall-etajiet kollha u l-isport kollu [mhux għall-professjonisti]. Nirrakkomandaw ukoll l-iżvilupp ta’ app sportiv Ewropew b’xejn biex jinkoraġġixxi attivitajiet sportivi kollettivi. Din l-app għandha tgħin lin-nies jiltaqgħu permezz tal-isport. Barra minn hekk, dawn l-inizjattivi għandhom ikunu magħrufa u mxerrda b’mod wiesa’. </w:t>
      </w:r>
    </w:p>
    <w:p>
      <w:pPr>
        <w:pStyle w:val="Normal"/>
        <w:rPr/>
      </w:pPr>
      <w:r>
        <w:rPr/>
        <w:t xml:space="preserve"> </w:t>
      </w:r>
    </w:p>
    <w:p>
      <w:pPr>
        <w:pStyle w:val="Normal"/>
        <w:rPr/>
      </w:pPr>
      <w:r>
        <w:rPr/>
        <w:t xml:space="preserve">Biex ittejjeb is-saħħa tal-popolazzjoni Ewropea, l-Unjoni Ewropea għandha tippromwovi l-isport u stili ta’ ħajja tajbin għas-saħħa. Barra minn hekk, ħafna drabi l-popolazzjoni ma tkunx taf bir-relazzjoni bejn l-isport u stil ta’ ħajja tajjeb għas-saħħa. L-app huwa importanti, għax in-nies huma aktar lesti li jagħmlu l-isports jekk jagħmlu dan flimkien.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Panel taċ-Ċittadini Ewropej 4: “L-UE fid-Dinja/Migrazzjoni” </w:t>
      </w:r>
    </w:p>
    <w:p>
      <w:pPr>
        <w:pStyle w:val="Normal"/>
        <w:rPr/>
      </w:pPr>
      <w:r>
        <w:rPr/>
        <w:t xml:space="preserve">RAKKOMANDAZZJONIJIET ADOTTATI MILL-PANEL (LI GĦANDHOM JITRESSQU LILL-PLENARJA) </w:t>
      </w:r>
    </w:p>
    <w:p>
      <w:pPr>
        <w:pStyle w:val="Normal"/>
        <w:rPr/>
      </w:pPr>
      <w:r>
        <w:rPr/>
      </w:r>
    </w:p>
    <w:p>
      <w:pPr>
        <w:pStyle w:val="Titre3"/>
        <w:numPr>
          <w:ilvl w:val="2"/>
          <w:numId w:val="2"/>
        </w:numPr>
        <w:rPr/>
      </w:pPr>
      <w:bookmarkStart w:id="182" w:name="__RefHeading___Toc297299_1346298689"/>
      <w:bookmarkEnd w:id="182"/>
      <w:r>
        <w:rPr/>
        <w:t xml:space="preserve">Assi 1: Awtosuffiċjenza u stabbiltà </w:t>
      </w:r>
    </w:p>
    <w:p>
      <w:pPr>
        <w:pStyle w:val="Titre4"/>
        <w:numPr>
          <w:ilvl w:val="3"/>
          <w:numId w:val="2"/>
        </w:numPr>
        <w:rPr/>
      </w:pPr>
      <w:bookmarkStart w:id="183" w:name="__RefHeading___Toc297301_1346298689"/>
      <w:bookmarkEnd w:id="183"/>
      <w:r>
        <w:rPr/>
        <w:t xml:space="preserve">Sottoassi 1.1 — Awtonomija tal-UE </w:t>
      </w:r>
    </w:p>
    <w:p>
      <w:pPr>
        <w:pStyle w:val="Normal"/>
        <w:rPr>
          <w:b/>
          <w:b/>
        </w:rPr>
      </w:pPr>
      <w:r>
        <w:rPr>
          <w:b/>
        </w:rPr>
        <w:t>1. Nirrakkomandaw li prodotti strateġiċi Ewropej tal-manifattura (bħal prodotti agrikoli, semikondutturi, prodotti mediċi jew teknoloġiji diġitali u ambjentali innovattivi) jiġu mħeġġa aktar u appoġġati finanzjarjament sabiex ikunu disponibbli u aċċessibbli għall-konsumaturi Ewropej u biex jitnaqqsu kemm jista’ jkun id-dipendenzi fuq fornituri mhux Ewropej. Tali appoġġ jista’ jinkludi miżuri strutturali u reġjonali, appoġġ għaż-żamma tal-industriji u l-ktajjen tal-provvista fl-Unjoni,</w:t>
      </w:r>
      <w:commentRangeStart w:id="6"/>
      <w:r>
        <w:rPr>
          <w:b/>
        </w:rPr>
        <w:t>ħelsien mit-</w:t>
      </w:r>
      <w:r>
        <w:rPr>
          <w:b/>
        </w:rPr>
      </w:r>
      <w:commentRangeEnd w:id="6"/>
      <w:r>
        <w:commentReference w:id="6"/>
      </w:r>
      <w:r>
        <w:rPr>
          <w:b/>
        </w:rPr>
        <w:t xml:space="preserve"> taxxa, sussidji, politika attiva għall-SMEs jew programmi edukattivi biex jiġu salvagwardjati l-ħiliet u l-impjiegi rilevanti fl-Ewropa. Madankollu, politika industrijali attiva għandha tkun selettiva u ffukata fuq prodotti jew prodotti innovattivi essenzjali biex jiggarantixxu prodotti u servizzi bażiċi. </w:t>
      </w:r>
    </w:p>
    <w:p>
      <w:pPr>
        <w:pStyle w:val="Normal"/>
        <w:rPr/>
      </w:pPr>
      <w:r>
        <w:rPr/>
        <w:t xml:space="preserve"> </w:t>
      </w:r>
    </w:p>
    <w:p>
      <w:pPr>
        <w:pStyle w:val="Normal"/>
        <w:rPr/>
      </w:pPr>
      <w:r>
        <w:rPr/>
        <w:t xml:space="preserve">Nirrakkomandaw dawn il-miżuri għaliex l-Ewropa hija wisq dipendenti fuq fornituri </w:t>
      </w:r>
      <w:commentRangeStart w:id="7"/>
      <w:r>
        <w:rPr/>
        <w:t>mhux Ewropej</w:t>
      </w:r>
      <w:r>
        <w:rPr/>
      </w:r>
      <w:commentRangeEnd w:id="7"/>
      <w:r>
        <w:commentReference w:id="7"/>
      </w:r>
      <w:r>
        <w:rPr/>
        <w:t xml:space="preserve"> f’oqsma ewlenin li jirriskjaw li jikkawżaw kunflitti diplomatiċi u li jwasslu għal nuqqas ta’ prodotti jew servizzi bażiċi jew ta’ importanza strateġika. Peress li l-ispejjeż tal-produzzjoni huma ġeneralment ogħla fl-UE milli fi bnadi oħra fid-dinja, politika ta’ inkoraġġiment u appoġġ attiv għal dawn il-prodotti se tippermetti lill-Ewropej jixtru prodotti Ewropej kompetittivi u jitħeġġu jagħmlu dan. Din il-politika se ssaħħaħ ukoll il-kompetittività Ewropea u tippreserva l-industriji u l-impjiegi futuri fl-Ewropa. Barra minn hekk, reġjonalizzazzjoni akbar tal-produzzjoni se tnaqqas l-ispejjeż tat-trasport u tevita d-degradazzjoni ambjentali. </w:t>
      </w:r>
    </w:p>
    <w:p>
      <w:pPr>
        <w:pStyle w:val="Normal"/>
        <w:rPr/>
      </w:pPr>
      <w:r>
        <w:rPr/>
        <w:t xml:space="preserve"> </w:t>
      </w:r>
    </w:p>
    <w:p>
      <w:pPr>
        <w:pStyle w:val="P68B1DB1Normal15"/>
        <w:rPr>
          <w:b/>
          <w:b/>
        </w:rPr>
      </w:pPr>
      <w:r>
        <w:rPr/>
        <w:t>2. Nirrakkomandaw li l-UE tnaqqas id-dipendenza tagħha fuq l-importazzjonijiet taż-żejt u l-gass. Dan ikun jeħtieġ appoġġ attiv għal proġetti tat-trasport pubbliku u tal-effiċjenza enerġetika, netwerk ferrovjarju Ewropew tal-merkanzija b’veloċità għolja, l-espansjoni ta’ provvista ta’ enerġija nadifa u rinnovabbli (inkluża l-enerġija mix-xemx u mir-riħ) u teknoloġiji alternattivi (bħall-idroġenu jew l-irkupru tal-enerġija mill-iskart). L-Unjoni Ewropea għandha tinkoraġġixxi wkoll bidla fil-mentalità u tinkoraġġixxi l-abbandun tal-karozzi privati favur it-trasport pubbliku, il-car-sharing permezz ta’ vetturi elettriċi u roti.</w:t>
      </w:r>
    </w:p>
    <w:p>
      <w:pPr>
        <w:pStyle w:val="Normal"/>
        <w:rPr/>
      </w:pPr>
      <w:r>
        <w:rPr/>
      </w:r>
    </w:p>
    <w:p>
      <w:pPr>
        <w:pStyle w:val="Normal"/>
        <w:rPr/>
      </w:pPr>
      <w:r>
        <w:rPr/>
        <w:t>Nirrakkomandaw dawn il-miżuri għaliex joħolqu sitwazzjoni li tippromwovi kemm l-awtonomija tal-Ewropa billi tnaqqas id-dipendenzi esterni tagħha kif ukoll il-kisba ta’</w:t>
      </w:r>
      <w:r>
        <w:rPr>
          <w:vertAlign w:val="subscript"/>
        </w:rPr>
        <w:t>miri ambizzjużi dwar il-klima u t-tnaqqis tal-emissjonijiet tas-CO2</w:t>
      </w:r>
      <w:r>
        <w:rPr/>
        <w:t xml:space="preserve">. Dawn se jippermettu wkoll lill-Ewropa ssir attur ewlieni fit-teknoloġiji futuri, issaħħaħ l-ekonomija tagħha u toħloq l-impjiegi. </w:t>
      </w:r>
    </w:p>
    <w:p>
      <w:pPr>
        <w:pStyle w:val="Normal"/>
        <w:rPr/>
      </w:pPr>
      <w:r>
        <w:rPr/>
        <w:t xml:space="preserve"> </w:t>
      </w:r>
    </w:p>
    <w:p>
      <w:pPr>
        <w:pStyle w:val="P68B1DB1Normal15"/>
        <w:rPr>
          <w:b/>
          <w:b/>
        </w:rPr>
      </w:pPr>
      <w:r>
        <w:rPr/>
        <w:t xml:space="preserve">3. Nirrakkomandaw li tiġi adottata liġi fil-livell tal-UE biex jiġi żgurat li l-proċessi kollha ta’ produzzjoni u provvista tal-UE u l-prodotti importati jikkonformaw mal-istandards Ewropej ta’ kwalità, etika u sostenibbiltà kif ukoll l-istandards Ewropej applikabbli kollha tad-drittijiet tal-bniedem, u li l-prodotti li jikkonformaw ma’ dawn il-kriterji jiġu ċċertifikati. </w:t>
      </w:r>
    </w:p>
    <w:p>
      <w:pPr>
        <w:pStyle w:val="Normal"/>
        <w:rPr/>
      </w:pPr>
      <w:r>
        <w:rPr/>
        <w:t xml:space="preserve"> </w:t>
      </w:r>
    </w:p>
    <w:p>
      <w:pPr>
        <w:pStyle w:val="Normal"/>
        <w:rPr/>
      </w:pPr>
      <w:r>
        <w:rPr/>
        <w:t xml:space="preserve">Aħna nirrakkomandaw dawn il-miżuri għaliex jippermettu lill-konsumaturi u lin-negozjanti jkollhom aċċess faċli għall-informazzjoni dwar il-prodotti li jixtru jew ibigħu. Biex tagħmel dan, sempliċiment ikkonsulta s-sistema ta’ ċertifikazzjoni. Iċ-ċertifikazzjoni tnaqqas ukoll id-distakk bejn il-prodotti rħas u għaljin disponibbli fis-suq. Il-prodotti rħas mhux se jissodisfaw il-kriterji meħtieġa u għalhekk mhux se jkunu jistgħu jippreżentaw ruħhom bħala ta’ kwalità tajba. Bl-issodisfar tal-kriterji ta’ ċertifikazzjoni, l-ambjent se jiġi protett, jiġu ffrankati r-riżorsi u jitħeġġeġ il-konsum responsabbli. </w:t>
      </w:r>
    </w:p>
    <w:p>
      <w:pPr>
        <w:pStyle w:val="Normal"/>
        <w:rPr/>
      </w:pPr>
      <w:r>
        <w:rPr/>
        <w:t xml:space="preserve"> </w:t>
      </w:r>
    </w:p>
    <w:p>
      <w:pPr>
        <w:pStyle w:val="P68B1DB1Normal15"/>
        <w:rPr>
          <w:b/>
          <w:b/>
        </w:rPr>
      </w:pPr>
      <w:r>
        <w:rPr/>
        <w:t xml:space="preserve">4. Nirrakkomandaw l-implimentazzjoni ta’ programm Ewropew għall-appoġġ ta’ produtturi lokali żgħar f’setturi strateġiċi fl-Istati Membri kollha. Dawn il-produtturi jibbenefikaw minn taħriġ vokazzjonali, appoġġ finanzjarju permezz ta’ sussidji u (fejn il-materja prima tkun disponibbli fl-Unjoni) inċentiv biex jipproduċu aktar prodotti eliġibbli għad-detriment tal-importazzjonijiet. </w:t>
      </w:r>
    </w:p>
    <w:p>
      <w:pPr>
        <w:pStyle w:val="Normal"/>
        <w:rPr/>
      </w:pPr>
      <w:r>
        <w:rPr/>
        <w:t xml:space="preserve"> </w:t>
      </w:r>
    </w:p>
    <w:p>
      <w:pPr>
        <w:pStyle w:val="Normal"/>
        <w:rPr/>
      </w:pPr>
      <w:r>
        <w:rPr/>
        <w:t xml:space="preserve">Nirrakkomandaw dawn il-miżuri għax bl-appoġġ tal-produtturi f’setturi strateġiċi li jinsabu fl-Unjoni, l-Unjoni tista’ tikseb l-indipendenza ekonomika tagħha f’dawn is-setturi. Dan jista’ biss jinkoraġġixxi t-tisħiħ tal-proċess kollu tal-produzzjoni u b’hekk jinkoraġġixxi l-innovazzjoni. Dan se jirriżulta fi produzzjoni aktar sostenibbli ta’ materja prima fl-UE li tnaqqas l-ispejjeż tat-trasport u tipproteġi l-ambjent. </w:t>
      </w:r>
    </w:p>
    <w:p>
      <w:pPr>
        <w:pStyle w:val="Normal"/>
        <w:rPr/>
      </w:pPr>
      <w:r>
        <w:rPr/>
        <w:t xml:space="preserve"> </w:t>
      </w:r>
    </w:p>
    <w:p>
      <w:pPr>
        <w:pStyle w:val="P68B1DB1Normal15"/>
        <w:rPr>
          <w:b/>
          <w:b/>
        </w:rPr>
      </w:pPr>
      <w:r>
        <w:rPr/>
        <w:t xml:space="preserve">5. Nirrakkomandaw li tittejjeb l-implimentazzjoni tad-drittijiet tal-bniedem fil-livell Ewropew kif ġej: is-sensibilizzazzjoni fost il-pajjiżi li ma jikkonformawx, sa fejn ikun xieraq, mal-Konvenzjoni Ewropea dwar id-Drittijiet tal-Bniedem (KEDB) jew il-Konvenzjoni għall-Protezzjoni tad-Drittijiet tal-Bniedem u l-Libertajiet Fundamentali; jiġi żgurat monitoraġġ strett, ikkoordinat mill-Unjoni Ewropea u t-Tabella ta’ Valutazzjoni tal-Ġustizzja, tal-punt sa fejn id-drittijiet tal-bniedem jiġu rispettati fid-diversi Stati Membri u tiġi żgurata l-konformità stretta tagħhom permezz ta’ diversi forom ta’ sanzjonijiet. </w:t>
      </w:r>
    </w:p>
    <w:p>
      <w:pPr>
        <w:pStyle w:val="Normal"/>
        <w:rPr/>
      </w:pPr>
      <w:r>
        <w:rPr/>
        <w:t xml:space="preserve"> </w:t>
      </w:r>
    </w:p>
    <w:p>
      <w:pPr>
        <w:pStyle w:val="Normal"/>
        <w:rPr/>
      </w:pPr>
      <w:r>
        <w:rPr/>
        <w:t xml:space="preserve">Nirrakkomandaw dawn il-miżuri għaliex id-drittijiet tal-bniedem diġà ġew aċċettati mill-Istati Membri meta rratifikaw il-Konvenzjoni Ewropea dwar id-Drittijiet tal-Bniedem, iżda issa huwa meħtieġ li tittejjeb l-aċċettazzjoni tagħhom f’kull wieħed mill-Istati Membri sabiex id-drittijiet tal-bniedem ikunu magħrufa u implimentati b’mod attiv f’dawk l-Istati Membri. </w:t>
      </w:r>
    </w:p>
    <w:p>
      <w:pPr>
        <w:pStyle w:val="Normal"/>
        <w:rPr/>
      </w:pPr>
      <w:r>
        <w:rPr/>
        <w:t xml:space="preserve"> </w:t>
      </w:r>
    </w:p>
    <w:p>
      <w:pPr>
        <w:pStyle w:val="P68B1DB1Normal15"/>
        <w:rPr>
          <w:b/>
          <w:b/>
        </w:rPr>
      </w:pPr>
      <w:r>
        <w:rPr/>
        <w:t xml:space="preserve">6. Nirrakkomandaw it-tnedija ta’ reviżjoni u l-organizzazzjoni ta’ kampanja ta’ komunikazzjoni intensiva fil-livell Ewropew biex jiġi żgurat li l-EURES (in-Netwerk Ewropew tas-Servizzi tal-Impjiegi), il-Portal tal-UE dwar l-Immigrazzjoni u l-Għodda Ewropea tal-Profil tal-Ħiliet għaċ-ċittadini ta’ pajjiżi terzi jkunu magħrufa aħjar maċ-ċittadini Ewropej u jintużaw aktar ta’ spiss mill-kumpaniji tal-UE biex jippubblikaw u jirreklamaw l-offerti ta’ xogħol tagħhom. </w:t>
      </w:r>
    </w:p>
    <w:p>
      <w:pPr>
        <w:pStyle w:val="Normal"/>
        <w:rPr/>
      </w:pPr>
      <w:r>
        <w:rPr/>
        <w:t xml:space="preserve"> </w:t>
      </w:r>
    </w:p>
    <w:p>
      <w:pPr>
        <w:pStyle w:val="Normal"/>
        <w:rPr/>
      </w:pPr>
      <w:r>
        <w:rPr/>
        <w:t xml:space="preserve">Nirrakkomandaw li ma tinħoloqx pjattaforma online ġdida għall-pubblikazzjoni ta’ offerti ta’ impjieg għaż-żgħażagħ Ewropej. Diġà hemm aktar minn biżżejjed inizjattivi ta’ dan it-tip fil-livell Ewropew. Aħna nemmnu li sabiex titqajjem kuxjenza dwar il-forza tax-xogħol eżistenti u l-opportunitajiet ta’ impjieg fil-livell Ewropew, huwa preferibbli li jittejjeb dak li diġà jeżisti. </w:t>
      </w:r>
    </w:p>
    <w:p>
      <w:pPr>
        <w:pStyle w:val="Normal"/>
        <w:rPr/>
      </w:pPr>
      <w:r>
        <w:rPr/>
        <w:t xml:space="preserve"> </w:t>
      </w:r>
    </w:p>
    <w:p>
      <w:pPr>
        <w:pStyle w:val="Titre4"/>
        <w:numPr>
          <w:ilvl w:val="3"/>
          <w:numId w:val="2"/>
        </w:numPr>
        <w:rPr/>
      </w:pPr>
      <w:bookmarkStart w:id="184" w:name="__RefHeading___Toc297303_1346298689"/>
      <w:bookmarkEnd w:id="184"/>
      <w:r>
        <w:rPr/>
        <w:t xml:space="preserve">Sottoassi 1.2 — Fruntieri </w:t>
      </w:r>
    </w:p>
    <w:p>
      <w:pPr>
        <w:pStyle w:val="P68B1DB1Normal15"/>
        <w:rPr>
          <w:b/>
          <w:b/>
        </w:rPr>
      </w:pPr>
      <w:r>
        <w:rPr/>
        <w:t xml:space="preserve">7. Nirrakkomandaw l-istabbiliment ta’ mekkaniżmu ta’ migrazzjoni tal-ħaddiema fl-UE bbażat fuq il-ħtiġijiet reali tas-swieq tax-xogħol Ewropej. Għandu jkun hemm sistema unifikata għar-rikonoxximent ta’ diplomi professjonali u akkademiċi li jeżistu fl-Unjoni Ewropea u f’pajjiżi terzi. Għandu jkun hemm offerti ta’ kwalifiki professjonali kif ukoll offerti ta’ integrazzjoni kulturali u lingwistika għall-migranti kwalifikati. Dawk li jfittxu l-ażil bil-kwalifiki xierqa għandu jkollhom aċċess għas-suq tax-xogħol. Għandu jkun hemm aġenzija integrata li għaliha n-netwerk Ewropew tas-servizzi tal-impjiegi jista’ jifforma l-bażi. </w:t>
      </w:r>
    </w:p>
    <w:p>
      <w:pPr>
        <w:pStyle w:val="Normal"/>
        <w:rPr/>
      </w:pPr>
      <w:r>
        <w:rPr/>
        <w:t xml:space="preserve"> </w:t>
      </w:r>
    </w:p>
    <w:p>
      <w:pPr>
        <w:pStyle w:val="Normal"/>
        <w:rPr/>
      </w:pPr>
      <w:r>
        <w:rPr/>
        <w:t xml:space="preserve">Nirrakkomandaw dawn il-miżuri għaliex l-Ewropa teħtieġ ħaddiema tas-sengħa f’ċerti setturi fejn mhuwiex possibbli li tiġi koperta bis-sħiħ id-domanda tal-ħaddiema tal-UE. Bħalissa m’hemmx biżżejjed modi vijabbli biex wieħed japplika legalment għal permess tax-xogħol fl-UE. Sistema Ewropea għar-rikonoxximent ta’ diplomi professjonali u akkademiċi se tagħmilha aktar faċli biex jintlaħqu dawn il-ħtiġijiet u tissimplifika l-migrazzjoni tal-ħaddiema fl-Unjoni u l-migrazzjoni tal-ħaddiema minn pajjiżi barra l-Unjoni. Id-domanda għax-xogħol tista’ għalhekk tiġi sodisfatta aħjar u l-immigrazzjoni illegali tkun ġestita aħjar. Il-ftuħ tal-mekkaniżmu tal-migrazzjoni tal-ħaddiema għal dawk li jfittxu l-ażil iħaffef l-integrazzjoni tagħhom fl-ekonomiji u s-soċjetajiet Ewropej. </w:t>
      </w:r>
    </w:p>
    <w:p>
      <w:pPr>
        <w:pStyle w:val="Normal"/>
        <w:rPr/>
      </w:pPr>
      <w:r>
        <w:rPr/>
        <w:t xml:space="preserve"> </w:t>
      </w:r>
    </w:p>
    <w:p>
      <w:pPr>
        <w:pStyle w:val="P68B1DB1Normal15"/>
        <w:rPr>
          <w:b/>
          <w:b/>
        </w:rPr>
      </w:pPr>
      <w:r>
        <w:rPr/>
        <w:t xml:space="preserve">8. Nirrakkomandaw li l-Unjoni Ewropea ssaħħaħ il-leġiżlazzjoni tagħha sabiex tagħti lill-Frontex aktar setgħa u indipendenza. Għalhekk se tkun tista’ tintervjeni fl-Istati Membri kollha biex tiżgura l-protezzjoni tal-fruntieri esterni kollha tal-Unjoni. Madankollu, l-Unjoni għandha twettaq awditi tal-proċessi organizzattivi tal-Frontex peress li għandha topera b’mod trasparenti sabiex jiġi evitat kull tip ta’ abbuż. </w:t>
      </w:r>
    </w:p>
    <w:p>
      <w:pPr>
        <w:pStyle w:val="Normal"/>
        <w:rPr/>
      </w:pPr>
      <w:r>
        <w:rPr/>
        <w:t xml:space="preserve"> </w:t>
      </w:r>
    </w:p>
    <w:p>
      <w:pPr>
        <w:pStyle w:val="Normal"/>
        <w:rPr/>
      </w:pPr>
      <w:r>
        <w:rPr/>
        <w:t xml:space="preserve">Nirrakkomandaw dawn il-miżuri għaliex, fil-fehma tagħna, mhuwiex aċċettabbli li l-Frontex tiġi mċaħħda mill-aċċess għall-fruntieri, speċjalment meta jkun hemm ksur tad-drittijiet tal-bniedem. Irridu nkunu ċerti li l-Frontex tapplika l-leġiżlazzjoni Ewropea. Il-Frontex stess għandha tkun soġġetta għal kontrolli u verifiki sabiex tiġi evitata kwalunkwe mġiba mhux xierqa fi ħdanha. </w:t>
      </w:r>
    </w:p>
    <w:p>
      <w:pPr>
        <w:pStyle w:val="Normal"/>
        <w:rPr/>
      </w:pPr>
      <w:r>
        <w:rPr/>
        <w:t xml:space="preserve"> </w:t>
      </w:r>
    </w:p>
    <w:p>
      <w:pPr>
        <w:pStyle w:val="P68B1DB1Normal15"/>
        <w:rPr>
          <w:b/>
          <w:b/>
        </w:rPr>
      </w:pPr>
      <w:r>
        <w:rPr/>
        <w:t xml:space="preserve">9. Nirrakkomandaw li l-Unjoni Ewropea torganizza, b’mod partikolari għall-migranti ekonomiċi, il-possibbiltà li tagħżel ċittadini fil-pajjiż ta’ oriġini (abbażi tal-ħiliet ippruvati tagħhom, l-isfond, eċċ.), sabiex tiddetermina min jista’ jiġi biex jaħdem fl-UE skont il-ħtiġijiet tal-ekonomija u l-impjiegi vakanti tal-pajjiż ospitanti. Dawn il-kriterji tal-għażla għandhom ikunu pubbliċi u aċċessibbli għal kulħadd. Għal dan il-għan, għandha titwaqqaf Aġenzija Ewropea għall-Immigrazzjoni (onlajn). </w:t>
      </w:r>
    </w:p>
    <w:p>
      <w:pPr>
        <w:pStyle w:val="Normal"/>
        <w:rPr/>
      </w:pPr>
      <w:r>
        <w:rPr/>
        <w:t xml:space="preserve"> </w:t>
      </w:r>
    </w:p>
    <w:p>
      <w:pPr>
        <w:pStyle w:val="Normal"/>
        <w:rPr/>
      </w:pPr>
      <w:r>
        <w:rPr/>
        <w:t xml:space="preserve">Nirrakkomandaw dawn il-miżuri għaliex, b’dan il-mod, ma jkunx għad hemm il-ħtieġa li wieħed jaqsam il-fruntieri b’mod illegali. Il-fluss ta’ persuni li jidħlu fl-UE jkun ikkontrollat, li jnaqqas il-pressjoni fil-fruntieri, filwaqt li jagħmilha aktar faċli li jiġu ssodisfati l-ħtiġijiet tax-xogħol tal-pajjiżi ospitanti. </w:t>
      </w:r>
    </w:p>
    <w:p>
      <w:pPr>
        <w:pStyle w:val="Normal"/>
        <w:rPr/>
      </w:pPr>
      <w:r>
        <w:rPr/>
        <w:t xml:space="preserve"> </w:t>
      </w:r>
    </w:p>
    <w:p>
      <w:pPr>
        <w:pStyle w:val="P68B1DB1Normal15"/>
        <w:rPr>
          <w:b/>
          <w:b/>
        </w:rPr>
      </w:pPr>
      <w:r>
        <w:rPr/>
        <w:t xml:space="preserve">10. Nirrakkomandaw li l-Unjoni Ewropea tiżgura li l-politika u l-faċilitajiet ta’ akkoljenza jkunu identiċi fil-fruntieri kollha, jirrispettaw id-drittijiet tal-bniedem u jiżguraw is-sigurtà u s-saħħa tal-migranti kollha (inklużi, pereżempju, in-nisa tqal u t-tfal). </w:t>
      </w:r>
    </w:p>
    <w:p>
      <w:pPr>
        <w:pStyle w:val="Normal"/>
        <w:rPr/>
      </w:pPr>
      <w:r>
        <w:rPr/>
        <w:t xml:space="preserve"> </w:t>
      </w:r>
    </w:p>
    <w:p>
      <w:pPr>
        <w:pStyle w:val="Normal"/>
        <w:rPr/>
      </w:pPr>
      <w:r>
        <w:rPr/>
        <w:t xml:space="preserve">Nirrakkomandaw dawn il-miżuri għaliex nagħtu importanza kbira lit-trattament ugwali tal-migranti fil-fruntieri kollha. Irridu niżguraw li l-migranti ma jdumux wisq fil-fruntieri u li l-Istati Membri jkunu megħluba mill-fluss tal-migranti. L-Istati Membri għandhom ikunu mgħammra tajjeb biex jakkomodawhom. </w:t>
      </w:r>
    </w:p>
    <w:p>
      <w:pPr>
        <w:pStyle w:val="Normal"/>
        <w:rPr/>
      </w:pPr>
      <w:r>
        <w:rPr/>
        <w:t xml:space="preserve"> </w:t>
      </w:r>
    </w:p>
    <w:p>
      <w:pPr>
        <w:pStyle w:val="Titre3"/>
        <w:numPr>
          <w:ilvl w:val="2"/>
          <w:numId w:val="2"/>
        </w:numPr>
        <w:rPr/>
      </w:pPr>
      <w:bookmarkStart w:id="185" w:name="__RefHeading___Toc297305_1346298689"/>
      <w:bookmarkEnd w:id="185"/>
      <w:r>
        <w:rPr/>
        <w:t xml:space="preserve">Assi 2: L-UE bħala sieħeb internazzjonali </w:t>
      </w:r>
    </w:p>
    <w:p>
      <w:pPr>
        <w:pStyle w:val="Titre4"/>
        <w:numPr>
          <w:ilvl w:val="3"/>
          <w:numId w:val="2"/>
        </w:numPr>
        <w:rPr/>
      </w:pPr>
      <w:bookmarkStart w:id="186" w:name="__RefHeading___Toc297307_1346298689"/>
      <w:bookmarkEnd w:id="186"/>
      <w:r>
        <w:rPr/>
        <w:t xml:space="preserve">Sottoassi 2.1 — Kummerċ u relazzjonijiet minn perspettiva etika </w:t>
      </w:r>
    </w:p>
    <w:p>
      <w:pPr>
        <w:pStyle w:val="P68B1DB1Normal15"/>
        <w:rPr>
          <w:b/>
          <w:b/>
        </w:rPr>
      </w:pPr>
      <w:r>
        <w:rPr/>
        <w:t xml:space="preserve">11. Nirrakkomandaw li l-UE timponi restrizzjonijiet fuq l-importazzjonijiet ta’ prodotti minn pajjiżi li jippermettu t-tħaddim tat-tfal. Biex dan isir, għandha titfassal lista sewda ta’ kumpaniji li tkun aġġornata regolarment skont l-iżviluppi. Nirrakkomandaw ukoll li jiġi żgurat aċċess progressiv għall-edukazzjoni għat-tfal li jieqfu jaħdmu, kif ukoll li titqajjem kuxjenza fost il-konsumaturi dwar it-tħaddim tat-tfal permezz ta’ informazzjoni mxerrda uffiċjalment mill-Unjoni Ewropea, pereżempju permezz ta’ kampanji jew rakkontar ta’ stejjer. </w:t>
      </w:r>
    </w:p>
    <w:p>
      <w:pPr>
        <w:pStyle w:val="Normal"/>
        <w:rPr/>
      </w:pPr>
      <w:r>
        <w:rPr/>
        <w:t xml:space="preserve"> </w:t>
      </w:r>
    </w:p>
    <w:p>
      <w:pPr>
        <w:pStyle w:val="Normal"/>
        <w:rPr/>
      </w:pPr>
      <w:r>
        <w:rPr/>
        <w:t xml:space="preserve">Nirrakkomandaw dawn il-miżuri għaliex nemmnu li hemm rabta bejn in-nuqqas ta’ edukazzjoni u t-tħaddim tat-tfal. B’din ir-rakkomandazzjoni, irridu nqajmu l-għarfien tal-konsumaturi u nnaqqsu d-domanda għall-prodotti magħmula mit-tfal sabiex din il-prattika tispiċċa tisparixxi. </w:t>
      </w:r>
    </w:p>
    <w:p>
      <w:pPr>
        <w:pStyle w:val="Normal"/>
        <w:rPr/>
      </w:pPr>
      <w:r>
        <w:rPr/>
        <w:t xml:space="preserve"> </w:t>
      </w:r>
    </w:p>
    <w:p>
      <w:pPr>
        <w:pStyle w:val="P68B1DB1Normal15"/>
        <w:rPr>
          <w:b/>
          <w:b/>
        </w:rPr>
      </w:pPr>
      <w:r>
        <w:rPr/>
        <w:t xml:space="preserve">12. Nirrakkomandaw li l-Unjoni Ewropea tiżviluppa sħubijiet ma’ pajjiżi li qed jiżviluppaw biex tappoġġa l-infrastruttura tagħhom u tikkondividi l-għarfien espert bi skambju għal ftehimiet kummerċjali ta’ benefiċċju reċiproku biex jakkumpanjawhom fit-tranżizzjoni lejn sorsi ta’ enerġija ekoloġika. </w:t>
      </w:r>
    </w:p>
    <w:p>
      <w:pPr>
        <w:pStyle w:val="Normal"/>
        <w:rPr/>
      </w:pPr>
      <w:r>
        <w:rPr/>
        <w:t xml:space="preserve"> </w:t>
      </w:r>
    </w:p>
    <w:p>
      <w:pPr>
        <w:pStyle w:val="Normal"/>
        <w:rPr/>
      </w:pPr>
      <w:r>
        <w:rPr/>
        <w:t xml:space="preserve">Aħna nirrakkomandaw dawn il-miżuri biex jiffaċilitaw it-tranżizzjoni tal-pajjiżi li qed jiżviluppaw lejn l-enerġija rinnovabbli permezz ta’ sħubijiet kummerċjali u ftehimiet diplomatiċi. L-Unjoni Ewropea u l-pajjiżi li qed jiżviluppaw b’hekk jiżviluppaw relazzjonijiet tajbin fit-tul, li jikkontribwixxu għall-ġlieda kontra t-tibdil fil-klima. </w:t>
      </w:r>
    </w:p>
    <w:p>
      <w:pPr>
        <w:pStyle w:val="Normal"/>
        <w:rPr/>
      </w:pPr>
      <w:r>
        <w:rPr/>
        <w:t xml:space="preserve"> </w:t>
      </w:r>
    </w:p>
    <w:p>
      <w:pPr>
        <w:pStyle w:val="P68B1DB1Normal15"/>
        <w:rPr>
          <w:b/>
          <w:b/>
        </w:rPr>
      </w:pPr>
      <w:r>
        <w:rPr/>
        <w:t xml:space="preserve">13. Nirrakkomandaw li l-Unjoni Ewropea timponi indikatur Ewropew tal-impatt ambjentali (ecoscore) fuq il-prodotti kollha tal-konsumatur. L-Ecoscore jiġi kkalkulat fuq il-bażi ta’ l-emissjonijiet mill-produzzjoni u t-trasport, kif ukoll il-ħsara tal-kontenut, fuq il-bażi ta’ lista ta’ prodotti perikolużi. L-Ecoscore għandu jkun ġestit u kkontrollat minn awtorità Ewropea. </w:t>
      </w:r>
    </w:p>
    <w:p>
      <w:pPr>
        <w:pStyle w:val="Normal"/>
        <w:rPr/>
      </w:pPr>
      <w:r>
        <w:rPr/>
        <w:t xml:space="preserve"> </w:t>
      </w:r>
    </w:p>
    <w:p>
      <w:pPr>
        <w:pStyle w:val="Normal"/>
        <w:rPr/>
      </w:pPr>
      <w:r>
        <w:rPr/>
        <w:t xml:space="preserve">Aħna nirrakkomandaw dawn il-miżuri sabiex il-konsumaturi Ewropej ikunu konxji aħjar tal-impronta ambjentali tal-prodotti li jixtru. L-Ecoscore jagħmilha faċli li jiġi indikat sa liema punt prodott jirrispetta l-ambjent permezz ta’ skala komuni madwar l-Ewropa. L-Ecoscore għandu jkollu kodiċi QR fuq wara tal-prodott sabiex ikun jista’ jikkonsulta informazzjoni addizzjonali dwar l-impronta ambjentali tiegħu. </w:t>
      </w:r>
    </w:p>
    <w:p>
      <w:pPr>
        <w:pStyle w:val="Normal"/>
        <w:rPr/>
      </w:pPr>
      <w:r>
        <w:rPr/>
        <w:t xml:space="preserve"> </w:t>
      </w:r>
    </w:p>
    <w:p>
      <w:pPr>
        <w:pStyle w:val="Titre4"/>
        <w:numPr>
          <w:ilvl w:val="3"/>
          <w:numId w:val="2"/>
        </w:numPr>
        <w:rPr/>
      </w:pPr>
      <w:bookmarkStart w:id="187" w:name="__RefHeading___Toc297309_1346298689"/>
      <w:bookmarkEnd w:id="187"/>
      <w:r>
        <w:rPr/>
        <w:t xml:space="preserve">Sottoassi 2.2 — Azzjoni Internazzjonali dwar il-Klima </w:t>
      </w:r>
    </w:p>
    <w:p>
      <w:pPr>
        <w:pStyle w:val="P68B1DB1Normal15"/>
        <w:rPr>
          <w:b/>
          <w:b/>
        </w:rPr>
      </w:pPr>
      <w:r>
        <w:rPr/>
        <w:t xml:space="preserve">14. Nirrakkomandaw li l-Unjoni Ewropea tadotta strateġija biex tagħmilha aktar awtonoma fil-produzzjoni tal-enerġija tagħha. Korp Ewropew li jiġbor flimkien l-istituzzjonijiet Ewropej attwali tal-enerġija għandu jikkoordina l-iżvilupp tal-enerġija rinnovabbli skont il-ħtiġijiet, il-kapaċitajiet u r-riżorsi tal-Istati Membri filwaqt li jirrispetta s-sovranità tagħhom. L-istituzzjonijiet jinkoraġġixxu l-iskambju ta’ għarfien bejniethom sabiex jimplimentaw din l-istrateġija. </w:t>
      </w:r>
    </w:p>
    <w:p>
      <w:pPr>
        <w:pStyle w:val="Normal"/>
        <w:rPr/>
      </w:pPr>
      <w:r>
        <w:rPr/>
        <w:t xml:space="preserve"> </w:t>
      </w:r>
    </w:p>
    <w:p>
      <w:pPr>
        <w:pStyle w:val="Normal"/>
        <w:rPr/>
      </w:pPr>
      <w:r>
        <w:rPr/>
        <w:t xml:space="preserve">Nirrakkomandaw dawn il-miżuri għax id-dipendenza attwali tagħna tagħmilna vulnerabbli f’każ ta’ tensjonijiet politiċi mal-pajjiżi li nimportaw l-enerġija tagħna. Issa qed naraw dan bil-kriżi tal-elettriku. Madankollu, din il-koordinazzjoni għandha tirrispetta s-sovranità ta’ kull pajjiż. </w:t>
      </w:r>
    </w:p>
    <w:p>
      <w:pPr>
        <w:pStyle w:val="Normal"/>
        <w:rPr/>
      </w:pPr>
      <w:r>
        <w:rPr/>
        <w:t xml:space="preserve"> </w:t>
      </w:r>
    </w:p>
    <w:p>
      <w:pPr>
        <w:pStyle w:val="P68B1DB1Normal15"/>
        <w:rPr>
          <w:b/>
          <w:b/>
        </w:rPr>
      </w:pPr>
      <w:r>
        <w:rPr/>
        <w:t xml:space="preserve">15. Nirrakkomandaw li jissaħħu l-istandards ambjentali għall-esportazzjoni tal-iskart fl-UE u lil hinn minnha, kif ukoll kontrolli u sanzjonijiet aktar stretti biex jitwaqqfu l-esportazzjonijiet illegali. L-UE għandha tħeġġeġ lill-Istati Membri biex ikomplu jirriċiklaw l-iskart tagħhom stess u jużawh biex jipproduċu l-enerġija. </w:t>
      </w:r>
    </w:p>
    <w:p>
      <w:pPr>
        <w:pStyle w:val="Normal"/>
        <w:rPr/>
      </w:pPr>
      <w:r>
        <w:rPr/>
        <w:t xml:space="preserve"> </w:t>
      </w:r>
    </w:p>
    <w:p>
      <w:pPr>
        <w:pStyle w:val="Normal"/>
        <w:rPr/>
      </w:pPr>
      <w:r>
        <w:rPr/>
        <w:t xml:space="preserve">Nirrakkomandaw li dawn il-miżuri jtemmu l-ħsara ambjentali minn pajjiżi li jarmu l-iskart tagħhom għad-detriment ta’ pajjiżi oħra, speċjalment meta jkun hemm nuqqas totali ta’ konformità mal-istandards ambjentali. </w:t>
      </w:r>
    </w:p>
    <w:p>
      <w:pPr>
        <w:pStyle w:val="Normal"/>
        <w:rPr/>
      </w:pPr>
      <w:r>
        <w:rPr/>
        <w:t xml:space="preserve"> </w:t>
      </w:r>
    </w:p>
    <w:p>
      <w:pPr>
        <w:pStyle w:val="P68B1DB1Normal15"/>
        <w:rPr>
          <w:b/>
          <w:b/>
        </w:rPr>
      </w:pPr>
      <w:r>
        <w:rPr/>
        <w:t xml:space="preserve">16. Nirrakkomandaw li l-UE tħeġġeġ b’mod aktar determinat it-tranżizzjoni ekoloġika li għaddejja bħalissa billi timmira lejn l-eliminazzjoni tal-imballaġġ li jniġġes. Dan għandu jsir billi jitħeġġeġ it-tnaqqis tal-imballaġġ jew billi jiġi promoss imballaġġ aktar ekoloġiku. Sabiex in-negozji ż-żgħar jadattaw, huma għandhom jirċievu appoġġ u aġġustamenti. </w:t>
      </w:r>
    </w:p>
    <w:p>
      <w:pPr>
        <w:pStyle w:val="Normal"/>
        <w:rPr/>
      </w:pPr>
      <w:r>
        <w:rPr/>
        <w:t xml:space="preserve"> </w:t>
      </w:r>
    </w:p>
    <w:p>
      <w:pPr>
        <w:pStyle w:val="Normal"/>
        <w:rPr/>
      </w:pPr>
      <w:r>
        <w:rPr/>
        <w:t xml:space="preserve">Nirrakkomandaw dawn il-miżuri għaliex jeħtieġ li nnaqqsu l-użu tar-riżorsi naturali, inkluża l-materja prima minn pajjiżi barra l-UE. Irridu nnaqqsu wkoll il-ħsara kkawżata mill-Ewropej lill-pjaneta tagħna u lill-klima tagħha. Huwa essenzjali li n-negozji ż-żgħar jiġu appoġġjati aħjar sabiex ikunu jistgħu jadattaw ruħhom mingħajr ma jkollhom jgħollu l-prezzijiet tagħhom. </w:t>
      </w:r>
    </w:p>
    <w:p>
      <w:pPr>
        <w:pStyle w:val="Normal"/>
        <w:rPr/>
      </w:pPr>
      <w:r>
        <w:rPr/>
        <w:t xml:space="preserve"> </w:t>
      </w:r>
    </w:p>
    <w:p>
      <w:pPr>
        <w:pStyle w:val="P68B1DB1Normal15"/>
        <w:rPr>
          <w:b/>
          <w:b/>
        </w:rPr>
      </w:pPr>
      <w:r>
        <w:rPr/>
        <w:t xml:space="preserve">17. Nirrakkomandaw li l-pajjiżi ta’ l-Unjoni Ewropea jagħtu ħarsa aktar serja lejn il-kwistjoni ta’ l-enerġija nukleari flimkien. Għandha tissaħħaħ il-kollaborazzjoni biex jiġi vvalutat l-użu tal-enerġija nukleari u r-rwol tagħha fit-tranżizzjoni tal-enerġija ekoloġika tal-Ewropa. </w:t>
      </w:r>
    </w:p>
    <w:p>
      <w:pPr>
        <w:pStyle w:val="Normal"/>
        <w:rPr/>
      </w:pPr>
      <w:r>
        <w:rPr/>
        <w:t xml:space="preserve"> </w:t>
      </w:r>
    </w:p>
    <w:p>
      <w:pPr>
        <w:pStyle w:val="Normal"/>
        <w:rPr/>
      </w:pPr>
      <w:r>
        <w:rPr/>
        <w:t xml:space="preserve">Nirrakkomandaw dawn il-miżuri għax il-kwistjoni nukleari ma tistax tissolva minn pajjiż waħdu. Issa hemm aktar minn 100 reattur f’nofs l-Istati Membri u qed jinbnew reatturi ġodda. Hekk kif aħna naqsmu grilja tal-elettriku komuni, l-elettriku b’livell baxx ta’ emissjonijiet tal-karbonju li jipproduċu huwa ta’ benefiċċju għall-Ewropej kollha u jżid l-awtonomija enerġetika tal-kontinent tagħna. Barra minn hekk, l-abbandun tal-iskart nukleari jew inċident jista’ jaffettwa diversi pajjiżi. Kemm jekk l-użu tal-enerġija nukleari jiġi deċiż kif ukoll jekk le, l-Ewropej għandhom jiddiskutuha flimkien u jiddefinixxu strateġiji aktar konverġenti filwaqt li jirrispettaw is-sovranità nazzjonali. </w:t>
      </w:r>
    </w:p>
    <w:p>
      <w:pPr>
        <w:pStyle w:val="Normal"/>
        <w:rPr/>
      </w:pPr>
      <w:r>
        <w:rPr/>
        <w:t xml:space="preserve"> </w:t>
      </w:r>
    </w:p>
    <w:p>
      <w:pPr>
        <w:pStyle w:val="Titre4"/>
        <w:numPr>
          <w:ilvl w:val="3"/>
          <w:numId w:val="2"/>
        </w:numPr>
        <w:rPr/>
      </w:pPr>
      <w:bookmarkStart w:id="188" w:name="__RefHeading___Toc297311_1346298689"/>
      <w:bookmarkEnd w:id="188"/>
      <w:r>
        <w:rPr/>
        <w:t xml:space="preserve">Sottoassi 2.3 — Promozzjoni tal-valuri Ewropej </w:t>
      </w:r>
    </w:p>
    <w:p>
      <w:pPr>
        <w:pStyle w:val="P68B1DB1Normal15"/>
        <w:rPr>
          <w:b/>
          <w:b/>
        </w:rPr>
      </w:pPr>
      <w:r>
        <w:rPr/>
        <w:t xml:space="preserve">18. L-UE għandha tkun eqreb taċ-ċittadini. Nirrakkomandaw li l-UE tistabbilixxi u ssaħħaħ ir-rabtiet maċ-ċittadini u l-istituzzjonijiet lokali bħall-awtoritajiet lokali, l-iskejjel u l-muniċipalitajiet. L-għan huwa li tittejjeb it-trasparenza, jintlaħqu ċ-ċittadini, jiġu infurmati aħjar dwar inizjattivi konkreti tal-UE u tiġi kkomunikata aħjar l-informazzjoni ġenerali tal-UE. </w:t>
      </w:r>
    </w:p>
    <w:p>
      <w:pPr>
        <w:pStyle w:val="Normal"/>
        <w:rPr/>
      </w:pPr>
      <w:r>
        <w:rPr/>
        <w:t xml:space="preserve"> </w:t>
      </w:r>
    </w:p>
    <w:p>
      <w:pPr>
        <w:pStyle w:val="Normal"/>
        <w:rPr/>
      </w:pPr>
      <w:r>
        <w:rPr/>
        <w:t xml:space="preserve">Aħna nirrakkomandaw dawn il-miżuri għaliex l-informazzjoni attwali dwar l-UE mhijiex aċċessibbli biżżejjed għall-gruppi soċjali kollha u ma taffettwax liċ-ċittadini ordinarji. Huma spiss boring, diffiċli li wieħed jifhem u unfriendly. Jeħtieġ li din is-sitwazzjoni tinbidel sabiex iċ-ċittadini jkollhom viżjoni ċara tal-azzjonijiet u r-rwol tal-UE. Sabiex jiġi attirat l-interess pubbliku, l-informazzjoni relatata mal-UE għandha tkun faċli biex tinstab, tkun motivanti, interessanti u miktuba b’lingwaġġ komuni. Hawn huma suġġerimenti tagħna: l-organizzazzjoni ta’ żjarat ta’ politiċi Ewropej fl-iskejjel, kampanji fuq ir-radju fil-forma ta’ podcasts, ittri, artikli tal-istampa, reklamar tal-karozzi tal-linja u l-midja soċjali, assembleji taċ-ċittadini lokali u l-ħolqien ta’ grupp ta’ ħidma speċifikament biex tittejjeb il-komunikazzjoni tal-UE. Dawn il-miżuri se jippermettu liċ-ċittadini jiksbu informazzjoni dwar l-UE li mhijiex iffiltrata mill-midja nazzjonali. </w:t>
      </w:r>
    </w:p>
    <w:p>
      <w:pPr>
        <w:pStyle w:val="Normal"/>
        <w:rPr/>
      </w:pPr>
      <w:r>
        <w:rPr/>
        <w:t xml:space="preserve"> </w:t>
      </w:r>
    </w:p>
    <w:p>
      <w:pPr>
        <w:pStyle w:val="P68B1DB1Normal15"/>
        <w:rPr>
          <w:b/>
          <w:b/>
        </w:rPr>
      </w:pPr>
      <w:r>
        <w:rPr/>
        <w:t xml:space="preserve">19. Nirrakkomandaw parteċipazzjoni akbar taċ-ċittadini fil-politiki tal-UE. Nipproponu l-organizzazzjoni ta’ avvenimenti li jinvolvu l-parteċipazzjoni diretta taċ-ċittadini fuq il-mudell tal-Konferenza dwar il-Futur tal-Ewropa. Dawn għandhom jiġu organizzati fil-livell nazzjonali, lokali u Ewropew. L-UE għandha tiddefinixxi strateġija koerenti u gwida ċentralizzata għal dawn l-avvenimenti. </w:t>
      </w:r>
    </w:p>
    <w:p>
      <w:pPr>
        <w:pStyle w:val="Normal"/>
        <w:rPr/>
      </w:pPr>
      <w:r>
        <w:rPr/>
        <w:t xml:space="preserve"> </w:t>
      </w:r>
    </w:p>
    <w:p>
      <w:pPr>
        <w:pStyle w:val="Normal"/>
        <w:rPr/>
      </w:pPr>
      <w:r>
        <w:rPr/>
        <w:t xml:space="preserve">Nirrakkomandaw dawn il-miżuri għaliex dawn l-eżerċizzji ta’ demokrazija parteċipattiva se jipprovdu informazzjoni korretta dwar l-UE u jtejbu l-kwalità tal-politiki tal-UE. L-avvenimenti għandhom jiġu organizzati b’tali mod li jippromwovu l-valuri fundamentali tal-Unjoni — id-demokrazija u l-parteċipazzjoni taċ-ċittadini. Dawn l-avvenimenti jipprovdu opportunità għall-politiċi biex juru liċ-ċittadini li huwa importanti għalihom li ċ-ċittadini jiġu infurmati dwar l-avvenimenti attwali u li huma assoċjati mad-definizzjoni tagħhom. Gwida ċentralizzata se tiżgura l-konsistenza u l-konsistenza tal-konferenzi nazzjonali u lokali. </w:t>
      </w:r>
    </w:p>
    <w:p>
      <w:pPr>
        <w:pStyle w:val="Normal"/>
        <w:rPr/>
      </w:pPr>
      <w:r>
        <w:rPr/>
        <w:t xml:space="preserve"> </w:t>
      </w:r>
    </w:p>
    <w:p>
      <w:pPr>
        <w:pStyle w:val="Titre3"/>
        <w:numPr>
          <w:ilvl w:val="2"/>
          <w:numId w:val="2"/>
        </w:numPr>
        <w:rPr/>
      </w:pPr>
      <w:bookmarkStart w:id="189" w:name="__RefHeading___Toc297313_1346298689"/>
      <w:bookmarkEnd w:id="189"/>
      <w:r>
        <w:rPr/>
        <w:t xml:space="preserve">Assi 3: UE b’saħħitha f’dinja paċifika </w:t>
      </w:r>
    </w:p>
    <w:p>
      <w:pPr>
        <w:pStyle w:val="Titre4"/>
        <w:numPr>
          <w:ilvl w:val="3"/>
          <w:numId w:val="2"/>
        </w:numPr>
        <w:rPr/>
      </w:pPr>
      <w:bookmarkStart w:id="190" w:name="__RefHeading___Toc297315_1346298689"/>
      <w:bookmarkEnd w:id="190"/>
      <w:r>
        <w:rPr/>
        <w:t xml:space="preserve">Sottoassi 3.1 — Sigurtà u Difiża </w:t>
      </w:r>
    </w:p>
    <w:p>
      <w:pPr>
        <w:pStyle w:val="P68B1DB1Normal15"/>
        <w:rPr>
          <w:b/>
          <w:b/>
        </w:rPr>
      </w:pPr>
      <w:r>
        <w:rPr/>
        <w:t xml:space="preserve">20. Nirrakkomandaw li l-“Forzi Armati Komuni tal-Unjoni Ewropea” futuri jintużaw primarjament għal skopijiet ta’ difiża. Kwalunkwe azzjoni militari aggressiva, tkun xi tkun in-natura tagħha, hija eskluża. Fl-Ewropa, dan għandu jipprovdi l-mezzi biex tingħata għajnuna f’każ ta’ kriżi, speċjalment fil-każ ta’ diżastru naturali. Barra mill-fruntieri Ewropej, dan jippermetti l-użu ta’ riżorsi f’territorji b’ċirkostanzi eċċezzjonali, esklussivament fil-qafas ta’ mandat legali tal-Kunsill tas-Sigurtà tan-NU, u b’hekk f’konformità mad-dritt internazzjonali. </w:t>
      </w:r>
    </w:p>
    <w:p>
      <w:pPr>
        <w:pStyle w:val="Normal"/>
        <w:rPr/>
      </w:pPr>
      <w:r>
        <w:rPr/>
        <w:t xml:space="preserve"> </w:t>
      </w:r>
    </w:p>
    <w:p>
      <w:pPr>
        <w:pStyle w:val="Normal"/>
        <w:rPr/>
      </w:pPr>
      <w:r>
        <w:rPr/>
        <w:t xml:space="preserve">Jekk tiġi implimentata, din tippermetti li l-Unjoni Ewropea titqies bħala sieħeb kredibbli, responsabbli, b’saħħtu u paċifiku fix-xena internazzjonali. Il-kapaċità msaħħa tagħha li tirrispondi għal sitwazzjonijiet ta’ kriżi kemm f’pajjiżhom kif ukoll barra mill-pajjiż għandha għalhekk tipproteġi l-valuri ewlenin tagħha. </w:t>
      </w:r>
    </w:p>
    <w:p>
      <w:pPr>
        <w:pStyle w:val="Normal"/>
        <w:rPr/>
      </w:pPr>
      <w:r>
        <w:rPr/>
        <w:t xml:space="preserve"> </w:t>
      </w:r>
    </w:p>
    <w:p>
      <w:pPr>
        <w:pStyle w:val="Titre4"/>
        <w:numPr>
          <w:ilvl w:val="3"/>
          <w:numId w:val="2"/>
        </w:numPr>
        <w:rPr/>
      </w:pPr>
      <w:bookmarkStart w:id="191" w:name="__RefHeading___Toc297317_1346298689"/>
      <w:bookmarkEnd w:id="191"/>
      <w:r>
        <w:rPr/>
        <w:t xml:space="preserve">Sottoassi 3.2 — Teħid ta’ deċiżjonijiet u politika barranija tal-UE </w:t>
      </w:r>
    </w:p>
    <w:p>
      <w:pPr>
        <w:pStyle w:val="P68B1DB1Normal15"/>
        <w:rPr>
          <w:b/>
          <w:b/>
        </w:rPr>
      </w:pPr>
      <w:r>
        <w:rPr/>
        <w:t xml:space="preserve">21. Nirrakkomandaw li l-oqsma kollha fejn id-deċiżjonijiet jittieħdu b’unanimità issa għandhom jittieħdu b’maġġoranza kwalifikata. L-uniċi eċċezzjonijiet għandhom ikunu l-ammissjoni ta’ Stati Membri ġodda fl-Unjoni u l-emenda tal-prinċipji fundamentali tal-Unjoni minquxa fl-Artikolu 2 tat-Trattat ta’ Lisbona u fil-Karta tad-Drittijiet Fundamentali tal-Unjoni Ewropea. </w:t>
      </w:r>
    </w:p>
    <w:p>
      <w:pPr>
        <w:pStyle w:val="Normal"/>
        <w:rPr/>
      </w:pPr>
      <w:r>
        <w:rPr/>
        <w:t xml:space="preserve"> </w:t>
      </w:r>
    </w:p>
    <w:p>
      <w:pPr>
        <w:pStyle w:val="Normal"/>
        <w:rPr/>
      </w:pPr>
      <w:r>
        <w:rPr/>
        <w:t xml:space="preserve">Dan isaħħaħ il-pożizzjoni tal-UE fid-dinja billi jippreżenta front magħqud vis-à-vis pajjiżi terzi u jiffaċilita l-kapaċità ta’ rispons globali tagħha, inkluż ir-rispons għall-kriżijiet. </w:t>
      </w:r>
    </w:p>
    <w:p>
      <w:pPr>
        <w:pStyle w:val="Normal"/>
        <w:rPr/>
      </w:pPr>
      <w:r>
        <w:rPr/>
        <w:t xml:space="preserve"> </w:t>
      </w:r>
    </w:p>
    <w:p>
      <w:pPr>
        <w:pStyle w:val="P68B1DB1Normal15"/>
        <w:rPr>
          <w:b/>
          <w:b/>
        </w:rPr>
      </w:pPr>
      <w:r>
        <w:rPr/>
        <w:t xml:space="preserve">22. Nirrakkomandaw li l-Unjoni Ewropea ssaħħaħ il-kapaċità tagħha li timponi sanzjonijiet fuq l-Istati Membri, il-gvernijiet, l-entitajiet, il-gruppi jew l-organizzazzjonijiet u l-individwi li ma jirrispettawx il-prinċipji, il-ftehimiet u l-liġijiet fundamentali tagħha. Huwa imperattiv li s-sanzjonijiet li diġà jeżistu jiġu implimentati malajr u li jkun hemm konformità effettiva magħhom. Is-sanzjonijiet imposti fuq pajjiżi terzi għandhom ikunu proporzjonati għall-azzjoni li skattathom, ikunu effettivi u jiġu applikati fil-ħin. </w:t>
      </w:r>
    </w:p>
    <w:p>
      <w:pPr>
        <w:pStyle w:val="Normal"/>
        <w:rPr/>
      </w:pPr>
      <w:r>
        <w:rPr/>
        <w:t xml:space="preserve"> </w:t>
      </w:r>
    </w:p>
    <w:p>
      <w:pPr>
        <w:pStyle w:val="Normal"/>
        <w:rPr/>
      </w:pPr>
      <w:r>
        <w:rPr/>
        <w:t xml:space="preserve">Sabiex l-UE tkun kredibbli u affidabbli, għandha timponi sanzjonijiet fuq dawk li jiksru l-prinċipji tagħha. Tali sanzjonijiet għandhom jiġu applikati b’mod effettiv u mingħajr dewmien u għandhom ikunu soġġetti għal kontrolli. </w:t>
      </w:r>
    </w:p>
    <w:p>
      <w:pPr>
        <w:pStyle w:val="Normal"/>
        <w:rPr/>
      </w:pPr>
      <w:r>
        <w:rPr/>
        <w:t xml:space="preserve"> </w:t>
      </w:r>
    </w:p>
    <w:p>
      <w:pPr>
        <w:pStyle w:val="Titre4"/>
        <w:numPr>
          <w:ilvl w:val="3"/>
          <w:numId w:val="2"/>
        </w:numPr>
        <w:rPr/>
      </w:pPr>
      <w:bookmarkStart w:id="192" w:name="__RefHeading___Toc297319_1346298689"/>
      <w:bookmarkEnd w:id="192"/>
      <w:r>
        <w:rPr/>
        <w:t xml:space="preserve">Sotto-assi 3.3 — Pajjiżi ġirien u tkabbir </w:t>
      </w:r>
    </w:p>
    <w:p>
      <w:pPr>
        <w:pStyle w:val="P68B1DB1Normal15"/>
        <w:rPr>
          <w:b/>
          <w:b/>
        </w:rPr>
      </w:pPr>
      <w:r>
        <w:rPr/>
        <w:t xml:space="preserve">23. Nirrakkomandaw li l-Unjoni Ewropea talloka baġit speċifiku għall-iżvilupp ta’ programmi edukattivi ddedikati għall-funzjonament tal-UE u l-valuri tagħha. Dawn il-programmi mbagħad jiġu offruti lill-Istati Membri jekk ikunu jixtiequ jintegrawhom fil-kurrikuli tal-iskola tagħhom (edukazzjoni primarja u sekondarja u universitajiet). Barra minn hekk, kors speċifiku dwar l-UE u l-funzjonament tiegħu jista’ jiġi offrut lill-istudenti li jixtiequ jistudjaw f’pajjiż Ewropew ieħor permezz tal-programm Erasmus. L-istudenti li jagħżlu dan il-kors jingħataw prijorità sabiex jibbenefikaw minn dawn il-programmi Erasmus. </w:t>
      </w:r>
    </w:p>
    <w:p>
      <w:pPr>
        <w:pStyle w:val="Normal"/>
        <w:rPr/>
      </w:pPr>
      <w:r>
        <w:rPr/>
        <w:t xml:space="preserve"> </w:t>
      </w:r>
    </w:p>
    <w:p>
      <w:pPr>
        <w:pStyle w:val="Normal"/>
        <w:rPr/>
      </w:pPr>
      <w:r>
        <w:rPr/>
        <w:t xml:space="preserve">Nirrakkomandaw dawn il-miżuri sabiex jiżdied is-sens ta’ appartenenza għall-UE. B’dan il-mod, iċ-ċittadini jidentifikaw ruħhom aħjar mal-Unjoni u jwasslu l-valuri tagħha. Barra minn hekk, dawn il-miżuri se jtejbu t-trasparenza dwar il-funzjonament tal-UE u l-benefiċċji li tkun parti minnha kif ukoll il-ġlieda kontra l-movimenti anti-Ewropej. Dawn il-miżuri għandhom jiskoraġġixxu lill-Istati Membri milli jitilqu mill-UE. </w:t>
      </w:r>
    </w:p>
    <w:p>
      <w:pPr>
        <w:pStyle w:val="Normal"/>
        <w:rPr/>
      </w:pPr>
      <w:r>
        <w:rPr/>
        <w:t xml:space="preserve"> </w:t>
      </w:r>
    </w:p>
    <w:p>
      <w:pPr>
        <w:pStyle w:val="P68B1DB1Normal15"/>
        <w:rPr>
          <w:b/>
          <w:b/>
        </w:rPr>
      </w:pPr>
      <w:r>
        <w:rPr/>
        <w:t xml:space="preserve">24. Nirrakkomandaw li l-UE tagħmel użu akbar mill-piż politiku u ekonomiku tagħha fir-relazzjonijiet tagħha ma’ pajjiżi oħra sabiex jiġi evitat li ċerti Stati Membri jkunu soġġetti għal pressjoni ekonomika, politika u soċjali bilaterali. </w:t>
      </w:r>
    </w:p>
    <w:p>
      <w:pPr>
        <w:pStyle w:val="Normal"/>
        <w:rPr/>
      </w:pPr>
      <w:r>
        <w:rPr/>
        <w:t xml:space="preserve"> </w:t>
      </w:r>
    </w:p>
    <w:p>
      <w:pPr>
        <w:pStyle w:val="Normal"/>
        <w:rPr/>
      </w:pPr>
      <w:r>
        <w:rPr/>
        <w:t xml:space="preserve">Aħna nirrakkomandaw dawn il-miżuri għal tliet raġunijiet. L-ewwel nett, huma ser isaħħu s-sens ta’ unità fi ħdan l-UE. It-tieni nett, reazzjoni unilaterali se tkun reazzjoni ċara, b’saħħitha u rapida biex jiġi evitat kwalunkwe tentattiv minn pajjiżi terzi biex b’mod qawwi jew jitrażżnu l-pajjiżi membri tal-UE. Fl-aħħar nett, huma ser isaħħu s-sigurtà tal-Unjoni u jiżguraw li l-ebda Stat Membru ma jħoss li ġie abbandunat jew injorat. Ir-reazzjonijiet bilaterali jaqsmu l-UE u huma dgħufija li pajjiżi terzi jużaw kontra tagħna. </w:t>
      </w:r>
    </w:p>
    <w:p>
      <w:pPr>
        <w:pStyle w:val="Normal"/>
        <w:rPr/>
      </w:pPr>
      <w:r>
        <w:rPr/>
        <w:t xml:space="preserve"> </w:t>
      </w:r>
    </w:p>
    <w:p>
      <w:pPr>
        <w:pStyle w:val="P68B1DB1Normal15"/>
        <w:rPr>
          <w:b/>
          <w:b/>
        </w:rPr>
      </w:pPr>
      <w:r>
        <w:rPr/>
        <w:t xml:space="preserve">25. “Aħna nirrakkomandaw li l-Unjoni ttejjeb l-istrateġija ta’ komunikazzjoni tagħha”. Minn naħa, l-UE għandha żżid il-viżibbiltà tagħha fuq in-netwerks soċjali u tippromwovi b’mod attiv il-kontenut tagħhom. Min-naħa l-oħra, għandha tkompli torganizza konferenzi bħall-Konferenza dwar il-Futur tal-Ewropa kull sena. Nirrakkomandaw ukoll li tkompli tinkoraġġixxi l-innovazzjoni billi tippromwovi netwerk soċjali Ewropew aċċessibbli. </w:t>
      </w:r>
    </w:p>
    <w:p>
      <w:pPr>
        <w:pStyle w:val="Normal"/>
        <w:rPr/>
      </w:pPr>
      <w:r>
        <w:rPr/>
        <w:t xml:space="preserve"> </w:t>
      </w:r>
    </w:p>
    <w:p>
      <w:pPr>
        <w:pStyle w:val="Normal"/>
        <w:rPr/>
      </w:pPr>
      <w:r>
        <w:rPr/>
        <w:t xml:space="preserve">Dawn il-proposti mhux biss jilħqu liż-żgħażagħ, iżda jżidu wkoll l-interess u l-parteċipazzjoni taċ-ċittadini Ewropej permezz ta’ għodda ta’ komunikazzjoni aktar attraenti u effettiva. L-organizzazzjoni ta’ avvenimenti, bħall-Konferenza dwar il-Ġejjieni tal-Ewropa, għandha tippermetti liċ-ċittadini jkunu aktar involuti fil-proċess tat-teħid tad-deċiżjonijiet u tiżgura li l-vuċijiet tagħhom jinstemgħu. </w:t>
      </w:r>
    </w:p>
    <w:p>
      <w:pPr>
        <w:pStyle w:val="Normal"/>
        <w:rPr/>
      </w:pPr>
      <w:r>
        <w:rPr/>
        <w:t xml:space="preserve"> </w:t>
      </w:r>
    </w:p>
    <w:p>
      <w:pPr>
        <w:pStyle w:val="P68B1DB1Normal15"/>
        <w:rPr>
          <w:b/>
          <w:b/>
        </w:rPr>
      </w:pPr>
      <w:r>
        <w:rPr/>
        <w:t xml:space="preserve">26. Nirrakkomandaw li l-Istati Membri jadottaw viżjoni b’saħħitha u strateġija komuni biex jarmonizzaw u jikkonsolidaw l-identità u l-unità Ewropea qabel ma jkomplu jkabbru l-Unjoni. </w:t>
      </w:r>
    </w:p>
    <w:p>
      <w:pPr>
        <w:pStyle w:val="Normal"/>
        <w:rPr/>
      </w:pPr>
      <w:r>
        <w:rPr/>
        <w:t xml:space="preserve"> </w:t>
      </w:r>
    </w:p>
    <w:p>
      <w:pPr>
        <w:pStyle w:val="Normal"/>
        <w:rPr/>
      </w:pPr>
      <w:r>
        <w:rPr/>
        <w:t xml:space="preserve">Aħna nemmnu li huwa essenzjali li tissaħħaħ l-UE u jissaħħu r-relazzjonijiet bejn l-Istati Membri qabel ma tiġi kkunsidrata l-integrazzjoni ta’ pajjiżi oħra. Aktar ma l-Istati Membri fl-UE, aktar ikun ikkumplikat il-proċess tat-teħid tad-deċiżjonijiet; għalhekk huwa importanti li tiġi riveduta l-votazzjoni unanima fil-proċessi tat-teħid tad-deċiżjonijiet. </w:t>
      </w:r>
    </w:p>
    <w:p>
      <w:pPr>
        <w:pStyle w:val="Normal"/>
        <w:rPr/>
      </w:pPr>
      <w:r>
        <w:rPr/>
        <w:t xml:space="preserve"> </w:t>
      </w:r>
    </w:p>
    <w:p>
      <w:pPr>
        <w:pStyle w:val="Titre3"/>
        <w:numPr>
          <w:ilvl w:val="2"/>
          <w:numId w:val="2"/>
        </w:numPr>
        <w:rPr/>
      </w:pPr>
      <w:bookmarkStart w:id="193" w:name="__RefHeading___Toc297321_1346298689"/>
      <w:bookmarkEnd w:id="193"/>
      <w:r>
        <w:rPr/>
        <w:t xml:space="preserve">Assi 4: Migrazzjoni mill-perspettiva tal-bniedem </w:t>
      </w:r>
    </w:p>
    <w:p>
      <w:pPr>
        <w:pStyle w:val="Titre4"/>
        <w:numPr>
          <w:ilvl w:val="3"/>
          <w:numId w:val="2"/>
        </w:numPr>
        <w:rPr/>
      </w:pPr>
      <w:bookmarkStart w:id="194" w:name="__RefHeading___Toc297323_1346298689"/>
      <w:bookmarkEnd w:id="194"/>
      <w:r>
        <w:rPr/>
        <w:t xml:space="preserve">Sottoassi 4.1 — L-indirizzar tal-kawżi tal-emigrazzjoni </w:t>
      </w:r>
    </w:p>
    <w:p>
      <w:pPr>
        <w:pStyle w:val="P68B1DB1Normal15"/>
        <w:rPr>
          <w:b/>
          <w:b/>
        </w:rPr>
      </w:pPr>
      <w:r>
        <w:rPr/>
        <w:t xml:space="preserve">27. Nirrakkomandaw li l-Unjoni Ewropea tipparteċipa b’mod attiv fl-iżvilupp ekonomiku ta’ pajjiżi terzi u pajjiżi li minnhom joriġinaw l-akbar flussi ta’ migranti. Bl-għajnuna tal-korpi rilevanti (NGOs lokali u politiċi lokali, ħaddiema esperti fil-qasam, eċċ.), l-UE għandha tfittex modi biex tintervjeni b’mod paċifiku u effettiv f’pajjiżi fejn joriġinaw l-akbar flussi ta’ migranti u li qablu mal-modalitajiet ta’ kooperazzjoni. Dawn l-interventi għandu jkollhom effetti tanġibbli u li jistgħu jitkejlu, li għandhom jiġu enfasizzati b’mod ċar sabiex iċ-ċittadini Ewropej ikunu jistgħu jifhmu l-politika tal-Unjoni dwar l-għajnuna għall-iżvilupp. Għalhekk, l-azzjonijiet ta’ għajnuna għall-iżvilupp tal-UE għandhom isiru aktar viżibbli. </w:t>
      </w:r>
    </w:p>
    <w:p>
      <w:pPr>
        <w:pStyle w:val="Normal"/>
        <w:rPr/>
      </w:pPr>
      <w:r>
        <w:rPr/>
        <w:t xml:space="preserve"> </w:t>
      </w:r>
    </w:p>
    <w:p>
      <w:pPr>
        <w:pStyle w:val="Normal"/>
        <w:rPr/>
      </w:pPr>
      <w:r>
        <w:rPr/>
        <w:t xml:space="preserve">Anke jekk l-UE qed taħdem fuq l-iżvilupp internazzjonali, għandha tkompli l-azzjoni tagħha u tinvesti fit-trasparenza u l-viżibbiltà tal-politika tagħha f’dan il-qasam. </w:t>
      </w:r>
    </w:p>
    <w:p>
      <w:pPr>
        <w:pStyle w:val="Normal"/>
        <w:rPr/>
      </w:pPr>
      <w:r>
        <w:rPr/>
        <w:t xml:space="preserve"> </w:t>
      </w:r>
    </w:p>
    <w:p>
      <w:pPr>
        <w:pStyle w:val="P68B1DB1Normal15"/>
        <w:rPr>
          <w:b/>
          <w:b/>
        </w:rPr>
      </w:pPr>
      <w:r>
        <w:rPr/>
        <w:t xml:space="preserve">28. Nirrakkomandaw l-istabbiliment ta’ qafas Ewropew komuni għall-armonizzazzjoni tal-kundizzjonijiet tax-xogħol madwar l-Unjoni (paga minima, ħin tax-xogħol, eċċ.). L-UE għandha tagħmel ħilitha biex toħloq standards bażiċi komuni tax-xogħol biex tipprevjeni liċ-ċittadini milli jitilqu minn pajjiżhom biex ifittxu kundizzjonijiet tax-xogħol aħjar x’imkien ieħor. Fil-qafas ta’ dawn l-istandards, l-UE għandha ssaħħaħ ir-rwol tat-trade unions fil-livell transnazzjonali. Billi tagħmel dan, l-UE tirrikonoxxi li l-migrazzjoni ekonomika interna (migrazzjoni taċ-ċittadini tal-UE) hija problema serja. </w:t>
      </w:r>
    </w:p>
    <w:p>
      <w:pPr>
        <w:pStyle w:val="Normal"/>
        <w:rPr/>
      </w:pPr>
      <w:r>
        <w:rPr/>
        <w:t xml:space="preserve"> </w:t>
      </w:r>
    </w:p>
    <w:p>
      <w:pPr>
        <w:pStyle w:val="Normal"/>
        <w:rPr/>
      </w:pPr>
      <w:r>
        <w:rPr/>
        <w:t xml:space="preserve">Din ir-rakkomandazzjoni toħroġ mis-sejba li għadd kbir ta’ persuni fl-UE jemigraw għal raġunijiet ekonomiċi, minħabba d-disparità fil-kundizzjonijiet tax-xogħol bejn l-Istati Membri. Huwa meħtieġ li jiġi evitat dan l-eżodu ta’ mħuħ sabiex l-Istati Membri jżommu t-talenti tagħhom u l-forza tax-xogħol tagħhom Aħna nappoġġjaw il-moviment liberu taċ-ċittadini, iżda nemmnu li l-migrazzjoni taċ-ċittadini tal-UE bejn l-Istati Membri differenti, meta ma tkunx mixtieqa, hija dovuta għal raġunijiet ekonomiċi. Huwa għalhekk li huwa importanti li jiġi stabbilit qafas komuni għax-xogħol. </w:t>
      </w:r>
    </w:p>
    <w:p>
      <w:pPr>
        <w:pStyle w:val="Normal"/>
        <w:rPr/>
      </w:pPr>
      <w:r>
        <w:rPr/>
        <w:t xml:space="preserve"> </w:t>
      </w:r>
    </w:p>
    <w:p>
      <w:pPr>
        <w:pStyle w:val="Titre4"/>
        <w:numPr>
          <w:ilvl w:val="3"/>
          <w:numId w:val="2"/>
        </w:numPr>
        <w:rPr/>
      </w:pPr>
      <w:bookmarkStart w:id="195" w:name="__RefHeading___Toc297325_1346298689"/>
      <w:bookmarkEnd w:id="195"/>
      <w:r>
        <w:rPr/>
        <w:t xml:space="preserve">Sotto-assi 4.2 — Konsiderazzjonijiet Umani </w:t>
      </w:r>
    </w:p>
    <w:p>
      <w:pPr>
        <w:pStyle w:val="P68B1DB1Normal15"/>
        <w:rPr>
          <w:b/>
          <w:b/>
        </w:rPr>
      </w:pPr>
      <w:r>
        <w:rPr/>
        <w:t xml:space="preserve">29. Nirrakkomandaw l-implimentazzjoni ta’ politika komuni dwar il-migrazzjoni bbażata fuq il-prinċipju tas-solidarjetà. Irridu l-enfasi fuq il-problema tar-refuġjati. Proċedura komuni għall-Istati Membri kollha tal-UE għandha tkun ibbażata fuq l-aktar prattiki effettivi fil-pajjiżi kollha tal-UE. Din il-proċedura għandha tiġi implimentata b’mod proattiv mill-awtoritajiet nazzjonali u mill-amministrazzjoni tal-UE. </w:t>
      </w:r>
    </w:p>
    <w:p>
      <w:pPr>
        <w:pStyle w:val="Normal"/>
        <w:rPr/>
      </w:pPr>
      <w:r>
        <w:rPr/>
        <w:t xml:space="preserve"> </w:t>
      </w:r>
    </w:p>
    <w:p>
      <w:pPr>
        <w:pStyle w:val="Normal"/>
        <w:rPr/>
      </w:pPr>
      <w:r>
        <w:rPr/>
        <w:t xml:space="preserve">Il-problema tar-refuġjati taffettwa l-pajjiżi membri kollha. Bħalissa, dawn l-istati għandhom prattiki differenti wisq, b’effetti negattivi fuq ir-refuġjati u ċ-ċittadini tal-UE. Huwa għalhekk meħtieġ li jiġi adottat approċċ koerenti u konsistenti. </w:t>
      </w:r>
    </w:p>
    <w:p>
      <w:pPr>
        <w:pStyle w:val="Normal"/>
        <w:rPr/>
      </w:pPr>
      <w:r>
        <w:rPr/>
        <w:t xml:space="preserve"> </w:t>
      </w:r>
    </w:p>
    <w:p>
      <w:pPr>
        <w:pStyle w:val="P68B1DB1Normal15"/>
        <w:rPr>
          <w:b/>
          <w:b/>
        </w:rPr>
      </w:pPr>
      <w:r>
        <w:rPr/>
        <w:t xml:space="preserve">30. Nirrakkomandaw li l-UE żżid l-isforzi tagħha biex tinforma u teduka liċ-ċittadini tal-Istati Membri dwar kwistjonijiet relatati mal-migrazzjoni. Dan għandu jinkiseb billi t-tfal jiġu edukati kmieni kemm jista’ jkun mill-bidu tal-iskola primarja dwar suġġetti bħall-migrazzjoni u l-integrazzjoni. Jekk nikkombinaw din l-edukazzjoni bikrija mal-attivitajiet tal-NGOs u l-organizzazzjonijiet taż-żgħażagħ, kif ukoll ma’ kampanji tal-midja fuq skala kbira, nistgħu niksbu bis-sħiħ l-għan tagħna. Barra minn hekk, ħafna mezzi ta’ komunikazzjoni jistgħu jintużaw: fuljetti, televiżjoni u netwerks soċjali fost oħrajn. </w:t>
      </w:r>
    </w:p>
    <w:p>
      <w:pPr>
        <w:pStyle w:val="Normal"/>
        <w:rPr/>
      </w:pPr>
      <w:r>
        <w:rPr/>
        <w:t xml:space="preserve"> </w:t>
      </w:r>
    </w:p>
    <w:p>
      <w:pPr>
        <w:pStyle w:val="Normal"/>
        <w:rPr/>
      </w:pPr>
      <w:r>
        <w:rPr/>
        <w:t xml:space="preserve">Huwa importanti li jintwera li l-migrazzjoni għandha wkoll ħafna aspetti pożittivi, bħall-forza tax-xogħol addizzjonali. Nixtiequ nenfasizzaw l-importanza li titqajjem kuxjenza dwar iż-żewġ proċessi, sabiex iċ-ċittadini jifhmu r-raġunijiet u l-konsegwenzi tal-migrazzjoni biex tiġi eliminata l-istigma li tirriżulta mill-perċezzjoni bħala migrant. </w:t>
      </w:r>
    </w:p>
    <w:p>
      <w:pPr>
        <w:pStyle w:val="Normal"/>
        <w:rPr/>
      </w:pPr>
      <w:r>
        <w:rPr/>
        <w:t xml:space="preserve"> </w:t>
      </w:r>
    </w:p>
    <w:p>
      <w:pPr>
        <w:pStyle w:val="Titre4"/>
        <w:numPr>
          <w:ilvl w:val="3"/>
          <w:numId w:val="2"/>
        </w:numPr>
        <w:rPr/>
      </w:pPr>
      <w:bookmarkStart w:id="196" w:name="__RefHeading___Toc297327_1346298689"/>
      <w:bookmarkEnd w:id="196"/>
      <w:r>
        <w:rPr/>
        <w:t xml:space="preserve">Sotto-assi 4.3 — Fruntieri </w:t>
      </w:r>
    </w:p>
    <w:p>
      <w:pPr>
        <w:pStyle w:val="P68B1DB1Normal15"/>
        <w:rPr>
          <w:b/>
          <w:b/>
        </w:rPr>
      </w:pPr>
      <w:r>
        <w:rPr/>
        <w:t xml:space="preserve">31. Nirrakkomandaw li d-Direttiva 2013/33/UE dwar l-istandards minimi għall-akkoljenza ta’ dawk li jfittxu l-asil fl-Istati Membri tiġi sostitwita b’regolament obbligatorju tal-UE, li se japplika b’mod uniformi fl-Istati Membri kollha. Għandha tingħata prijorità lit-titjib tal-faċilitajiet ta’ akkoljenza u akkomodazzjoni. Nirrakkomandaw il-ħolqien ta’ korp ta’ monitoraġġ speċifiku tal-UE għall-implimentazzjoni tar-Regolament. </w:t>
      </w:r>
    </w:p>
    <w:p>
      <w:pPr>
        <w:pStyle w:val="Normal"/>
        <w:rPr/>
      </w:pPr>
      <w:r>
        <w:rPr/>
        <w:t xml:space="preserve"> </w:t>
      </w:r>
    </w:p>
    <w:p>
      <w:pPr>
        <w:pStyle w:val="Normal"/>
        <w:rPr/>
      </w:pPr>
      <w:r>
        <w:rPr/>
        <w:t xml:space="preserve">Fil-fatt, id-Direttiva mhijiex implimentata b’mod uniformi fl-Istati Membri kollha. Irridu nevitaw li nirrepetu l-kundizzjonijiet osservati fil-kamp tar-refuġjati ta’ Moria. Ir-Regolament rakkomandat għandu għalhekk jiġi implimentat u jinkludi sanzjonijiet obbligatorji. Il-korp ta’ monitoraġġ għandu jkun robust u affidabbli. </w:t>
      </w:r>
    </w:p>
    <w:p>
      <w:pPr>
        <w:pStyle w:val="Normal"/>
        <w:rPr/>
      </w:pPr>
      <w:r>
        <w:rPr/>
        <w:t xml:space="preserve"> </w:t>
      </w:r>
    </w:p>
    <w:p>
      <w:pPr>
        <w:pStyle w:val="P68B1DB1Normal15"/>
        <w:rPr>
          <w:b/>
          <w:b/>
        </w:rPr>
      </w:pPr>
      <w:r>
        <w:rPr/>
        <w:t xml:space="preserve">32. Nirrakkomandaw li l-UE tiżgura li l-persuni kollha li jfittxu asil u r-refuġjati jieħdu korsijiet tal-lingwa u ta’ integrazzjoni waqt li l-applikazzjoni tagħhom għal residenza tiġi eżaminata. Il-korsijiet għandhom ikunu obbligatorji, mingħajr ħlas u jinkludu assistenza personali għall-integrazzjoni inizjali. Dawn għandhom jibdew fi żmien ġimagħtejn mill-applikazzjoni għal residenza. Għandhom jiġu stabbiliti wkoll mekkaniżmi ta’ inċentivi u sanzjonijiet. </w:t>
      </w:r>
    </w:p>
    <w:p>
      <w:pPr>
        <w:pStyle w:val="Normal"/>
        <w:rPr/>
      </w:pPr>
      <w:r>
        <w:rPr/>
        <w:t xml:space="preserve"> </w:t>
      </w:r>
    </w:p>
    <w:p>
      <w:pPr>
        <w:pStyle w:val="Normal"/>
        <w:rPr/>
      </w:pPr>
      <w:r>
        <w:rPr/>
        <w:t xml:space="preserve">It-tagħlim tal-lingwa u l-fehim tal-kultura, l-istorja u l-etika tal-pajjiż tal-wasla huwa pass essenzjali fl-integrazzjoni. It-tul tad-dewmien qabel il-bidu tal-proċess ta’ integrazzjoni inizjali għandu impatt negattiv fuq l-assimilazzjoni soċjali tal-migranti. Il-mekkaniżmi ta’ sanzjonijiet jistgħu jgħinu biex tiġi identifikata r-rieda tal-migranti li jintegraw. </w:t>
      </w:r>
    </w:p>
    <w:p>
      <w:pPr>
        <w:pStyle w:val="Normal"/>
        <w:rPr/>
      </w:pPr>
      <w:r>
        <w:rPr/>
        <w:t xml:space="preserve"> </w:t>
      </w:r>
    </w:p>
    <w:p>
      <w:pPr>
        <w:pStyle w:val="Titre3"/>
        <w:numPr>
          <w:ilvl w:val="2"/>
          <w:numId w:val="2"/>
        </w:numPr>
        <w:rPr/>
      </w:pPr>
      <w:bookmarkStart w:id="197" w:name="__RefHeading___Toc297329_1346298689"/>
      <w:bookmarkEnd w:id="197"/>
      <w:r>
        <w:rPr/>
        <w:t xml:space="preserve">Assi 5: Responsabbiltà u solidarjetà fl-UE </w:t>
      </w:r>
    </w:p>
    <w:p>
      <w:pPr>
        <w:pStyle w:val="Titre4"/>
        <w:numPr>
          <w:ilvl w:val="3"/>
          <w:numId w:val="2"/>
        </w:numPr>
        <w:rPr/>
      </w:pPr>
      <w:bookmarkStart w:id="198" w:name="__RefHeading___Toc297331_1346298689"/>
      <w:bookmarkEnd w:id="198"/>
      <w:r>
        <w:rPr/>
        <w:t xml:space="preserve">Sottoassi 5.1 — Distribuzzjoni tal-migranti </w:t>
      </w:r>
    </w:p>
    <w:p>
      <w:pPr>
        <w:pStyle w:val="P68B1DB1Normal15"/>
        <w:rPr>
          <w:b/>
          <w:b/>
        </w:rPr>
      </w:pPr>
      <w:r>
        <w:rPr/>
        <w:t xml:space="preserve">33. Nirrakkomandaw li s-sistema ta’ Dublin tiġi sostitwita bi trattat legalment vinkolanti biex tiġi żgurata distribuzzjoni ġusta, ibbilanċjata u proporzjonata ta’ dawk li jfittxu l-asil fl-UE abbażi tas-solidarjetà u l-ġustizzja. Bħalissa, ir-refuġjati huma meħtieġa japplikaw għall-ażil fl-ewwel Stat Membru tal-wasla. Din il-bidla fis-sistema għandha tkun malajr kemm jista’ jkun. Il-proposta tal-Kummissjoni Ewropea għal Patt ġdid tal-UE dwar il-Migrazzjoni u l-Ażil mill-2020 hija bidu tajjeb u għandha tieħu forma legali, peress li tipprovdi kwoti għad-distribuzzjoni tar-refuġjati bejn l-Istati Membri tal-UE. </w:t>
      </w:r>
    </w:p>
    <w:p>
      <w:pPr>
        <w:pStyle w:val="Normal"/>
        <w:rPr/>
      </w:pPr>
      <w:r>
        <w:rPr/>
        <w:t xml:space="preserve"> </w:t>
      </w:r>
    </w:p>
    <w:p>
      <w:pPr>
        <w:pStyle w:val="Normal"/>
        <w:rPr/>
      </w:pPr>
      <w:r>
        <w:rPr/>
        <w:t xml:space="preserve">Nirrakkomandaw dan għaliex is-sistema attwali ta’ Dublin ma tirrispettax il-prinċipji tas-solidarjetà u l-ġustizzja. Dan ipoġġi piż kbir fuq l-Istati Membri qrib il-fruntieri esterni tal-UE li dawk li jfittxu l-asil jaqsmu biex jidħlu fit-territorju tagħhom. L-Istati Membri kollha għandhom jieħdu r-responsabbiltà għall-ġestjoni tal-flussi tar-refuġjati fl-UE. L-UE hija komunità ta’ valuri komuni u għandha taġixxi kif xieraq. </w:t>
      </w:r>
    </w:p>
    <w:p>
      <w:pPr>
        <w:pStyle w:val="Normal"/>
        <w:rPr/>
      </w:pPr>
      <w:r>
        <w:rPr/>
        <w:t xml:space="preserve"> </w:t>
      </w:r>
    </w:p>
    <w:p>
      <w:pPr>
        <w:pStyle w:val="P68B1DB1Normal15"/>
        <w:rPr>
          <w:b/>
          <w:b/>
        </w:rPr>
      </w:pPr>
      <w:r>
        <w:rPr/>
        <w:t xml:space="preserve">34. Nirrakkomandaw li l-UE tassisti lill-Istati Membri tagħha fl-ipproċessar tal-applikazzjonijiet għall-ażil b’pass aktar mgħaġġel u skont standards komuni. Barra minn hekk, għandha tingħata akkomodazzjoni umanitarja lir-refuġjati. Sabiex iħottu l-pajjiżi tal-wasla u jkunu jistgħu jipproċessaw l-applikazzjonijiet tagħhom għall-asil x’imkien ieħor, nirrakkomandaw li r-refuġjati jiġu rilokati malajr u b’mod effiċjenti lejn l-Istati Membri differenti wara li jaslu għall-ewwel darba fl-UE. Għal dan il-għan, l-appoġġ finanzjarju u l-appoġġ organizzattiv tal-UE mill-Aġenzija tal-UE għall-Ażil huma meħtieġa. Persuni li l-applikazzjoni tagħhom għall-ażil tkun ġiet rifjutata għandhom jintbagħtu lura lejn il-pajjiż ta’ oriġini tagħhom b’mod effettiv, sakemm il-pajjiż ta’ oriġini tagħhom ikun meqjus bla periklu. </w:t>
      </w:r>
    </w:p>
    <w:p>
      <w:pPr>
        <w:pStyle w:val="Normal"/>
        <w:rPr/>
      </w:pPr>
      <w:r>
        <w:rPr/>
        <w:t xml:space="preserve"> </w:t>
      </w:r>
    </w:p>
    <w:p>
      <w:pPr>
        <w:pStyle w:val="Normal"/>
        <w:rPr/>
      </w:pPr>
      <w:r>
        <w:rPr/>
        <w:t xml:space="preserve">Aħna nirrakkomandaw dan għaliex il-proċeduri tal-ażil bħalissa jieħdu wisq żmien u jistgħu jvarjaw minn Stat Membru għal ieħor. Billi jħaffu l-proċeduri tal-ażil, ir-refuġjati jqattgħu inqas ħin jistennew deċiżjoni finali f’faċilitajiet ta’ akkomodazzjoni temporanja. Dawk li jfittxu l-ażil jistgħu jiġu integrati aktar malajr. </w:t>
      </w:r>
    </w:p>
    <w:p>
      <w:pPr>
        <w:pStyle w:val="Normal"/>
        <w:rPr/>
      </w:pPr>
      <w:r>
        <w:rPr/>
        <w:t xml:space="preserve"> </w:t>
      </w:r>
    </w:p>
    <w:p>
      <w:pPr>
        <w:pStyle w:val="P68B1DB1Normal15"/>
        <w:rPr>
          <w:b/>
          <w:b/>
        </w:rPr>
      </w:pPr>
      <w:r>
        <w:rPr/>
        <w:t xml:space="preserve">35. Nirrakkomandaw appoġġ finanzjarju, loġistiku u operazzjonali qawwi tal-UE għall-ġestjoni tal-ewwel akkoljenza, li possibbilment twassal għall-integrazzjoni jew ir-ripatrijazzjoni ta’ migranti irregolari. Il-benefiċjarji ta’ dan l-appoġġ huma l-istati tal-fruntiera tal-UE li jġorru l-piż tal-influss tal-migrazzjoni. </w:t>
      </w:r>
    </w:p>
    <w:p>
      <w:pPr>
        <w:pStyle w:val="Normal"/>
        <w:rPr/>
      </w:pPr>
      <w:r>
        <w:rPr/>
        <w:t xml:space="preserve"> </w:t>
      </w:r>
    </w:p>
    <w:p>
      <w:pPr>
        <w:pStyle w:val="Normal"/>
        <w:rPr/>
      </w:pPr>
      <w:r>
        <w:rPr/>
        <w:t xml:space="preserve">Minħabba l-pożizzjoni ġeografika tagħhom, xi </w:t>
      </w:r>
      <w:commentRangeStart w:id="8"/>
      <w:r>
        <w:rPr/>
        <w:t>Stati</w:t>
      </w:r>
      <w:r>
        <w:rPr/>
      </w:r>
      <w:commentRangeEnd w:id="8"/>
      <w:r>
        <w:commentReference w:id="8"/>
      </w:r>
      <w:r>
        <w:rPr/>
        <w:t xml:space="preserve"> Membri huma l-aktar affettwati mill-influss ta’ migranti. </w:t>
      </w:r>
    </w:p>
    <w:p>
      <w:pPr>
        <w:pStyle w:val="Normal"/>
        <w:rPr/>
      </w:pPr>
      <w:r>
        <w:rPr/>
        <w:t xml:space="preserve"> </w:t>
      </w:r>
    </w:p>
    <w:p>
      <w:pPr>
        <w:pStyle w:val="P68B1DB1Normal15"/>
        <w:rPr>
          <w:b/>
          <w:b/>
        </w:rPr>
      </w:pPr>
      <w:r>
        <w:rPr/>
        <w:t xml:space="preserve">36. Nirrakkomandaw li jissaħħaħ il-mandat tal-Aġenzija tal-UE għall-Asil sabiex tinkiseb distribuzzjoni ġusta ta’ dawk li jfittxu l-ażil fl-Istati Membri. Sabiex dan jinkiseb, għandhom jitqiesu l-ħtiġijiet ta’ dawn il-persuni li jfittxu l-ażil kif ukoll il-kapaċitajiet loġistiċi u ekonomiċi tal-Istati Membri u l-ħtiġijiet tagħhom fis-suq tax-xogħol. </w:t>
      </w:r>
    </w:p>
    <w:p>
      <w:pPr>
        <w:pStyle w:val="Normal"/>
        <w:rPr/>
      </w:pPr>
      <w:r>
        <w:rPr/>
        <w:t xml:space="preserve"> </w:t>
      </w:r>
    </w:p>
    <w:p>
      <w:pPr>
        <w:pStyle w:val="Normal"/>
        <w:rPr/>
      </w:pPr>
      <w:r>
        <w:rPr/>
        <w:t xml:space="preserve">Distribuzzjoni koordinata u ċentralizzata ta’ dawk li jfittxu ażil, meqjusa ġusta mill-Istati Membri u ċ-ċittadini tagħhom, tevita sitwazzjonijiet kaotiċi u tensjonijiet soċjali u ssaħħaħ is-solidarjetà bejn l-Istati Membri. </w:t>
      </w:r>
    </w:p>
    <w:p>
      <w:pPr>
        <w:pStyle w:val="Normal"/>
        <w:rPr/>
      </w:pPr>
      <w:r>
        <w:rPr/>
        <w:t xml:space="preserve"> </w:t>
      </w:r>
    </w:p>
    <w:p>
      <w:pPr>
        <w:pStyle w:val="Titre4"/>
        <w:numPr>
          <w:ilvl w:val="3"/>
          <w:numId w:val="2"/>
        </w:numPr>
        <w:rPr/>
      </w:pPr>
      <w:bookmarkStart w:id="199" w:name="__RefHeading___Toc297333_1346298689"/>
      <w:bookmarkEnd w:id="199"/>
      <w:r>
        <w:rPr/>
        <w:t xml:space="preserve">Sottoassi 5.2 — Approċċ komuni għall-ażil </w:t>
      </w:r>
    </w:p>
    <w:p>
      <w:pPr>
        <w:pStyle w:val="P68B1DB1Normal15"/>
        <w:rPr>
          <w:b/>
          <w:b/>
        </w:rPr>
      </w:pPr>
      <w:r>
        <w:rPr/>
        <w:t xml:space="preserve">37. Nirrakkomandaw jew il-ħolqien ta’ istituzzjoni Ewropea komprensiva jew it-tisħiħ tal-Aġenzija tal-UE għall-Asil sabiex tkun tista’ tipproċessa l-applikazzjonijiet għall-ażil għall-Unjoni Ewropea kollha u taġixxi fuq il-bażi ta’ standards uniformi. L-aġenzija għandha tkun responsabbli wkoll għat-tqassim tar-refuġjati b’mod ekwu. Għandha tiddefinixxi wkoll pajjiżi ta’ oriġini sikuri u mhux sikuri u tkun responsabbli għar-ritorn ta’ dawk li jfittxu l-asil li l-applikazzjonijiet tagħhom ikunu ġew miċħuda. </w:t>
      </w:r>
    </w:p>
    <w:p>
      <w:pPr>
        <w:pStyle w:val="Normal"/>
        <w:rPr/>
      </w:pPr>
      <w:r>
        <w:rPr/>
        <w:t xml:space="preserve"> </w:t>
      </w:r>
    </w:p>
    <w:p>
      <w:pPr>
        <w:pStyle w:val="Normal"/>
        <w:rPr/>
      </w:pPr>
      <w:r>
        <w:rPr/>
        <w:t xml:space="preserve">Il-politika attwali dwar l-ażil hija kkaratterizzata minn responsabbiltajiet mhux ċari u standards differenti bejn l-Istati Membri tal-UE. It-trattament tal-proċeduri tal-ażil għalhekk mhuwiex l-istess fl-Istati Membri differenti. Barra minn hekk, l-Aġenzija tal-Unjoni Ewropea għall-Asil bħalissa għandha biss setgħa ta’ influwenza. Tista’ biss tagħti pariri lill-Istati Membri dwar kwistjonijiet ta’ ażil. </w:t>
      </w:r>
    </w:p>
    <w:p>
      <w:pPr>
        <w:pStyle w:val="Normal"/>
        <w:rPr/>
      </w:pPr>
      <w:r>
        <w:rPr/>
        <w:t xml:space="preserve"> </w:t>
      </w:r>
    </w:p>
    <w:p>
      <w:pPr>
        <w:pStyle w:val="P68B1DB1Normal15"/>
        <w:rPr>
          <w:b/>
          <w:b/>
        </w:rPr>
      </w:pPr>
      <w:r>
        <w:rPr/>
        <w:t xml:space="preserve">38. Nirrakkomandaw l-istabbiliment, mingħajr dewmien, ta’ ċentri tal-asil speċjalizzati għall-minorenni mhux akkumpanjati fl-Istati Membri kollha tal-UE. L-għan huwa li jintlaqgħu u jieħdu ħsieb il-minorenni skont il-bżonnijiet speċjali tagħhom u kemm jista’ jkun malajr. </w:t>
      </w:r>
    </w:p>
    <w:p>
      <w:pPr>
        <w:pStyle w:val="Normal"/>
        <w:rPr/>
      </w:pPr>
      <w:r>
        <w:rPr/>
        <w:t xml:space="preserve"> </w:t>
      </w:r>
    </w:p>
    <w:p>
      <w:pPr>
        <w:pStyle w:val="Normal"/>
        <w:rPr/>
      </w:pPr>
      <w:r>
        <w:rPr/>
        <w:t xml:space="preserve">Nagħmlu din ir-rakkomandazzjoni għaliex: </w:t>
      </w:r>
    </w:p>
    <w:p>
      <w:pPr>
        <w:pStyle w:val="Normal"/>
        <w:rPr/>
      </w:pPr>
      <w:r>
        <w:rPr/>
        <w:t xml:space="preserve">1) Ħafna minorenni x’aktarx li jkunu trawmatizzati (minħabba li jkunu ġejjin minn żoni ta’ kunflitt); </w:t>
      </w:r>
    </w:p>
    <w:p>
      <w:pPr>
        <w:pStyle w:val="Normal"/>
        <w:rPr/>
      </w:pPr>
      <w:r>
        <w:rPr/>
        <w:t xml:space="preserve">2) It-tfal differenti għandhom bżonnijiet differenti (skont l-età, is-saħħa, eċċ.); </w:t>
      </w:r>
    </w:p>
    <w:p>
      <w:pPr>
        <w:pStyle w:val="Normal"/>
        <w:rPr/>
      </w:pPr>
      <w:r>
        <w:rPr/>
        <w:t xml:space="preserve">(3) jekk tiġi implimentata, tiżgura li l-minorenni vulnerabbli u trawmatizzati jirċievu l-kura kollha meħtieġa malajr kemm jista’ jkun; </w:t>
      </w:r>
    </w:p>
    <w:p>
      <w:pPr>
        <w:pStyle w:val="Normal"/>
        <w:rPr/>
      </w:pPr>
      <w:r>
        <w:rPr/>
        <w:t xml:space="preserve">4) dawn il-minorenni huma ċittadini Ewropej futuri u għalhekk, jekk jiġu ttrattati kif xieraq, għandhom jikkontribwixxu b’mod pożittiv għall-futur tal-Ewropa. </w:t>
      </w:r>
    </w:p>
    <w:p>
      <w:pPr>
        <w:pStyle w:val="Normal"/>
        <w:rPr/>
      </w:pPr>
      <w:r>
        <w:rPr/>
        <w:t xml:space="preserve"> </w:t>
      </w:r>
    </w:p>
    <w:p>
      <w:pPr>
        <w:pStyle w:val="P68B1DB1Normal15"/>
        <w:rPr>
          <w:b/>
          <w:b/>
        </w:rPr>
      </w:pPr>
      <w:r>
        <w:rPr/>
        <w:t xml:space="preserve">39. Nirrakkomandaw l-istabbiliment ta’ sistema komuni, rapida u trasparenti għall-ipproċessar tal-applikazzjonijiet għall-ażil. Dan il-proċess għandu jipprevedi standards minimi u jiġi applikat bl-istess mod fl-Istati Membri kollha. </w:t>
      </w:r>
    </w:p>
    <w:p>
      <w:pPr>
        <w:pStyle w:val="Normal"/>
        <w:rPr/>
      </w:pPr>
      <w:r>
        <w:rPr/>
        <w:t xml:space="preserve"> </w:t>
      </w:r>
    </w:p>
    <w:p>
      <w:pPr>
        <w:pStyle w:val="Normal"/>
        <w:rPr/>
      </w:pPr>
      <w:r>
        <w:rPr/>
        <w:t xml:space="preserve">Nagħmlu din ir-rakkomandazzjoni għaliex: </w:t>
      </w:r>
    </w:p>
    <w:p>
      <w:pPr>
        <w:pStyle w:val="Normal"/>
        <w:rPr/>
      </w:pPr>
      <w:r>
        <w:rPr/>
        <w:t xml:space="preserve">(1) jekk din ir-rakkomandazzjoni tiġi implimentata, l-ipproċessar tal-applikazzjonijiet għall-ażil ikun aktar mgħaġġel u trasparenti; </w:t>
      </w:r>
    </w:p>
    <w:p>
      <w:pPr>
        <w:pStyle w:val="Normal"/>
        <w:rPr/>
      </w:pPr>
      <w:r>
        <w:rPr/>
        <w:t xml:space="preserve">2) id-dewmien tal-proċeduri attwali jwassal għall-illegalità u l-kriminalità; </w:t>
      </w:r>
    </w:p>
    <w:p>
      <w:pPr>
        <w:pStyle w:val="Normal"/>
        <w:rPr/>
      </w:pPr>
      <w:r>
        <w:rPr/>
        <w:t xml:space="preserve">3) L-istandards minimi previsti fir-rakkomandazzjoni tagħna għandhom jinkludu r-rispett għad-drittijiet tal-bniedem, is-saħħa u l-ħtiġijiet edukattivi ta’ dawk li jfittxu l-asil; </w:t>
      </w:r>
    </w:p>
    <w:p>
      <w:pPr>
        <w:pStyle w:val="Normal"/>
        <w:rPr/>
      </w:pPr>
      <w:r>
        <w:rPr/>
        <w:t xml:space="preserve">4) l-implimentazzjoni ta’ din ir-rakkomandazzjoni tirriżulta f’aċċess aħjar għall-impjiegi u l-awtosuffiċjenza, li jippermetti kontribut pożittiv għas-soċjetà Ewropea; dawk li jfittxu l-asil li l-istatus professjonali tagħhom huwa regolarizzat huma inqas probabbli li jiġu abbużati fl-ambjent tax-xogħol tagħhom; dan jista’ biss jippromwovi l-integrazzjoni ta’ dawk kollha kkonċernati; </w:t>
      </w:r>
    </w:p>
    <w:p>
      <w:pPr>
        <w:pStyle w:val="Normal"/>
        <w:rPr/>
      </w:pPr>
      <w:r>
        <w:rPr/>
        <w:t xml:space="preserve">5) soġġorni estiżi fiċ-ċentri tal-ażil għandhom impatt negattiv fuq is-saħħa mentali u l-benesseri tal-okkupanti. </w:t>
      </w:r>
    </w:p>
    <w:p>
      <w:pPr>
        <w:pStyle w:val="Normal"/>
        <w:rPr/>
      </w:pPr>
      <w:r>
        <w:rPr/>
        <w:t xml:space="preserve"> </w:t>
      </w:r>
    </w:p>
    <w:p>
      <w:pPr>
        <w:pStyle w:val="P68B1DB1Normal15"/>
        <w:rPr>
          <w:b/>
          <w:b/>
        </w:rPr>
      </w:pPr>
      <w:r>
        <w:rPr/>
        <w:t xml:space="preserve">40. Nirrakkomandaw bil-qawwa reviżjoni komprensiva tal-ftehimiet u l-leġiżlazzjoni kollha li jirregolaw l-asil u l-immigrazzjoni fl-Ewropa. Nirrakkomandaw li jiġi adottat approċċ għall-Ewropa kollha. </w:t>
      </w:r>
    </w:p>
    <w:p>
      <w:pPr>
        <w:pStyle w:val="Normal"/>
        <w:rPr/>
      </w:pPr>
      <w:r>
        <w:rPr/>
        <w:t xml:space="preserve"> </w:t>
      </w:r>
    </w:p>
    <w:p>
      <w:pPr>
        <w:pStyle w:val="Normal"/>
        <w:rPr/>
      </w:pPr>
      <w:r>
        <w:rPr/>
        <w:t xml:space="preserve">Nagħmlu din ir-rakkomandazzjoni għaliex: </w:t>
      </w:r>
    </w:p>
    <w:p>
      <w:pPr>
        <w:pStyle w:val="Normal"/>
        <w:rPr/>
      </w:pPr>
      <w:r>
        <w:rPr/>
        <w:t xml:space="preserve">1) mill-2015, il-ftehimiet attwali kollha mhumiex applikabbli, mhumiex prattiċi u mhumiex xierqa; </w:t>
      </w:r>
    </w:p>
    <w:p>
      <w:pPr>
        <w:pStyle w:val="Normal"/>
        <w:rPr/>
      </w:pPr>
      <w:r>
        <w:rPr/>
        <w:t xml:space="preserve">2) l-UE għandha titqies bħala l-“aġenzija” ewlenija li tissorvelja l-aġenziji u l-NGOs l-oħra kollha li l-kompitu tagħhom huwa li jittrattaw direttament il-kwistjonijiet tal-asil; </w:t>
      </w:r>
    </w:p>
    <w:p>
      <w:pPr>
        <w:pStyle w:val="Normal"/>
        <w:rPr/>
      </w:pPr>
      <w:r>
        <w:rPr/>
        <w:t xml:space="preserve">(3) l-Istati Membri li jbatu l-aktar mis-sitwazzjoni huma dawk li fil-biċċa l-kbira tagħhom jitħallew jissieltu mal-problema waħedhom; l-għażliet ta’ “à la carte” ta’ xi Stati Membri ma jagħtux immaġni ta’ unità; </w:t>
      </w:r>
    </w:p>
    <w:p>
      <w:pPr>
        <w:pStyle w:val="Normal"/>
        <w:rPr/>
      </w:pPr>
      <w:r>
        <w:rPr/>
        <w:t xml:space="preserve">4) leġiżlazzjoni mmirata ġdida ttejjeb il-futur ta’ dawk kollha li jfittxu asil u ssaħħaħ l-unità tal-Ewropa; </w:t>
      </w:r>
    </w:p>
    <w:p>
      <w:pPr>
        <w:pStyle w:val="Normal"/>
        <w:rPr/>
      </w:pPr>
      <w:r>
        <w:rPr/>
        <w:t xml:space="preserve">5) in-nuqqasijiet tal-leġislazzjoni attwali jagħtu lok għal kunflitti u nuqqas ta’ armonizzazzjoni madwar l-Ewropa u jwasslu għal żieda fl-intolleranza fost iċ-ċittadini Ewropej lejn il-migranti. </w:t>
      </w:r>
    </w:p>
    <w:p>
      <w:pPr>
        <w:pStyle w:val="Normal"/>
        <w:rPr/>
      </w:pPr>
      <w:r>
        <w:rPr/>
        <w:t>6) leġiżlazzjoni aktar stretta u rilevanti tnaqqas il-kriminalità u l-abbuż tas-sistema attwali tal-ażil.</w:t>
      </w:r>
    </w:p>
    <w:p>
      <w:pPr>
        <w:pStyle w:val="Normal"/>
        <w:rPr/>
      </w:pPr>
      <w:r>
        <w:rPr/>
        <w:t xml:space="preserve"> </w:t>
      </w:r>
    </w:p>
    <w:p>
      <w:pPr>
        <w:pStyle w:val="Titre3"/>
        <w:numPr>
          <w:ilvl w:val="2"/>
          <w:numId w:val="2"/>
        </w:numPr>
        <w:rPr/>
      </w:pPr>
      <w:bookmarkStart w:id="200" w:name="__RefHeading___Toc297335_1346298689"/>
      <w:bookmarkEnd w:id="200"/>
      <w:r>
        <w:rPr/>
        <w:t xml:space="preserve">Anness: RAKKOMANDAZZJONIJIET OĦRA KKUNSIDRATI MILL-BORD IŻDA MHUX ADOTTATI </w:t>
      </w:r>
    </w:p>
    <w:p>
      <w:pPr>
        <w:pStyle w:val="Titre4"/>
        <w:numPr>
          <w:ilvl w:val="3"/>
          <w:numId w:val="2"/>
        </w:numPr>
        <w:rPr/>
      </w:pPr>
      <w:bookmarkStart w:id="201" w:name="__RefHeading___Toc297337_1346298689"/>
      <w:bookmarkEnd w:id="201"/>
      <w:r>
        <w:rPr/>
        <w:t xml:space="preserve">Assi 1: Awtosuffiċjenza u stabbiltà </w:t>
      </w:r>
    </w:p>
    <w:p>
      <w:pPr>
        <w:pStyle w:val="Normal"/>
        <w:rPr/>
      </w:pPr>
      <w:r>
        <w:rPr/>
        <w:t xml:space="preserve">Sottoassi 1.1 — Awtonomija tal-UE </w:t>
      </w:r>
    </w:p>
    <w:p>
      <w:pPr>
        <w:pStyle w:val="P68B1DB1Normal15"/>
        <w:rPr>
          <w:b/>
          <w:b/>
        </w:rPr>
      </w:pPr>
      <w:r>
        <w:rPr/>
        <w:t xml:space="preserve">Jekk mitlub mill-pajjiżi li qed jiżviluppaw, nirrakkomandaw li l-programmi ta’ intervent għall-iżvilupp ekonomiku jiġu żviluppati fuq il-bażi ta’ sħubijiet imfassla għall-ħtiġijiet ta’ kull pajjiż u/jew abbażi ta’ ftehimiet kummerċjali. Dan jeħtieġ li l-ewwel jiġi vvalutat il-potenzjal ekonomiku tal-pajjiżi inkwistjoni u mbagħad jingħataw l-appoġġ ekonomiku meħtieġ u t-taħriġ vokazzjonali. </w:t>
      </w:r>
    </w:p>
    <w:p>
      <w:pPr>
        <w:pStyle w:val="Normal"/>
        <w:rPr/>
      </w:pPr>
      <w:r>
        <w:rPr/>
        <w:t xml:space="preserve">Dan iwassal għal aktar indipendenza industrijali u jtejjeb is-sitwazzjoni globali tal-migrazzjoni billi joħloq l-impjiegi; dan iwassal ukoll għal ftehimiet kummerċjali aħjar fil-pajjiżi li qed jiżviluppaw. </w:t>
      </w:r>
    </w:p>
    <w:p>
      <w:pPr>
        <w:pStyle w:val="Normal"/>
        <w:rPr/>
      </w:pPr>
      <w:r>
        <w:rPr/>
        <w:t xml:space="preserve"> </w:t>
      </w:r>
    </w:p>
    <w:p>
      <w:pPr>
        <w:pStyle w:val="Titre4"/>
        <w:numPr>
          <w:ilvl w:val="3"/>
          <w:numId w:val="2"/>
        </w:numPr>
        <w:rPr/>
      </w:pPr>
      <w:bookmarkStart w:id="202" w:name="__RefHeading___Toc297339_1346298689"/>
      <w:bookmarkEnd w:id="202"/>
      <w:r>
        <w:rPr/>
        <w:t xml:space="preserve">Assi 2: L-UE bħala sieħeb internazzjonali </w:t>
      </w:r>
    </w:p>
    <w:p>
      <w:pPr>
        <w:pStyle w:val="Normal"/>
        <w:rPr/>
      </w:pPr>
      <w:r>
        <w:rPr/>
        <w:t xml:space="preserve">Sotto-assi 2.1 — Perspettiva Etika dwar ir-Relazzjonijiet Kummerċjali </w:t>
      </w:r>
    </w:p>
    <w:p>
      <w:pPr>
        <w:pStyle w:val="P68B1DB1Normal15"/>
        <w:rPr>
          <w:b/>
          <w:b/>
        </w:rPr>
      </w:pPr>
      <w:r>
        <w:rPr/>
        <w:t xml:space="preserve">Aħna nirrakkomandaw li l-UE tintroduċi regoli li jirrikjedu li l-kumpaniji jawditjaw il-katina tal-provvista tagħhom u jissottomettu regolarment rapport tal-awditjar komprensiv, kif ukoll dispożizzjonijiet li jippremjaw jew jirrestrinġu l-importazzjonijiet ibbażati fuq kriterji etiċi. Il-kumpaniji għandhom jipprovdu rapport tal-awditjar intern u/jew estern ibbażat fuq id-daqs tagħhom. </w:t>
      </w:r>
    </w:p>
    <w:p>
      <w:pPr>
        <w:pStyle w:val="Normal"/>
        <w:rPr/>
      </w:pPr>
      <w:r>
        <w:rPr/>
        <w:t xml:space="preserve"> </w:t>
      </w:r>
    </w:p>
    <w:p>
      <w:pPr>
        <w:pStyle w:val="Normal"/>
        <w:rPr/>
      </w:pPr>
      <w:r>
        <w:rPr/>
        <w:t xml:space="preserve">Jeħtieġ li jiġi żviluppat l-aspett etiku tal-kummerċ mal-UE. Dan jista’ jsir billi jiġu mmonitorjati l-attivitajiet tan-negozju fil-ktajjen tal-provvista internazzjonali, u billi l-kumpaniji jitħeġġu jaġixxu skont kriterji etiċi, bħall-prodotti perikolużi, id-drittijiet u l-kundizzjonijiet tax-xogħol, it-tħaddim tat-tfal u l-protezzjoni ambjentali. Din ir-rakkomandazzjoni ma tapplikax għal prodotti online mixtrija direttament mill-konsumatur. </w:t>
      </w:r>
    </w:p>
    <w:p>
      <w:pPr>
        <w:pStyle w:val="Normal"/>
        <w:rPr/>
      </w:pPr>
      <w:r>
        <w:rPr/>
        <w:t xml:space="preserve"> </w:t>
      </w:r>
    </w:p>
    <w:p>
      <w:pPr>
        <w:pStyle w:val="Titre4"/>
        <w:numPr>
          <w:ilvl w:val="3"/>
          <w:numId w:val="2"/>
        </w:numPr>
        <w:rPr/>
      </w:pPr>
      <w:bookmarkStart w:id="203" w:name="__RefHeading___Toc297341_1346298689"/>
      <w:bookmarkEnd w:id="203"/>
      <w:r>
        <w:rPr/>
        <w:t xml:space="preserve">Assi 3: UE b’saħħitha f’dinja paċifika </w:t>
      </w:r>
    </w:p>
    <w:p>
      <w:pPr>
        <w:pStyle w:val="Normal"/>
        <w:rPr/>
      </w:pPr>
      <w:r>
        <w:rPr/>
        <w:t xml:space="preserve">Sottoassi 3.1 — Sigurtà u Difiża </w:t>
      </w:r>
    </w:p>
    <w:p>
      <w:pPr>
        <w:pStyle w:val="P68B1DB1Normal15"/>
        <w:rPr>
          <w:b/>
          <w:b/>
        </w:rPr>
      </w:pPr>
      <w:r>
        <w:rPr/>
        <w:t xml:space="preserve">Nirrakkomandaw li tiġi kkunsidrata mill-ġdid l-arkitettura tas-sigurtà Ewropea attwali biex din issir struttura supranazzjonali aktar effiċjenti u effiċjenti, b’kapaċitajiet akbar, bil-ħsieb tal-ħolqien ta’ armata komuni tal-Unjoni Ewropea. Għal dan il-għan, il-forzi armati nazzjonali għandhom jingħaqdu u jinbidlu gradwalment. L-għan huwa li din il-fużjoni ta’ kapaċitajiet militari madwar l-Unjoni Ewropea ser tippromwovi wkoll l-integrazzjoni Ewropea fit-tul. Il-ħolqien ta’ armata komuni tal-UE tkun teħtieġ ukoll ftehim ta’ kooperazzjoni ġdid mal-Istati Membri tal-UE u l-membri mhux Ewropej tan-NATO. </w:t>
      </w:r>
    </w:p>
    <w:p>
      <w:pPr>
        <w:pStyle w:val="Normal"/>
        <w:rPr/>
      </w:pPr>
      <w:r>
        <w:rPr/>
        <w:t xml:space="preserve"> </w:t>
      </w:r>
    </w:p>
    <w:p>
      <w:pPr>
        <w:pStyle w:val="Normal"/>
        <w:rPr/>
      </w:pPr>
      <w:r>
        <w:rPr/>
        <w:t xml:space="preserve">Jekk din ir-rakkomandazzjoni tiġi implimentata, aħna nemmnu li l-istrutturi militari fi ħdan l-Unjoni Ewropea se jsiru aktar kosteffettivi u aktar kapaċi jirreaġixxu u jaġixxu meta jkun meħtieġ. Dan l-approċċ integrat isaħħaħ il-kapaċità tal-UE li taġixxi b’mod deċiżiv u koordinat f’sitwazzjonijiet kritiċi. </w:t>
      </w:r>
    </w:p>
    <w:p>
      <w:pPr>
        <w:pStyle w:val="Normal"/>
        <w:rPr/>
      </w:pPr>
      <w:r>
        <w:rPr/>
        <w:t xml:space="preserve"> </w:t>
      </w:r>
    </w:p>
    <w:p>
      <w:pPr>
        <w:pStyle w:val="Titre4"/>
        <w:numPr>
          <w:ilvl w:val="3"/>
          <w:numId w:val="2"/>
        </w:numPr>
        <w:rPr/>
      </w:pPr>
      <w:bookmarkStart w:id="204" w:name="__RefHeading___Toc297343_1346298689"/>
      <w:bookmarkEnd w:id="204"/>
      <w:r>
        <w:rPr/>
        <w:t xml:space="preserve">Assi 4: Emigrazzjoni mil-lat uman </w:t>
      </w:r>
    </w:p>
    <w:p>
      <w:pPr>
        <w:pStyle w:val="Normal"/>
        <w:rPr/>
      </w:pPr>
      <w:r>
        <w:rPr/>
        <w:t xml:space="preserve">Sottoassi 4.1 — L-indirizzar tal-kawżi tal-emigrazzjoni </w:t>
      </w:r>
    </w:p>
    <w:p>
      <w:pPr>
        <w:pStyle w:val="P68B1DB1Normal15"/>
        <w:rPr>
          <w:b/>
          <w:b/>
        </w:rPr>
      </w:pPr>
      <w:r>
        <w:rPr/>
        <w:t xml:space="preserve">Nirrakkomandaw li l-UE tistabbilixxi protokoll ta’ azzjoni bi tħejjija għall-kriżi tal-migrazzjoni li jmiss, dik tar-refuġjati minħabba l-klima. Skont dan il-protokoll, jeħtieġ li l-UE twessa’ d-definizzjoni ta’ refuġjati u ta’ dawk li jfittxu l-asil biex tinkludi lil dawk affettwati mit-tibdil fil-klima. Peress li l-pajjiż ta’ oriġini ta’ ħafna migranti se jkun sar inabitabbli, il-protokoll għandu jiżgura wkoll li jinstabu użi ġodda għal żoni affettwati mit-tibdil fil-klima, bil-għan li jiġu appoġġati dawk li telqu minn dawn iż-żoni. Pereżempju, żoni mgħarrqa jistgħu jintużaw biex jinħolqu parks eoliċi. </w:t>
      </w:r>
    </w:p>
    <w:p>
      <w:pPr>
        <w:pStyle w:val="Normal"/>
        <w:rPr/>
      </w:pPr>
      <w:r>
        <w:rPr/>
        <w:t xml:space="preserve"> </w:t>
      </w:r>
    </w:p>
    <w:p>
      <w:pPr>
        <w:pStyle w:val="Normal"/>
        <w:rPr/>
      </w:pPr>
      <w:r>
        <w:rPr/>
        <w:t xml:space="preserve">Nagħmlu din ir-rakkomandazzjoni għaliex aħna lkoll responsabbli għall-kriżi klimatika. Għalhekk għandna responsabbiltà lejn dawk li huma l-aktar milquta. Anke jekk la għandna tbassir u lanqas data konkreta dwar ir-refuġjati futuri, it-tibdil fil-klima bla dubju se jaffettwa miljuni ta’ nies. </w:t>
      </w:r>
    </w:p>
    <w:p>
      <w:pPr>
        <w:pStyle w:val="Normal"/>
        <w:rPr/>
      </w:pPr>
      <w:r>
        <w:rPr/>
        <w:t xml:space="preserve"> </w:t>
      </w:r>
    </w:p>
    <w:p>
      <w:pPr>
        <w:pStyle w:val="Normal"/>
        <w:rPr/>
      </w:pPr>
      <w:r>
        <w:rPr/>
        <w:t xml:space="preserve">Sotto-assi 4.2 — Konsiderazzjonijiet Umani </w:t>
      </w:r>
    </w:p>
    <w:p>
      <w:pPr>
        <w:pStyle w:val="P68B1DB1Normal15"/>
        <w:rPr>
          <w:b/>
          <w:b/>
        </w:rPr>
      </w:pPr>
      <w:r>
        <w:rPr/>
        <w:t xml:space="preserve">Nirrakkomandaw li t-toroq legali u umanitarji u l-mezzi tat-trasport jissaħħu u jiġu ffinanzjati mingħajr dewmien sabiex ir-refuġjati jkunu jistgħu jiċċaqalqu minn żoni ta’ kriżi b’mod organizzat. Sistema speċjali ta’ sikurezza għall-korsiji Ewropej għandha tiġi stabbilita u rregolata mill-korp stabbilit speċifikament għal dan il-għan. Din l-aġenzija għandha tiġi stabbilita skont il-proċedura leġiżlattiva u għandu jkollha setgħat speċjali stabbiliti fir-regoli ta’ proċedura tagħha. </w:t>
      </w:r>
    </w:p>
    <w:p>
      <w:pPr>
        <w:pStyle w:val="Normal"/>
        <w:rPr/>
      </w:pPr>
      <w:r>
        <w:rPr/>
        <w:t xml:space="preserve"> </w:t>
      </w:r>
    </w:p>
    <w:p>
      <w:pPr>
        <w:pStyle w:val="Normal"/>
        <w:rPr/>
      </w:pPr>
      <w:r>
        <w:rPr/>
        <w:t xml:space="preserve">It-traffikar tal-bnedmin u l-faċilitazzjoni ta’ dħul klandestin ta’ migranti huma kwistjonijiet serji li jeħtieġ li jiġu indirizzati. Ir-rakkomandazzjoni tagħna ċertament tnaqqas dan it-tħassib. </w:t>
      </w:r>
    </w:p>
    <w:p>
      <w:pPr>
        <w:pStyle w:val="Normal"/>
        <w:rPr/>
      </w:pPr>
      <w:r>
        <w:rPr/>
        <w:t xml:space="preserve"> </w:t>
      </w:r>
    </w:p>
    <w:p>
      <w:pPr>
        <w:pStyle w:val="Normal"/>
        <w:rPr/>
      </w:pPr>
      <w:r>
        <w:rPr/>
        <w:t xml:space="preserve">Sotto-assi 4.3 — Fruntieri </w:t>
      </w:r>
    </w:p>
    <w:p>
      <w:pPr>
        <w:pStyle w:val="P68B1DB1Normal15"/>
        <w:rPr>
          <w:b/>
          <w:b/>
        </w:rPr>
      </w:pPr>
      <w:r>
        <w:rPr/>
        <w:t xml:space="preserve">Nirrakkomandaw li direttiva Ewropea tiżgura li kull żona ta’ għajxien f’kull Stat Membru ma jkollhiex aktar minn 30 % ta’ abitanti ta’ pajjiżi terzi. Din il-mira hija mistennija li tintlaħaq sal-2030 u l-Istati Membri tal-UE jeħtieġ li jirċievu appoġġ għall-implimentazzjoni ta’ din il-mira. </w:t>
      </w:r>
    </w:p>
    <w:p>
      <w:pPr>
        <w:pStyle w:val="Normal"/>
        <w:rPr/>
      </w:pPr>
      <w:r>
        <w:rPr/>
        <w:t xml:space="preserve"> </w:t>
      </w:r>
    </w:p>
    <w:p>
      <w:pPr>
        <w:pStyle w:val="Normal"/>
        <w:rPr/>
      </w:pPr>
      <w:r>
        <w:rPr/>
        <w:t xml:space="preserve">Qed nagħmlu din ir-rakkomandazzjoni għaliex distribuzzjoni ġeografika aktar ġusta se tirriżulta f’aċċettazzjoni aħjar tal-migranti mill-popolazzjoni lokali u b’hekk tippermettilhom jintegraw aħjar. Dan il-perċentwal huwa bbażat fuq ftehim politiku reċenti fid-Danimarka. </w:t>
      </w:r>
      <w:r>
        <w:br w:type="page"/>
      </w:r>
    </w:p>
    <w:p>
      <w:pPr>
        <w:pStyle w:val="Titre1"/>
        <w:numPr>
          <w:ilvl w:val="0"/>
          <w:numId w:val="2"/>
        </w:numPr>
        <w:rPr/>
      </w:pPr>
      <w:bookmarkStart w:id="205" w:name="__RefHeading___Toc297345_1346298689"/>
      <w:bookmarkEnd w:id="205"/>
      <w:r>
        <w:rPr/>
        <w:t xml:space="preserve">II A — Bordijiet Nazzjonali: Il-Belġju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2" descr=""/>
                    <pic:cNvPicPr>
                      <a:picLocks noChangeAspect="1" noChangeArrowheads="1"/>
                    </pic:cNvPicPr>
                  </pic:nvPicPr>
                  <pic:blipFill>
                    <a:blip r:embed="rId86"/>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Hawnhekk nistgħu nsibu r-rakkomandazzjonijiet kollha li saru mill-50 ċittadin tal-bord taċ-ċittadini organizzat taħt il-patroċinju tad-Deputat Prim Ministru u Ministru għall-Affarijiet Esterni u Ewropej Sophie Wilmès bħala kontribut tal-Gvern Federali Belġjan għall-Konferenza dwar il-Futur tal-Ewropa. It-tema ta’ dan il-bord kienet “Kif tinvolvi aktar liċ-ċittadini fid-demokrazija Ewropea”. Għalkemm huwa konxju li l-Konferenza għandha kamp ta’ applikazzjoni usa’ minn dak tal-affarijiet tal-UE biss, is-suġġett ta’ dan il-bord jiċċara għaliex qed isiru daqstant referenzi espliċiti għall-UE u l-istituzzjonijiet tagħha. Fejn xieraq, għandha ssir referenza għall-Ewropa b’mod ġenerali.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Biex jirrifletti l-kontribuzzjonijiet kollha taċ-ċittadini, dan ir-rapport jippreżenta r-rakkomandazzjonijiet kollha, inklużi dawk li ma kisbux maġġoranza sempliċi fis-sessjoni ta’ votazzjoni finali dwar ir-rakkomandazzjonijiet kollha. Dawn huma rikonoxxibbli b’mod ċar minħabba l-perċentwal bl </w:t>
      </w:r>
      <w:r>
        <w:rPr>
          <w:b/>
          <w:color w:val="FF0000"/>
        </w:rPr>
        <w:t>-aħmar u b’tipa grassa.</w:t>
      </w:r>
      <w:r>
        <w:rPr>
          <w:color w:val="000000"/>
        </w:rPr>
        <w:t xml:space="preserve"> Barra minn hekk, xi rakkomandazzjonijiet jikkontradixxu lil xulxin u anke fid-diskussjonijiet finali, iċ-ċittadini baqgħu inkonklużivi dwarhom. Dawn ir-rakkomandazzjonijiet huma rikonoxxibbli minħabba li huma bil- </w:t>
      </w:r>
      <w:r>
        <w:rPr>
          <w:i/>
          <w:color w:val="000000"/>
        </w:rPr>
        <w:t>korsiv.</w:t>
      </w:r>
      <w:r>
        <w:rPr>
          <w:color w:val="000000"/>
        </w:rPr>
        <w:t xml:space="preserve"> Għal rakkomandazzjoni waħda, id-diviżjoni tant kienet ċara li l-votazzjoni ntemmet b’ </w:t>
      </w:r>
      <w:r>
        <w:rPr>
          <w:i/>
          <w:color w:val="000000"/>
        </w:rPr>
        <w:t xml:space="preserve">ex-aequo, </w:t>
      </w:r>
      <w:r>
        <w:rPr>
          <w:color w:val="000000"/>
        </w:rPr>
        <w:t xml:space="preserve">dan huwa indikat b’ </w:t>
      </w:r>
      <w:r>
        <w:rPr>
          <w:b/>
          <w:color w:val="FF9900"/>
        </w:rPr>
        <w:t>tipa oranġjo u b’tipa grassa</w:t>
      </w:r>
      <w:r>
        <w:rPr>
          <w:color w:val="000000"/>
        </w:rPr>
        <w:t xml:space="preserve">. Iċ-ċittadini jikkondividu l-fatt li l-opinjonijiet dwar dawn ir-rakkomandazzjonijiet kienu differenti. Għalhekk jipproponu li l-korpi tas-CoFE u l-istituzzjonijiet tal-UE jkunu viġilanti fl-implimentazzjoni ta’ dawn ir-rakkomandazzjonijiet, peress li hemm forma ta’ diviżjoni bbażata fuq il-votazzjoni. </w:t>
      </w:r>
    </w:p>
    <w:p>
      <w:pPr>
        <w:pStyle w:val="Normal"/>
        <w:rPr/>
      </w:pPr>
      <w:r>
        <w:rPr/>
      </w:r>
      <w:r>
        <w:br w:type="page"/>
      </w:r>
    </w:p>
    <w:p>
      <w:pPr>
        <w:pStyle w:val="Normal"/>
        <w:rPr/>
      </w:pPr>
      <w:r>
        <w:rPr/>
        <w:t>1. Komunikazzjoni</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Problemi ta’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Rakkomandazzjonijiet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Appoġġjati minn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Il-Komunikazzjoni dwar l-UE mhijiex sodisfaċenti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Nipproponew li jiġu inklużi korsijiet dwar l-Unjoni Ewropea mit-tielet livell tal-iskola primarja. L-għan huwa li jintlaħqu ċ-ċittadini kollha u jittejjeb l-għarfien dwar l-Unjoni Ewropea.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L-Unjoni Ewropea, u b’mod partikolari l-Kummissjoni, għandhom jagħmlu disponibbli materjal edukattiv dwar il-funzjonament tal-Ewropa lill-Ministeri tal-Edukazzjoni tal-Istati Membri differenti. Minbarra li jispjegaw il-funzjonament, il-kompożizzjoni u s-setgħat tal-istituzzjonijiet, dawn il-formazzjonijiet għandhom jipprovdu wkoll ħarsa ġenerali fil-qosor lejn l-istorja tal-integrazzjoni Ewropea. Għandha tingħata attenzjoni partikolari għall-użu ta’ lingwaġġ ċar u li jinftiehem u aċċessibbli, kif ukoll għodod edukattivi bħal dokumentarji, filmati jew programmi televiżivi fl-iskejjel, fl-24 lingwa kollha.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Il-proġett Ewropew jibqa’ barrani għaċ-ċittadini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Fil-Komunikazzjoni tagħhom, aħna nipproponu li l-istituzzjonijiet Ewropej jispjegaw aħjar dak li jaqa’ taħt il-kompetenza tal-UE iżda wkoll dak li ma jaqax taħt il-kompetenza tagħha.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L-Unjoni Ewropea għandha tinkludi eżempji familjari mill-ħajja ta’ kuljum tal-Ewropej fil-komunikazzjoni tagħha. Dawn l-ispjegazzjonijiet għandhom jintbagħtu fi ħdan l-Istati Membri permezz ta’ ftehimiet bejn l-istituzzjonijiet Ewropej u l-istazzjonijiet pubbliċi nazzjonali tat-televiżjoni sabiex tintlaħaq udjenza wiesgħa.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Barra minn hekk, iċ-ċittadini tal-Istati Membri għandhom jiġu infurmati regolarment — pereżempju permezz ta’ filmati — dwar ir-rwol tal-Unjoni Ewropea fi Stati Membri oħra. Il-vantaġġi u l-iżvantaġġi tal-Ewropa għalhekk jitqiegħdu f’perspettiva aħjar fid-dibattiti dwar il-futur tal-Ewropa.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Sabiex tissaħħaħ l-identità Ewropea, qed nipproponu li nfakkru b’mod regolari u nagħmlu aċċessibbli informazzjoni dwar x’inhi ħajjet l-Ewropej mingħajr l-UE u l-kisbiet konkreti tagħha.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Nipproponew ukoll li Jum l-Ewropa (9 ta’ Mejju) isir btala pubblika Ewropea għaċ-ċittadini kollha tal-UE.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Nirrakkomandaw li l-istituzzjonijiet Ewropej jagħtu aktar attenzjoni lis-semplifikazzjoni, il-fehim u l-aċċessibbiltà tal-informazzjoni dwar suġġetti ta’ prijorità indirizzati fil-livell Ewropew</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Nirrakkomandaw li l-Unjoni Ewropea tipprovdi </w:t>
            </w:r>
            <w:commentRangeStart w:id="10"/>
            <w:r>
              <w:rPr/>
              <w:t>tabella li</w:t>
            </w:r>
            <w:r>
              <w:rPr/>
            </w:r>
            <w:commentRangeEnd w:id="10"/>
            <w:r>
              <w:commentReference w:id="10"/>
            </w:r>
            <w:r>
              <w:rPr/>
              <w:t xml:space="preserve"> turi għal kull pajjiż ir-riżorsi allokati mill-UE għal kull tema prijoritarja. Din l-informazzjoni kollha għandha tkun aċċessibbli mis-sit web tal-Unjoni Ewropea.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Nirrakkomandaw li l-Unjoni Ewropea tipprovdi preżentazzjoni ċara tal-ħidma leġislattiva li għaddejja bħalissa. Din l-informazzjoni kollha għandha tkun aċċessibbli mis-sit web tal-Unjoni Ewropea.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Irridu li l-istituzzjonijiet Ewropej ikunu aktar aċċessibbli għall- </w:t>
            </w:r>
            <w:commentRangeStart w:id="11"/>
            <w:r>
              <w:rPr/>
              <w:t>Ewropej</w:t>
            </w:r>
            <w:r>
              <w:rPr/>
            </w:r>
            <w:commentRangeEnd w:id="11"/>
            <w:r>
              <w:commentReference w:id="11"/>
            </w:r>
            <w:r>
              <w:rPr/>
              <w:t>. Il-parteċipazzjoni tagħhom fid-dibattiti fis-sessjonijiet tal-Parlament Ewropew għandha tiġi ffaċilitata.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Nirrakkomandaw li l-parteċipazzjoni fil-programm Erasmus tiġi estiża għall-istudenti kollha, irrispettivament mill-perkors edukattiv tagħhom (teknoloġija vokazzjonali, alternazzjoni). Kulħadd għandu jkun jista’ jipparteċipa fl-iskambji Ewropej.</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Nirrakkomandaw li l-popolazzjoni attiva tkun tista’ tibbenefika minn programmi ta’ skambju Ewropej, irrispettivament mis-settur tal-attività, anke għan-negozji lokali. Kulħadd għandu jkun jista’ jipparteċipa fl-iskambji Ewropej.</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Nirrakkomandaw il-ħolqien ta’ korsijiet dwar iċ-ċittadinanza Ewropea għaċ-ċittadini Ewropej kollha.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Il-leġiżlazzjoni tal-UE ma tiġix applikata bl-istess mod fl-Istati Membri.</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Nirrakkomandaw li l-Unjoni Ewropea tagħmel aktar użu mil-leġislazzjoni direttament applikabbli fl-Istati Membri. Dan inaqqas id-differenzi nazzjonali fl-implimentazzjoni tal-leġiżlazzjoni tal-UE, li jdgħajjef il-proġett Ewropew. Dan itejjeb ukoll il-kisbiet Ewropej l-aktar importanti bħas-suq intern, l-Euro u ż-żona Schengen.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Id-demokrazija Ewropea tinsab mhedda.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Aħna nirrakkomandaw li l-Komunikazzjoni tal-UE dwar id-Demokrazija Ewropea għandha tfakkar bla heda u mingħajr ambigwità xi tfisser fl-Ewropa għall-Ewropej.</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Il-valuri u l-prinċipji tat-Trattati tal-Unjoni Ewropea li l-Istati Membri ssottoskrivew mal-adeżjoni huma irriversibbli. Il-protezzjoni tagħhom għandha tkompli tiġi żgurata.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Il-protezzjoni tal-valuri u l-prinċipji tat-Trattati hija żgurata</w:t>
            </w:r>
            <w:r>
              <w:rPr/>
              <w:commentReference w:id="12"/>
            </w:r>
            <w:r>
              <w:rPr/>
              <w:t xml:space="preserve"> mill-Qorti Ewropea u ma tistax tiġi kkontestata mill-Istati Membri.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L-informazzjoni dwar l-UE mhijiex faċilment aċċessibbli u diffiċli biex tinftiehem</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Aħna nirrakkomandaw li tissaħħaħ il-verifika tal-informazzjoni dwar kwistjonijiet Ewropej. Din l-informazzjoni mxerrda u vverifikata mill-istituzzjonijiet għandha tkun faċilment aċċessibbli għall-pubbliku Ewropew u għall-midja nazzjonali ta’ kull Stat Membru.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Il-midja nazzjonali spiss twassal immaġni negattiva tal-UE</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L-UE għandha tkun aktar preżenti fil-ħajja ta’ kuljum tal-Ewropej billi tikkomunika b’mod aktar proattiv. (Eż. billi tisponsorja, pereżempju, avvenimenti kulturali li jlaqqgħu flimkien liċ-ċittadini u jagħmluhom kburin li huma ċittadini tal-UE. Ir-rappurtar u d-dmugħ jippermettu wkoll li l-Ewropej ikollhom aċċess għal informazzjoni</w:t>
            </w:r>
            <w:r>
              <w:rPr/>
              <w:commentReference w:id="13"/>
            </w:r>
            <w:r>
              <w:rPr/>
              <w:t xml:space="preserve"> kuntestwalizzata dwar l-UE).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Iċ-ċittadini ma jafux lil dawk li jirrappreżentawhom fil-Parlament Ewropew.</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Nirrakkomandaw li l-parlamentari jkunu aktar magħrufa f’pajjiżhom, speċjalment barra mill-perjodi elettorali. Dawn għandhom ikunu aktar aċċessibbli. Ir-raġunijiet għall-voti tagħhom fil-Parlament Ewropew għandhom ikunu aċċessibbli aktar faċilment għaċ-ċittadini Ewropej permezz tas-sit web tal-Unjoni Ewropea.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Aħna nirrakkomandaw li l-partiti politiċi nazzjonali jiżguraw it-tiġdid tal-kandidati fuq il-listi ppreżentati fl-elezzjonijiet tal-Parlament Ewropew. Mandat bħal dan m’għandux jitqies bħala premju għal servizzi tajbin u leali mogħtija fil-politika nazzjonali.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Il-komunikazzjoni tal-UE hija wisq uniformi; ma tqisx id-diversità tal-popolazzjoni</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Sabiex tintlaħaq udjenza wiesgħa u diversa biżżejjed, nirrakkomandaw li l-UE għandha tqis, permezz ta’ komunikazzjoni inklużiva sa mill-istadju tal-konċepiment, il-grad edukattiv tal-persuni kkonċernati, id-diżabilitajiet possibbli tagħhom. Barra minn hekk, nirrakkomandaw ukoll li jiġu involuti individwi u organizzazzjonijiet (edukaturi tat-toroq, aġenti tal-viċinat, CPAS, soċjetà ċivili) fit-trażmissjoni ta’ din il-komunikazzjoni.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Sabiex tintlaħaq il-forza tax-xogħol, nirrakkomandaw li jsir aktar investiment fl-użu ta’ mezzi ta’ komunikazzjoni eżistenti biex perjodikament tiġi pprovduta informazzjoni adatta dwar l-UE, pereżempju permezz ta’ programmi ta’ spjegazzjoni. Barra minn hekk, nirrakkomandaw li niddependu fuq ambaxxaturi (kemm individwi kif ukoll organizzazzjonijiet) li jippromwovu l-proġett tal-UE.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Sabiex jintlaħqu ż-żgħażagħ u l-istudenti, nirrakkomandaw li, flimkien mal-mezzi eżistenti bħall-edukazzjoni u l-movimenti taż-żgħażagħ rilevanti, għandhom jintalbu ambaxxaturi, speċjalment għal dawk li jinfluwenzaw li jistgħu jilħqu liż-żgħażagħ permezz tal-midja soċjali. Rakkomandazzjoni oħra tkun li tiġi organizzata kompetizzjoni pan-Ewropea biex jinħoloq karattru ta’ cartoons li jappella liż-żgħażagħ u jibgħatilhom messaġġi Ewropej.</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Għall-anzjani, nirrakkomandaw li jintużaw l-istess mezzi bħal dawk offruti għall-forza tax-xogħol. Barra minn hekk, nirrakkomandaw li jinstab bilanċ tajjeb bejn il-komunikazzjoni diġitali u dik mhux diġitali (l-istampa miktuba, ir-radju, l-avvenimenti wiċċ imb’wiċċ) biex jiġu ssodisfati l-ħtiġijiet ta’ kulħadd, inklużi dawk li huma inqas komdi f’ambjent diġitali kif ukoll dawk li huma inqas mobbli fis-soċjetà.</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Nirrakkomandaw li permezz tal-korsijiet ta’ integrazzjoni li diġà jeżistu f’ħafna Stati Membri, l-UE timpenja ruħha li tinkludi “Ewropej ġodda” (persuni li permezz ta’ proċedura waħda jew oħra ta’ immigrazzjoni legali jgħixu fl-UE), u tista’ tagħmilhom konxji tal-mezzi tradizzjonali l-oħra li permezz tagħhom l-UE tikkomunika. Fl-aħħar nett, nirrakkomandaw ukoll li jingħata post lid-dinja assoċjattiva lokali.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Nirrakkomandaw ukoll li l-UE tittella’ fit-toroq b’komunikazzjoni inklużiva. Pereżempju, jistgħu jintużaw billboards (diġitali), kif jistgħu jintużaw mezzi ġodda ta’ komunikazzjoni bħal kodiċijiet QR u mezzi tradizzjonali.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Rakkomandazzjonijiet oħra jkunu li l-UE ssir aktar viżiva (permezz ta’ films żgħar jew infografika), biex jinħoloq moviment sportiv Ewropew biex tinħoloq konnessjoni/sens ta’ appartenenza u biex l-innu Ewropew isir magħruf aħjar.</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Diżinformazzjoni</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Problemi ta’</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Rakkomandazzjonijiet</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Appoġġjati minn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Ir-riskju ta’ informazzjoni ħażina huwa dejjem aktar preżenti fil-midja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Aħna nirrakkomandaw li l-mudell ta’ finanzjament tal-midja, kif ukoll il-pubblikazzjoni obbligatorja tas-sorsi tad-dħul, jiġu riveduti b’mod ċar u aċċessibbli. Il-mudell ta’ finanzjament tal-midja jixprunahom lejn sensazzjonaliżmu, u b’hekk jippubblikaw informazzjoni barra mill-kuntest, u b’hekk jibdluhom f’diżinformazzjoni.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Nirrakkomandaw ċitazzjoni obbligatorja tas-sorsi mill-mezzi tax-xandir billi jiġu pprovduti links biex dawn jiġu vverifikati. Inkella, l-informazzjoni għandha tkun ittikkettata bħala mhux verifikata.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Nirrakkomandaw li r-Regolatur Ewropew għall-Ġlieda kontra d-Diżinformazzjoni (ara punt 2) għandu jkun responsabbli wkoll għall-akkreditazzjoni tal-organizzazzjonijiet ta’ verifika tal-informazzjoni (“verifikaturi tal-fatti”)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Aħna nirrakkomandaw it-twaqqif, f’kull Stat Membru, ta’ awtorità indipendenti responsabbli għall-verifika tan-newtralità tal-mezzi tax-xandir. Din l-awtorità għandha tiġi ffinanzjata u mmonitorjata mill-Unjoni Ewropea.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Nirrakkomandaw it-tixrid ta’ informazzjoni dwar il-URLs tas-siti web uffiċjali tal-UE sabiex iċ-ċittadini jiġu assigurati dwar l-oriġini tal-informazzjoni.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Ħafna ċittadini jiddubitaw in-newtralità tal-midja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Nirrakkomandaw il-ħolqien ta’ regolatur Ewropew għall-ġlieda kontra d-diżinformazzjoni. B’mod partikolari, il-kompitu ta’ dak ir-regolatur ikun li jistabbilixxi l-kriterji għal tikketta ta’ newtralità u li jistabbilixxi, fejn xieraq, sistema ta’ sanzjonijiet jew inċentivi marbuta mal-konformità mal-istandards ta’ newtralità. Inkella, tista’ tiġi kkunsidrata l-konformità ma’ karta tal-etika. It-tikketta tingħata mill-awtorità nazzjonali indipendenti u tqis il-miżuri meħuda mill-midja fil-ġlieda kontra d-diżinformazzjoni.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Aħna nirrakkomandaw l-installazzjoni ta’ hotline Ewropew li jippermetti liċ-ċittadini jiddenunzjaw id-diżinformazzjoni dwar il-kompetenzi Ewropej (politiċi u ekonomiċi).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Iċ-ċittadini mhumiex konxji tar-riskji ta’ informazzjoni ħażina li huma esposti għaliha.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Nirrakkomandaw li l-pjattaformi jkunu obbligati jippubblikaw informazzjoni ċara u li tinftiehem dwar ir-riskji ta’ diżinformazzjoni li għalihom huma esposti l-utenti tagħhom. Din l-informazzjoni għandha tiġi kkomunikata awtomatikament hekk kif jinfetaħ kont.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Nirrakkomandaw taħriġ obbligatorju fl-użu tal-mezzi tax-xandir, minn età bikrija u adattat għal-livelli differenti tas-sistema edukattiva.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Nirrakkomandaw li l-Unjoni Ewropea tniedi kampanji ripetuti dwar id-diżinformazzjoni. Dawn il-kampanji jistgħu jiġu identifikati permezz ta’ logo jew mascot. L-Unjoni Ewropea tista’ ġġiegħel lin-netwerks soċjali jwassluhom permezz tat-tixrid tal-postijiet.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Il-mezzi biex tiġi miġġielda d-diżinformazzjoni mhumiex biżżejjed.</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Nirrakkomandaw li tiġi ppubblikata b’lingwaġġ sempliċi u intelliġibbli informazzjoni dwar l-algoritmi li jorganizzaw il-messaġġi li jirċievu l-utenti tal-pjattaformi.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Nirrakkomandaw li l-utenti jkunu jistgħu jiddiżattivaw l-algoritmi li jtejbu l-imġiba b’mod sempliċi. L-obbligu li l-utenti jingħataw aċċess għal sorsi oħra li jiddefendu pożizzjonijiet differenti dwar l-istess suġġett jista’ jiġi eżaminat ukoll.</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Aħna nirrakkomandaw li l-Unjoni Ewropea tappoġġja l-ħolqien ta’ pjattaforma tal-midja soċjali li tissodisfa l-istandards tagħha f’termini ta’ newtralità u l-ġlieda kontra d-diżinformazzjoni. Inkella, il-pjattaforma multilingwi maħluqa biex tappoġġa l-Konferenza dwar il-Futur tal-Ewropa tista’ tiżdied b’karatteristiċi ġodda.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Panels ta’ ċittadini</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Problemi ta’</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Rakkomandazzjonijiet</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Appoġġjati minn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Diffikultà biex tiġi żgurata r-rappreżentattività ta’ bord taċ-ċittadini. Fl-aħħar nett, parti żgħira biss tal-popolazzjoni hija involuta.</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Aħna nirrakkomandaw il-monitoraġġ ta’ dak li tissuġġerixxi l-aktar ħidma xjentifika reċenti dwar id-demokrazija deliberattiva f’termini ta’ teħid ta’ kampjuni, żvilupp u validazzjoni xjentifika tal-metodu ta’ selezzjoni sabiex tiġi żgurata l-aħjar rappreżentattività possibbli.</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Nirrakkomandaw li jkun hemm għadd suffiċjenti ta’ persuni madwar il-mejda biex tiġi żgurata d-diversità tal-opinjonijiet u l-profili, inklużi — iżda mhux biss — il-persuni li huma direttament ikkonċernati mis-suġġett.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Fil-kriterji li jirregolaw il-kampjunar, nirrakkomandaw li jiżdied il-kriterju tal-paternità (jiġifieri jekk il-persuna għandhiex it-tfal?), flimkien ma’ kriterji aktar tradizzjonali bħas-sess, l-età, il-post ta’ residenza jew il-livell ta’ edukazzjoni.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Nirrakkomandaw li jiġu stabbiliti kwoti skont iż-żona ġeografika, jiġifieri li jiġi determinat li bord taċ-ċittadini Ewropew għandu jkun magħmul minn X persuni għal kull żona ġeografika Ewropea (li għad trid tiġi ddeterminata) sabiex dan il-bord ikun jista’ verament jiġi kkwalifikat bħala Ewropew u intenzjonat b’mod sinifikanti.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Nirrakkomandaw li r-reġistri tal-popolazzjoni (jew l-ekwivalenti tagħhom, skont il-pajjiż) jintużaw bħala bażijiet tad-data primarji għat-tlugħ u l-inżul sabiex kulħadd ikollu l-istess ċans li jkun jista’ jintgħażel, u li jiġi ġġenerat interess f’suġġett fi ħdan il-popolazzjoni.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Nirrakkomandaw li l-parteċipanti jiġu kkumpensati biex jivvalutaw l-investiment tagħhom u jattiraw persuni li ma jipparteċipawx jekk ma jiġux ikkumpensati.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Nirrakkomandaw li l-informazzjoni — minimament: la wisq informazzjoni u lanqas informazzjoni kkumplikata wisq — l-ewwel parteċipanti permezz ta’ preżentazzjonijiet minn esperti biex jiżguraw li anke persuni mingħajr għarfien minn qabel iħossuhom komdi jipparteċipaw fid-diskussjonijiet.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Nirrakkomandaw li s-suġġett tal-Panel taċ-Ċittadini jiġi kkomunikat minn qabel sabiex in-nies ikunu jistgħu jkunu jafu liema suġġett qed jimpenjaw ruħhom li jiddiskutu.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Nirrakkomandaw li ma jkunx hemm bżonn li ċ-ċittadini jipparteċipaw.</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Diffikultà fl-organizzazzjoni ta’ panel fil-livell Ewropew.</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Aħna nirrakkomandaw li l-laqgħat tal-Panel taċ-Ċittadini Ewropej jitħallew isiru f’format ibridu (preżenti/distanzjali). Persuni li ma jistgħux jiċċaqalqu fiżikament jistgħu jipparteċipaw ukoll.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Nirrakkomandaw li l-Unjoni Ewropea, għal aktar faċilità ta’ aċċess u organizzazzjoni, tiddelega l-organizzazzjoni tal-panels taċ-ċittadini (dwar temi Ewropej) f’livelli differenti ta’ awtorità, fil-livell nazzjonali.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Nirrakkomandaw li jintgħażel suġġett wieħed għal kull bord organizzat fil-livell Ewropew. Dan se jippermetti lill-parteċipanti kollha jiddiskutu l-istess suġġett, irrispettivament minn fejn jiġu fl-Ewropa.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Evita l-pannell </w:t>
              <w:br/>
              <w:t>iċ-ċittadini ma jiġux iddevjati għal skopijiet oħra għajr dawk iddikjarati.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Nirrakkomandaw li kull ċittadin jista’ jressaq suġġett għad-diskussjoni, u sabiex dan id-dritt ma jkunx riżervat għad-dinja politika jew għad-dinja tal-lobbyists.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Aħna nirrakkomandaw li d-dritt ta’ inizjattiva jingħata lill-Parlament Ewropew, sabiex il-Parlament Ewropew jiddefinixxi s-suġġett li għandu jiġi diskuss u mbagħad jadotta t-testi meħtieġa biex isegwi r-rakkomandazzjonijiet li joħorġu mid-deliberazzjonijiet.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Diffikultà biex jiġi deċiż kif l-aħjar jiġi organizzat il-proċess għall-aħjar rappreżentanza taċ-ċittadini.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Nirrakkomandaw li jitwaqqaf panel permanenti taċ-ċittadini, flimkien mal-parlament, li jassumi kompiti speċifiċi. Dan jiġi mġedded regolarment. Dan jagħmilha possibbli li ċ-ċittadini jinġiebu flimkien fuq medda twila ta’ żmien u li jittieħed iż-żmien meħtieġ għad-dibattiti. Iż-żmien jippermetti sfumatura ta’ dibattiti u kunsens. Flimkien ma’ dan il-panel permanenti, panels ad hoc taċ-ċittadini jiddiskutu suġġetti magħżula mill-bord permanenti. Nipproponu li nsegwu l-mudell tal-Komunità li titkellem bil-Ġermaniż.</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Aħna nirrakkomandaw li jitwaqqaf bord wieħed jew aktar taċ-ċittadini Ewropej mhux permanenti, li jiltaqgħu u jiddiskutu suġġett speċifiku għal perjodu ta’ żmien partikolari biss.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Aħna nirrakkomandaw li ma jiġux organizzati Panels taċ-Ċittadini Ewropej dwar kwistjonijiet urġenti, peress li hemm bżonn ta’ żmien biżżejjed biex tiġi żgurata l-kwalità tad-dibattiti.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Ta’ spiss, iċ-ċittadini li jipparteċipaw f’inizjattivi ta’ demokrazija parteċipattiva bħall-panels taċ-ċittadini ma jirċevux feedback dwar is-segwitu mogħti lill-ħidma tagħhom, kemm fuq perjodu qasir kif ukoll fit-tul.</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Nirrakkomandaw li ċ-ċittadini jingħataw feedback dwar is-segwitu mogħti (jew le) għar-rakkomandazzjonijiet maħruġa wara l-panels taċ-ċittadini Ewropej. Jekk ir-rakkomandazzjonijiet ma jiġux segwiti, l-istituzzjonijiet Ewropej involuti għandhom jiddikjaraw ir-raġunijiet għad-deċiżjoni tagħhom (eż. nuqqas ta’ kompetenza). Għal dan il-għan, nirrakkomandaw il-kitba ta’ sommarji regolari matul il-proċess wara panel.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Nirrakkomandaw li jiġu organizzati panels taċ-ċittadini, anke ma’ tfal minn età żgħira (eż. bejn l-10 u s-16-il sena) biex titqajjem kuxjenza dwar il-parteċipazzjoni u d-dibattitu. Dan jista’ jiġi organizzat fl-iskejjel.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Referenda</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Problemi ta’</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Rakkomandazzjonijiet</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Appoġġjati minn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Nirrakkomandaw li jsiru referendums fil-livell Ewropew dwar l-affarijiet Ewropej.</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Il-kultura tar-referendum tvarja ħafna minn Stat Membru għal ieħor</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Nirrakkomandaw li tiġi kkummissjonata riċerka dwar kif tista’ tinħoloq kultura komuni ta’ referendum fl-Ewropa.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Nirrakkomandaw riċerka (minn esperti indipendenti) dwar il-ħtieġa u l-possibbiltà li jsir referendum dwar suġġett partikolari fil-livell Ewropew</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Il-formulazzjoni tal-mistoqsija magħmula f’referendum jista’ jkollha impatt negattiv, kif ukoll il-kapaċità li twieġeb biss b’“iva” jew “le”, li ħafna drabi tippolarizza d-dibattiti u s-soċjetajiet.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Nirrakkomandaw li jitwaqqaf kumitat xjentifiku biex jaħseb dwar kif jistgħu jsiru mistoqsijiet li jkunu s-suġġett ta’ referendum Ewropew bl-aktar mod oġġettiv possibbli.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Nirrakkomandaw li nistaqsu mistoqsijiet b’għażla multipla, li jmorru lil hinn mis-sempliċi alternattiva bejn “iva” u “le” sabiex iġibu sfumatura jew saħansitra jorbtu kundizzjonijiet ma’ “iva” u “le” (jiġifieri “iva jekk”, “le”).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Nirrakkomandaw li l-voti bojod m’għandhomx jitqiesu fil-kalkolu ta’ kwalunkwe maġġoranza (maġġoranza sempliċi jew maġġoranza assoluta). Għad irid ikun hemm biżżejjed voti (il-kworum irid jiġi rispettat).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L-għażla tas-suġġett hija wkoll delikata.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Nirrakkomandaw li kwistjoni mqajma f’referendum Ewropew għandha taqa’ fil-kamp ta’ applikazzjoni ta’ kwalunkwe suġġett Ewropew li jaqa’ taħt il-kompetenzi tal-Unjoni Ewropea.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Nirrakkomandaw l-esklużjoni ta’ suġġetti li jistgħu jkunu sors ta’ kunflitt bejn l-Istati Membri.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Nirrakkomandaw li mistoqsijiet tekniċi u diffiċli jistgħu jsiru wkoll, b’formulazzjoni ċara, għaliex in-nies għandhom il-kapaċità li jkunu infurmati biżżejjed.</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Ir-referendum mhuwiex għodda demokratika jekk id-dinja politika biss tista’ tiddeċiedi li torganizza wieħed.</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Aħna nirrakkomandaw li l-Parlament Ewropew ikollu d-dritt ta’ inizjattiva li jorganizza referenda</w:t>
            </w:r>
            <w:r>
              <w:rPr/>
              <w:commentReference w:id="14"/>
            </w:r>
            <w:r>
              <w:rPr/>
              <w:t xml:space="preserve"> Ewropej, u li mbagħad ikun jista’ jimplimenta r-riżultati tiegħu (il-Kummissjoni Ewropea u l-Kunsill għandhom isegwu mingħajr il-possibbiltà ta’ mblukkar).</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Nirrakkomandaw li l-inizjattiva tista’ tiġi wkoll miċ-ċittadini nfushom (pereżempju billi jiġu segwiti regoli simili għal dawk li japplikaw fir-rigward tal-Inizjattiva taċ-Ċittadini Ewropej).</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Nirrakkomandaw li l-organizzazzjoni prattika ta’ referendum Ewropew għandha tkun korp newtrali.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L-aspett konsultattiv jew vinkolanti tar-referendum għandu jkun </w:t>
              <w:br/>
              <w:t>definit b’mod ċar.</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Nirrakkomandaw li r-riżultat ta’ referendum Ewropew ikun vinkolanti biss meta jintlaħqu ċerti kundizzjonijiet f’termini ta’ parteċipazzjoni.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Nirrakkomandaw li r-riżultati ta’ referendum ikunu vinkolanti biss jekk jintlaħqu ċerti maġġoranzi (51/49, 70/30). Dawn il-kundizzjonijiet jiġu stabbiliti qabel kull referendum.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Nirrakkomandaw li r-riżultat ta’ referendum Ewropew ikun vinkolanti jekk l-inizjattiva tal-organizzazzjoni tiegħu tittieħed miċ-ċittadini (li kienu jirnexxilhom jiġbru numru ta’ firem għal dan il-għan) iżda indikattiv jekk l-inizjattiva tittieħed minn istituzzjoni politika.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Nirrakkomandaw li r-riżultat ta’ referendum Ewropew isir vinkolanti biss fuq ċerti suġġetti, iżda mhux fuq dawk li għalihom il-konsegwenzi tal-votazzjoni jistgħu jkunu serji ħafna.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Il-popolazzjoni ta’ spiss ma tkunx infurmata tajjeb qabel ma tintalab tivvota f’referendum. Fl-istess ħin, huwa kruċjali li tiġi kkontrollata l-informazzjoni kkomunikata sabiex jiġu evitati influwenzi dannużi (interni jew barranin) fuq il-votazzjoni.</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Nirrakkomandaw li, qabel kwalunkwe referendum Ewropew, il-pubbliku jkun infurmat b’mod ċar dwar l-impatt tal-votazzjoni fuq il-ħajja ta’ kuljum tiegħu, permezz ta’ fuljetti, kif isir fl-Isvizzera, u/jew sessjonijiet ta’ informazzjoni.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Għal kull referendum Ewropew, nirrakkomandaw li jitwaqqaf kumitat xjentifiku li jiggarantixxi n-newtralità tal-informazzjoni kkomunikata.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Għalkemm referendum jistieden lill-popolazzjoni kollha biex tivvota direttament (għall-kuntrarju tal-bord taċ-ċittadini), dejjem ikun hemm ċertu assenteiżmu, xi ftit jew wisq importanti.</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Nirrakkomandaw li l-parteċipazzjoni fil-votazzjoni f’referendum Ewropew tkun obbligatorja.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Nirrakkomandaw li l-votazzjoni f’referendum Ewropew tkun volontarja.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Sabiex jitnaqqas l-assenteiżmu, nirrakkomandaw li l-votazzjoni elettronika tiġi permessa flimkien mal-votazzjoni fuq il-karta (jew flimkien ma’ mezzi oħra ta’ votazzjoni, bħall-votazzjoni bil-posta). Il-votazzjoni elettronika hija partikolarment interessanti għan-nies li jmorru fuq vaganza, u tinkoraġġixxi wkoll lin-nies inqas interessati fil-votazzjoni minħabba li l-obbligu tal-ivvjaġġar m’għadux hemm.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Ta’ spiss, iċ-ċittadini li jipparteċipaw f’inizjattivi ta’ demokrazija parteċipattiva bħar-referenda ma</w:t>
            </w:r>
            <w:r>
              <w:rPr/>
              <w:commentReference w:id="15"/>
            </w:r>
            <w:r>
              <w:rPr/>
              <w:t xml:space="preserve"> jirċevux ritorn fuq is-segwitu mogħti għall-vot tagħhom, kemm fi żmien qasir kif ukoll fit-tul.</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Nirrakkomandaw li ċ-ċittadini jingħataw feedback dwar is-segwitu mogħti (jew le) għad-deċiżjoni meħuda miċ-ċittadini permezz ta’ referendum Ewropew.</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Għodod eżistenti</w:t>
      </w:r>
    </w:p>
    <w:p>
      <w:pPr>
        <w:pStyle w:val="Normal"/>
        <w:rPr/>
      </w:pPr>
      <w:r>
        <w:rPr/>
        <w:t>5.1. Elezzjonijiet Ewropej.</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Problemi ta’</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Rakkomandazzjonijiet</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Appoġġjati minn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Hemm differenza fir-regolamenti fl-Istati Membri differenti</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Nipproponew li l-Parlament Ewropew jipparteċipa b’mod obbligatorju fil-vot, iżda b’informazzjoni suffiċjenti biex iċ-ċittadini jifhmu r-raġunijiet għal dan.</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Ir-rakkomandazzjoni tagħna hija li r-regoli elettorali għall-Parlament Ewropew isiru kemm jista’ jkun fil-pajjiżi kollha, inkluża l-età minima.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M’hemmx biżżejjed diversità fil-kriterji tal-età, tal-oriġini u tal-ġeneru tal-Membri tal-PE.</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Nipproponew li l-Membri tal-Parlament Ewropew ikunu ta’ kull età u sfond.</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Nipproponew li l-MEPs jagħżlu deliberatament għal karriera Ewropea u mhux biss għax ikunu fi tmiem il-karriera tagħhom.</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Nipproponew li nagħżlu distribuzzjoni bilanċjata bejn is-sessi, pereżempju billi nalternaw is-sessi fir-reġistru elettorali</w:t>
            </w:r>
            <w:r>
              <w:rPr/>
              <w:commentReference w:id="16"/>
            </w:r>
            <w:r>
              <w:rPr/>
              <w:t>. L-UE għandha tistabbilixxi dawn il-kriterji u tivverifika jekk humiex issodisfati fil-kompożizzjoni tal-kwota. Jekk kandidat jirrifjuta l-mandat tiegħu, il-kandidat li jmiss f’ordni ta’ preferenza u li jkollu l-istess sess jieħu postu.</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Nirrakkomandaw li l-kandidati fuq il-listi Ewropej jeżerċitaw il-mandat tagħhom jekk jiġu eletti.</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Aħna nivvotaw għall-Parlament Ewropew u m’għandna l-ebda vuċi fil-kompożizzjoni tal-kumitat</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Nipproponew li jkun hemm emenda fit-trattat li permezz tagħha l-akbar partit fil-Parlament Ewropew ikun jista’ jaħtar il-President tal-Kummissjoni Ewropea.</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Aħna nirrakkomandaw li l-kompożizzjoni tal-Kummissjoni Ewropea ssir aktar trasparenti, skont xi regoli bażiċi bażiċi, sabiex il-kompożizzjoni tirrifletti l-vuċi taċ-ċittadin u li ċ-ċittadin ikun jaf kif saret l-għażla.</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M’hemmx wisq informazzjoni dwar il-kandidati, ma nafux wisq dwarhom u dwar il-programm tagħhom kif ukoll dwar il-frazzjoni politika li se jirrappreżentaw fil-Parlament Ewropew.</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Aħna nipproponu li l-kandidati Ewropej jippreżentaw lilhom infushom lokalment b’mod aktar konkret bl-objettivi u l-programmi tagħhom permezz ta’ mezzi differenti (komunikazzjoni).</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Ombudsman Ewropew</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Problemi ta’</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Rakkomandazzjonijiet</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Appoġġjati minn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Is-sit f’lingwi oħra minbarra l-Ingliż jinkludi biss informazzjoni bl-Ingliż fl-ewwel żewġ paġni. Dan joħloq ostaklu għaċ-ċittadini li ma jafux bl-Ingliż</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Nipproponew li l-informazzjoni fuq il-home page titqiegħed fil-lingwa ta’ kull ċittadin u li, jekk ma jkunx possibbli li din tiġi tradotta, titpoġġa l-aħbarijiet bl-Ingliż x’imkien ieħor fuq is-sit.</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L-Ombudsman mhuwiex parti għall-penali u kwalunkwe kumpens għall-ilmentatur</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Aħna nipproponu li l-Ombudsman ikun parti mill-proċess tas-sejba u l-implimentazzjoni tas-soluzzjoni/is-sanzjoni/il-kumpens u jkollu vuċi f’din il-kwistjoni.</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L-iskadenza hija xi kultant twil ħafna għall-validazzjoni tar-reġistrazzjoni fuq is-sit (email validazzjoni) kultant jieħu 24 siegħa u demotive-ċittadin li jiċċaqlaq fuq xi ħaġa oħra.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Nipproponew li tiġi introdotta sistema ta’ validazzjoni immedjata.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Meta nissottomettu lment, il-mistoqsija hija mitluba: użajt il-proċeduri kollha possibbli? Iċ-ċittadin mhux dejjem ikun jaf il-proċeduri kollha u ma jistax iwieġeb il-mistoqsija.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Nipproponew li tiġi inkluża rabta ma’ preżentazzjoni/spjegazzjoni sempliċi ta’ proċeduri oħra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Is-sit web ta’ l-Ombudsman huwa magħmul tajjeb iżda m’għandux immaġni Ewropea ċara, għalhekk dan iwassal għal mistoqsijiet għaċ-ċittadin (l-emenda I fuq is-sit it-tajjeb, hija kredibbli?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Nipproponew li tiġi riveduta l-karta grafika tas-sit u li din tiġi allinjata aktar ma’ dik tal-UE (l-ewwel parir: għolla l-bandiera Ewropea fil-parti ta’ fuq tal-paġna). Għandu jkun ċar ma’ l-ewwel “klikk” li ċ-ċittadin qiegħed fuq il-websajt ta’ l-Ombudsman ta’ l-Istituzzjonijiet.</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Konsultazzjoni pubblika</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Problemi ta’</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Rakkomandazzjonijiet</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Appoġġjati minn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Is-sit web tal-konsultazzjonijiet inbidel u ċ-ċittadin jintbagħat fl-ewwel istanza f’sit skadut. Għandek tfittex biex issib l-indirizz tas-sit il-ġdid.</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Nipproponu li jitħassar is-sit l-antik u ssir referenza għas-sit il-ġdid l-ewwel.</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Il-pjan direzzjonali (Ingliż) u l-opinjonijiet (lingwa tal-editur taċ-ċittadin) ta’ konsultazzjoni mhumiex tradotti fil-lingwa tal-qarrej taċ-ċittadini</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Nirrakkomandaw bil-qawwa li l-pjan direzzjonali jiġi tradott fil-lingwa taċ-ċittadin. Il-pjan direzzjonali bl-Ingliż jimblokka lil kull ċittadin li ma jħaddanx l-</w:t>
            </w:r>
            <w:commentRangeStart w:id="19"/>
            <w:r>
              <w:rPr/>
              <w:t>Ingliż</w:t>
            </w:r>
            <w:r>
              <w:rPr/>
            </w:r>
            <w:commentRangeEnd w:id="19"/>
            <w:r>
              <w:commentReference w:id="19"/>
            </w:r>
            <w:r>
              <w:rPr/>
              <w:t xml:space="preserve"> fil-parteċipazzjoni tiegħu.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Nipproponu li tpoġġi tab/icon “traduzzjoni awtomatizzata” f’kull reviżjoni, li jgħaqqad ma ‘magna ta’ traduzzjoni sors miftuħ bħal </w:t>
            </w:r>
            <w:commentRangeStart w:id="20"/>
            <w:r>
              <w:rPr/>
              <w:t>Google Translate jew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Trid tabbona biex ikollok segwitu tal-konsultazzjoni</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Nipproponu li nibagħtu t-traċċar tal-proċess awtomatikament lil kull min irreaġixxa, bil-possibbiltà li jneħħi l-abbonament.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Ma nafux jekk l-għadd ta’ opinjonijiet f’ċertu sens jinfluwenzax lill-kummissjoni jew jekk opinjonijiet simili jittiħdux bħala opinjoni waħda (peżar jew le). Jekk in-numru ta’ opinjonijiet f’sens jgħodd aħna mħassbin dwar il-piż tal-lobbyists/attivisti/kumpaniji kbar fil-konsultazzjonijiet u de facto l-azzjonijiet meħuda mill-UE vis-à-vis iċ-ċittadini u d-dinja assoċjattiva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Nirrakkomandaw li tqiegħed informazzjoni ċara fuq is-sit dwar dan.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Jekk in-numru ta’ opinjonijiet f’direzzjoni waħda jkollu impatt, nirrakkomandaw li titwaqqaf sistema li tkun kapaċi tiffiltra lobbyists/attivisti/kumpaniji kbar eċċ sabiex ma tagħtihomx piż sproporzjonat.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Nirrakkomandaw li jinħoloq software intelliġenza artifiċjali li jikklassifika reviżjonijiet differenti u għadd reviżjonijiet opposti jew favorevoli.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Nipproponu li norganizzaw relays bejn iċ-ċittadini u l-assoċjazzjonijiet (militanti): għandhom postijiet fejn iċ-ċittadini jistgħu jiġu u jagħtu l-opinjonijiet tagħhom, fil-forma ta’ ‘Djar l-Ewropa’ li jistgħu jgħinu biex ixerrdu l-opinjonijiet taċ-ċittadini fil-livell Ewropew. Dawn il-postijiet għandhom jiġu stabbiliti f’postijiet differenti, fil-livell lokali, u rilokati.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5.Il-formola ta ‘avviż mhix ċara: hemm mistoqsija miftuħa, u kwestjonarju. X’inhu r-rwol ta’ kull dokument, x’għandu jimtela?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Iċċara din l-informazzjoni fuq is-sit.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Hemm wisq livelli ta ‘ħiliet meta niġu għall-għodod</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Nipproponew li jinħoloq ċentru tad-dispaċċ li jippermetti li t-talbiet jiġu diretti lejn il-livell kompetenti tal-awtorità.</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L-Inizjattiva taċ-Ċittadini Ewropej</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Problemi ta’</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Rakkomandazzjonijiet</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Appoġġjati minn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Iċ-ċittadini li m’għandhomx l-internet huma aktar diffiċli biex jintlaħqu.</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Nissuġġerixxu li l-awtoritajiet lokali jew il-libreriji, li huma indipendenti mill-gvern, jistgħu jkunu involuti fit-tixrid ta’ din l-inizjattiva u fil-ġbir tal-firem. Kemm elettronikament kif ukoll fuq il-karta. L-UE għandha tevalwa dan in-netwerk skont il-pajjiż u tagħmilha disponibbli għall-inizjaturi.</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L-għadd ta’ pajjiżi li għandhom bżonn jipparteċipaw huwa żgħir wisq biex ikollu biżżejjed appoġġ.</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Nipproponew li jiżdied in-numru ta’ pajjiżi li minnhom jinġabru l-firem għal 13-il pajjiż sabiex ikun hemm aktar appoġġ għall-proposta. In-numru ta’ firem għandu jiġi rispettat fi proporzjon man-numru ta’ abitanti.</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L-ispiża u l-isforz biex jinġabru l-firem huma għoljin</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Nipproponew li jkun hemm fondi tal-UE biex jappoġġjaw dawn l-inizjattivi.</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Nipproponew li jitwaqqaf korp li jiffaċilita l-koordinazzjoni bejn il-pajjiżi differenti.</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Il-proċedura hija kumplessa għaċ-ċittadini.</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Nipproponew li nistabbilixxu helpdesk biex jgħin liċ-ċittadini jlestu l-proċess.</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Ir-riżultat tal-inizjattiva taċ-ċittadini mhuwiex ċar.</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Nipproponew li l-Kummissjoni Ewropea tiġi obbligata tiddiskuti u taħdem fuq is-segwitu tal-proposta, u mhux biss li twieġeb u tikkonferma li rċevietha. Jekk il-Kummissjoni tiddeċiedi li ma tiħux azzjoni fuq il-proposta, din għandha tiġġustifikaha.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Nipproponew li tiġi organizzata konsultazzjoni maċ-ċittadini meta jirċievu Inizjattiva taċ-Ċittadini Ewropej biex jintalbu jagħtu l-opinjoni tagħhom dwarha qabel ma l-kumitat jissorveljaha. Dan jevita li jkun hemm biss opinjonijiet/voti estremi għall-inizjattiva u li jkun hemm l-opinjoni ta’ persuni li ma ffirmawx. Barra minn hekk, jekk iċ-ċittadini kollha jagħtu l-opinjoni tagħhom, is-suġġeriment se jkollu aktar piż fil-livell tal-UE u s-segwitu tiegħu.</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Id-dritt għal petizzjoni</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Problemi ta’</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Rakkomandazzjonijiet</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Appoġġjati minn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Il-Kummissjoni Ewropea għandha d-deċiżjoni finali, m’hemm l-ebda ċertezza dwar ir-riżultat</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Nipproponew li r-rakkomandazzjoni tal-Parlament Ewropew tiġi segwita mill-kumitat.</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Ftit li xejn hemm trasparenza dwar il-proċess u l-motivazzjoni tad-deċiżjoni.</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Nipproponew li l-persuna li tressaq il-petizzjoni tinżamm infurmata dwar il-progress u d-deċiżjonijiet f’intervalli regolari. Il-konklużjoni finali għandha wkoll tkun motivata.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Huwa diffiċli għaċ-ċittadini li juru l-ħtieġa għal leġiżlazzjoni ġdida.</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Ir-rakkomandazzjoni tagħna hija li petizzjoni għandha tintuża wkoll bħala għodda li turi l-ħtieġa għal leġislazzjoni ġdida.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Bordijiet Nazzjonali: Franza</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Qafas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Dan id-dokument huwa sommarju tar-rapport dwar “Il-kontribut taċ-ċittadini għall-Konferenza dwar il-Ġejjieni tal-Ewropa” organizzata minn Franza. Il-verżjoni sħiħa tar-rapport bil-Franċiż hija disponibbli fil-link li ġej: </w:t>
                            </w:r>
                          </w:p>
                          <w:p>
                            <w:pPr>
                              <w:pStyle w:val="Contenudecadre"/>
                              <w:spacing w:before="57" w:after="57"/>
                              <w:rPr/>
                            </w:pPr>
                            <w:hyperlink r:id="rId87">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Qafas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Dan id-dokument huwa sommarju tar-rapport dwar “Il-kontribut taċ-ċittadini għall-Konferenza dwar il-Ġejjieni tal-Ewropa” organizzata minn Franza. Il-verżjoni sħiħa tar-rapport bil-Franċiż hija disponibbli fil-link li ġej: </w:t>
                      </w:r>
                    </w:p>
                    <w:p>
                      <w:pPr>
                        <w:pStyle w:val="Contenudecadre"/>
                        <w:spacing w:before="57" w:after="57"/>
                        <w:rPr/>
                      </w:pPr>
                      <w:hyperlink r:id="rId88">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33" descr=""/>
                    <pic:cNvPicPr>
                      <a:picLocks noChangeAspect="1" noChangeArrowheads="1"/>
                    </pic:cNvPicPr>
                  </pic:nvPicPr>
                  <pic:blipFill>
                    <a:blip r:embed="rId89"/>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8" descr=""/>
                    <pic:cNvPicPr>
                      <a:picLocks noChangeAspect="1" noChangeArrowheads="1"/>
                    </pic:cNvPicPr>
                  </pic:nvPicPr>
                  <pic:blipFill>
                    <a:blip r:embed="rId90"/>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7" descr=""/>
                    <pic:cNvPicPr>
                      <a:picLocks noChangeAspect="1" noChangeArrowheads="1"/>
                    </pic:cNvPicPr>
                  </pic:nvPicPr>
                  <pic:blipFill>
                    <a:blip r:embed="rId91"/>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6" descr=""/>
                    <pic:cNvPicPr>
                      <a:picLocks noChangeAspect="1" noChangeArrowheads="1"/>
                    </pic:cNvPicPr>
                  </pic:nvPicPr>
                  <pic:blipFill>
                    <a:blip r:embed="rId92"/>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34" descr=""/>
                    <pic:cNvPicPr>
                      <a:picLocks noChangeAspect="1" noChangeArrowheads="1"/>
                    </pic:cNvPicPr>
                  </pic:nvPicPr>
                  <pic:blipFill>
                    <a:blip r:embed="rId93"/>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5" descr=""/>
                    <pic:cNvPicPr>
                      <a:picLocks noChangeAspect="1" noChangeArrowheads="1"/>
                    </pic:cNvPicPr>
                  </pic:nvPicPr>
                  <pic:blipFill>
                    <a:blip r:embed="rId94"/>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Sommarju</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Introduzzjoni </w:t>
      </w:r>
    </w:p>
    <w:p>
      <w:pPr>
        <w:pStyle w:val="P68B1DB1Normal19"/>
        <w:widowControl w:val="false"/>
        <w:spacing w:lineRule="auto" w:line="240" w:before="156" w:after="0"/>
        <w:ind w:left="0" w:right="0" w:hanging="0"/>
        <w:jc w:val="both"/>
        <w:rPr/>
      </w:pPr>
      <w:r>
        <w:rPr/>
        <w:t xml:space="preserve">Il-Konferenza dwar il-Futur tal-Ewropa hija eżerċizzju mingħajr preċedent ta’ parteċipazzjoni taċ-ċittadini biex jiġu kkonsultati ċ-ċittadini tas-27 Stat Membru tal-Unjoni Ewropea sabiex jitqiegħdu fiċ-ċentru tad-deċiżjonijiet li se jittieħdu għas-snin u d-deċennji li ġejjin. Iċ-ċittadini tal-UE huma għalhekk mistiedna jsemmgħu leħinhom, filwaqt li jipproponu bidliet u modi konkreti ta’ azzjoni li jippermettu lill-Ewropa tistabbilixxi ambizzjoni ġdida u tindirizza l-isfidi globali li qed tiffaċċja llum. </w:t>
      </w:r>
    </w:p>
    <w:p>
      <w:pPr>
        <w:pStyle w:val="P68B1DB1Normal19"/>
        <w:widowControl w:val="false"/>
        <w:spacing w:lineRule="auto" w:line="240" w:before="156" w:after="0"/>
        <w:ind w:left="0" w:right="0" w:hanging="0"/>
        <w:jc w:val="both"/>
        <w:rPr/>
      </w:pPr>
      <w:r>
        <w:rPr/>
        <w:t xml:space="preserve">Il-Gvern Franċiż jappoġġa l-inizjattivi tat-Triju ta’ Presidenzi tal-Konferenza dwar il-Futur tal-Ewropa, b’mod partikolari billi jħeġġeġ liċ-ċittadini tiegħu jagħtu kontribut sinifikanti għall-pjattaforma online u jorganizzaw avvenimenti fil-pajjiż kollu. </w:t>
      </w:r>
    </w:p>
    <w:p>
      <w:pPr>
        <w:pStyle w:val="P68B1DB1Normal19"/>
        <w:widowControl w:val="false"/>
        <w:spacing w:lineRule="auto" w:line="240" w:before="156" w:after="0"/>
        <w:ind w:left="0" w:right="0" w:hanging="0"/>
        <w:jc w:val="left"/>
        <w:rPr/>
      </w:pPr>
      <w:r>
        <w:rPr/>
        <w:t xml:space="preserve">B’mod parallel ma’ dawn l-inizjattivi Ewropej, il-Gvern xtaq iwettaq eżerċizzju parteċipattiv fil-livell nazzjonali. </w:t>
      </w:r>
    </w:p>
    <w:p>
      <w:pPr>
        <w:pStyle w:val="P68B1DB1Normal19"/>
        <w:widowControl w:val="false"/>
        <w:spacing w:lineRule="auto" w:line="240" w:before="156" w:after="0"/>
        <w:ind w:left="0" w:right="0" w:hanging="0"/>
        <w:jc w:val="both"/>
        <w:rPr/>
      </w:pPr>
      <w:r>
        <w:rPr/>
        <w:t xml:space="preserve">Bl-appoġġ tal-Ministeru għar-Relazzjonijiet mal-Parlament u l-Parteċipazzjoni taċ-Ċittadini (MRPCC) u l-għarfien espert taċ-Ċentru Interministerjali għall-Parteċipazzjoni taċ-Ċittadini (ICPC), il-Ministeru tal-Ewropa u l-Affarijiet Barranin (MEAE) organizza eżerċizzju taċ-ċittadini bbażat fuq preġudizzji metodoloġiċi b’saħħithom (ara hawn taħt “Impenji metodoloġiċi u preġudizzji”). MEAE qagħdet fuq konsorzju fornitur magħmul minn Roland Berger, Wavestone, Missions Publiques u Harris Interactive. Il-prefetturi reġjonali fl-aħħar kellhom rwol ewlieni fl-organizzazzjoni tat-18-il konferenza fil-pajjiż kollu. </w:t>
      </w:r>
    </w:p>
    <w:p>
      <w:pPr>
        <w:pStyle w:val="P68B1DB1Normal19"/>
        <w:widowControl w:val="false"/>
        <w:spacing w:lineRule="auto" w:line="240" w:before="156" w:after="0"/>
        <w:ind w:left="0" w:right="0" w:hanging="0"/>
        <w:jc w:val="both"/>
        <w:rPr/>
      </w:pPr>
      <w:r>
        <w:rPr/>
        <w:t xml:space="preserve">Bħala parti minn din il-konsultazzjoni, saret mistoqsija waħda lill-parteċipanti: </w:t>
      </w:r>
      <w:r>
        <w:rPr>
          <w:b/>
          <w:i/>
        </w:rPr>
        <w:t>Bħala ċittadini Franċiżi, x’bidliet trid għall-Ewropa?</w:t>
      </w:r>
      <w:r>
        <w:rPr/>
        <w:t xml:space="preserve"> (Ara l-Anness IV “Mandat ta’ parteċipazzjoni”). </w:t>
      </w:r>
    </w:p>
    <w:p>
      <w:pPr>
        <w:pStyle w:val="P68B1DB1Normal19"/>
        <w:widowControl w:val="false"/>
        <w:spacing w:lineRule="auto" w:line="240" w:before="156" w:after="0"/>
        <w:ind w:left="0" w:right="0" w:hanging="0"/>
        <w:jc w:val="both"/>
        <w:rPr/>
      </w:pPr>
      <w:r>
        <w:rPr/>
        <w:t xml:space="preserve">Dan l-eżerċizzju nazzjonali ħa l-forma ta’ 18-il konferenza reġjonali, fit-13-il reġjun metropolitan u l-5 reġjuni ultramarini Franċiżi, li saru matul tliet tmiem il-ġimgħa f’Settembru u Ottubru 2021 u kull wieħed ġabar flimkien bejn 30 u 50 ċittadin bix-xorti (746 b’kollox). Is-sinteżi ta’ dawn it-18-il panel reġjonali mbagħad saret f’konferenza nazzjonali li saret mill-15 sas-17 ta’ Ottubru 2021 fil-Kunsill Ekonomiku, Soċjali u Ambjentali (KESE f’Pariġi) u li laqqgħet flimkien 98 ċittadin volontarju fost il-parteċipanti fil-konferenzi reġjonali. </w:t>
      </w:r>
    </w:p>
    <w:p>
      <w:pPr>
        <w:pStyle w:val="P68B1DB1Normal19"/>
        <w:widowControl w:val="false"/>
        <w:spacing w:lineRule="auto" w:line="240" w:before="156" w:after="0"/>
        <w:ind w:left="0" w:right="0" w:hanging="0"/>
        <w:jc w:val="both"/>
        <w:rPr/>
      </w:pPr>
      <w:r>
        <w:rPr/>
        <w:t xml:space="preserve">Barra minn hekk, u sabiex jiġu enfasizzati l-kliem taż-żgħażagħ Franċiżi qabel is-Sena Ewropea taż-Żgħażagħ fl-2022, ġiet organizzata konsultazzjoni online bit-titolu </w:t>
      </w:r>
      <w:r>
        <w:rPr>
          <w:i/>
        </w:rPr>
        <w:t>“Speak to Youth</w:t>
      </w:r>
      <w:r>
        <w:rPr/>
        <w:t xml:space="preserve">” mill-Ministeru tal-Ewropa u l-Affarijiet Barranin fi sħubija ma’ Make.org. Aktar minn 50 000 żagħżugħ u żagħżugħa bejn il-15 u l-35 sena esprimew l-ideat u l-prijoritajiet tagħhom għall-Ewropa tal-2035.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Dan ir-rapport jippreżenta r-riżultati ewlenin taż-żewġ konsultazzjonijiet immexxija mill-Gvern.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Metodoloġija ta’ konsultazzjoni </w:t>
      </w:r>
    </w:p>
    <w:p>
      <w:pPr>
        <w:pStyle w:val="P68B1DB1Normal19"/>
        <w:widowControl w:val="false"/>
        <w:spacing w:lineRule="auto" w:line="240" w:before="156" w:after="0"/>
        <w:ind w:left="0" w:right="0" w:hanging="0"/>
        <w:jc w:val="both"/>
        <w:rPr/>
      </w:pPr>
      <w:r>
        <w:rPr/>
        <w:t xml:space="preserve">Ir-reklutaġġ ta’ ċittadini li jipparteċipaw f’konferenzi reġjonali għaqqad flimkien għażla aleatorja ta’ parteċipanti permezz ta’ tlugħ każwali tan-numri tat-telefon tagħhom, u għażla mmirata ta’ profili biex jilħqu panel bħala rappreżentattiv tad-diversità ta’ kull territorju kemm jista’ jkun. </w:t>
      </w:r>
    </w:p>
    <w:p>
      <w:pPr>
        <w:pStyle w:val="P68B1DB1Normal19"/>
        <w:widowControl w:val="false"/>
        <w:spacing w:lineRule="auto" w:line="240" w:before="156" w:after="0"/>
        <w:ind w:left="0" w:right="0" w:hanging="0"/>
        <w:jc w:val="both"/>
        <w:rPr/>
      </w:pPr>
      <w:r>
        <w:rPr/>
        <w:t xml:space="preserve">Matul il-panels reġjonali, il-parteċipanti tkellmu billi jalternaw il-ħin tax-xogħol fi gruppi, għal kull tabella ta’ 6 sa 8 ċittadini akkumpanjati minn faċilitatur u ħinijiet ta’ preżentazzjoni fil-plenarja. L-esperti kienu preżenti matul iż-żmien ta’ riflessjoni biex iwieġbu l-mistoqsijiet taċ-ċittadini u jitfgħu d-dawl, filwaqt li żammew pożizzjoni ta’ newtralità. </w:t>
      </w:r>
    </w:p>
    <w:p>
      <w:pPr>
        <w:pStyle w:val="P68B1DB1Normal19"/>
        <w:widowControl w:val="false"/>
        <w:spacing w:lineRule="auto" w:line="240" w:before="156" w:after="0"/>
        <w:ind w:left="0" w:right="0" w:hanging="0"/>
        <w:jc w:val="both"/>
        <w:rPr/>
      </w:pPr>
      <w:r>
        <w:rPr/>
        <w:t xml:space="preserve">Iċ-ċittadini l-ewwel ġew mistiedna jiddiskutu l-perċezzjoni attwali tagħhom dwar l-Ewropa. Huma mbagħad esprimew ix- </w:t>
      </w:r>
      <w:r>
        <w:rPr>
          <w:b/>
        </w:rPr>
        <w:t>xewqat tagħhom għall-Ewropa tal-2035</w:t>
      </w:r>
      <w:r>
        <w:rPr/>
        <w:t xml:space="preserve">, bħala grupp u mbagħad fil-plenarja. Dawn id-diskussjonijiet għamluha possibbli li jiġu identifikati bejn 3 u 8 xewqat għal kull reġjun. Għal kull waħda minn dawn ix-xewqat, iċ-ċittadini mbagħad ifformulaw il- </w:t>
      </w:r>
      <w:r>
        <w:rPr>
          <w:b/>
        </w:rPr>
        <w:t>bidliet</w:t>
      </w:r>
      <w:r>
        <w:rPr/>
        <w:t xml:space="preserve"> li qiesu meħtieġa biex tintlaħaq l-Ewropa mixtieqa u mbagħad urewhom bi proposti konkreti li għandhom jiġu implimentati. Dan il-proċess irriżulta f’total ta’ 515-il bidla u 1,301 proposta konkreta fil-livell nazzjonali. </w:t>
      </w:r>
    </w:p>
    <w:p>
      <w:pPr>
        <w:pStyle w:val="P68B1DB1Normal19"/>
        <w:widowControl w:val="false"/>
        <w:spacing w:lineRule="auto" w:line="240" w:before="156" w:after="0"/>
        <w:ind w:left="0" w:right="0" w:hanging="0"/>
        <w:jc w:val="left"/>
        <w:rPr/>
      </w:pPr>
      <w:r>
        <w:rPr/>
        <w:t xml:space="preserve">Kull konferenza reġjonali rriżultat fil-kitba ta’ rapport ta’ sinteżi reġjonali mogħti lill-parteċipanti kollha qabel il-konferenza nazzjonali. </w:t>
      </w:r>
    </w:p>
    <w:p>
      <w:pPr>
        <w:pStyle w:val="P68B1DB1Normal19"/>
        <w:widowControl w:val="false"/>
        <w:spacing w:lineRule="auto" w:line="240" w:before="156" w:after="0"/>
        <w:ind w:left="0" w:right="0" w:hanging="0"/>
        <w:jc w:val="both"/>
        <w:rPr/>
      </w:pPr>
      <w:r>
        <w:rPr/>
        <w:t xml:space="preserve">Il-Konferenza Nazzjonali ta’ Sinteżi laqqgħet flimkien 98 ċittadin magħżula b’mod aleatorju fost il-parteċipanti fit-18-il konferenza reġjonali. Sabiex tiġi żgurata d-diversità tal-bord nazzjonali, 6 ċittadini ttellgħu bil-polza fost il-voluntiera tal-konferenzi reġjonali fi Franza metropolitana u r-Réunion u erba’ ċittadini għal konferenzi ultramarini, filwaqt li ġew rispettati l-parità u d-diversità ta’ età f’kull parti reġjonali (ara l-Anness II). </w:t>
      </w:r>
    </w:p>
    <w:p>
      <w:pPr>
        <w:pStyle w:val="Normal"/>
        <w:widowControl w:val="false"/>
        <w:spacing w:lineRule="auto" w:line="240" w:before="156" w:after="0"/>
        <w:ind w:left="0" w:right="0" w:hanging="0"/>
        <w:jc w:val="both"/>
        <w:rPr/>
      </w:pPr>
      <w:r>
        <w:rPr>
          <w:rFonts w:ascii="Times New Roman" w:hAnsi="Times New Roman"/>
          <w:color w:val="000000"/>
          <w:sz w:val="24"/>
        </w:rPr>
        <w:t>Bi tħejjija għall-konferenza nazzjonali, il-515-il bidla identifikati fil-konferenzi reġjonali ġew analizzati u rikonċiljati meta l-intenzjoni sottostanti tagħhom dehret simili jew qrib, sabiex jikkostitwixxu 14-il grupp ta’</w:t>
      </w:r>
      <w:r>
        <w:rPr>
          <w:rFonts w:ascii="Times New Roman" w:hAnsi="Times New Roman"/>
          <w:b/>
          <w:color w:val="000000"/>
          <w:sz w:val="24"/>
        </w:rPr>
        <w:t xml:space="preserve"> </w:t>
      </w:r>
      <w:r>
        <w:rPr>
          <w:rFonts w:ascii="Times New Roman" w:hAnsi="Times New Roman"/>
          <w:color w:val="000000"/>
          <w:sz w:val="24"/>
        </w:rPr>
        <w:t>bidliet li jirriflettu xewqa komuni għall-Ewropa (ara l-Parti 6). Dawn l-14-il xewqa Ewropea servew bħala l-bażi għall-ħidma tat-98 parteċipant tal-konferenza nazzjonali, li l-missjoni tagħhom kienet li jarrikkixxu x-xogħol li sar fir-reġjuni u li jikkonfrontaw ix-xewqat tal-Ewropa, il-bidliet u l-proposti bl-għajnuna ta’ għoxrin espert biex jaslu għal lista ta’ bidliet prijoritarji. Fl-aħħar nett kull grupp għażel 3 bidliet ewlenin, li l-ewwel waħda</w:t>
      </w:r>
      <w:r>
        <w:rPr>
          <w:rFonts w:ascii="Times New Roman" w:hAnsi="Times New Roman"/>
          <w:b/>
          <w:color w:val="000000"/>
          <w:sz w:val="24"/>
        </w:rPr>
        <w:t xml:space="preserve"> </w:t>
      </w:r>
      <w:r>
        <w:rPr>
          <w:rFonts w:ascii="Times New Roman" w:hAnsi="Times New Roman"/>
          <w:color w:val="000000"/>
          <w:sz w:val="24"/>
        </w:rPr>
        <w:t xml:space="preserve">minnhom ġiet ivvutata mit-98 ċittadin kollha, li jistabbilixxu klassifikazzjoni finali tal-14-il bidla ta’ prijorità. Rapport ta’ sinteżi jikkonsolida x-xogħol kollu ta’ din il-konferenza. </w:t>
      </w:r>
      <w:r>
        <w:br w:type="page"/>
      </w:r>
    </w:p>
    <w:p>
      <w:pPr>
        <w:pStyle w:val="P68B1DB1Normal19"/>
        <w:spacing w:lineRule="auto" w:line="240" w:before="156" w:after="0"/>
        <w:ind w:left="0" w:right="0" w:hanging="0"/>
        <w:rPr/>
      </w:pPr>
      <w:r>
        <w:rPr/>
        <w:t xml:space="preserve">Il-konsultazzjoni online “Parole aux Jeunes” li saret fi sħubija ma’ Make.org saret minn Mejju sa Lulju 2021. Aktar minn 50,000 parteċipant ħadu sehem u ssottomettew kważi 3,000 proposta għall-Ewropa. Fuq il-bażi tar-reazzjonijiet kollha taċ-ċittadini żgħażagħ, ġew identifikati 35 idea ewlenija, li 22 minnhom ġew imfaħħra b’mod wiesa’ u 13 kienu s-suġġett ta’ kontroversja fost il-parteċipanti (ara l-Parti 11). </w:t>
      </w:r>
    </w:p>
    <w:p>
      <w:pPr>
        <w:pStyle w:val="P68B1DB1Normal19"/>
        <w:widowControl w:val="false"/>
        <w:spacing w:lineRule="auto" w:line="240" w:before="156" w:after="0"/>
        <w:ind w:left="0" w:right="0" w:hanging="0"/>
        <w:jc w:val="left"/>
        <w:rPr/>
      </w:pPr>
      <w:r>
        <w:rPr>
          <w:u w:val="single"/>
        </w:rPr>
        <w:t>Il-punt ta’ ħruġ u d-dazju immedjatament</w:t>
      </w:r>
      <w:r>
        <w:rPr/>
        <w:t xml:space="preserve"> </w:t>
      </w:r>
    </w:p>
    <w:p>
      <w:pPr>
        <w:pStyle w:val="P68B1DB1Normal19"/>
        <w:widowControl w:val="false"/>
        <w:spacing w:lineRule="auto" w:line="240" w:before="156" w:after="0"/>
        <w:ind w:left="0" w:right="0" w:hanging="0"/>
        <w:jc w:val="both"/>
        <w:rPr/>
      </w:pPr>
      <w:r>
        <w:rPr/>
        <w:t xml:space="preserve">Dan ir-rapport se jiġi ppreżentat lill-Gvern miċ-ċittadini fid-29 ta’ Novembru 2021, fil-preżenza tal-membri eletti Franċiżi tal-Assemblea Plenarja tal-Konferenza dwar il-Ġejjieni tal-Ewropa. Dan ser jiġi ppreżentat lit-triju ta’ presidenzi tal-Konferenza matul il-Presidenza Franċiża tal-Kunsill tal-Unjoni Ewropea (PFUE). </w:t>
      </w:r>
    </w:p>
    <w:p>
      <w:pPr>
        <w:pStyle w:val="P68B1DB1Normal19"/>
        <w:widowControl w:val="false"/>
        <w:spacing w:lineRule="auto" w:line="240" w:before="156" w:after="0"/>
        <w:ind w:left="0" w:right="0" w:hanging="0"/>
        <w:jc w:val="both"/>
        <w:rPr/>
      </w:pPr>
      <w:r>
        <w:rPr/>
        <w:t xml:space="preserve">Fi tmiem il-Konferenza Nazzjonali ta’ Sinteżi fil-KESE, u sabiex jintlaħqu l-istennijiet għoljin taċ-ċittadini bix-xorti, twaqqaf Kumitat ta’ Segwitu taċ-Ċittadini li jinkorpora d-dritt ta’ segwitu tal-parteċipanti. Dan il-kumitat, magħmul minn 15-il membru — 14-il rappreżentant ta’ konferenzi reġjonali u rappreżentant tal-konsultazzjoni “Parole aux Jeunes” — se jkollu l-kompitu li jinforma liċ-ċittadini dwar il-futur tal-proposti tagħhom. F’kull laqgħa tal-Assemblea Plenarja tal-Konferenza, membru wieħed jew wieħed mill-membri tal-Kumitat ta’ Monitoraġġ se jipparteċipa bħala rappreżentant tal-eżerċizzju Franċiż biex jenfasizza l-proposti stabbiliti f’dan ir-rapport, filwaqt li jibni pożizzjoni komuni maċ-ċittadini Ewropej kollha rappreżentati. </w:t>
      </w:r>
    </w:p>
    <w:p>
      <w:pPr>
        <w:pStyle w:val="P68B1DB1Normal19"/>
        <w:widowControl w:val="false"/>
        <w:spacing w:lineRule="auto" w:line="240" w:before="156" w:after="0"/>
        <w:ind w:left="0" w:right="0" w:hanging="0"/>
        <w:jc w:val="both"/>
        <w:rPr/>
      </w:pPr>
      <w:r>
        <w:rPr/>
        <w:t xml:space="preserve">Id-dokumenti kollha tal-konsultazzjoni Franċiża se jkunu pubbliċi u aċċessibbli għal kulħadd fuq il-pjattaforma tal-parteċipazzjoni taċ-ċittadini tal-Istat Franċiż: mandat ta’ parteċipazzjoni, sommarji reġjonali, sinteżi nazzjonali, rapport tal-garanti u rapport finali.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Qafas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Ħarsa ġenerali lejn il-kontribut Franċiż għall-Konferenza dwar il-Futur tal-Ewropa</w:t>
                            </w:r>
                          </w:p>
                          <w:p>
                            <w:pPr>
                              <w:pStyle w:val="Contenudecadre"/>
                              <w:rPr>
                                <w:color w:val="auto"/>
                              </w:rPr>
                            </w:pPr>
                            <w:r>
                              <w:rPr>
                                <w:color w:val="auto"/>
                              </w:rPr>
                            </w:r>
                          </w:p>
                          <w:p>
                            <w:pPr>
                              <w:pStyle w:val="Contenudecadre"/>
                              <w:rPr>
                                <w:color w:val="auto"/>
                              </w:rPr>
                            </w:pPr>
                            <w:r>
                              <w:rPr>
                                <w:color w:val="auto"/>
                              </w:rPr>
                              <w:t>Iċ-ċittadini miġbuda bix-xorti kellhom iwieġbu l-mistoqsija: “Bħala ċittadini Franċiżi, x’bidliet trid għall-Ewropa?”</w:t>
                            </w:r>
                          </w:p>
                          <w:p>
                            <w:pPr>
                              <w:pStyle w:val="Contenudecadre"/>
                              <w:rPr>
                                <w:color w:val="auto"/>
                              </w:rPr>
                            </w:pPr>
                            <w:r>
                              <w:rPr>
                                <w:color w:val="auto"/>
                              </w:rPr>
                            </w:r>
                          </w:p>
                          <w:p>
                            <w:pPr>
                              <w:pStyle w:val="Contenudecadre"/>
                              <w:rPr>
                                <w:color w:val="auto"/>
                              </w:rPr>
                            </w:pPr>
                            <w:r>
                              <w:rPr>
                                <w:color w:val="auto"/>
                              </w:rPr>
                              <w:t xml:space="preserve">L-ewwel 10 bidliet ta’ prijorità għall-Ewropa tal-2035 </w:t>
                            </w:r>
                          </w:p>
                          <w:p>
                            <w:pPr>
                              <w:pStyle w:val="Contenudecadre"/>
                              <w:rPr>
                                <w:color w:val="auto"/>
                              </w:rPr>
                            </w:pPr>
                            <w:r>
                              <w:rPr>
                                <w:color w:val="auto"/>
                              </w:rPr>
                            </w:r>
                          </w:p>
                          <w:p>
                            <w:pPr>
                              <w:pStyle w:val="Contenudecadre"/>
                              <w:rPr>
                                <w:color w:val="auto"/>
                              </w:rPr>
                            </w:pPr>
                            <w:r>
                              <w:rPr>
                                <w:color w:val="auto"/>
                              </w:rPr>
                              <w:t xml:space="preserve">1. Żviluppa </w:t>
                            </w:r>
                            <w:r>
                              <w:rPr>
                                <w:b/>
                                <w:color w:val="auto"/>
                              </w:rPr>
                              <w:t>sobriety enerġija</w:t>
                            </w:r>
                            <w:r>
                              <w:rPr>
                                <w:color w:val="auto"/>
                              </w:rPr>
                              <w:t xml:space="preserve"> biex jikkunsmaw inqas billi twaqqaf l-superfluous</w:t>
                            </w:r>
                          </w:p>
                          <w:p>
                            <w:pPr>
                              <w:pStyle w:val="Contenudecadre"/>
                              <w:rPr>
                                <w:b w:val="false"/>
                                <w:b w:val="false"/>
                                <w:color w:val="auto"/>
                              </w:rPr>
                            </w:pPr>
                            <w:r>
                              <w:rPr>
                                <w:b w:val="false"/>
                                <w:color w:val="auto"/>
                              </w:rPr>
                            </w:r>
                          </w:p>
                          <w:p>
                            <w:pPr>
                              <w:pStyle w:val="Contenudecadre"/>
                              <w:rPr>
                                <w:color w:val="auto"/>
                              </w:rPr>
                            </w:pPr>
                            <w:r>
                              <w:rPr>
                                <w:color w:val="auto"/>
                              </w:rPr>
                              <w:t>2. It-tisħiħ tad-</w:t>
                            </w:r>
                            <w:r>
                              <w:rPr>
                                <w:b/>
                                <w:color w:val="auto"/>
                              </w:rPr>
                              <w:t>difiża u s-sigurtà komuni tal-</w:t>
                            </w:r>
                            <w:r>
                              <w:rPr>
                                <w:color w:val="auto"/>
                              </w:rPr>
                              <w:t>Unjoni Ewropea</w:t>
                            </w:r>
                          </w:p>
                          <w:p>
                            <w:pPr>
                              <w:pStyle w:val="Contenudecadre"/>
                              <w:rPr>
                                <w:b w:val="false"/>
                                <w:b w:val="false"/>
                                <w:color w:val="auto"/>
                              </w:rPr>
                            </w:pPr>
                            <w:r>
                              <w:rPr>
                                <w:b w:val="false"/>
                                <w:color w:val="auto"/>
                              </w:rPr>
                            </w:r>
                          </w:p>
                          <w:p>
                            <w:pPr>
                              <w:pStyle w:val="Contenudecadre"/>
                              <w:rPr>
                                <w:color w:val="auto"/>
                              </w:rPr>
                            </w:pPr>
                            <w:r>
                              <w:rPr>
                                <w:color w:val="auto"/>
                              </w:rPr>
                              <w:t xml:space="preserve">3. It-trawwim </w:t>
                            </w:r>
                            <w:r>
                              <w:rPr>
                                <w:b/>
                                <w:color w:val="auto"/>
                              </w:rPr>
                              <w:t>ta’ prestazzjoni ekonomika kollettiva</w:t>
                            </w:r>
                            <w:r>
                              <w:rPr>
                                <w:color w:val="auto"/>
                              </w:rPr>
                              <w:t xml:space="preserve"> permezz ta’ industrija awtonoma, kompetittiva u ta’ valur mill-UE</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L-għoti tas-setgħa liċ-ċittadini</w:t>
                            </w:r>
                            <w:r>
                              <w:rPr>
                                <w:color w:val="auto"/>
                              </w:rPr>
                              <w:t xml:space="preserve"> f’diversi livelli: parteċipazzjoni, deċiżjoni, kontroll</w:t>
                            </w:r>
                          </w:p>
                          <w:p>
                            <w:pPr>
                              <w:pStyle w:val="Contenudecadre"/>
                              <w:rPr>
                                <w:b w:val="false"/>
                                <w:b w:val="false"/>
                                <w:color w:val="auto"/>
                              </w:rPr>
                            </w:pPr>
                            <w:r>
                              <w:rPr>
                                <w:b w:val="false"/>
                                <w:color w:val="auto"/>
                              </w:rPr>
                            </w:r>
                          </w:p>
                          <w:p>
                            <w:pPr>
                              <w:pStyle w:val="Contenudecadre"/>
                              <w:rPr>
                                <w:color w:val="auto"/>
                              </w:rPr>
                            </w:pPr>
                            <w:r>
                              <w:rPr>
                                <w:color w:val="auto"/>
                              </w:rPr>
                              <w:t xml:space="preserve">5. Nimxu lejn </w:t>
                            </w:r>
                            <w:r>
                              <w:rPr>
                                <w:b/>
                                <w:color w:val="auto"/>
                              </w:rPr>
                              <w:t>federazzjoni ta’ stati Ewropej b’</w:t>
                            </w:r>
                            <w:r>
                              <w:rPr>
                                <w:color w:val="auto"/>
                              </w:rPr>
                              <w:t xml:space="preserve"> kompetenzi b’saħħithom f’oqsma ta’ interess komuni</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Joffru </w:t>
                            </w:r>
                            <w:r>
                              <w:rPr>
                                <w:b/>
                                <w:color w:val="auto"/>
                              </w:rPr>
                              <w:t>programmi ta’ skambju</w:t>
                            </w:r>
                            <w:r>
                              <w:rPr>
                                <w:color w:val="auto"/>
                              </w:rPr>
                              <w:t>tul il-ħajja</w:t>
                            </w:r>
                          </w:p>
                        </w:txbxContent>
                      </wps:txbx>
                      <wps:bodyPr lIns="54000" rIns="54000" tIns="54000" bIns="54000">
                        <a:noAutofit/>
                      </wps:bodyPr>
                    </wps:wsp>
                  </a:graphicData>
                </a:graphic>
              </wp:anchor>
            </w:drawing>
          </mc:Choice>
          <mc:Fallback>
            <w:pict>
              <v:rect id="shape_0" ID="Qafas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Ħarsa ġenerali lejn il-kontribut Franċiż għall-Konferenza dwar il-Futur tal-Ewropa</w:t>
                      </w:r>
                    </w:p>
                    <w:p>
                      <w:pPr>
                        <w:pStyle w:val="Contenudecadre"/>
                        <w:rPr>
                          <w:color w:val="auto"/>
                        </w:rPr>
                      </w:pPr>
                      <w:r>
                        <w:rPr>
                          <w:color w:val="auto"/>
                        </w:rPr>
                      </w:r>
                    </w:p>
                    <w:p>
                      <w:pPr>
                        <w:pStyle w:val="Contenudecadre"/>
                        <w:rPr>
                          <w:color w:val="auto"/>
                        </w:rPr>
                      </w:pPr>
                      <w:r>
                        <w:rPr>
                          <w:color w:val="auto"/>
                        </w:rPr>
                        <w:t>Iċ-ċittadini miġbuda bix-xorti kellhom iwieġbu l-mistoqsija: “Bħala ċittadini Franċiżi, x’bidliet trid għall-Ewropa?”</w:t>
                      </w:r>
                    </w:p>
                    <w:p>
                      <w:pPr>
                        <w:pStyle w:val="Contenudecadre"/>
                        <w:rPr>
                          <w:color w:val="auto"/>
                        </w:rPr>
                      </w:pPr>
                      <w:r>
                        <w:rPr>
                          <w:color w:val="auto"/>
                        </w:rPr>
                      </w:r>
                    </w:p>
                    <w:p>
                      <w:pPr>
                        <w:pStyle w:val="Contenudecadre"/>
                        <w:rPr>
                          <w:color w:val="auto"/>
                        </w:rPr>
                      </w:pPr>
                      <w:r>
                        <w:rPr>
                          <w:color w:val="auto"/>
                        </w:rPr>
                        <w:t xml:space="preserve">L-ewwel 10 bidliet ta’ prijorità għall-Ewropa tal-2035 </w:t>
                      </w:r>
                    </w:p>
                    <w:p>
                      <w:pPr>
                        <w:pStyle w:val="Contenudecadre"/>
                        <w:rPr>
                          <w:color w:val="auto"/>
                        </w:rPr>
                      </w:pPr>
                      <w:r>
                        <w:rPr>
                          <w:color w:val="auto"/>
                        </w:rPr>
                      </w:r>
                    </w:p>
                    <w:p>
                      <w:pPr>
                        <w:pStyle w:val="Contenudecadre"/>
                        <w:rPr>
                          <w:color w:val="auto"/>
                        </w:rPr>
                      </w:pPr>
                      <w:r>
                        <w:rPr>
                          <w:color w:val="auto"/>
                        </w:rPr>
                        <w:t xml:space="preserve">1. Żviluppa </w:t>
                      </w:r>
                      <w:r>
                        <w:rPr>
                          <w:b/>
                          <w:color w:val="auto"/>
                        </w:rPr>
                        <w:t>sobriety enerġija</w:t>
                      </w:r>
                      <w:r>
                        <w:rPr>
                          <w:color w:val="auto"/>
                        </w:rPr>
                        <w:t xml:space="preserve"> biex jikkunsmaw inqas billi twaqqaf l-superfluous</w:t>
                      </w:r>
                    </w:p>
                    <w:p>
                      <w:pPr>
                        <w:pStyle w:val="Contenudecadre"/>
                        <w:rPr>
                          <w:b w:val="false"/>
                          <w:b w:val="false"/>
                          <w:color w:val="auto"/>
                        </w:rPr>
                      </w:pPr>
                      <w:r>
                        <w:rPr>
                          <w:b w:val="false"/>
                          <w:color w:val="auto"/>
                        </w:rPr>
                      </w:r>
                    </w:p>
                    <w:p>
                      <w:pPr>
                        <w:pStyle w:val="Contenudecadre"/>
                        <w:rPr>
                          <w:color w:val="auto"/>
                        </w:rPr>
                      </w:pPr>
                      <w:r>
                        <w:rPr>
                          <w:color w:val="auto"/>
                        </w:rPr>
                        <w:t>2. It-tisħiħ tad-</w:t>
                      </w:r>
                      <w:r>
                        <w:rPr>
                          <w:b/>
                          <w:color w:val="auto"/>
                        </w:rPr>
                        <w:t>difiża u s-sigurtà komuni tal-</w:t>
                      </w:r>
                      <w:r>
                        <w:rPr>
                          <w:color w:val="auto"/>
                        </w:rPr>
                        <w:t>Unjoni Ewropea</w:t>
                      </w:r>
                    </w:p>
                    <w:p>
                      <w:pPr>
                        <w:pStyle w:val="Contenudecadre"/>
                        <w:rPr>
                          <w:b w:val="false"/>
                          <w:b w:val="false"/>
                          <w:color w:val="auto"/>
                        </w:rPr>
                      </w:pPr>
                      <w:r>
                        <w:rPr>
                          <w:b w:val="false"/>
                          <w:color w:val="auto"/>
                        </w:rPr>
                      </w:r>
                    </w:p>
                    <w:p>
                      <w:pPr>
                        <w:pStyle w:val="Contenudecadre"/>
                        <w:rPr>
                          <w:color w:val="auto"/>
                        </w:rPr>
                      </w:pPr>
                      <w:r>
                        <w:rPr>
                          <w:color w:val="auto"/>
                        </w:rPr>
                        <w:t xml:space="preserve">3. It-trawwim </w:t>
                      </w:r>
                      <w:r>
                        <w:rPr>
                          <w:b/>
                          <w:color w:val="auto"/>
                        </w:rPr>
                        <w:t>ta’ prestazzjoni ekonomika kollettiva</w:t>
                      </w:r>
                      <w:r>
                        <w:rPr>
                          <w:color w:val="auto"/>
                        </w:rPr>
                        <w:t xml:space="preserve"> permezz ta’ industrija awtonoma, kompetittiva u ta’ valur mill-UE</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L-għoti tas-setgħa liċ-ċittadini</w:t>
                      </w:r>
                      <w:r>
                        <w:rPr>
                          <w:color w:val="auto"/>
                        </w:rPr>
                        <w:t xml:space="preserve"> f’diversi livelli: parteċipazzjoni, deċiżjoni, kontroll</w:t>
                      </w:r>
                    </w:p>
                    <w:p>
                      <w:pPr>
                        <w:pStyle w:val="Contenudecadre"/>
                        <w:rPr>
                          <w:b w:val="false"/>
                          <w:b w:val="false"/>
                          <w:color w:val="auto"/>
                        </w:rPr>
                      </w:pPr>
                      <w:r>
                        <w:rPr>
                          <w:b w:val="false"/>
                          <w:color w:val="auto"/>
                        </w:rPr>
                      </w:r>
                    </w:p>
                    <w:p>
                      <w:pPr>
                        <w:pStyle w:val="Contenudecadre"/>
                        <w:rPr>
                          <w:color w:val="auto"/>
                        </w:rPr>
                      </w:pPr>
                      <w:r>
                        <w:rPr>
                          <w:color w:val="auto"/>
                        </w:rPr>
                        <w:t xml:space="preserve">5. Nimxu lejn </w:t>
                      </w:r>
                      <w:r>
                        <w:rPr>
                          <w:b/>
                          <w:color w:val="auto"/>
                        </w:rPr>
                        <w:t>federazzjoni ta’ stati Ewropej b’</w:t>
                      </w:r>
                      <w:r>
                        <w:rPr>
                          <w:color w:val="auto"/>
                        </w:rPr>
                        <w:t xml:space="preserve"> kompetenzi b’saħħithom f’oqsma ta’ interess komuni</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Joffru </w:t>
                      </w:r>
                      <w:r>
                        <w:rPr>
                          <w:b/>
                          <w:color w:val="auto"/>
                        </w:rPr>
                        <w:t>programmi ta’ skambju</w:t>
                      </w:r>
                      <w:r>
                        <w:rPr>
                          <w:color w:val="auto"/>
                        </w:rPr>
                        <w:t>tul il-ħajja</w:t>
                      </w:r>
                    </w:p>
                  </w:txbxContent>
                </v:textbox>
              </v:rect>
            </w:pict>
          </mc:Fallback>
        </mc:AlternateContent>
      </w:r>
      <w:r>
        <w:rPr/>
        <w:t>Preżentazzjoni tar-riżultati ewlenin</w:t>
      </w:r>
    </w:p>
    <w:p>
      <w:pPr>
        <w:pStyle w:val="P68B1DB1Normal24"/>
        <w:rPr>
          <w:b w:val="false"/>
          <w:b w:val="false"/>
          <w:sz w:val="22"/>
        </w:rPr>
      </w:pPr>
      <w:r>
        <w:rPr/>
        <w:t xml:space="preserve"> </w:t>
      </w:r>
      <w:r>
        <w:rPr/>
        <w:t>(l-oriġinal kien fil-forma ta ‘illustrazzjoni)</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39" descr=""/>
                    <pic:cNvPicPr>
                      <a:picLocks noChangeAspect="1" noChangeArrowheads="1"/>
                    </pic:cNvPicPr>
                  </pic:nvPicPr>
                  <pic:blipFill>
                    <a:blip r:embed="rId95"/>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Sors: Bidliet li rebħu l-aktar voti fil-Konferenza Nazzjonali dwar il-Futur tal-Ewropa (15–17 ta’ Ottubru 2021)</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0" descr=""/>
                    <pic:cNvPicPr>
                      <a:picLocks noChangeAspect="1" noChangeArrowheads="1"/>
                    </pic:cNvPicPr>
                  </pic:nvPicPr>
                  <pic:blipFill>
                    <a:blip r:embed="rId96"/>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Qafas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Konsultazzjoni online “Kliem għaż-żgħażagħ”</w:t>
                            </w:r>
                          </w:p>
                          <w:p>
                            <w:pPr>
                              <w:pStyle w:val="Contenudecadre"/>
                              <w:rPr>
                                <w:color w:val="auto"/>
                              </w:rPr>
                            </w:pPr>
                            <w:r>
                              <w:rPr>
                                <w:color w:val="auto"/>
                              </w:rPr>
                              <w:t>Fid-9 ta’ Mejju 2021, is-Segretarju tal-Istat għall-Affarijiet Ewropej nieda konsultazzjoni “kelma għaż-żgħażagħ” imwettqa minn Make.org bejn Mejju u Lulju 2021.</w:t>
                            </w:r>
                          </w:p>
                          <w:p>
                            <w:pPr>
                              <w:pStyle w:val="Contenudecadre"/>
                              <w:rPr>
                                <w:color w:val="auto"/>
                              </w:rPr>
                            </w:pPr>
                            <w:r>
                              <w:rPr>
                                <w:color w:val="auto"/>
                              </w:rPr>
                              <w:t>50 000 żagħżugħ u żagħżugħa bejn il-15 u t-30 sena wieġbu l-mistoqsija: “X’inhuma l-prijoritajiet tiegħek għall-Ewropa ta’ għada?”, b’2918-il proposta mressqa.</w:t>
                            </w:r>
                          </w:p>
                          <w:p>
                            <w:pPr>
                              <w:pStyle w:val="Contenudecadre"/>
                              <w:spacing w:before="57" w:after="57"/>
                              <w:rPr>
                                <w:color w:val="auto"/>
                              </w:rPr>
                            </w:pPr>
                            <w:r>
                              <w:rPr>
                                <w:color w:val="auto"/>
                              </w:rPr>
                              <w:t>L-ideat iffavoriti miż-żgħażagħ Franċiżi fil-kuntest ta’ din il-konsultazzjoni online huma parti mill-kontribut taċ-ċittadini għall-Konferenza dwar il-Futur tal-Ewropa (ara d-dettalji fil-Parti 2 ta’ dan ir-rapport)</w:t>
                            </w:r>
                          </w:p>
                        </w:txbxContent>
                      </wps:txbx>
                      <wps:bodyPr lIns="54000" rIns="54000" tIns="54000" bIns="54000">
                        <a:noAutofit/>
                      </wps:bodyPr>
                    </wps:wsp>
                  </a:graphicData>
                </a:graphic>
              </wp:anchor>
            </w:drawing>
          </mc:Choice>
          <mc:Fallback>
            <w:pict>
              <v:rect id="shape_0" ID="Qafas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Konsultazzjoni online “Kliem għaż-żgħażagħ”</w:t>
                      </w:r>
                    </w:p>
                    <w:p>
                      <w:pPr>
                        <w:pStyle w:val="Contenudecadre"/>
                        <w:rPr>
                          <w:color w:val="auto"/>
                        </w:rPr>
                      </w:pPr>
                      <w:r>
                        <w:rPr>
                          <w:color w:val="auto"/>
                        </w:rPr>
                        <w:t>Fid-9 ta’ Mejju 2021, is-Segretarju tal-Istat għall-Affarijiet Ewropej nieda konsultazzjoni “kelma għaż-żgħażagħ” imwettqa minn Make.org bejn Mejju u Lulju 2021.</w:t>
                      </w:r>
                    </w:p>
                    <w:p>
                      <w:pPr>
                        <w:pStyle w:val="Contenudecadre"/>
                        <w:rPr>
                          <w:color w:val="auto"/>
                        </w:rPr>
                      </w:pPr>
                      <w:r>
                        <w:rPr>
                          <w:color w:val="auto"/>
                        </w:rPr>
                        <w:t>50 000 żagħżugħ u żagħżugħa bejn il-15 u t-30 sena wieġbu l-mistoqsija: “X’inhuma l-prijoritajiet tiegħek għall-Ewropa ta’ għada?”, b’2918-il proposta mressqa.</w:t>
                      </w:r>
                    </w:p>
                    <w:p>
                      <w:pPr>
                        <w:pStyle w:val="Contenudecadre"/>
                        <w:spacing w:before="57" w:after="57"/>
                        <w:rPr>
                          <w:color w:val="auto"/>
                        </w:rPr>
                      </w:pPr>
                      <w:r>
                        <w:rPr>
                          <w:color w:val="auto"/>
                        </w:rPr>
                        <w:t>L-ideat iffavoriti miż-żgħażagħ Franċiżi fil-kuntest ta’ din il-konsultazzjoni online huma parti mill-kontribut taċ-ċittadini għall-Konferenza dwar il-Futur tal-Ewropa (ara d-dettalji fil-Parti 2 ta’ dan ir-rapport)</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Qafas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Il-kondiviżjoni tal-kulturi Ewropej permezz </w:t>
                            </w:r>
                            <w:r>
                              <w:rPr>
                                <w:b/>
                                <w:color w:val="auto"/>
                              </w:rPr>
                              <w:t>ta’ avvenimenti u avvenimenti li jgħaqqdu</w:t>
                            </w:r>
                          </w:p>
                          <w:p>
                            <w:pPr>
                              <w:pStyle w:val="Contenudecadre"/>
                              <w:rPr>
                                <w:b w:val="false"/>
                                <w:b w:val="false"/>
                                <w:color w:val="auto"/>
                              </w:rPr>
                            </w:pPr>
                            <w:r>
                              <w:rPr>
                                <w:b w:val="false"/>
                                <w:color w:val="auto"/>
                              </w:rPr>
                            </w:r>
                          </w:p>
                          <w:p>
                            <w:pPr>
                              <w:pStyle w:val="Contenudecadre"/>
                              <w:rPr>
                                <w:color w:val="auto"/>
                              </w:rPr>
                            </w:pPr>
                            <w:r>
                              <w:rPr>
                                <w:color w:val="auto"/>
                              </w:rPr>
                              <w:t xml:space="preserve">8.L- </w:t>
                            </w:r>
                            <w:r>
                              <w:rPr>
                                <w:b/>
                                <w:color w:val="auto"/>
                              </w:rPr>
                              <w:t>armi tas-saħħa</w:t>
                            </w:r>
                            <w:r>
                              <w:rPr>
                                <w:color w:val="auto"/>
                              </w:rPr>
                              <w:t xml:space="preserve"> u l-aċċessibbiltà għall-Ewropej kollha permezz ta’ politika komuni tas-saħħa</w:t>
                            </w:r>
                          </w:p>
                          <w:p>
                            <w:pPr>
                              <w:pStyle w:val="Contenudecadre"/>
                              <w:rPr>
                                <w:b w:val="false"/>
                                <w:b w:val="false"/>
                                <w:color w:val="auto"/>
                              </w:rPr>
                            </w:pPr>
                            <w:r>
                              <w:rPr>
                                <w:b w:val="false"/>
                                <w:color w:val="auto"/>
                              </w:rPr>
                            </w:r>
                          </w:p>
                          <w:p>
                            <w:pPr>
                              <w:pStyle w:val="Contenudecadre"/>
                              <w:rPr>
                                <w:color w:val="auto"/>
                              </w:rPr>
                            </w:pPr>
                            <w:r>
                              <w:rPr>
                                <w:color w:val="auto"/>
                              </w:rPr>
                              <w:t xml:space="preserve">9. L-iżvilupp u d-direzzjoni </w:t>
                            </w:r>
                            <w:r>
                              <w:rPr>
                                <w:b/>
                                <w:color w:val="auto"/>
                              </w:rPr>
                              <w:t>ta’ kanali strateġiċi</w:t>
                            </w:r>
                            <w:r>
                              <w:rPr>
                                <w:color w:val="auto"/>
                              </w:rPr>
                              <w:t xml:space="preserve"> fil-livell Ewropew biex tiġi żgurata s-sovranità tagħna</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It-titjib </w:t>
                            </w:r>
                            <w:r>
                              <w:rPr>
                                <w:b/>
                                <w:color w:val="auto"/>
                              </w:rPr>
                              <w:t>tal-protezzjoni tal-ambjenti u l-ekosistemi</w:t>
                            </w:r>
                            <w:r>
                              <w:rPr>
                                <w:color w:val="auto"/>
                              </w:rPr>
                              <w:t xml:space="preserve"> u l-ħolqien ta’ </w:t>
                            </w:r>
                            <w:r>
                              <w:rPr>
                                <w:b/>
                                <w:color w:val="auto"/>
                              </w:rPr>
                              <w:t>żoni protetti</w:t>
                            </w:r>
                            <w:r>
                              <w:rPr>
                                <w:color w:val="auto"/>
                              </w:rPr>
                              <w:t xml:space="preserve"> fil-qalba taż-żoni urbani, periurbani u rurali</w:t>
                            </w:r>
                          </w:p>
                        </w:txbxContent>
                      </wps:txbx>
                      <wps:bodyPr lIns="54000" rIns="54000" tIns="54000" bIns="54000">
                        <a:noAutofit/>
                      </wps:bodyPr>
                    </wps:wsp>
                  </a:graphicData>
                </a:graphic>
              </wp:anchor>
            </w:drawing>
          </mc:Choice>
          <mc:Fallback>
            <w:pict>
              <v:rect id="shape_0" ID="Qafas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Il-kondiviżjoni tal-kulturi Ewropej permezz </w:t>
                      </w:r>
                      <w:r>
                        <w:rPr>
                          <w:b/>
                          <w:color w:val="auto"/>
                        </w:rPr>
                        <w:t>ta’ avvenimenti u avvenimenti li jgħaqqdu</w:t>
                      </w:r>
                    </w:p>
                    <w:p>
                      <w:pPr>
                        <w:pStyle w:val="Contenudecadre"/>
                        <w:rPr>
                          <w:b w:val="false"/>
                          <w:b w:val="false"/>
                          <w:color w:val="auto"/>
                        </w:rPr>
                      </w:pPr>
                      <w:r>
                        <w:rPr>
                          <w:b w:val="false"/>
                          <w:color w:val="auto"/>
                        </w:rPr>
                      </w:r>
                    </w:p>
                    <w:p>
                      <w:pPr>
                        <w:pStyle w:val="Contenudecadre"/>
                        <w:rPr>
                          <w:color w:val="auto"/>
                        </w:rPr>
                      </w:pPr>
                      <w:r>
                        <w:rPr>
                          <w:color w:val="auto"/>
                        </w:rPr>
                        <w:t xml:space="preserve">8.L- </w:t>
                      </w:r>
                      <w:r>
                        <w:rPr>
                          <w:b/>
                          <w:color w:val="auto"/>
                        </w:rPr>
                        <w:t>armi tas-saħħa</w:t>
                      </w:r>
                      <w:r>
                        <w:rPr>
                          <w:color w:val="auto"/>
                        </w:rPr>
                        <w:t xml:space="preserve"> u l-aċċessibbiltà għall-Ewropej kollha permezz ta’ politika komuni tas-saħħa</w:t>
                      </w:r>
                    </w:p>
                    <w:p>
                      <w:pPr>
                        <w:pStyle w:val="Contenudecadre"/>
                        <w:rPr>
                          <w:b w:val="false"/>
                          <w:b w:val="false"/>
                          <w:color w:val="auto"/>
                        </w:rPr>
                      </w:pPr>
                      <w:r>
                        <w:rPr>
                          <w:b w:val="false"/>
                          <w:color w:val="auto"/>
                        </w:rPr>
                      </w:r>
                    </w:p>
                    <w:p>
                      <w:pPr>
                        <w:pStyle w:val="Contenudecadre"/>
                        <w:rPr>
                          <w:color w:val="auto"/>
                        </w:rPr>
                      </w:pPr>
                      <w:r>
                        <w:rPr>
                          <w:color w:val="auto"/>
                        </w:rPr>
                        <w:t xml:space="preserve">9. L-iżvilupp u d-direzzjoni </w:t>
                      </w:r>
                      <w:r>
                        <w:rPr>
                          <w:b/>
                          <w:color w:val="auto"/>
                        </w:rPr>
                        <w:t>ta’ kanali strateġiċi</w:t>
                      </w:r>
                      <w:r>
                        <w:rPr>
                          <w:color w:val="auto"/>
                        </w:rPr>
                        <w:t xml:space="preserve"> fil-livell Ewropew biex tiġi żgurata s-sovranità tagħna</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It-titjib </w:t>
                      </w:r>
                      <w:r>
                        <w:rPr>
                          <w:b/>
                          <w:color w:val="auto"/>
                        </w:rPr>
                        <w:t>tal-protezzjoni tal-ambjenti u l-ekosistemi</w:t>
                      </w:r>
                      <w:r>
                        <w:rPr>
                          <w:color w:val="auto"/>
                        </w:rPr>
                        <w:t xml:space="preserve"> u l-ħolqien ta’ </w:t>
                      </w:r>
                      <w:r>
                        <w:rPr>
                          <w:b/>
                          <w:color w:val="auto"/>
                        </w:rPr>
                        <w:t>żoni protetti</w:t>
                      </w:r>
                      <w:r>
                        <w:rPr>
                          <w:color w:val="auto"/>
                        </w:rPr>
                        <w:t xml:space="preserve"> fil-qalba taż-żoni urbani, periurbani u rurali</w:t>
                      </w:r>
                    </w:p>
                  </w:txbxContent>
                </v:textbox>
              </v:rect>
            </w:pict>
          </mc:Fallback>
        </mc:AlternateContent>
      </w:r>
    </w:p>
    <w:p>
      <w:pPr>
        <w:pStyle w:val="Titre2"/>
        <w:numPr>
          <w:ilvl w:val="1"/>
          <w:numId w:val="2"/>
        </w:numPr>
        <w:rPr/>
      </w:pPr>
      <w:bookmarkStart w:id="209" w:name="__RefHeading___Toc300452_1346298689"/>
      <w:bookmarkEnd w:id="209"/>
      <w:r>
        <w:rPr/>
        <w:t>Preżentazzjoni tal-panels tal-konferenzi reġjonali</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Formola 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7"/>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Panel divers ta’ 746 ċittadin</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Ħarsa ġenerali lejn il-parteċipanti fit-18-il konferenza reġjonali</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Bdiewa bdiewa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Ħaddiema tas-sengħa — Negozjanti — Mexxejja tan-negozju</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Eżekuttivi Anzjani — Professjonijiet Liberali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Okkupazzjonijiet intermedji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Impjegati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Ħaddiema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Pensjonanti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Oħrajn mhux attivi</w:t>
                              </w:r>
                            </w:p>
                          </w:txbxContent>
                        </wps:txbx>
                        <wps:bodyPr lIns="90000" rIns="90000" tIns="45000" bIns="45000">
                          <a:noAutofit/>
                        </wps:bodyPr>
                      </wps:wsp>
                    </wpg:wgp>
                  </a:graphicData>
                </a:graphic>
              </wp:anchor>
            </w:drawing>
          </mc:Choice>
          <mc:Fallback>
            <w:pict>
              <v:group id="shape_0" alt="Formola 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7"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Panel divers ta’ 746 ċittadin</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Ħarsa ġenerali lejn il-parteċipanti fit-18-il konferenza reġjonali</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Bdiewa bdiewa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Ħaddiema tas-sengħa — Negozjanti — Mexxejja tan-negozju</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Eżekuttivi Anzjani — Professjonijiet Liberali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Okkupazzjonijiet intermedji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Impjegati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Ħaddiema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Pensjonanti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Oħrajn mhux attivi</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Formola 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8"/>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Konferenzi dwar il-futur tal-Ewropa madwar Franza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18-il konferenza reġjonali, 13 fil-metropoli u 5 barra mill-pajjiż</w:t>
                              </w:r>
                            </w:p>
                          </w:txbxContent>
                        </wps:txbx>
                        <wps:bodyPr lIns="90000" rIns="90000" tIns="45000" bIns="45000">
                          <a:noAutofit/>
                        </wps:bodyPr>
                      </wps:wsp>
                    </wpg:wgp>
                  </a:graphicData>
                </a:graphic>
              </wp:anchor>
            </w:drawing>
          </mc:Choice>
          <mc:Fallback>
            <w:pict>
              <v:group id="shape_0" alt="Formola 2" style="position:absolute;margin-left:0pt;margin-top:2.85pt;width:462.45pt;height:650.75pt" coordorigin="0,57" coordsize="9249,13015">
                <v:shape id="shape_0" stroked="f" style="position:absolute;left:1;top:1652;width:9247;height:11419" type="shapetype_75">
                  <v:imagedata r:id="rId98"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Konferenzi dwar il-futur tal-Ewropa madwar Franza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18-il konferenza reġjonali, 13 fil-metropoli u 5 barra mill-pajjiż</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Formola 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9"/>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L-impenji tal-Istat</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Trasparenza</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Dazju immedjatament</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Newtralità</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Preġudizzji metodoloġiċi</w:t>
                              </w:r>
                            </w:p>
                          </w:txbxContent>
                        </wps:txbx>
                        <wps:bodyPr lIns="90000" rIns="90000" tIns="45000" bIns="45000">
                          <a:noAutofit/>
                        </wps:bodyPr>
                      </wps:wsp>
                      <pic:pic xmlns:pic="http://schemas.openxmlformats.org/drawingml/2006/picture">
                        <pic:nvPicPr>
                          <pic:cNvPr id="3" name="" descr=""/>
                          <pic:cNvPicPr/>
                        </pic:nvPicPr>
                        <pic:blipFill>
                          <a:blip r:embed="rId100"/>
                          <a:stretch/>
                        </pic:blipFill>
                        <pic:spPr>
                          <a:xfrm>
                            <a:off x="1105560" y="2401560"/>
                            <a:ext cx="4354200" cy="5891040"/>
                          </a:xfrm>
                          <a:prstGeom prst="rect">
                            <a:avLst/>
                          </a:prstGeom>
                          <a:ln>
                            <a:noFill/>
                          </a:ln>
                        </pic:spPr>
                      </pic:pic>
                    </wpg:wgp>
                  </a:graphicData>
                </a:graphic>
              </wp:anchor>
            </w:drawing>
          </mc:Choice>
          <mc:Fallback>
            <w:pict>
              <v:group id="shape_0" alt="Formola 3" style="position:absolute;margin-left:13.85pt;margin-top:35.45pt;width:455.3pt;height:668.3pt" coordorigin="277,709" coordsize="9106,13366">
                <v:shape id="shape_0" stroked="f" style="position:absolute;left:277;top:709;width:9105;height:13365" type="shapetype_75">
                  <v:imagedata r:id="rId99"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L-impenji tal-Istat</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Trasparenza</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Dazju immedjatament</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Newtralità</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Preġudizzji metodoloġiċi</w:t>
                        </w:r>
                      </w:p>
                    </w:txbxContent>
                  </v:textbox>
                  <w10:wrap type="square"/>
                  <v:fill o:detectmouseclick="t" on="false"/>
                  <v:stroke color="#3465a4" joinstyle="round" endcap="flat"/>
                </v:rect>
                <v:shape id="shape_0" stroked="f" style="position:absolute;left:2018;top:4491;width:6856;height:9276" type="shapetype_75">
                  <v:imagedata r:id="rId100" o:detectmouseclick="t"/>
                  <w10:wrap type="none"/>
                  <v:stroke color="#3465a4" joinstyle="round" endcap="flat"/>
                </v:shape>
              </v:group>
            </w:pict>
          </mc:Fallback>
        </mc:AlternateContent>
      </w:r>
      <w:r>
        <w:rPr/>
        <w:t xml:space="preserve">Impenji metodoloġiċi u preġudizzji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L- </w:t>
      </w:r>
      <w:r>
        <w:rPr>
          <w:rFonts w:ascii="Times New Roman" w:hAnsi="Times New Roman"/>
        </w:rPr>
        <w:t xml:space="preserve">impenji tal-Istat dwar id-demokrazija parteċipattiva </w:t>
      </w:r>
    </w:p>
    <w:p>
      <w:pPr>
        <w:pStyle w:val="P68B1DB1Normal19"/>
        <w:widowControl w:val="false"/>
        <w:spacing w:lineRule="auto" w:line="240" w:before="0" w:after="0"/>
        <w:ind w:left="0" w:right="0" w:hanging="0"/>
        <w:jc w:val="left"/>
        <w:rPr/>
      </w:pPr>
      <w:r>
        <w:rPr/>
        <w:t>Il-parti Franċiża tal-Konferenza dwar il-Futur tal-Ewropa hija parti mill-impenji tal-istat lejn id-demokrazija parteċipattiva, li huma bbażati fuq tliet prinċipji:</w:t>
      </w:r>
      <w:r>
        <w:rPr>
          <w:b/>
        </w:rPr>
        <w:t xml:space="preserve"> it-trasparenza, in-newtralità u d-dmir immedjatament</w:t>
      </w:r>
      <w:r>
        <w:rPr/>
        <w:t xml:space="preserve">. </w:t>
      </w:r>
    </w:p>
    <w:p>
      <w:pPr>
        <w:pStyle w:val="P68B1DB1Normal19"/>
        <w:widowControl w:val="false"/>
        <w:spacing w:lineRule="auto" w:line="240" w:before="0" w:after="0"/>
        <w:ind w:left="0" w:right="0" w:hanging="0"/>
        <w:jc w:val="both"/>
        <w:rPr/>
      </w:pPr>
      <w:r>
        <w:rPr/>
        <w:t xml:space="preserve">Approċċ parteċipattiv jimpenja lill-organizzatur biex jirrispetta metodoloġija rigoruża. Il-metodu ta’ parteċipazzjoni taċ-ċittadini għandu jippermetti liċ-ċittadini jipparteċipaw fl-aħjar kundizzjonijiet possibbli u jesprimu l-fehmiet tagħhom b’mod liberu u raġunat.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Trasparenza </w:t>
      </w:r>
    </w:p>
    <w:p>
      <w:pPr>
        <w:pStyle w:val="P68B1DB1Normal19"/>
        <w:widowControl w:val="false"/>
        <w:spacing w:lineRule="auto" w:line="240" w:before="0" w:after="0"/>
        <w:ind w:left="0" w:right="0" w:hanging="0"/>
        <w:jc w:val="left"/>
        <w:rPr/>
      </w:pPr>
      <w:r>
        <w:rPr/>
        <w:t xml:space="preserve">It-Tim Organizzattiv tal-Konferenza huwa impenjat li jagħmel l-informazzjoni kollha dwar il-konsultazzjoni aċċessibbli għaċ-ċittadini: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Il-qafas li fih issir il-konsultazzjoni; •</w:t>
      </w:r>
      <w:r>
        <w:rPr/>
        <w:t xml:space="preserve"> </w:t>
      </w:r>
      <w:r>
        <w:rPr>
          <w:rFonts w:ascii="Times New Roman" w:hAnsi="Times New Roman"/>
        </w:rPr>
        <w:t xml:space="preserve">Impenji li saru lejn iċ-ċittadini;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L-għanijiet tal-konsultazzjoni;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Ir-riżultati tal-konsultazzjoni. </w:t>
      </w:r>
    </w:p>
    <w:p>
      <w:pPr>
        <w:pStyle w:val="Normal"/>
        <w:widowControl w:val="false"/>
        <w:spacing w:lineRule="auto" w:line="240" w:before="0" w:after="0"/>
        <w:ind w:left="0" w:right="0" w:hanging="0"/>
        <w:jc w:val="both"/>
        <w:rPr/>
      </w:pPr>
      <w:r>
        <w:rPr>
          <w:rFonts w:ascii="Times New Roman" w:hAnsi="Times New Roman"/>
          <w:color w:val="000000"/>
          <w:sz w:val="24"/>
        </w:rPr>
        <w:t>Il-metodoloġija tal-Konferenza dwar il-Futur tal-Ewropa għalhekk ġiet stabbilita bl-objettiv kostanti li tiġi żgurata t-trasparenza għaċ-ċittadini. Il-metodoloġija għar-reklutaġġ ta’ ċittadini magħżula b’mod aleatorju, il-preġudizzji metodoloġiċi u t-trattament tad-diskors taċ-ċittadini ġew stabbiliti b’mod ċar. Il-parteċipanti rċevew ukoll sommarju tal-konferenza reġjonali tagħhom permezz ta’ email fi tmiem il-konferenza. Barra minn hekk, id-dokumenti kollha ta’ ħidma u ta’ ħruġ se jsiru pubbliċi fi tmiem l-iskema fuq il-pjattaforma għall-parteċipazzjoni taċ-ċittadini tal-Istat</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Newtralità </w:t>
      </w:r>
    </w:p>
    <w:p>
      <w:pPr>
        <w:pStyle w:val="P68B1DB1Normal19"/>
        <w:widowControl w:val="false"/>
        <w:spacing w:lineRule="auto" w:line="240" w:before="0" w:after="0"/>
        <w:ind w:left="0" w:right="0" w:hanging="0"/>
        <w:jc w:val="both"/>
        <w:rPr/>
      </w:pPr>
      <w:r>
        <w:rPr/>
        <w:t xml:space="preserve">Matul konsultazzjoni, it-tim organizzattiv għandu jiżgura li jibqa’ newtrali fl-iffaċilitar tal-iskambji kif ukoll fl-abbozzar ta’ sommarji li jippreżentaw ir-riżultati. Il-partijiet interessati fl-iskema — faċilitaturi, faċilitaturi, esperti — m’għandhomx jesprimu l-fehmiet tagħhom stess jew ifittxu li jidderieġu d-dibattitu b’mod suġġettiv. </w:t>
      </w:r>
    </w:p>
    <w:p>
      <w:pPr>
        <w:pStyle w:val="P68B1DB1Normal19"/>
        <w:widowControl w:val="false"/>
        <w:spacing w:lineRule="auto" w:line="240" w:before="0" w:after="0"/>
        <w:ind w:left="0" w:right="0" w:hanging="0"/>
        <w:jc w:val="both"/>
        <w:rPr/>
      </w:pPr>
      <w:r>
        <w:rPr/>
        <w:t xml:space="preserve">L-objettiv tan-newtralità ġie segwit fl-istadji kollha tal-konsultazzjoni, billi ġiet żgurata b’mod partikolari għażla imparzjali tal-parteċipanti, libertà sħiħa fid-dibattiti u nuqqas ta’ influwenza fuq id-diskors taċ-ċittadini mill-isponser jew mill-partijiet ikkonċernati. Dan l-imperattiv tan-newtralità mmaterjalizza ruħu permezz ta’ proċess ta’ reklutaġġ oġġettiv u trasparenti tal-parteċipanti, preġudizzji metodoloġiċi koerenti (għarfien espert invers, nuqqas ta’ tfassil tematiku tad-dibattiti) u enfasi speċjali fuq il-pożizzjoni tad-diversi kelliema (faċilitaturi, faċilitaturi, esperti). Fl-aħħar nett, it-tim organizzattiv żgura li japprezza l-kliem kollu u li ma jiffiltrax il-proposti taċ-ċittadini. </w:t>
      </w:r>
    </w:p>
    <w:p>
      <w:pPr>
        <w:pStyle w:val="P68B1DB1Normal19"/>
        <w:widowControl w:val="false"/>
        <w:spacing w:lineRule="auto" w:line="240" w:before="0" w:after="0"/>
        <w:ind w:left="0" w:right="0" w:hanging="0"/>
        <w:jc w:val="both"/>
        <w:rPr/>
      </w:pPr>
      <w:r>
        <w:rPr/>
        <w:t xml:space="preserve">Kulleġġ </w:t>
      </w:r>
      <w:r>
        <w:rPr>
          <w:b/>
        </w:rPr>
        <w:t>ta’ tliet garanti,</w:t>
      </w:r>
      <w:r>
        <w:rPr/>
        <w:t xml:space="preserve"> maħtura mill-Presidenti tal-Assemblea Nazzjonali u l-Parlament Ewropew u mill-Gvern, żgura wkoll li l-opinjonijiet kollha jiġu espressi u kkunsidrati.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Dazju immedjatament </w:t>
      </w:r>
    </w:p>
    <w:p>
      <w:pPr>
        <w:pStyle w:val="P68B1DB1Normal19"/>
        <w:widowControl w:val="false"/>
        <w:spacing w:lineRule="auto" w:line="240" w:before="0" w:after="0"/>
        <w:ind w:left="0" w:right="0" w:hanging="0"/>
        <w:jc w:val="both"/>
        <w:rPr/>
      </w:pPr>
      <w:r>
        <w:rPr/>
        <w:t xml:space="preserve">Iċ-ċittadini, kemm jekk ipparteċipaw fil-konsultazzjoni kif ukoll jekk le, għandhom id-dritt li jiġu infurmati dwar dak li ntgħażlu dwar il-proposti tagħhom u l-opinjonijiet li ħarġu minnhom, u għal liema raġunijiet. Dan jissejjaħ </w:t>
      </w:r>
      <w:r>
        <w:rPr>
          <w:b/>
        </w:rPr>
        <w:t>dazju immedjatament</w:t>
      </w:r>
      <w:r>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Huwa definit miċ-Ċentru Interdipartimentali għall-Parteċipazzjoni taċ-Ċittadini (ICPC) u d-Direttorat Interdipartimentali għat-Trasformazzjoni Pubblika (DITP) bħala l-impenn meħud minn min jieħu d-deċiżjonijiet pubbliċi biex jipprovdi liċ-ċittadini b’rispons ċar u leġġibbli għar-riżultat tal-konsultazzjoni. B’mod konkret, id-dmir ta’ segwitu huwa li jirritornaw lejn iċ-ċittadini biex jispjegaw lilhom kif il-kontribuzzjonijiet tagħhom qed jitqiesu u għandhom impatt fuq it-teħid tad-deċiżjonijiet u fuq il-prattiki tal-amministrazzjoni.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Il-Gvern assuma dan id-dmir bħala segwitu għall-Konferenza dwar il-Futur tal-Ewropa u ħabbar mekkaniżmu ta’ segwitu ambizzjuż wara l-konferenza nazzjonali deskritta fil-parti li jmiss ta’ dan ir-rapport (ara “ </w:t>
      </w:r>
      <w:r>
        <w:rPr>
          <w:i/>
        </w:rPr>
        <w:t>Partijiet Metodoloġiċi”</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Partijiet metodoloġiċi </w:t>
      </w:r>
    </w:p>
    <w:p>
      <w:pPr>
        <w:pStyle w:val="P68B1DB1Normal19"/>
        <w:widowControl w:val="false"/>
        <w:spacing w:lineRule="auto" w:line="240" w:before="0" w:after="0"/>
        <w:ind w:left="0" w:right="0" w:hanging="0"/>
        <w:jc w:val="both"/>
        <w:rPr/>
      </w:pPr>
      <w:r>
        <w:rPr/>
        <w:t xml:space="preserve">Dawn it-tliet impenji tal-Istat ġew riflessi fil-metodoloġija ta’ konsultazzjoni fil-forma ta’ </w:t>
      </w:r>
      <w:r>
        <w:rPr>
          <w:b/>
        </w:rPr>
        <w:t>seba’ preġudizzji metodoloġiċi b’saħħithom</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It-territorjalizzazzjoni u l-prossimità</w:t>
      </w:r>
    </w:p>
    <w:p>
      <w:pPr>
        <w:pStyle w:val="P68B1DB1Normal24"/>
        <w:widowControl w:val="false"/>
        <w:spacing w:lineRule="auto" w:line="240" w:before="0" w:after="0"/>
        <w:ind w:left="0" w:right="0" w:hanging="0"/>
        <w:jc w:val="both"/>
        <w:rPr/>
      </w:pPr>
      <w:r>
        <w:rPr/>
        <w:t xml:space="preserve">Il-komponent nazzjonali tal-Konferenza dwar il-Futur tal-Ewropa ħa l-forma ta’ 18-il konferenza reġjonali, fit-13-il reġjun metropolitan u l-5 reġjuni ultramarini Franċiżi, segwiti minn konferenza nazzjonali f’Pariġi. B’din l-għażla li jiġu organizzati panels fil-livell lokali, ix-xewqa kienet </w:t>
      </w:r>
      <w:r>
        <w:rPr>
          <w:b/>
        </w:rPr>
        <w:t>li tinġabar vuċi kemm jista’ jkun qrib iċ-ċittadini</w:t>
      </w:r>
      <w:r>
        <w:rPr/>
        <w:t xml:space="preserve">. Dan il-preġudizzju arrikkixxa wkoll il-konsultazzjoni billi wera l-linji ta’ kunsens u dissens bejn it-territorji dwar suġġetti differenti.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Id-diversità tal-profili taċ-ċittadini u l-użu tat-tlugħ bix-xorti</w:t>
      </w:r>
    </w:p>
    <w:p>
      <w:pPr>
        <w:pStyle w:val="P68B1DB1Normal24"/>
        <w:widowControl w:val="false"/>
        <w:spacing w:lineRule="auto" w:line="240" w:before="0" w:after="0"/>
        <w:ind w:left="0" w:right="0" w:hanging="0"/>
        <w:jc w:val="both"/>
        <w:rPr/>
      </w:pPr>
      <w:r>
        <w:rPr/>
        <w:t xml:space="preserve">Mira għar-reklutaġġ ta’ 50 ċittadin għal kull konferenza reġjonali ġiet stabbilita qabel il-proċess, bl-eċċezzjoni tal-konferenzi ultramarini ta’ Martinique, Mayotte, Guadeloupe u Guyana, bi 30 sa 40 ċittadin kull wieħed, u l-konferenza tal-Grand Est li fiha kienu preżenti wkoll 5 ċittadini Ġermaniżi mit-tliet Landers tal-fruntiera. </w:t>
      </w:r>
      <w:r>
        <w:rPr>
          <w:b/>
        </w:rPr>
        <w:t>Ġenerazzjoni aleatorja ta’</w:t>
      </w:r>
      <w:r>
        <w:rPr/>
        <w:t xml:space="preserve"> numri tat-telefon għamlitha possibbli li jittellgħu ħafna ċittadini mistiedna biex jipparteċipaw f’konferenzi reġjonali. </w:t>
      </w:r>
    </w:p>
    <w:p>
      <w:pPr>
        <w:pStyle w:val="P68B1DB1Normal24"/>
        <w:widowControl w:val="false"/>
        <w:spacing w:lineRule="auto" w:line="240" w:before="0" w:after="0"/>
        <w:ind w:left="0" w:right="0" w:hanging="0"/>
        <w:jc w:val="both"/>
        <w:rPr/>
      </w:pPr>
      <w:r>
        <w:rPr/>
        <w:t xml:space="preserve">Biex ikunu eliġibbli, iċ-ċittadini li jittellgħu bix-xorti kellhom ikollhom aktar minn 18-il sena u jkunu residenti Franċiżi jew permanenti f’sitwazzjoni regolari. Kull bord reġjonali ta’ ċittadini kellu jkun </w:t>
      </w:r>
      <w:r>
        <w:rPr>
          <w:b/>
        </w:rPr>
        <w:t>rappreżentattiv tad-diversità tal-popolazzjoni reġjonali</w:t>
      </w:r>
      <w:r>
        <w:rPr/>
        <w:t xml:space="preserve">u jiġbor flimkien </w:t>
      </w:r>
      <w:r>
        <w:rPr>
          <w:b/>
        </w:rPr>
        <w:t>diversità ta’ fehmiet dwar l-Ewropa</w:t>
      </w:r>
      <w:r>
        <w:rPr/>
        <w:t xml:space="preserve">. Il-metodoloġija preċiża għar-reklutaġġ bix-xorti hija stabbilita fl-Anness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Trasparenza tal-approċċ</w:t>
      </w:r>
    </w:p>
    <w:p>
      <w:pPr>
        <w:pStyle w:val="P68B1DB1Normal24"/>
        <w:widowControl w:val="false"/>
        <w:spacing w:lineRule="auto" w:line="240" w:before="0" w:after="0"/>
        <w:ind w:left="0" w:right="0" w:hanging="0"/>
        <w:jc w:val="both"/>
        <w:rPr/>
      </w:pPr>
      <w:r>
        <w:rPr/>
        <w:t xml:space="preserve">Kulleġġ </w:t>
      </w:r>
      <w:r>
        <w:rPr>
          <w:b/>
        </w:rPr>
        <w:t>ta’ tliet garanti</w:t>
      </w:r>
      <w:r>
        <w:rPr/>
        <w:t xml:space="preserve"> maħtura mis-Segretarju tal-Istat għall-Affarijiet Ewropej, il-President tal-Assemblea Nazzjonali u l-President tal-Parlament Ewropew segwew il-proċess kollu sabiex jiżguraw in-newtralità u r-regolarità tiegħu. B’mod partikolari, il-garanti għandhom: immonitorja s-sinċerità tar-reklutaġġ taċ-ċittadini bix-xorti, għamel rakkomandazzjonijiet għall-għażla ta’ esperti u żgura li d-dibattiti kienu organizzati tajjeb. Fi tmiem il-proċedura, il-garanti se jippubblikaw l-opinjoni tagħhom dwar il-konsultazzjoni. Dan id-dokument se jitqiegħed fuq il-pjattaforma tal-parteċipazzjoni taċ-ċittadini tal-istat. </w:t>
      </w:r>
    </w:p>
    <w:p>
      <w:pPr>
        <w:pStyle w:val="P68B1DB1Normal24"/>
        <w:widowControl w:val="false"/>
        <w:spacing w:lineRule="auto" w:line="240" w:before="0" w:after="0"/>
        <w:ind w:left="0" w:right="0" w:hanging="0"/>
        <w:jc w:val="both"/>
        <w:rPr/>
      </w:pPr>
      <w:r>
        <w:rPr/>
        <w:t xml:space="preserve">Se tiġi ppubblikata wkoll fuq il-pjattaforma għall-parteċipazzjoni taċ-ċittadini tal-Istat: is-sommarji tat-tmintax-il konferenza reġjonali, is-sommarju tal-bidliet kollha espressi fil-konferenzi reġjonali, is-sinteżi tal-konferenza nazzjonali, u fl-aħħar nett ir-rapport finali ppreżentat lill-Gvern.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Dibattitu miftuħ mingħajr tema imposta</w:t>
      </w:r>
    </w:p>
    <w:p>
      <w:pPr>
        <w:pStyle w:val="P68B1DB1Normal24"/>
        <w:widowControl w:val="false"/>
        <w:spacing w:lineRule="auto" w:line="240" w:before="215" w:after="0"/>
        <w:ind w:left="1" w:right="0" w:hanging="0"/>
        <w:jc w:val="left"/>
        <w:rPr/>
      </w:pPr>
      <w:r>
        <w:rPr/>
        <w:t xml:space="preserve">Fil-kuntest ta’ din il-konsultazzjoni nazzjonali, ġiet ifformulata mistoqsija waħda għall-attenzjoni taċ-ċittadini parteċipanti: “ </w:t>
      </w:r>
      <w:r>
        <w:rPr>
          <w:i/>
        </w:rPr>
        <w:t>Bħala ċittadini Franċiżi, x’bidliet trid għall-Ewropa?</w:t>
      </w:r>
      <w:r>
        <w:rPr/>
        <w:t xml:space="preserve">”. </w:t>
      </w:r>
    </w:p>
    <w:p>
      <w:pPr>
        <w:pStyle w:val="P68B1DB1Normal24"/>
        <w:widowControl w:val="false"/>
        <w:spacing w:lineRule="auto" w:line="240" w:before="235" w:after="0"/>
        <w:ind w:left="1" w:right="0" w:hanging="0"/>
        <w:jc w:val="both"/>
        <w:rPr/>
      </w:pPr>
      <w:r>
        <w:rPr/>
        <w:t xml:space="preserve">Permezz tal-iżvilupp u l-metodoloġija stabbiliti, iċ-ċittadini setgħu jiddeterminaw għalihom infushom l-aġenda tal-bidliet mixtieqa, mingħajr ma kienu ristretti minn tema speċifika jew tfassil normattiv minn qabel. </w:t>
      </w:r>
    </w:p>
    <w:p>
      <w:pPr>
        <w:pStyle w:val="Normal"/>
        <w:widowControl w:val="false"/>
        <w:spacing w:lineRule="auto" w:line="240" w:before="233" w:after="0"/>
        <w:ind w:left="1" w:right="1" w:hanging="0"/>
        <w:jc w:val="both"/>
        <w:rPr/>
      </w:pPr>
      <w:r>
        <w:rPr>
          <w:rFonts w:ascii="Times New Roman" w:hAnsi="Times New Roman"/>
          <w:color w:val="000000"/>
        </w:rPr>
        <w:t>L-għan kien li ċ-ċittadini ta’ konferenzi reġjonali jkunu jistgħu jgawdu libertà sħiħa fis-suġġetti li xtaqu jindirizzaw. Il-Ministeru tal-Ewropa u l-Affarijiet Barranin għall-parti nazzjonali tal-Konferenza dwar il-Futur tal-Ewropa għalhekk għażel li jiżviluppa approċċ komplementari għall-eżerċizzju Ewropew, li huwa strutturat madwar disa’ temi: it-tibdil fil-klima u l-ambjent; is-saħħa; ekonomija aktar b’saħħitha, ġustizzja soċjali u impjiegi; l-UE fid-dinja; il-valuri u d-drittijiet, l-istat tad-dritt, is-sigurtà; it-trasformazzjoni diġitali; Id-demokrazija Ewropea; il-migrazzjoni; l-edukazzjoni, il-kultura, iż-żgħażagħ u l-isport; ideat oħra</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It-temi tal-iskambji ta’ konferenzi reġjonali kienu għalhekk definiti miċ-ċittadini nfushom u mhux mill-isponsor tal-eżerċizzju.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Għarfien espert bil-maqlub</w:t>
      </w:r>
    </w:p>
    <w:p>
      <w:pPr>
        <w:pStyle w:val="P68B1DB1Normal24"/>
        <w:widowControl w:val="false"/>
        <w:spacing w:lineRule="auto" w:line="240" w:before="218" w:after="0"/>
        <w:ind w:left="1" w:right="0" w:hanging="0"/>
        <w:jc w:val="left"/>
        <w:rPr/>
      </w:pPr>
      <w:r>
        <w:rPr/>
        <w:t xml:space="preserve">Sabiex jiġu influwenzati mill-inqas possibbli l-parteċipanti fil-proċess tal-identifikazzjoni tax-xewqat tagħhom għall-Ewropa, </w:t>
      </w:r>
      <w:r>
        <w:rPr>
          <w:b/>
        </w:rPr>
        <w:t>saret l-għażla li ma tingħatax informazzjoni jew għarfien espert minn qabel</w:t>
      </w:r>
      <w:r>
        <w:rPr/>
        <w:t xml:space="preserve"> (eż. dwar il-proġett attwali tal-Unjoni Ewropea, il-kompetenzi tagħha jew il-funzjonament tal-istituzzjonijiet) iżda li wieħed jibda mill-mistoqsijiet taċ-ċittadini nfushom. Dan il-preġudizzju metodoloġiku huwa bbażat fuq il-prinċipju ta’ </w:t>
      </w:r>
      <w:r>
        <w:rPr>
          <w:i/>
        </w:rPr>
        <w:t>‘għarfien espert</w:t>
      </w:r>
      <w:r>
        <w:rPr/>
        <w:t xml:space="preserve">invers’ li skontu r- </w:t>
      </w:r>
      <w:r>
        <w:rPr>
          <w:b/>
        </w:rPr>
        <w:t>riflessjoni kollettiva</w:t>
      </w:r>
      <w:r>
        <w:rPr/>
        <w:t xml:space="preserve"> hija mibnija fuq il-bażi tal-esperjenzi u l-opinjonijiet taċ-ċittadini, li mbagħad jistaqsu lill-esperti biex jappoġġaw id-diskussjonijiet tagħhom u jikkonsolidaw l-ipoteżijiet tax-xogħol tagħhom. </w:t>
      </w:r>
    </w:p>
    <w:p>
      <w:pPr>
        <w:pStyle w:val="P68B1DB1Normal24"/>
        <w:widowControl w:val="false"/>
        <w:spacing w:lineRule="auto" w:line="240" w:before="232" w:after="0"/>
        <w:ind w:left="0" w:right="0" w:hanging="0"/>
        <w:jc w:val="both"/>
        <w:rPr/>
      </w:pPr>
      <w:r>
        <w:rPr/>
        <w:t xml:space="preserve">Biex jintlaħaq dan l-objettiv, ġew mobilizzati </w:t>
      </w:r>
      <w:r>
        <w:rPr>
          <w:b/>
        </w:rPr>
        <w:t>esperti</w:t>
      </w:r>
      <w:r>
        <w:rPr/>
        <w:t xml:space="preserve"> fid-diversi reġjuni (tlieta bħala medja), b’mod partikolari mill-akkademja u miċ-ċentri ta’ informazzjoni ta’ Europe Direct fit-territorji kkonċernati. Huma kienu preżenti s-Sibt u l-Ħadd biex iwieġbu l-mistoqsijiet taċ-ċittadini, u kienu qed jitkellmu biss fuq talba tagħhom. Il </w:t>
      </w:r>
      <w:r>
        <w:rPr>
          <w:b/>
        </w:rPr>
        <w:t>-verifikaturi tal-fatti</w:t>
      </w:r>
      <w:r>
        <w:rPr/>
        <w:t xml:space="preserve"> kienu wkoll aċċessibbli</w:t>
      </w:r>
      <w:r>
        <w:rPr>
          <w:i/>
        </w:rPr>
        <w:t>sabiex</w:t>
      </w:r>
      <w:r>
        <w:rPr/>
        <w:t xml:space="preserve">jivverifikaw malajr il-mistoqsijiet fattwali indirizzati miċ-ċittadini. </w:t>
      </w:r>
    </w:p>
    <w:p>
      <w:pPr>
        <w:pStyle w:val="P68B1DB1Normal24"/>
        <w:widowControl w:val="false"/>
        <w:spacing w:lineRule="auto" w:line="240" w:before="235" w:after="0"/>
        <w:ind w:left="0" w:right="1" w:hanging="0"/>
        <w:jc w:val="both"/>
        <w:rPr/>
      </w:pPr>
      <w:r>
        <w:rPr/>
        <w:t xml:space="preserve">Fil-Konferenza Nazzjonali ta’ Sinteżi fil-KESE, 19-il espert ta’ livell għoli mill-akkademja, gruppi ta’ riflessjoni u korpi diplomatiċi attendew il-gruppi ta’ ħidma. Dawn l-esperti akkumpanjaw grupp matul tmiem il-ġimgħa, u b’hekk setgħu japprofondixxu l-bidliet espressi fir-reġjuni.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Kolleġġjalità u Governanza Agilistika</w:t>
      </w:r>
    </w:p>
    <w:p>
      <w:pPr>
        <w:pStyle w:val="P68B1DB1Normal24"/>
        <w:widowControl w:val="false"/>
        <w:spacing w:lineRule="auto" w:line="240" w:before="212" w:after="0"/>
        <w:ind w:left="0" w:right="0" w:hanging="0"/>
        <w:jc w:val="left"/>
        <w:rPr/>
      </w:pPr>
      <w:r>
        <w:rPr/>
        <w:t xml:space="preserve">Il-proċess kollu </w:t>
      </w:r>
      <w:r>
        <w:rPr>
          <w:b/>
        </w:rPr>
        <w:t>nbena b’</w:t>
      </w:r>
      <w:r>
        <w:rPr/>
        <w:t xml:space="preserve"> mod konġunt mill-Ministeru tal-Ewropa u l-Affarijiet Barranin (MEAE). </w:t>
      </w:r>
    </w:p>
    <w:p>
      <w:pPr>
        <w:pStyle w:val="P68B1DB1Normal24"/>
        <w:widowControl w:val="false"/>
        <w:spacing w:lineRule="auto" w:line="240"/>
        <w:ind w:left="0" w:right="4" w:hanging="0"/>
        <w:jc w:val="both"/>
        <w:rPr/>
      </w:pPr>
      <w:r>
        <w:rPr/>
        <w:t xml:space="preserve">bl-appoġġ tal-istrateġija parteċipattiva taċ-Ċentru Interministerjali għall-Parteċipazzjoni taċ-Ċittadini (ICPC) tad-Direttorat Interministerjali tat-Trasformazzjoni Pubblika (DITP) u l-Ministeru tar-Relazzjonijiet Parlamentari u l-Parteċipazzjoni taċ-Ċittadini (MRPC). L-iskema ġiet implimentata minn konsorzju fornitur magħmul minn Roland Berger, Wavestone, Missions Publiques, u Harris Interactive għat-tmexxija tal-proċess, l-animazzjoni ta’ konferenzi, it-tfassil taċ-ċittadini u t-tfassil ta’ rapporti u sommarji, f’kollaborazzjoni mal-prefetturi reġjonali għall-organizzazzjoni lokali ta’ konferenzi reġjonali. </w:t>
      </w:r>
    </w:p>
    <w:p>
      <w:pPr>
        <w:pStyle w:val="P68B1DB1Normal24"/>
        <w:widowControl w:val="false"/>
        <w:spacing w:lineRule="auto" w:line="240" w:before="232" w:after="0"/>
        <w:ind w:left="0" w:right="4" w:hanging="0"/>
        <w:jc w:val="left"/>
        <w:rPr/>
      </w:pPr>
      <w:r>
        <w:rPr>
          <w:b/>
        </w:rPr>
        <w:t>Ġiet stabbilita governanza speċifika</w:t>
      </w:r>
      <w:r>
        <w:rPr/>
        <w:t xml:space="preserve"> madwar tim tal-proġett ippresedut mill-MEAE, li jlaqqa’ flimkien is-CPIC, l-MRPC u l-konsorzju tal-fornituri.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Dmir ta’ segwitu u artikolazzjoni mal-eżerċizzju Ewropew</w:t>
      </w:r>
    </w:p>
    <w:p>
      <w:pPr>
        <w:pStyle w:val="P68B1DB1Normal19"/>
        <w:widowControl w:val="false"/>
        <w:spacing w:lineRule="auto" w:line="240" w:before="211" w:after="0"/>
        <w:ind w:left="0" w:right="0" w:hanging="0"/>
        <w:jc w:val="left"/>
        <w:rPr/>
      </w:pPr>
      <w:r>
        <w:rPr/>
        <w:t xml:space="preserve">Fl-okkażjoni tal-konferenza nazzjonali, tħabbru diversi elementi tad- </w:t>
      </w:r>
      <w:r>
        <w:rPr>
          <w:b/>
        </w:rPr>
        <w:t>dmir ta’ segwitu tal</w:t>
      </w:r>
      <w:r>
        <w:rPr/>
        <w:t xml:space="preserve"> -istituzzjonijiet Franċiżi wara l-eżerċizzju li sar għall-Konferenza dwar il-Futur tal-Ewropa: </w:t>
      </w:r>
    </w:p>
    <w:p>
      <w:pPr>
        <w:pStyle w:val="P68B1DB1Normal34"/>
        <w:widowControl w:val="false"/>
        <w:spacing w:lineRule="auto" w:line="240" w:before="333" w:after="0"/>
        <w:ind w:left="720" w:right="0" w:hanging="359"/>
        <w:jc w:val="both"/>
        <w:rPr/>
      </w:pPr>
      <w:r>
        <w:rPr>
          <w:rFonts w:ascii="Calibri" w:hAnsi="Calibri"/>
        </w:rPr>
        <w:t>-</w:t>
      </w:r>
      <w:r>
        <w:rPr/>
        <w:t xml:space="preserve"> </w:t>
      </w:r>
      <w:r>
        <w:rPr>
          <w:rFonts w:ascii="Times New Roman" w:hAnsi="Times New Roman"/>
          <w:b/>
        </w:rPr>
        <w:t>Jagħmlu disponibbli l-informazzjoni kollha</w:t>
      </w:r>
      <w:r>
        <w:rPr>
          <w:rFonts w:ascii="Times New Roman" w:hAnsi="Times New Roman"/>
        </w:rPr>
        <w:t xml:space="preserve"> dwar l-approċċ, dan id-dokument kif ukoll ir-rapporti ta’ sinteżi tal-konferenzi reġjonali u nazzjonali, b’mod trasparenti u aċċessibbli għal kulħadd fuq il-pjattaforma l-ġdida għall-parteċipazzjoni taċ-ċittadini, imnedija fl-okkażjoni tar-ritorn lejn il-Gvern; </w:t>
      </w:r>
    </w:p>
    <w:p>
      <w:pPr>
        <w:pStyle w:val="P68B1DB1Normal34"/>
        <w:widowControl w:val="false"/>
        <w:spacing w:lineRule="auto" w:line="240" w:before="90" w:after="0"/>
        <w:ind w:left="360" w:right="0" w:hanging="0"/>
        <w:jc w:val="left"/>
        <w:rPr/>
      </w:pPr>
      <w:r>
        <w:rPr>
          <w:rFonts w:ascii="Calibri" w:hAnsi="Calibri"/>
        </w:rPr>
        <w:t>-</w:t>
      </w:r>
      <w:r>
        <w:rPr/>
        <w:t xml:space="preserve"> </w:t>
      </w:r>
      <w:r>
        <w:rPr>
          <w:rFonts w:ascii="Times New Roman" w:hAnsi="Times New Roman"/>
        </w:rPr>
        <w:t xml:space="preserve">Organizzazzjoni ta’ </w:t>
      </w:r>
      <w:r>
        <w:rPr>
          <w:rFonts w:ascii="Times New Roman" w:hAnsi="Times New Roman"/>
          <w:b/>
        </w:rPr>
        <w:t>avveniment biex il-Gvern jirritorna r</w:t>
      </w:r>
      <w:r>
        <w:rPr>
          <w:rFonts w:ascii="Times New Roman" w:hAnsi="Times New Roman"/>
        </w:rPr>
        <w:t xml:space="preserve"> -rapport finali tal-komponent nazzjonali tal-Konferenza dwar il-Futur tal-Ewropa f’Novembru 2021; </w:t>
      </w:r>
    </w:p>
    <w:p>
      <w:pPr>
        <w:pStyle w:val="P68B1DB1Normal34"/>
        <w:widowControl w:val="false"/>
        <w:spacing w:lineRule="auto" w:line="240" w:before="90" w:after="0"/>
        <w:ind w:left="720" w:right="0" w:hanging="359"/>
        <w:jc w:val="both"/>
        <w:rPr/>
      </w:pPr>
      <w:r>
        <w:rPr>
          <w:rFonts w:ascii="Calibri" w:hAnsi="Calibri"/>
        </w:rPr>
        <w:t>-</w:t>
      </w:r>
      <w:r>
        <w:rPr/>
        <w:t xml:space="preserve"> </w:t>
      </w:r>
      <w:r>
        <w:rPr>
          <w:rFonts w:ascii="Times New Roman" w:hAnsi="Times New Roman"/>
        </w:rPr>
        <w:t xml:space="preserve">It-twaqqif ta’ </w:t>
      </w:r>
      <w:r>
        <w:rPr>
          <w:rFonts w:ascii="Times New Roman" w:hAnsi="Times New Roman"/>
          <w:b/>
        </w:rPr>
        <w:t>kumitat ta’ monitoraġġ taċ-ċittadini biex</w:t>
      </w:r>
      <w:r>
        <w:rPr>
          <w:rFonts w:ascii="Times New Roman" w:hAnsi="Times New Roman"/>
        </w:rPr>
        <w:t xml:space="preserve"> jiżgura li r-riżultat tal-proċess ikun konformi mal-proposti li saru. Dan il-kumitat se jkun magħmul minn 15-il ċittadin, inklużi 14-il parteċipant mill-konferenzi reġjonali u parteċipant wieħed mill-konsultazzjoni “Kliem </w:t>
      </w:r>
      <w:r>
        <w:rPr>
          <w:rFonts w:ascii="Times New Roman" w:hAnsi="Times New Roman"/>
          <w:i/>
        </w:rPr>
        <w:t>għaż-Żgħażagħ”</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It-twassil tal-kontribut Franċiż għall-Konferenza dwar il-Futur tal-Ewropa lill-istituzzjonijiet Ewropej</w:t>
      </w:r>
      <w:r>
        <w:rPr>
          <w:rFonts w:ascii="Times New Roman" w:hAnsi="Times New Roman"/>
        </w:rPr>
        <w:t xml:space="preserve"> f’Jannar 2022; </w:t>
      </w:r>
    </w:p>
    <w:p>
      <w:pPr>
        <w:pStyle w:val="P68B1DB1Normal19"/>
        <w:widowControl w:val="false"/>
        <w:spacing w:lineRule="auto" w:line="240" w:before="87" w:after="0"/>
        <w:ind w:left="0" w:right="0" w:hanging="0"/>
        <w:jc w:val="left"/>
        <w:rPr/>
      </w:pPr>
      <w:r>
        <w:rPr/>
        <w:t xml:space="preserve">Il-proposti taċ-ċittadini Franċiżi se jitressqu għar-riflessjoni kollettiva tal-Istati Membri u l-istituzzjonijiet Ewropej. Bħala l-pajjiż li jkollu l-Presidenza tal-Kunsill tal-Unjoni Ewropea fl-ewwel nofs tal-2022, se jkun f’idejn Franza li titkellem il-vuċi taċ-ċittadini tagħha filwaqt li taħdem biex tiddefinixxi pożizzjoni komuni fuq bażi kontinentali.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L-ewwel parti: preżentazzjoni tar-riżultati tal-konferenzi reġjonali dwar il-futur tal-Ewropa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F’kull waħda mit-18-il konferenza reġjonali, iċ-ċittadini esprimew ix-xewqat tagħhom għall-Ewropa tal-2035 individwalment u mbagħad bħala grupp. Bejn 3 u 8 gruppi ta’ xewqat tfaċċaw f’kull reġjun, li wassal għal total ta’ </w:t>
      </w:r>
      <w:r>
        <w:rPr>
          <w:b/>
        </w:rPr>
        <w:t>101 Ewropa mixtieqa madwar Franza</w:t>
      </w:r>
      <w:r>
        <w:rPr/>
        <w:t xml:space="preserve">. Iċ-ċittadini mbagħad ifformulaw bidliet li huma qiesu meħtieġa biex jilħqu l-Ewropa mixtieqa u mbagħad urewhom b’azzjonijiet konkreti. Dan il-proċess ġġenera total ta’ </w:t>
      </w:r>
      <w:r>
        <w:rPr>
          <w:b/>
        </w:rPr>
        <w:t>515-il</w:t>
      </w:r>
      <w:r>
        <w:rPr/>
        <w:t xml:space="preserve"> bidla u </w:t>
      </w:r>
      <w:r>
        <w:rPr>
          <w:b/>
        </w:rPr>
        <w:t>1,301 azzjoni konkreta fi Franza kollha</w:t>
      </w:r>
      <w:r>
        <w:rPr/>
        <w:t xml:space="preserve">.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Fil-ġimgħat li sseparaw il-konferenzi reġjonali u l-konferenza nazzjonali, it-tim tal-proġett wettaq grupp ta’ 515-il bidla fi gruppi koerenti. Il-bidliet kollha espressi fir-reġjuni kienu soġġetti għal analiżi leżika u mill-qrib meta l-intenzjoni sottostanti tagħhom dehret simili jew mill-qrib, sabiex jitwaqqfu għall-gruppi ta’ ħidma tal-konferenzi nazzjonali b’xewqa komuni għall-Ewropa. Fl-aħħar nett, </w:t>
      </w:r>
      <w:r>
        <w:rPr>
          <w:b/>
        </w:rPr>
        <w:t>il-bidliet identifikati fir-reġjuni ġew raggruppati f’14-il xewqa Ewropea distinta</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Formola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101"/>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Xewqat</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għall-Ewropa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Bidliet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biex tintlaħaq din l-Ewropa mixtieqa</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Proposti konkreti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għall-implimentazzjoni ta’ dawn il-bidliet</w:t>
                              </w:r>
                            </w:p>
                          </w:txbxContent>
                        </wps:txbx>
                        <wps:bodyPr lIns="90000" rIns="90000" tIns="45000" bIns="45000">
                          <a:noAutofit/>
                        </wps:bodyPr>
                      </wps:wsp>
                    </wpg:wgp>
                  </a:graphicData>
                </a:graphic>
              </wp:anchor>
            </w:drawing>
          </mc:Choice>
          <mc:Fallback>
            <w:pict>
              <v:group id="shape_0" alt="Formola11" style="position:absolute;margin-left:34.4pt;margin-top:7.25pt;width:453.95pt;height:103.85pt" coordorigin="688,145" coordsize="9079,2077">
                <v:shape id="shape_0" stroked="f" style="position:absolute;left:688;top:145;width:9078;height:1696" type="shapetype_75">
                  <v:imagedata r:id="rId101"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Xewqat</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għall-Ewropa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Bidliet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biex tintlaħaq din l-Ewropa mixtieqa</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Proposti konkreti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għall-implimentazzjoni ta’ dawn il-bidliet</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Mistoqsija liċ-ċittadini</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X’inhi x-xewqa tiegħek għall-Ewropa tal-2035?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X’bidliet huma meħtieġa biex tintlaħaq din l-Ewropa mixtieqa?</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X’proposti konkreti tagħmel biex timplimenta dawn il-bidliet?</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Eżitu tal-konferenzi reġjonali</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xewqat</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515-il bidla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proposti konkreti</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L-ordni ta’ 515-il bidla reġjonali f’14-il xewqa konsistenti mit-tim tal-organizzazzjoni</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Ir-raggruppament, il-prijoritizzazzjoni u d-dettall tal-bidliet mill-parteċipanti matul il-konferenza nazzjonali</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Eżitu tal-konferenza nazzjonali</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14-il xewqa</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Tibdil ta’ 80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Passi ewlenin ta’ implimentazzjoni u kriterji ta’ suċċess għal kull bidla</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a. Klassifikazzjoni tal-14-il xewqa tal-Ewropa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Fi tmiem kull konferenza reġjonali, iċ-ċittadini parteċipanti vvotaw biex jesprimu l-appoġġ tagħhom għall-bidliet identifikati mill-gruppi ta’ ħidma differenti.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Qafas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Il-klassifikazzjoni tax-xewqat tal-Ewropa skont ir-rata tal-popolarità </w:t>
                            </w:r>
                          </w:p>
                        </w:txbxContent>
                      </wps:txbx>
                      <wps:bodyPr lIns="0" rIns="0" tIns="0" bIns="0">
                        <a:noAutofit/>
                      </wps:bodyPr>
                    </wps:wsp>
                  </a:graphicData>
                </a:graphic>
              </wp:anchor>
            </w:drawing>
          </mc:Choice>
          <mc:Fallback>
            <w:pict>
              <v:rect id="shape_0" ID="Qafas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Il-klassifikazzjoni tax-xewqat tal-Ewropa skont ir-rata tal-popolarità </w:t>
                      </w:r>
                    </w:p>
                  </w:txbxContent>
                </v:textbox>
              </v:rect>
            </w:pict>
          </mc:Fallback>
        </mc:AlternateContent>
      </w:r>
      <w:r>
        <w:rPr>
          <w:rFonts w:ascii="Times New Roman" w:hAnsi="Times New Roman"/>
          <w:color w:val="000000"/>
          <w:sz w:val="24"/>
        </w:rPr>
        <w:t xml:space="preserve">Fuq il-bażi tar-raggruppamenti li saru qabel il-konferenza ta’ sinteżi nazzjonali, huwa possibbli li jiġu determinati — bis-saħħa tal-voti dwar il-bidliet f’kull reġjun — ix-xewqat tal-Ewropa li kienet l-aktar popolari fost iċ-ċittadini. Għalhekk, ix-xewqat </w:t>
      </w:r>
      <w:r>
        <w:rPr>
          <w:rFonts w:ascii="Times New Roman" w:hAnsi="Times New Roman"/>
          <w:i/>
          <w:color w:val="000000"/>
          <w:sz w:val="24"/>
        </w:rPr>
        <w:t>“Ewropa li tpoġġi l-edukazzjoni fuq quddiem nett”</w:t>
      </w:r>
      <w:r>
        <w:rPr>
          <w:rFonts w:ascii="Times New Roman" w:hAnsi="Times New Roman"/>
          <w:color w:val="000000"/>
          <w:sz w:val="24"/>
        </w:rPr>
        <w:t xml:space="preserve"> u “ </w:t>
      </w:r>
      <w:r>
        <w:rPr>
          <w:rFonts w:ascii="Times New Roman" w:hAnsi="Times New Roman"/>
          <w:i/>
          <w:color w:val="000000"/>
          <w:sz w:val="24"/>
        </w:rPr>
        <w:t>Ewropa eqreb u aċċessibbli</w:t>
      </w:r>
      <w:r>
        <w:rPr>
          <w:rFonts w:ascii="Times New Roman" w:hAnsi="Times New Roman"/>
          <w:color w:val="000000"/>
          <w:sz w:val="24"/>
        </w:rPr>
        <w:t>” intlaqgħu tajjeb</w:t>
      </w:r>
      <w:r>
        <w:rPr>
          <w:rFonts w:ascii="Times New Roman" w:hAnsi="Times New Roman"/>
          <w:i/>
          <w:color w:val="000000"/>
          <w:sz w:val="24"/>
        </w:rPr>
        <w:t xml:space="preserve"> </w:t>
      </w:r>
      <w:r>
        <w:rPr>
          <w:rFonts w:ascii="Times New Roman" w:hAnsi="Times New Roman"/>
          <w:color w:val="000000"/>
          <w:sz w:val="24"/>
        </w:rPr>
        <w:t xml:space="preserve">ħafna, b’bidliet appoġġjati minn medja ta’ 56 % taċ-ċittadini f’konferenzi reġjonali.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Formola 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2"/>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X’bidliet tixtieq tara implimentati?</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Ewropa li tqiegħed l-edukazzjoni fuq quddiem nett</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Ewropa aktar mill-qrib u aċċessibbli</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Ewropa b’kulturi u identitajiet komuni</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Ewropa impenjata għall-isfida klimatika u ambjentali</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Ewropa aktar magħquda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Ewropa ta’ solidarjetà li tipproteġi</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Ewropa li tiggarantixxi r-rispett għad-drittijiet fundamentali</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Ewropa kompetittiva u innovattiva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Ewropa li tippromwovi l-iżvilupp sostenibbli</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Ewropa aktar demokratika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Ewropa b’Governanza Aktar Effettiva</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Ewropa li tiddefendi l-interessi tagħha</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Ewropa b’saħħitha fid-dinja</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Ewropa li fiha jipprevalu l-interessi ta’ kull stat</w:t>
                              </w:r>
                            </w:p>
                          </w:txbxContent>
                        </wps:txbx>
                        <wps:bodyPr lIns="90000" rIns="90000" tIns="45000" bIns="45000">
                          <a:noAutofit/>
                        </wps:bodyPr>
                      </wps:wsp>
                    </wpg:wgp>
                  </a:graphicData>
                </a:graphic>
              </wp:anchor>
            </w:drawing>
          </mc:Choice>
          <mc:Fallback>
            <w:pict>
              <v:group id="shape_0" alt="Formola 4" style="position:absolute;margin-left:21.5pt;margin-top:39.85pt;width:354.75pt;height:494.75pt" coordorigin="430,797" coordsize="7095,9895">
                <v:shape id="shape_0" stroked="f" style="position:absolute;left:4005;top:1727;width:3121;height:8964" type="shapetype_75">
                  <v:imagedata r:id="rId102"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X’bidliet tixtieq tara implimentati?</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Ewropa li tqiegħed l-edukazzjoni fuq quddiem nett</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Ewropa aktar mill-qrib u aċċessibbli</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Ewropa b’kulturi u identitajiet komuni</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Ewropa impenjata għall-isfida klimatika u ambjentali</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Ewropa aktar magħquda</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Ewropa ta’ solidarjetà li tipproteġi</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Ewropa li tiggarantixxi r-rispett għad-drittijiet fundamentali</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Ewropa kompetittiva u innovattiva</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Ewropa li tippromwovi l-iżvilupp sostenibbli</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Ewropa aktar demokratika</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Ewropa b’Governanza Aktar Effettiva</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Ewropa li tiddefendi l-interessi tagħha</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Ewropa b’saħħitha fid-dinja</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Ewropa li fiha jipprevalu l-interessi ta’ kull stat</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Preżentazzjoni tal-14-il bidla ta’ prijorità li rriżultaw mill-konferenza nazzjonali </w:t>
      </w:r>
    </w:p>
    <w:p>
      <w:pPr>
        <w:pStyle w:val="P68B1DB1Normal19"/>
        <w:widowControl w:val="false"/>
        <w:spacing w:lineRule="exact" w:line="388" w:before="322" w:after="0"/>
        <w:ind w:left="0" w:right="0" w:hanging="0"/>
        <w:jc w:val="left"/>
        <w:rPr/>
      </w:pPr>
      <w:r>
        <w:rPr/>
        <w:t xml:space="preserve">Fil-Konferenza Nazzjonali ta’ Sinteżi, il-100 ċittadin parteċipanti ħadmu fuq wieħed mill-14-il grupp ta’ xewqa stabbiliti. Fi tmiem il-ħidma, kull grupp għażel biex jirrappreżenta x-xewqa tiegħu għall-Ewropa </w:t>
      </w:r>
      <w:r>
        <w:rPr>
          <w:b/>
        </w:rPr>
        <w:t>bidla prijoritarja li għandha tiġi stabbilita sal-2035</w:t>
      </w:r>
      <w:r>
        <w:rPr/>
        <w:t xml:space="preserve">. Dawn l-14-il bidla ta’ prijorità mbagħad ġew proposti għall-votazzjoni ta’ 100 ċittadin fl-aħħar jum tal-konferenza nazzjonali. Ir-riżultat ta’ din il-votazzjoni huwa stabbilit hawn taħt, f’ordni dixxendenti skont in-numru ta’ voti miksuba għal kull bidla. </w:t>
      </w:r>
    </w:p>
    <w:p>
      <w:pPr>
        <w:pStyle w:val="P68B1DB1Normal19"/>
        <w:widowControl w:val="false"/>
        <w:spacing w:lineRule="exact" w:line="413" w:before="332" w:after="0"/>
        <w:ind w:left="0" w:right="708" w:hanging="0"/>
        <w:jc w:val="left"/>
        <w:rPr/>
      </w:pPr>
      <w:r>
        <w:rPr/>
        <w:t xml:space="preserve">Il-bidla li kisbet l-aktar voti mill-100 ċittadin tal-konferenza nazzjonali hija “ </w:t>
      </w:r>
      <w:r>
        <w:rPr>
          <w:i/>
        </w:rPr>
        <w:t>Niżviluppaw sobrietija fl-enerġija biex nikkonsmaw inqas billi nwaqqfu s-superfluwi”</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-il bidla ewlenija għall-Ewropa fl-2035</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Jiżviluppaw l-enerġija sobriety biex jikkunsmaw inqas off-superfluous</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It-tisħiħ tad-difiża u s-sigurtà komuni tal-Unjoni Ewropea</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Trawwim ta’ prestazzjoni ekonomika kollettiva permezz ta’ industrija awtonoma, kompetittiva u ta’ valur mill-Unjoni Ewropea</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L-istabbiliment ta’ setgħa taċ-ċittadini f’diversi livelli: parteċipazzjoni, deċiżjoni, kontroll</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Ikun hemm federazzjoni ta’ stati Ewropej b’kompetenzi b’saħħithom f’oqsma ta’ interess komuni</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Tipproponi programmi ta’ skambju tul il</w:t>
      </w:r>
      <w:r>
        <w:rPr>
          <w:color w:val="FFFFFF"/>
        </w:rPr>
        <w:t>-ħajja</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Il-kondiviżjoni tal-kulturi Ewropej permezz ta’ avvenimenti u avvenimenti li jgħaqqdu</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L-armonizzazzjoni tas-saħħa u l-aċċessibbiltà tagħha għall-Ewropej kollha permezz ta’ politika komuni tas-saħħa</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L-iżvilupp u l-pilotaġġ ta’ kanali strateġiċi fil-livell Ewropew biex tiġi żgurata s-sovranità tagħna</w:t>
      </w:r>
    </w:p>
    <w:p>
      <w:pPr>
        <w:pStyle w:val="P68B1DB1Normal41"/>
        <w:widowControl w:val="false"/>
        <w:spacing w:lineRule="auto" w:line="240" w:before="193" w:after="0"/>
        <w:ind w:left="324" w:right="0" w:hanging="0"/>
        <w:jc w:val="left"/>
        <w:rPr/>
      </w:pPr>
      <w:r>
        <w:rPr>
          <w:color w:val="FFFFFF"/>
        </w:rPr>
        <w:t>10</w:t>
      </w:r>
      <w:r>
        <w:rPr>
          <w:color w:val="000000"/>
        </w:rPr>
        <w:t>(10)It-titjib tal-protezzjoni tal-ambjenti u l-ekosistemi u l-ħolqien ta’ żoni protetti fil-qalba taż-żoni urbani, periurbani u rurali</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L-istabbiliment ta’ relays Ewropej fit-territorji biex jisimgħu u jagħtu pariri liċ-ċittadini</w:t>
      </w:r>
    </w:p>
    <w:p>
      <w:pPr>
        <w:pStyle w:val="P68B1DB1Normal41"/>
        <w:widowControl w:val="false"/>
        <w:spacing w:lineRule="auto" w:line="240" w:before="193" w:after="0"/>
        <w:ind w:left="283" w:right="643" w:hanging="0"/>
        <w:jc w:val="left"/>
        <w:rPr/>
      </w:pPr>
      <w:r>
        <w:rPr>
          <w:color w:val="FFFFFF"/>
        </w:rPr>
        <w:t>12</w:t>
      </w:r>
      <w:r>
        <w:rPr>
          <w:color w:val="000000"/>
        </w:rPr>
        <w:t>(12)</w:t>
      </w:r>
      <w:r>
        <w:rPr>
          <w:color w:val="FFFFFF"/>
        </w:rPr>
        <w:t xml:space="preserve"> </w:t>
      </w:r>
      <w:r>
        <w:rPr>
          <w:color w:val="000000"/>
        </w:rPr>
        <w:t>Tgħaqqad il-mod ta’ elezzjoni tal-Parlament Ewropew għas-sebgħa u għoxrin stat u ttejjeb il-prossimità taċ-ċittadini billi tissostitwixxi l-votazzjoni attwali b’vot ta’ darba fil-livell reġjonali</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Id-definizzjoni ta’ politika komuni għat-titjib tal-akkoljenza u l-integrazzjoni soċjali u okkupazzjonali tal-migranti (inklużi l-migranti irregolari)</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Biex jiġu ppreservati l-ispeċifiċitajiet (tikketti tal-ikel, produzzjoni artiġjanali, tradizzjonijiet) tar-reġjuni Ewropej differenti, sabiex jiġu evitati stili ta’ ħajja uniformi u jiġu żgurati t-traċċabbiltà u l-kwalità tal-prodotti</w:t>
      </w:r>
    </w:p>
    <w:p>
      <w:pPr>
        <w:pStyle w:val="Normal"/>
        <w:spacing w:lineRule="auto" w:line="240"/>
        <w:rPr/>
      </w:pPr>
      <w:r>
        <w:rPr/>
      </w:r>
    </w:p>
    <w:p>
      <w:pPr>
        <w:pStyle w:val="Normal"/>
        <w:rPr/>
      </w:pPr>
      <w:r>
        <w:rPr/>
        <w:t xml:space="preserve">Għal kull bidla ta’ prijorità, iċ-ċittadini tal-grupp ikkonċernat taw definizzjoni ta’ bidla, ipproponew azzjonijiet konkreti biex jiġu implimentati għall-implimentazzjoni tagħha u indikaw il-kriterji għas-suċċess sal-2035. </w:t>
      </w:r>
    </w:p>
    <w:p>
      <w:pPr>
        <w:pStyle w:val="Normal"/>
        <w:rPr/>
      </w:pPr>
      <w:r>
        <w:rPr/>
      </w:r>
      <w:r>
        <w:br w:type="page"/>
      </w:r>
    </w:p>
    <w:p>
      <w:pPr>
        <w:pStyle w:val="P68B1DB1Normal42"/>
        <w:widowControl w:val="false"/>
        <w:spacing w:lineRule="auto" w:line="240" w:before="237" w:after="0"/>
        <w:ind w:left="0" w:right="0" w:hanging="0"/>
        <w:jc w:val="left"/>
        <w:rPr/>
      </w:pPr>
      <w:r>
        <w:rPr/>
        <w:t xml:space="preserve">Bidla 1 — L-iżvilupp tas-sebriet tal-enerġija biex tikkonsma inqas billi twaqqaf is-superfluwu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Ix-xewqa tal-Ewropa assoċjata: Ewropa impenjata għall-isfida klimatika u ambjentali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Xi tfisser din il-bidla? </w:t>
      </w:r>
    </w:p>
    <w:p>
      <w:pPr>
        <w:pStyle w:val="P68B1DB1Normal7"/>
        <w:widowControl w:val="false"/>
        <w:spacing w:lineRule="auto" w:line="240" w:before="76" w:after="0"/>
        <w:ind w:left="0" w:right="0" w:hanging="0"/>
        <w:jc w:val="left"/>
        <w:rPr/>
      </w:pPr>
      <w:r>
        <w:rPr>
          <w:i/>
          <w:color w:val="000000"/>
        </w:rPr>
        <w:t>Keywords: Żvilupp ta’ enerġiji rinnovabbli, tnaqqis fil-konsum tal-enerġija</w:t>
      </w:r>
      <w:r>
        <w:rPr>
          <w:b/>
          <w:color w:val="273375"/>
        </w:rPr>
        <w:t xml:space="preserve"> </w:t>
      </w:r>
    </w:p>
    <w:p>
      <w:pPr>
        <w:pStyle w:val="P68B1DB1Normal19"/>
        <w:widowControl w:val="false"/>
        <w:spacing w:lineRule="auto" w:line="240" w:before="248" w:after="0"/>
        <w:ind w:left="0" w:right="9" w:hanging="0"/>
        <w:jc w:val="both"/>
        <w:rPr/>
      </w:pPr>
      <w:r>
        <w:rPr/>
        <w:t xml:space="preserve">Din il-bidla għandha l-għan li tinkoraġġixxi t-tnaqqis fil-konsum tal-enerġija fl-Ewropa u l-iżvilupp tal-enerġija rinnovabbli. Il-prijoritizzazzjoni tagħha miċ-ċittadini tittraskrivi x-xewqa tagħhom li jinkludu lill-Ewropa u lill-abitanti tagħha </w:t>
      </w:r>
      <w:r>
        <w:rPr>
          <w:b/>
        </w:rPr>
        <w:t>f’approċċ determinat</w:t>
      </w:r>
      <w:r>
        <w:rPr/>
        <w:t xml:space="preserve"> għall-isfida klimatika u ambjentali.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X’inhuma l-passi ewlenin u l-kriterji ta’ suċċess? </w:t>
      </w:r>
    </w:p>
    <w:p>
      <w:pPr>
        <w:pStyle w:val="P68B1DB1Normal19"/>
        <w:widowControl w:val="false"/>
        <w:spacing w:lineRule="auto" w:line="240" w:before="237" w:after="0"/>
        <w:ind w:left="0" w:right="9" w:hanging="0"/>
        <w:jc w:val="both"/>
        <w:rPr/>
      </w:pPr>
      <w:r>
        <w:rPr/>
        <w:t xml:space="preserve">Din il-bidla hija riflessa fl </w:t>
      </w:r>
      <w:r>
        <w:rPr>
          <w:b/>
        </w:rPr>
        <w:t>-iżvilupp ta’ programmi ta’ riċerka ambizzjużi</w:t>
      </w:r>
      <w:r>
        <w:rPr/>
        <w:t xml:space="preserve"> dwar sorsi ta’ enerġija rinnovabbli u </w:t>
      </w:r>
      <w:r>
        <w:rPr>
          <w:b/>
        </w:rPr>
        <w:t>l-użu ta’ fondi ta’ investiment Ewropej</w:t>
      </w:r>
      <w:r>
        <w:rPr/>
        <w:t xml:space="preserve"> b’parteċipazzjoni diretta f’kumpaniji fis-settur. </w:t>
      </w:r>
    </w:p>
    <w:p>
      <w:pPr>
        <w:pStyle w:val="P68B1DB1Normal19"/>
        <w:widowControl w:val="false"/>
        <w:spacing w:lineRule="auto" w:line="240" w:before="326" w:after="0"/>
        <w:ind w:left="0" w:right="9" w:hanging="0"/>
        <w:jc w:val="both"/>
        <w:rPr/>
      </w:pPr>
      <w:r>
        <w:rPr/>
        <w:t xml:space="preserve">Għaċ-ċittadini, din il-bidla tkun ta’ suċċess jekk jiġu stabbiliti </w:t>
      </w:r>
      <w:r>
        <w:rPr>
          <w:b/>
        </w:rPr>
        <w:t>miri vinkolanti għall-konsumtal-enerġija u indikaturi ewlenin ta’ sobriet, bħal</w:t>
      </w:r>
      <w:r>
        <w:rPr/>
        <w:t xml:space="preserve"> tnaqqis fil-flotta Ewropea tal-karozzi jew il-konsum tal-laħam. L-ambizzjoni hija wkoll li jirnexxielna nistabbilixxu </w:t>
      </w:r>
      <w:r>
        <w:rPr>
          <w:b/>
        </w:rPr>
        <w:t>kwoti tal-konsum skont is-settur</w:t>
      </w:r>
      <w:r>
        <w:rPr/>
        <w:t xml:space="preserve"> filwaqt li jitqiesu l-varjazzjonijiet fil-konsum tal-kumpaniji u tiġi rispettata l-kunfidenzjalità tad-data tagħhom. </w:t>
      </w:r>
    </w:p>
    <w:p>
      <w:pPr>
        <w:pStyle w:val="Normal"/>
        <w:spacing w:lineRule="auto" w:line="240"/>
        <w:rPr/>
      </w:pPr>
      <w:r>
        <w:rPr/>
      </w:r>
    </w:p>
    <w:p>
      <w:pPr>
        <w:pStyle w:val="P68B1DB1Normal42"/>
        <w:spacing w:lineRule="auto" w:line="240"/>
        <w:rPr/>
      </w:pPr>
      <w:r>
        <w:rPr/>
        <w:t xml:space="preserve">Bidla 2 — It-tisħiħ tad-difiża u s-sigurtà komuni tal-Unjoni Ewropea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Ix-xewqa tal-Ewropa assoċjata: Ewropa b’saħħitha fid-dinja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Xi tfisser din il-bidla? </w:t>
      </w:r>
    </w:p>
    <w:p>
      <w:pPr>
        <w:pStyle w:val="P68B1DB1Normal7"/>
        <w:widowControl w:val="false"/>
        <w:spacing w:lineRule="auto" w:line="240" w:before="78" w:after="0"/>
        <w:ind w:left="0" w:right="0" w:hanging="0"/>
        <w:jc w:val="left"/>
        <w:rPr/>
      </w:pPr>
      <w:r>
        <w:rPr>
          <w:i/>
          <w:color w:val="000000"/>
        </w:rPr>
        <w:t>Keywords: Armata Ewropea, awtonomija strateġika</w:t>
      </w:r>
      <w:r>
        <w:rPr>
          <w:b/>
          <w:color w:val="273375"/>
        </w:rPr>
        <w:t xml:space="preserve"> </w:t>
      </w:r>
    </w:p>
    <w:p>
      <w:pPr>
        <w:pStyle w:val="P68B1DB1Normal19"/>
        <w:widowControl w:val="false"/>
        <w:spacing w:lineRule="auto" w:line="240" w:before="201" w:after="0"/>
        <w:ind w:left="0" w:right="10" w:hanging="0"/>
        <w:jc w:val="left"/>
        <w:rPr/>
      </w:pPr>
      <w:r>
        <w:rPr/>
        <w:t>Din il-bidla twieġeb għar-rieda unanima taċ-ċittadini li jiksbu l-</w:t>
      </w:r>
      <w:r>
        <w:rPr>
          <w:b/>
        </w:rPr>
        <w:t>awtonomija</w:t>
      </w:r>
      <w:r>
        <w:rPr/>
        <w:t xml:space="preserve"> fid-difiża u s-sigurtà fl-Ewropa, sabiex ma jiddependux fuq il-poteri barranin.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X’inhuma l-passi ewlenin u l-kriterji ta’ suċċess? </w:t>
      </w:r>
    </w:p>
    <w:p>
      <w:pPr>
        <w:pStyle w:val="P68B1DB1Normal19"/>
        <w:widowControl w:val="false"/>
        <w:spacing w:lineRule="auto" w:line="240" w:before="198" w:after="0"/>
        <w:ind w:left="0" w:right="10" w:hanging="0"/>
        <w:jc w:val="left"/>
        <w:rPr/>
      </w:pPr>
      <w:r>
        <w:rPr/>
        <w:t>Is-suċċess ta’ din il-bidla l-ewwel u qabel kollox jirriżulta fil-ħatra ta’</w:t>
      </w:r>
      <w:r>
        <w:rPr>
          <w:b/>
        </w:rPr>
        <w:t xml:space="preserve"> Kummissarju Ewropew</w:t>
      </w:r>
      <w:r>
        <w:rPr/>
        <w:t xml:space="preserve"> għad-Difiża u s-Sigurtà. </w:t>
      </w:r>
    </w:p>
    <w:p>
      <w:pPr>
        <w:pStyle w:val="P68B1DB1Normal19"/>
        <w:widowControl w:val="false"/>
        <w:spacing w:lineRule="auto" w:line="240" w:before="203" w:after="0"/>
        <w:ind w:left="0" w:right="10" w:hanging="0"/>
        <w:jc w:val="both"/>
        <w:rPr/>
      </w:pPr>
      <w:r>
        <w:rPr/>
        <w:t>Fi kwistjonijiet ta’ difiża, il-ħolqien ta’</w:t>
      </w:r>
      <w:r>
        <w:rPr>
          <w:b/>
        </w:rPr>
        <w:t xml:space="preserve"> armata permanenti, reattiva u proġettabbli</w:t>
      </w:r>
      <w:r>
        <w:rPr/>
        <w:t xml:space="preserve"> madwar id-dinja jippermetti lill-Ewropa tipproteġi l-fruntieri tagħha u tintervjeni, jekk ikun meħtieġ, fuq talba ta’ pajjiżi terzi. </w:t>
      </w:r>
    </w:p>
    <w:p>
      <w:pPr>
        <w:pStyle w:val="P68B1DB1Normal19"/>
        <w:widowControl w:val="false"/>
        <w:spacing w:lineRule="auto" w:line="240" w:before="206" w:after="0"/>
        <w:ind w:left="0" w:right="10" w:hanging="0"/>
        <w:jc w:val="both"/>
        <w:rPr/>
      </w:pPr>
      <w:r>
        <w:rPr/>
        <w:t xml:space="preserve">F’termini ta’ sigurtà, l-Ewropa għandha, f’għajnejn iċ-ċittadini tagħha, tiggarantixxi s- </w:t>
      </w:r>
      <w:r>
        <w:rPr>
          <w:b/>
        </w:rPr>
        <w:t>sigurtà tal-provvisti tagħha</w:t>
      </w:r>
      <w:r>
        <w:rPr/>
        <w:t xml:space="preserve"> u tipproteġi r- </w:t>
      </w:r>
      <w:r>
        <w:rPr>
          <w:b/>
        </w:rPr>
        <w:t>riċerka strateġika</w:t>
      </w:r>
      <w:r>
        <w:rPr/>
        <w:t xml:space="preserve"> tagħha, f’setturi prijoritarji bħall-ispazju, iċ-ċibersigurtà, is-settur mediku u l-ambjent. Protezzjoni aħjar </w:t>
      </w:r>
      <w:r>
        <w:rPr>
          <w:b/>
        </w:rPr>
        <w:t>tal-fruntieri esterni</w:t>
      </w:r>
      <w:r>
        <w:rPr/>
        <w:t xml:space="preserve"> għandha tgħin ukoll biex jitwaqqfu l-immigrazzjoni illegali u t-traffikar. </w:t>
      </w:r>
    </w:p>
    <w:p>
      <w:pPr>
        <w:pStyle w:val="Normal"/>
        <w:spacing w:lineRule="auto" w:line="240"/>
        <w:rPr/>
      </w:pPr>
      <w:r>
        <w:rPr/>
      </w:r>
    </w:p>
    <w:p>
      <w:pPr>
        <w:pStyle w:val="P68B1DB1Normal42"/>
        <w:spacing w:lineRule="auto" w:line="240"/>
        <w:rPr/>
      </w:pPr>
      <w:r>
        <w:rPr/>
        <w:t xml:space="preserve">Bidla 3 — Il-promozzjoni tal-prestazzjoni ekonomika kollettiva permezz ta’ industrija awtonoma, kompetittiva u ta’ valur mill-Unjoni Ewropea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Ix-xewqa tal-Ewropa assoċjata: Ewropa li tiddefendi l-interessi tagħha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Xi tfisser din il-bidla?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Keywords: </w:t>
      </w:r>
    </w:p>
    <w:p>
      <w:pPr>
        <w:pStyle w:val="P68B1DB1Normal7"/>
        <w:widowControl w:val="false"/>
        <w:spacing w:lineRule="auto" w:line="240"/>
        <w:ind w:left="0" w:right="10" w:hanging="0"/>
        <w:jc w:val="left"/>
        <w:rPr/>
      </w:pPr>
      <w:r>
        <w:rPr>
          <w:i/>
          <w:color w:val="000000"/>
        </w:rPr>
        <w:t>Il-preferenza Ewropea, il-protezzjoni tal-għarfien espert, l-iżvilupp ta’ promoturi Ewropej</w:t>
      </w:r>
      <w:r>
        <w:rPr>
          <w:b/>
          <w:color w:val="273375"/>
        </w:rPr>
        <w:t xml:space="preserve"> </w:t>
      </w:r>
    </w:p>
    <w:p>
      <w:pPr>
        <w:pStyle w:val="P68B1DB1Normal19"/>
        <w:widowControl w:val="false"/>
        <w:spacing w:lineRule="auto" w:line="240" w:before="321" w:after="0"/>
        <w:ind w:left="0" w:right="10" w:hanging="0"/>
        <w:jc w:val="both"/>
        <w:rPr/>
      </w:pPr>
      <w:r>
        <w:rPr/>
        <w:t xml:space="preserve">Din il-bidla għandha l-għan li tikseb tliet għanijiet: it-tisħiħ ta’ politika ta’ </w:t>
      </w:r>
      <w:r>
        <w:rPr>
          <w:b/>
        </w:rPr>
        <w:t>“</w:t>
      </w:r>
      <w:r>
        <w:rPr/>
        <w:t xml:space="preserve"> </w:t>
      </w:r>
      <w:r>
        <w:rPr>
          <w:b/>
        </w:rPr>
        <w:t>preferenza Ewropea”</w:t>
      </w:r>
      <w:r>
        <w:rPr/>
        <w:t xml:space="preserve"> fi ħdan l-Unjoni, il-garanzija tal- </w:t>
      </w:r>
      <w:r>
        <w:rPr>
          <w:b/>
        </w:rPr>
        <w:t>protezzjoni tal-oġġetti essenzjali u l-għarfien espert</w:t>
      </w:r>
      <w:r>
        <w:rPr/>
        <w:t xml:space="preserve">, u l-ħolqien </w:t>
      </w:r>
      <w:r>
        <w:rPr>
          <w:b/>
        </w:rPr>
        <w:t>ta’ “promoturi Ewropej”.</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X’inhuma l-passi ewlenin u l-kriterji ta’ suċċess? </w:t>
      </w:r>
    </w:p>
    <w:p>
      <w:pPr>
        <w:pStyle w:val="P68B1DB1Normal19"/>
        <w:widowControl w:val="false"/>
        <w:spacing w:lineRule="auto" w:line="240" w:before="316" w:after="0"/>
        <w:ind w:left="0" w:right="10" w:hanging="0"/>
        <w:jc w:val="both"/>
        <w:rPr/>
      </w:pPr>
      <w:r>
        <w:rPr/>
        <w:t xml:space="preserve">Il-kisba ta’ dawn l-għanijiet teħtieġ l-ewwel nett l-implimentazzjoni ta’ </w:t>
      </w:r>
      <w:r>
        <w:rPr>
          <w:b/>
        </w:rPr>
        <w:t>politika ta’ “preferenza Ewropea”</w:t>
      </w:r>
      <w:r>
        <w:rPr/>
        <w:t xml:space="preserve"> fil-kuntest tas-sejħiet għall-offerti, u l-introduzzjoni ta’ </w:t>
      </w:r>
      <w:r>
        <w:rPr>
          <w:b/>
        </w:rPr>
        <w:t>taxxa fuq il-karbonju</w:t>
      </w:r>
      <w:r>
        <w:rPr/>
        <w:t xml:space="preserve"> fuq l-importazzjonijiet. </w:t>
      </w:r>
    </w:p>
    <w:p>
      <w:pPr>
        <w:pStyle w:val="P68B1DB1Normal19"/>
        <w:widowControl w:val="false"/>
        <w:spacing w:lineRule="auto" w:line="240" w:before="332" w:after="0"/>
        <w:ind w:left="0" w:right="10" w:hanging="0"/>
        <w:jc w:val="left"/>
        <w:rPr/>
      </w:pPr>
      <w:r>
        <w:rPr/>
        <w:t xml:space="preserve">Il-protezzjoni tan-know-how tirriżulta f’aktar kontroll ta’ xiri mill-ġdid u investimenti barranin, u l-iżvilupp ta’ għajnuna </w:t>
      </w:r>
      <w:r>
        <w:rPr>
          <w:b/>
        </w:rPr>
        <w:t>għar-rilokazzjoni</w:t>
      </w:r>
      <w:r>
        <w:rPr/>
        <w:t xml:space="preserve">. </w:t>
      </w:r>
    </w:p>
    <w:p>
      <w:pPr>
        <w:pStyle w:val="P68B1DB1Normal19"/>
        <w:widowControl w:val="false"/>
        <w:spacing w:lineRule="auto" w:line="240" w:before="323" w:after="0"/>
        <w:ind w:left="0" w:right="10" w:hanging="0"/>
        <w:jc w:val="both"/>
        <w:rPr/>
      </w:pPr>
      <w:r>
        <w:rPr/>
        <w:t xml:space="preserve">Fl-aħħar nett, il-ħolqien ta’ “promoturi Ewropej” jinvolvi l-inkoraġġiment ta’ </w:t>
      </w:r>
      <w:r>
        <w:rPr>
          <w:b/>
        </w:rPr>
        <w:t>alleanzi industrijali</w:t>
      </w:r>
      <w:r>
        <w:rPr/>
        <w:t xml:space="preserve"> Ewropej f’setturi strateġiċi u t-tisħiħ tal-investiment pubbliku ta’ kapital ta’ riskju. </w:t>
      </w:r>
    </w:p>
    <w:p>
      <w:pPr>
        <w:pStyle w:val="P68B1DB1Normal45"/>
        <w:widowControl w:val="false"/>
        <w:spacing w:lineRule="auto" w:line="240" w:before="333" w:after="0"/>
        <w:ind w:left="0" w:right="13" w:hanging="0"/>
        <w:jc w:val="both"/>
        <w:rPr>
          <w:sz w:val="20"/>
        </w:rPr>
      </w:pPr>
      <w:r>
        <w:rPr/>
        <w:t xml:space="preserve">Is-suċċess ta’ din il-bidla qed jimmaterjalizza għaċ-ċittadini billi jiżviluppa alleanzi industrijali Ewropej f’setturi ewlenin, iżid l-għadd ta’ rilokazzjonijiet kummerċjali u jtejjeb il-bilanċ kummerċjali.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Bidla 4 — Responsabbilizzazzjoni tas-setgħa taċ-ċittadini f’diversi livelli: parteċipazzjoni, deċiżjoni, kontroll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Ix-xewqa tal-Ewropa assoċjata: Ewropa aktar demokratika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Xi tfisser din il-bidla? </w:t>
      </w:r>
    </w:p>
    <w:p>
      <w:pPr>
        <w:pStyle w:val="P68B1DB1Normal7"/>
        <w:widowControl w:val="false"/>
        <w:spacing w:lineRule="auto" w:line="240" w:before="84" w:after="0"/>
        <w:ind w:left="0" w:right="10" w:hanging="0"/>
        <w:jc w:val="left"/>
        <w:rPr/>
      </w:pPr>
      <w:r>
        <w:rPr>
          <w:i/>
          <w:color w:val="000000"/>
        </w:rPr>
        <w:t>Keywords: żieda fil-parteċipazzjoni tal-votanti, barometru Ewropew għas-sodisfazzjon, ġeneralizzazzjoni tal-konsultazzjonijiet taċ-ċittadini</w:t>
      </w:r>
      <w:r>
        <w:rPr>
          <w:b/>
          <w:color w:val="273375"/>
        </w:rPr>
        <w:t xml:space="preserve"> </w:t>
      </w:r>
    </w:p>
    <w:p>
      <w:pPr>
        <w:pStyle w:val="P68B1DB1Normal19"/>
        <w:widowControl w:val="false"/>
        <w:spacing w:lineRule="auto" w:line="240" w:before="324" w:after="0"/>
        <w:ind w:left="0" w:right="10" w:hanging="0"/>
        <w:jc w:val="both"/>
        <w:rPr/>
      </w:pPr>
      <w:r>
        <w:rPr/>
        <w:t xml:space="preserve">B’din il-bidla, iċ-ċittadini qed jipproponu li jiżviluppaw “ </w:t>
      </w:r>
      <w:r>
        <w:rPr>
          <w:i/>
        </w:rPr>
        <w:t xml:space="preserve">esperjenza sħiħa taċ-ċittadini” </w:t>
      </w:r>
      <w:r>
        <w:rPr/>
        <w:t>għall-</w:t>
      </w:r>
      <w:r>
        <w:rPr>
          <w:i/>
        </w:rPr>
        <w:t xml:space="preserve"> </w:t>
      </w:r>
      <w:r>
        <w:rPr/>
        <w:t xml:space="preserve">Ewropej, li żżid l- </w:t>
      </w:r>
      <w:r>
        <w:rPr>
          <w:b/>
        </w:rPr>
        <w:t>involviment</w:t>
      </w:r>
      <w:r>
        <w:rPr/>
        <w:t xml:space="preserve"> tagħhom fl-istadji kollha tal-proċessi tat-teħid tad-deċiżjonijiet. Dan jirrifletti r-rieda taċ-ċittadini </w:t>
      </w:r>
      <w:r>
        <w:rPr>
          <w:b/>
        </w:rPr>
        <w:t>li jsemmgħu leħinhom</w:t>
      </w:r>
      <w:r>
        <w:rPr/>
        <w:t xml:space="preserve"> u li jinfluwenzaw il-politiki pubbliċi li jaffettwaw il-ħajja tagħhom ta’ kuljum.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X’inhuma l-passi ewlenin u l-kriterji ta’ suċċess? </w:t>
      </w:r>
    </w:p>
    <w:p>
      <w:pPr>
        <w:pStyle w:val="P68B1DB1Normal24"/>
        <w:widowControl w:val="false"/>
        <w:spacing w:lineRule="auto" w:line="240" w:before="323" w:after="0"/>
        <w:ind w:left="0" w:right="13" w:hanging="0"/>
        <w:jc w:val="both"/>
        <w:rPr/>
      </w:pPr>
      <w:r>
        <w:rPr/>
        <w:t>Dan huwa prinċipalment għaċ-ċittadini biex jiżviluppaw u jsostnu inizjattivi ta’ parteċipazzjoni taċ-ċittadini</w:t>
      </w:r>
      <w:r>
        <w:rPr>
          <w:b/>
        </w:rPr>
        <w:t xml:space="preserve">. </w:t>
      </w:r>
      <w:r>
        <w:rPr/>
        <w:t xml:space="preserve">Għal dan il-għan, jistgħu jiġu implimentati diversi lievi: it-twaqqif ta’ </w:t>
      </w:r>
      <w:r>
        <w:rPr>
          <w:b/>
        </w:rPr>
        <w:t>kamra konsultattiva permanenti</w:t>
      </w:r>
      <w:r>
        <w:rPr/>
        <w:t xml:space="preserve">, ir-reġistrazzjoni tas- </w:t>
      </w:r>
      <w:r>
        <w:rPr>
          <w:b/>
        </w:rPr>
        <w:t>setgħa taċ</w:t>
      </w:r>
      <w:r>
        <w:rPr/>
        <w:t xml:space="preserve"> -ċittadini fit-Trattati Ewropej jew il-ħolqien ta’ </w:t>
      </w:r>
      <w:r>
        <w:rPr>
          <w:b/>
        </w:rPr>
        <w:t>tikketta</w:t>
      </w:r>
      <w:r>
        <w:rPr/>
        <w:t xml:space="preserve"> li tiċċertifika l-liġijiet li kienu s-suġġett ta’ konsultazzjoni maċ-ċittadini. </w:t>
      </w:r>
    </w:p>
    <w:p>
      <w:pPr>
        <w:pStyle w:val="P68B1DB1Normal19"/>
        <w:widowControl w:val="false"/>
        <w:spacing w:lineRule="auto" w:line="240" w:before="230" w:after="0"/>
        <w:ind w:left="0" w:right="10" w:hanging="0"/>
        <w:jc w:val="both"/>
        <w:rPr/>
      </w:pPr>
      <w:r>
        <w:rPr/>
        <w:t xml:space="preserve">Is-suċċess ta’ din il-bidla jkun manifestat miż-żieda ta’ indikaturi bħall- </w:t>
      </w:r>
      <w:r>
        <w:rPr>
          <w:b/>
        </w:rPr>
        <w:t>parteċipazzjoni elettorali, l-interess</w:t>
      </w:r>
      <w:r>
        <w:rPr/>
        <w:t xml:space="preserve"> u l- </w:t>
      </w:r>
      <w:r>
        <w:rPr>
          <w:b/>
        </w:rPr>
        <w:t>kunfidenza</w:t>
      </w:r>
      <w:r>
        <w:rPr/>
        <w:t xml:space="preserve"> espressi fl-Unjoni Ewropea u l </w:t>
      </w:r>
      <w:r>
        <w:rPr>
          <w:b/>
        </w:rPr>
        <w:t>-attendenza ta’ websajts Ewropej</w:t>
      </w:r>
      <w:r>
        <w:rPr/>
        <w:t xml:space="preserve">. Iż-żieda fl-għadd ta’ deċiżjonijiet meħuda wara konsultazzjoni maċ-ċittadini u ż-żieda fl-użu tal- </w:t>
      </w:r>
      <w:r>
        <w:rPr>
          <w:b/>
        </w:rPr>
        <w:t>Inizjattivi taċ-Ċittadini Ewropej (ECI</w:t>
      </w:r>
      <w:r>
        <w:rPr/>
        <w:t xml:space="preserve">) jitqiesu wkoll bħala indikaturi ta’ suċċess.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Bidla 5 — Lejn federazzjoni ta’ stati Ewropej b’kompetenzi b’saħħithom f’oqsma ta’ interess komuni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Ix-xewqa tal-Ewropa assoċjata: Ewropa aktar magħquda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Xi tfisser din il-bidla? </w:t>
      </w:r>
    </w:p>
    <w:p>
      <w:pPr>
        <w:pStyle w:val="P68B1DB1Normal7"/>
        <w:widowControl w:val="false"/>
        <w:spacing w:lineRule="auto" w:line="240" w:before="76" w:after="0"/>
        <w:ind w:left="0" w:right="0" w:hanging="0"/>
        <w:jc w:val="left"/>
        <w:rPr/>
      </w:pPr>
      <w:r>
        <w:rPr>
          <w:i/>
          <w:color w:val="000000"/>
        </w:rPr>
        <w:t>Keywords: unifikazzjoni istituzzjonali, President elett, tisħiħ tal-kompetenzi tal-UE</w:t>
      </w:r>
      <w:r>
        <w:rPr>
          <w:b/>
          <w:color w:val="273375"/>
        </w:rPr>
        <w:t xml:space="preserve"> </w:t>
      </w:r>
    </w:p>
    <w:p>
      <w:pPr>
        <w:pStyle w:val="P68B1DB1Normal19"/>
        <w:widowControl w:val="false"/>
        <w:spacing w:lineRule="auto" w:line="240" w:before="244" w:after="0"/>
        <w:ind w:left="0" w:right="10" w:hanging="0"/>
        <w:jc w:val="both"/>
        <w:rPr/>
      </w:pPr>
      <w:r>
        <w:rPr/>
        <w:t>Din il-bidla tirrifletti l-ambizzjoni taċ-ċittadini li</w:t>
      </w:r>
      <w:r>
        <w:rPr>
          <w:b/>
        </w:rPr>
        <w:t>jgħaqqdu</w:t>
      </w:r>
      <w:r>
        <w:rPr/>
        <w:t xml:space="preserve"> l-istituzzjonijiet politiċi Ewropej. Il-mudell muri huwa dak ta’ federazzjoni ta’ stati bil-għan li </w:t>
      </w:r>
      <w:r>
        <w:rPr>
          <w:b/>
        </w:rPr>
        <w:t>jissaħħu l-kompetenzi kondiviżi jew esklussivi</w:t>
      </w:r>
      <w:r>
        <w:rPr/>
        <w:t xml:space="preserve"> tal-Unjoni Ewropea, mingħajr madankollu ma nimxu lejn stat federali.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X’inhuma l-istadji ewlenin u l-kriterji ta’ suċċess? </w:t>
      </w:r>
    </w:p>
    <w:p>
      <w:pPr>
        <w:pStyle w:val="P68B1DB1Normal19"/>
        <w:widowControl w:val="false"/>
        <w:spacing w:lineRule="auto" w:line="240" w:before="239" w:after="0"/>
        <w:ind w:left="0" w:right="10" w:hanging="0"/>
        <w:jc w:val="both"/>
        <w:rPr/>
      </w:pPr>
      <w:r>
        <w:rPr/>
        <w:t xml:space="preserve">Internament, din il-bidla tista’ tinvolvi l-iżvilupp </w:t>
      </w:r>
      <w:r>
        <w:rPr>
          <w:b/>
        </w:rPr>
        <w:t>tal-parteċipazzjoni taċ</w:t>
      </w:r>
      <w:r>
        <w:rPr/>
        <w:t xml:space="preserve"> -ċittadini, </w:t>
      </w:r>
      <w:r>
        <w:rPr>
          <w:b/>
        </w:rPr>
        <w:t>il-ħolqien ta’ ministeri</w:t>
      </w:r>
      <w:r>
        <w:rPr/>
        <w:t xml:space="preserve"> Ewropej fl-Istati Membri u, fit-tul, l-</w:t>
      </w:r>
      <w:r>
        <w:rPr>
          <w:b/>
        </w:rPr>
        <w:t xml:space="preserve">elezzjoni </w:t>
      </w:r>
      <w:r>
        <w:rPr/>
        <w:t xml:space="preserve">tal-President tal-Kummissjoni Ewropea </w:t>
      </w:r>
      <w:r>
        <w:rPr>
          <w:b/>
        </w:rPr>
        <w:t>b’vot universali</w:t>
      </w:r>
      <w:r>
        <w:rPr/>
        <w:t xml:space="preserve">. </w:t>
      </w:r>
    </w:p>
    <w:p>
      <w:pPr>
        <w:pStyle w:val="P68B1DB1Normal19"/>
        <w:widowControl w:val="false"/>
        <w:spacing w:lineRule="auto" w:line="240" w:before="327" w:after="0"/>
        <w:ind w:left="0" w:right="10" w:hanging="0"/>
        <w:jc w:val="left"/>
        <w:rPr/>
      </w:pPr>
      <w:r>
        <w:rPr/>
        <w:t xml:space="preserve">Esternament, it-tisħiħ tal-vuċi Ewropea barra mill-pajjiż tiġi tradotta f’ </w:t>
      </w:r>
      <w:r>
        <w:rPr>
          <w:b/>
        </w:rPr>
        <w:t xml:space="preserve">inkarnazzjoni </w:t>
      </w:r>
      <w:r>
        <w:rPr/>
        <w:t>permezz ta’</w:t>
      </w:r>
      <w:r>
        <w:rPr>
          <w:b/>
        </w:rPr>
        <w:t xml:space="preserve"> rappreżentant uniku</w:t>
      </w:r>
      <w:r>
        <w:rPr/>
        <w:t xml:space="preserve"> </w:t>
      </w:r>
      <w:r>
        <w:rPr>
          <w:b/>
        </w:rPr>
        <w:t>tal-Ewropa</w:t>
      </w:r>
      <w:r>
        <w:rPr/>
        <w:t xml:space="preserve"> fix-xena internazzjonali. </w:t>
      </w:r>
    </w:p>
    <w:p>
      <w:pPr>
        <w:pStyle w:val="P68B1DB1Normal24"/>
        <w:widowControl w:val="false"/>
        <w:spacing w:lineRule="auto" w:line="240" w:before="324" w:after="0"/>
        <w:ind w:left="0" w:right="15" w:hanging="0"/>
        <w:jc w:val="left"/>
        <w:rPr/>
      </w:pPr>
      <w:r>
        <w:rPr/>
        <w:t xml:space="preserve">Din il-federazzjoni tal-istati tibbenefika wkoll minn </w:t>
      </w:r>
      <w:r>
        <w:rPr>
          <w:b/>
        </w:rPr>
        <w:t>baġit Ewropew</w:t>
      </w:r>
      <w:r>
        <w:rPr/>
        <w:t xml:space="preserve"> miżjud, bl-ambizzjoni li jilħaq l-10 % tal-PDG (meta mqabbel ma’ 2 % fil-preżent).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Bidla 6 — Tipproponi programmi ta’ skambju tul il-ħajja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Ix-xewqa tal-Ewropa assoċjata: Ewropa li tqiegħed l-edukazzjoni fuq quddiem nett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Xi tfisser din il-bidla?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Keywords: skambji tal-Iskejjel, Erasmus </w:t>
      </w:r>
    </w:p>
    <w:p>
      <w:pPr>
        <w:pStyle w:val="P68B1DB1Normal19"/>
        <w:widowControl w:val="false"/>
        <w:spacing w:lineRule="auto" w:line="240" w:before="330" w:after="0"/>
        <w:ind w:left="0" w:right="0" w:hanging="0"/>
        <w:jc w:val="both"/>
        <w:rPr/>
      </w:pPr>
      <w:r>
        <w:rPr/>
        <w:t xml:space="preserve">Imfaħħra b’mod wiesa’, din il-bidla tirrifletti l-importanza għaċ-ċittadini ta’ laqgħat u esperjenzi barra mill-pajjiż, bħala ferment qawwi ta’ sentiment Ewropew. L-ambizzjoni hija li nimxu </w:t>
      </w:r>
      <w:r>
        <w:rPr>
          <w:i/>
        </w:rPr>
        <w:t xml:space="preserve">“mill-għarfien akkademiku għal </w:t>
      </w:r>
      <w:r>
        <w:rPr>
          <w:b/>
          <w:i/>
        </w:rPr>
        <w:t>approċċ għex, b’esperjenza u sensittiv</w:t>
      </w:r>
      <w:r>
        <w:rPr>
          <w:i/>
        </w:rPr>
        <w:t>għall-Ewropa” u li</w:t>
      </w:r>
      <w:r>
        <w:rPr/>
        <w:t xml:space="preserve">nifhmu l-edukazzjoni fis-sens wiesa’ bħala </w:t>
      </w:r>
      <w:r>
        <w:rPr>
          <w:b/>
        </w:rPr>
        <w:t xml:space="preserve">tagħlim tul il-ħajja.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X’inhuma l-passi ewlenin u l-kriterji ta’ suċċess? </w:t>
      </w:r>
    </w:p>
    <w:p>
      <w:pPr>
        <w:pStyle w:val="P68B1DB1Normal24"/>
        <w:widowControl w:val="false"/>
        <w:spacing w:lineRule="auto" w:line="240" w:before="317" w:after="0"/>
        <w:ind w:left="0" w:right="4" w:hanging="0"/>
        <w:jc w:val="both"/>
        <w:rPr/>
      </w:pPr>
      <w:r>
        <w:rPr/>
        <w:t xml:space="preserve">Is-suċċess ta’ bidla bħal din huwa dovut l-aktar għall </w:t>
      </w:r>
      <w:r>
        <w:rPr>
          <w:b/>
        </w:rPr>
        <w:t>-introduzzjoni ta’ offerta ta’ mobilità estiża</w:t>
      </w:r>
      <w:r>
        <w:rPr/>
        <w:t xml:space="preserve">, inklużi inter alia skambji bejn l-iskejjel, ġemellaġġi, vjaġġar u mobilità professjonali. Għaċ-ċittadini, din l-offerta għandha tkun aċċessibbli għal kulħadd, speċjalment għal dawk b’riżorsi baxxi jew b’diżabilità. Pereżempju, il-programm Erasmus jista’ jkopri l-Ewropej kollha mingħajr limiti ta’ età jew riżorsi. Dawn il-programmi għandhom jitqiesu bħala </w:t>
      </w:r>
      <w:r>
        <w:rPr>
          <w:b/>
        </w:rPr>
        <w:t>diversi, inklużivi</w:t>
      </w:r>
      <w:r>
        <w:rPr>
          <w:b/>
          <w:sz w:val="20"/>
        </w:rPr>
        <w:t xml:space="preserve"> </w:t>
      </w:r>
      <w:r>
        <w:rPr>
          <w:b/>
        </w:rPr>
        <w:t>u aċċessibbli</w:t>
      </w:r>
      <w:r>
        <w:rPr/>
        <w:t xml:space="preserve"> permezz ta’ proċeduri amministrattivi simplifikati. </w:t>
      </w:r>
    </w:p>
    <w:p>
      <w:pPr>
        <w:pStyle w:val="P68B1DB1Normal24"/>
        <w:widowControl w:val="false"/>
        <w:spacing w:lineRule="auto" w:line="240" w:before="232" w:after="0"/>
        <w:ind w:left="0" w:right="3" w:hanging="0"/>
        <w:jc w:val="both"/>
        <w:rPr/>
      </w:pPr>
      <w:r>
        <w:rPr/>
        <w:t xml:space="preserve">Minbarra l-mobbiltà, issemmiet ukoll l-importanza </w:t>
      </w:r>
      <w:r>
        <w:rPr>
          <w:b/>
        </w:rPr>
        <w:t>tal-iżvilupp ta’ pontijiet bejn is-sistemi edukattivi</w:t>
      </w:r>
      <w:r>
        <w:rPr/>
        <w:t xml:space="preserve"> (ekwivalenzi ta’ diplomi, eċċ.) u t-tisħiħ tal-attraenza tal-Ewropa biex jiġi evitat it-telf ta’ talenti barra mill-pajjiż.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Bidla 7 — Il-kondiviżjoni tal-kulturi Ewropej permezz ta’ avvenimenti u avvenimenti li jgħaqqdu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Ix-xewqa tal-Ewropa assoċjata: Ewropa b’kulturi u identitajiet komuni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Xi tfisser din il-bidla?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Keywords: Il-Festival Ewropew, Jum il-Pubbliku Ewropew, Wirja Dinjija tal-Ewropa </w:t>
      </w:r>
    </w:p>
    <w:p>
      <w:pPr>
        <w:pStyle w:val="P68B1DB1Normal19"/>
        <w:widowControl w:val="false"/>
        <w:spacing w:lineRule="auto" w:line="240" w:before="246" w:after="0"/>
        <w:ind w:left="0" w:right="10" w:hanging="0"/>
        <w:jc w:val="left"/>
        <w:rPr/>
      </w:pPr>
      <w:r>
        <w:rPr/>
        <w:t xml:space="preserve">Din il-bidla għandha </w:t>
      </w:r>
      <w:r>
        <w:rPr>
          <w:b/>
        </w:rPr>
        <w:t>l-għan li toħloq u tgħix spirtu Ewropew</w:t>
      </w:r>
      <w:r>
        <w:rPr/>
        <w:t xml:space="preserve"> permezz ta’ esperjenzi, avvenimenti u avvenimenti festivi kondiviżi.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X’inhuma l-passi ewlenin u l-kriterji ta’ suċċess? </w:t>
      </w:r>
    </w:p>
    <w:p>
      <w:pPr>
        <w:pStyle w:val="P68B1DB1Normal19"/>
        <w:widowControl w:val="false"/>
        <w:spacing w:lineRule="auto" w:line="240" w:before="239" w:after="0"/>
        <w:ind w:left="0" w:right="10" w:hanging="0"/>
        <w:jc w:val="both"/>
        <w:rPr/>
      </w:pPr>
      <w:r>
        <w:rPr/>
        <w:t xml:space="preserve">L-avvenimenti immaġinati miċ-ċittadini huma maħsuba biex ikunu </w:t>
      </w:r>
      <w:r>
        <w:rPr>
          <w:b/>
        </w:rPr>
        <w:t>divertenti, unifikazzjoni u popolari</w:t>
      </w:r>
      <w:r>
        <w:rPr/>
        <w:t xml:space="preserve"> biex jinqasmu mal-akbar numru. Biex jagħmlu dan, għandhom jinvolvu lill- </w:t>
      </w:r>
      <w:r>
        <w:rPr>
          <w:b/>
        </w:rPr>
        <w:t>udjenzi kollha</w:t>
      </w:r>
      <w:r>
        <w:rPr/>
        <w:t xml:space="preserve"> (inklużi t-tfal, l-udjenzi tal-iskola, iż-żgħażagħ u l-istudenti tal-Erasmus) u jsiru </w:t>
      </w:r>
      <w:r>
        <w:rPr>
          <w:b/>
        </w:rPr>
        <w:t>f’diversi postijiet</w:t>
      </w:r>
      <w:r>
        <w:rPr/>
        <w:t xml:space="preserve"> (djar tal-irtirar, skejjel, amministrazzjonijiet pubbliċi, ħabsijiet, eċċ.). </w:t>
      </w:r>
    </w:p>
    <w:p>
      <w:pPr>
        <w:pStyle w:val="P68B1DB1Normal24"/>
        <w:widowControl w:val="false"/>
        <w:spacing w:lineRule="auto" w:line="240" w:before="327" w:after="0"/>
        <w:ind w:left="0" w:right="13" w:hanging="0"/>
        <w:jc w:val="both"/>
        <w:rPr/>
      </w:pPr>
      <w:r>
        <w:rPr/>
        <w:t xml:space="preserve">B’mod partikolari, ġew previsti żewġ avvenimenti biex l-Ewropej jingħaqdu flimkien: </w:t>
      </w:r>
      <w:r>
        <w:rPr>
          <w:b/>
        </w:rPr>
        <w:t>wirja universali tal-Ewropa</w:t>
      </w:r>
      <w:r>
        <w:rPr/>
        <w:t xml:space="preserve"> li tippermetti r-rappreżentanza tal-Istati Membri kollha u </w:t>
      </w:r>
      <w:r>
        <w:rPr>
          <w:b/>
        </w:rPr>
        <w:t>riformulazzjoni ta’ Jum l-Ewropa</w:t>
      </w:r>
      <w:r>
        <w:rPr/>
        <w:t xml:space="preserve">fid-9 ta’ Mejju, li tinkludi b’mod partikolari avveniment edukattiv sabiex </w:t>
      </w:r>
      <w:r>
        <w:rPr>
          <w:i/>
        </w:rPr>
        <w:t>“ma ninsewx il-paċi marbuta mal-Ewropa u l-valuri tagħha</w:t>
      </w:r>
      <w:r>
        <w:rPr/>
        <w:t xml:space="preserve">”. Fl-istess ħin, ir-rappreżentanti Ewropej jistgħu jiltaqgħu mat-tfal tal-iskola tal-kontinent fl-iskejjel tagħhom sabiex isaħħu l-prossimità u l-fehim tal-Ewropa taċ-ċittadini minn età bikrija.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Bidla 8 — L-armonizzazzjoni tas-saħħa u l-aċċessibbiltà tagħha għall-Ewropej kollha permezz ta’ politika komuni tas-saħħa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Ix-xewqa tal-Ewropa assoċjata: Ewropa ta’ solidarjetà li tipproteġi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Xi tfisser din il-bidla? </w:t>
      </w:r>
    </w:p>
    <w:p>
      <w:pPr>
        <w:pStyle w:val="P68B1DB1Normal7"/>
        <w:widowControl w:val="false"/>
        <w:spacing w:lineRule="auto" w:line="240" w:before="86" w:after="0"/>
        <w:ind w:left="0" w:right="10" w:hanging="0"/>
        <w:jc w:val="left"/>
        <w:rPr/>
      </w:pPr>
      <w:r>
        <w:rPr>
          <w:i/>
          <w:color w:val="000000"/>
        </w:rPr>
        <w:t>Keywords: il-kopertura universali tas-saħħa, l-armonizzazzjoni tal-kura, is-saħħa bħala dritt fundamentali</w:t>
      </w:r>
      <w:r>
        <w:rPr>
          <w:b/>
          <w:color w:val="273375"/>
        </w:rPr>
        <w:t xml:space="preserve"> </w:t>
      </w:r>
    </w:p>
    <w:p>
      <w:pPr>
        <w:pStyle w:val="P68B1DB1Normal19"/>
        <w:widowControl w:val="false"/>
        <w:spacing w:lineRule="auto" w:line="240" w:before="248" w:after="0"/>
        <w:ind w:left="0" w:right="10" w:hanging="0"/>
        <w:jc w:val="both"/>
        <w:rPr/>
      </w:pPr>
      <w:r>
        <w:rPr/>
        <w:t xml:space="preserve">Sabiex jiġi garantit l-aċċess għas-saħħa għall-Ewropej kollha u biex ikun hemm reazzjoni </w:t>
      </w:r>
      <w:r>
        <w:rPr>
          <w:i/>
        </w:rPr>
        <w:t>għall-‘ħtieġa ta’ protezzjoni u solidarjetà’</w:t>
      </w:r>
      <w:r>
        <w:rPr/>
        <w:t xml:space="preserve">, ġiet proposta b’mod unanimu </w:t>
      </w:r>
      <w:r>
        <w:rPr>
          <w:b/>
        </w:rPr>
        <w:t>sistema tas-saħħa supranazzjonali</w:t>
      </w:r>
      <w:r>
        <w:rPr/>
        <w:t xml:space="preserve">. Din tkun ibbażata fuq finanzjament ġust bejn l-Istati Membri u tibni fuq l-aħjar sistemi tal-UE. Bidla bħal din tirrifletti r-rieda taċ-ċittadini li jaraw lill-Ewropa tieħu rwol aktar attiv fil-protezzjoni tal-abitanti tagħha, speċjalment fil-qasam tas-saħħa fejn l-azzjonijiet s’issa huma kkunsidrati wisq timidi.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X’inhuma l-passi ewlenin u l-kriterji ta’ suċċess? </w:t>
      </w:r>
    </w:p>
    <w:p>
      <w:pPr>
        <w:pStyle w:val="P68B1DB1Normal19"/>
        <w:widowControl w:val="false"/>
        <w:spacing w:lineRule="auto" w:line="240" w:before="239" w:after="0"/>
        <w:ind w:left="0" w:right="10" w:hanging="0"/>
        <w:jc w:val="both"/>
        <w:rPr/>
      </w:pPr>
      <w:r>
        <w:rPr/>
        <w:t xml:space="preserve">Biex tiġi implimentata din il-bidla, il-prinċipju tas- </w:t>
      </w:r>
      <w:r>
        <w:rPr>
          <w:b/>
        </w:rPr>
        <w:t>sigurtà soċjali universali Ewropea</w:t>
      </w:r>
      <w:r>
        <w:rPr/>
        <w:t xml:space="preserve"> ġie approvat mill-maġġoranza. Madankollu, l-arranġamenti għall-implimentazzjoni ta’ din is-sistema ma setgħux jiġu deċiżi. Filwaqt li xi wħud jargumentaw favur </w:t>
      </w:r>
      <w:r>
        <w:rPr>
          <w:i/>
        </w:rPr>
        <w:t xml:space="preserve">“iċ-ċentralizzazzjoni tad-data li tippermetti lill-ħaddiema tas-saħħa [Ewropej] jaċċessaw l-istorja medika kollha tal-pazjent”, </w:t>
      </w:r>
      <w:r>
        <w:rPr/>
        <w:t xml:space="preserve">oħrajn iqisu din il-miżura bħala </w:t>
      </w:r>
      <w:r>
        <w:rPr>
          <w:i/>
        </w:rPr>
        <w:t>“ċaħda addizzjonali tal-libertà, u sistema ta’ kontroll”.</w:t>
      </w:r>
      <w:r>
        <w:rPr/>
        <w:t xml:space="preserve"> </w:t>
      </w:r>
    </w:p>
    <w:p>
      <w:pPr>
        <w:pStyle w:val="P68B1DB1Normal24"/>
        <w:widowControl w:val="false"/>
        <w:spacing w:lineRule="auto" w:line="240" w:before="329" w:after="0"/>
        <w:ind w:left="0" w:right="14" w:hanging="0"/>
        <w:jc w:val="both"/>
        <w:rPr/>
      </w:pPr>
      <w:r>
        <w:rPr>
          <w:b/>
        </w:rPr>
        <w:t xml:space="preserve">It-trasparenza </w:t>
      </w:r>
      <w:r>
        <w:rPr/>
        <w:t>u l</w:t>
      </w:r>
      <w:r>
        <w:rPr>
          <w:b/>
        </w:rPr>
        <w:t>-armonizzazzjoni tar-rekwiżiti regolatorji madwar</w:t>
      </w:r>
      <w:r>
        <w:rPr/>
        <w:t xml:space="preserve"> il-kontinent, kif ukoll </w:t>
      </w:r>
      <w:r>
        <w:rPr>
          <w:b/>
        </w:rPr>
        <w:t>Pjan Ewropew għas-Saħħa, madankollu ġew</w:t>
      </w:r>
      <w:r>
        <w:rPr/>
        <w:t xml:space="preserve"> identifikati bħala prerekwiżiti għal kwalunkwe trasformazzjoni sinifikanti.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Bidla 9 — L-iżvilupp u t-tmexxija ta’ kanali strateġiċi fil-livell Ewropew biex tiġi żgurata s-sovranità tagħna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Ix-xewqa tal-Ewropa assoċjata: Ewropa kompetittiva u innovattiva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Xi tfisser din il-bidla? </w:t>
      </w:r>
    </w:p>
    <w:p>
      <w:pPr>
        <w:pStyle w:val="P68B1DB1Normal7"/>
        <w:widowControl w:val="false"/>
        <w:spacing w:lineRule="auto" w:line="240" w:before="86" w:after="0"/>
        <w:ind w:left="0" w:right="9" w:hanging="0"/>
        <w:jc w:val="left"/>
        <w:rPr/>
      </w:pPr>
      <w:r>
        <w:rPr>
          <w:i/>
          <w:color w:val="000000"/>
        </w:rPr>
        <w:t>Keywords: l-iżvilupp ta’ promoturi Ewropej, il-kontroll tal-investiment barrani, l-awtonomija diġitali u l-enerġija</w:t>
      </w:r>
      <w:r>
        <w:rPr>
          <w:b/>
          <w:color w:val="273375"/>
        </w:rPr>
        <w:t xml:space="preserve"> </w:t>
      </w:r>
    </w:p>
    <w:p>
      <w:pPr>
        <w:pStyle w:val="P68B1DB1Normal19"/>
        <w:widowControl w:val="false"/>
        <w:spacing w:lineRule="auto" w:line="240" w:before="248" w:after="0"/>
        <w:ind w:left="0" w:right="9" w:hanging="0"/>
        <w:jc w:val="both"/>
        <w:rPr/>
      </w:pPr>
      <w:r>
        <w:rPr/>
        <w:t xml:space="preserve">Il-pilotaġġ ta’ setturi strateġiċi bħas-saħħa, l-ikel, l-enerġija, it-teknoloġija diġitali, id-difiża, it-trasport u materjali ġodda fil-livell Ewropew iwieġeb </w:t>
      </w:r>
      <w:r>
        <w:rPr>
          <w:b/>
        </w:rPr>
        <w:t xml:space="preserve">għall-ħtieġa ta’ sovranità </w:t>
      </w:r>
      <w:r>
        <w:rPr/>
        <w:t>identifikata miċ-ċittadini. Dan jillimita l-kompetizzjoni bejn il-kumpaniji Ewropej, jippromovi l</w:t>
      </w:r>
      <w:r>
        <w:rPr>
          <w:b/>
        </w:rPr>
        <w:t>-ħolqien ta’ promoturi kontinentali</w:t>
      </w:r>
      <w:r>
        <w:rPr/>
        <w:t xml:space="preserve"> u </w:t>
      </w:r>
      <w:r>
        <w:rPr>
          <w:b/>
        </w:rPr>
        <w:t>jirriindustrijalizza l-Ewropa</w:t>
      </w:r>
      <w:r>
        <w:rPr/>
        <w:t xml:space="preserve"> permezz ta’ preferenza Ewropea.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X’inhuma l-passi ewlenin u l-kriterji ta’ suċċess? </w:t>
      </w:r>
    </w:p>
    <w:p>
      <w:pPr>
        <w:pStyle w:val="P68B1DB1Normal19"/>
        <w:widowControl w:val="false"/>
        <w:spacing w:lineRule="auto" w:line="240" w:before="237" w:after="0"/>
        <w:ind w:left="0" w:right="9" w:hanging="0"/>
        <w:jc w:val="both"/>
        <w:rPr/>
      </w:pPr>
      <w:r>
        <w:rPr/>
        <w:t xml:space="preserve">Biex tinkiseb din is-sovranità, </w:t>
      </w:r>
      <w:r>
        <w:rPr>
          <w:b/>
        </w:rPr>
        <w:t>awtorità Ewropea tista’</w:t>
      </w:r>
      <w:r>
        <w:rPr/>
        <w:t xml:space="preserve"> tingħata l-kompitu li tmexxi dawn is-setturi billi toħroġ awtorizzazzjonijiet għal kumpaniji Ewropej minn kompetituri barranin u tiżgura li l-prodotti importati jissodisfaw l-istess standards bħall-produzzjoni tal-UE. Fuq perjodu ta’ żmien medju,</w:t>
      </w:r>
      <w:r>
        <w:rPr>
          <w:b/>
        </w:rPr>
        <w:t xml:space="preserve"> 30 % sa 50 %</w:t>
      </w:r>
      <w:r>
        <w:rPr/>
        <w:t xml:space="preserve"> tal-konsum Ewropew f’dawn is-setturi strateġiċi </w:t>
      </w:r>
      <w:r>
        <w:rPr>
          <w:b/>
        </w:rPr>
        <w:t>għandu jiġi prodott fil-kontinent u sa 70 % fuq</w:t>
      </w:r>
      <w:r>
        <w:rPr/>
        <w:t xml:space="preserve"> medda twila ta’ żmien. L-issodisfar ta’ dawn il-kriterji jiżgura</w:t>
      </w:r>
      <w:r>
        <w:rPr>
          <w:b/>
        </w:rPr>
        <w:t>l</w:t>
      </w:r>
      <w:r>
        <w:rPr/>
        <w:t xml:space="preserve"> -awtosuffiċjenza u l-</w:t>
      </w:r>
      <w:r>
        <w:rPr>
          <w:b/>
        </w:rPr>
        <w:t xml:space="preserve"> influwenza</w:t>
      </w:r>
      <w:r>
        <w:rPr/>
        <w:t>u anke l-</w:t>
      </w:r>
      <w:r>
        <w:rPr>
          <w:b/>
        </w:rPr>
        <w:t xml:space="preserve">esportazzjoni </w:t>
      </w:r>
      <w:r>
        <w:rPr/>
        <w:t xml:space="preserve">tal-mudell industrijali Ewropew. </w:t>
      </w:r>
    </w:p>
    <w:p>
      <w:pPr>
        <w:pStyle w:val="Normal"/>
        <w:spacing w:lineRule="auto" w:line="240"/>
        <w:rPr/>
      </w:pPr>
      <w:r>
        <w:rPr/>
      </w:r>
    </w:p>
    <w:p>
      <w:pPr>
        <w:pStyle w:val="P68B1DB1Normal42"/>
        <w:spacing w:lineRule="auto" w:line="240"/>
        <w:rPr/>
      </w:pPr>
      <w:r>
        <w:rPr/>
        <w:t xml:space="preserve">Bidla 10 — It-titjib tal-protezzjoni tal-ambjenti u l-ekosistemi u l-ħolqien ta’ żoni protetti fil-qalba taż-żoni urbani, periurbani u rurali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Ix-xewqa tal-Ewropa assoċjata: Ewropa li tippromwovi l-iżvilupp sostenibbli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Xi tfisser din il-bidla? </w:t>
      </w:r>
    </w:p>
    <w:p>
      <w:pPr>
        <w:pStyle w:val="P68B1DB1Normal7"/>
        <w:widowControl w:val="false"/>
        <w:spacing w:lineRule="auto" w:line="240" w:before="78" w:after="0"/>
        <w:ind w:left="0" w:right="0" w:hanging="0"/>
        <w:jc w:val="left"/>
        <w:rPr/>
      </w:pPr>
      <w:r>
        <w:rPr>
          <w:i/>
          <w:color w:val="000000"/>
        </w:rPr>
        <w:t>Keywords: urbanizzazzjoni, rispett u protezzjoni aktar favur l-ambjent tal-ħamrija</w:t>
      </w:r>
      <w:r>
        <w:rPr>
          <w:b/>
          <w:color w:val="273375"/>
        </w:rPr>
        <w:t xml:space="preserve"> </w:t>
      </w:r>
    </w:p>
    <w:p>
      <w:pPr>
        <w:pStyle w:val="P68B1DB1Normal19"/>
        <w:widowControl w:val="false"/>
        <w:spacing w:lineRule="auto" w:line="240" w:before="321" w:after="0"/>
        <w:ind w:left="0" w:right="9" w:hanging="0"/>
        <w:jc w:val="both"/>
        <w:rPr/>
      </w:pPr>
      <w:r>
        <w:rPr/>
        <w:t xml:space="preserve">L-għan huwa li jiġi </w:t>
      </w:r>
      <w:r>
        <w:rPr>
          <w:b/>
        </w:rPr>
        <w:t>limitat l-impatt negattiv tal-urbanizzazzjoni fuq il-ħamrija</w:t>
      </w:r>
      <w:r>
        <w:rPr/>
        <w:t xml:space="preserve">. Azzjonijiet b’saħħithom </w:t>
      </w:r>
      <w:r>
        <w:rPr>
          <w:b/>
        </w:rPr>
        <w:t xml:space="preserve">jillimitaw id-diżastri relatati mad </w:t>
      </w:r>
      <w:r>
        <w:rPr/>
        <w:t>-destrutturar tal-ħamrija bħall-uqigħ tal-art u</w:t>
      </w:r>
      <w:r>
        <w:rPr>
          <w:b/>
        </w:rPr>
        <w:t>jtejbu l-kwalità tal-ħajja f’żoni urbani</w:t>
      </w:r>
      <w:r>
        <w:rPr/>
        <w:t xml:space="preserve">, b’mod partikolari permezz tat-tħawwil ta’ siġar.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X’inhuma l-passi ewlenin u l-kriterji ta’ suċċess? </w:t>
      </w:r>
    </w:p>
    <w:p>
      <w:pPr>
        <w:pStyle w:val="P68B1DB1Normal19"/>
        <w:widowControl w:val="false"/>
        <w:spacing w:lineRule="auto" w:line="240" w:before="318" w:after="0"/>
        <w:ind w:left="0" w:right="9" w:hanging="0"/>
        <w:jc w:val="both"/>
        <w:rPr/>
      </w:pPr>
      <w:r>
        <w:rPr/>
        <w:t xml:space="preserve">Ġie propost li tittieħed azzjoni fuq żewġ livelli: l-ewwel nett, </w:t>
      </w:r>
      <w:r>
        <w:rPr>
          <w:b/>
        </w:rPr>
        <w:t>biex titreġġa’ lura t-tendenza fuq kostruzzjonijiet ġodda</w:t>
      </w:r>
      <w:r>
        <w:rPr/>
        <w:t xml:space="preserve"> biex titnaqqas ir-rata tal-issiġillar tal-ħamrija, u t-tieni nett </w:t>
      </w:r>
      <w:r>
        <w:rPr>
          <w:b/>
        </w:rPr>
        <w:t>biex ir-restawr tal-ħamrija jiġi mħeġġeġ</w:t>
      </w:r>
      <w:r>
        <w:rPr/>
        <w:t xml:space="preserve"> </w:t>
      </w:r>
      <w:r>
        <w:rPr>
          <w:i/>
        </w:rPr>
        <w:t>biex “jerġa’ lura għan-natura dak li jappartjeni għalih</w:t>
      </w:r>
      <w:r>
        <w:rPr/>
        <w:t xml:space="preserve">”. </w:t>
      </w:r>
    </w:p>
    <w:p>
      <w:pPr>
        <w:pStyle w:val="Normal"/>
        <w:spacing w:lineRule="auto" w:line="240"/>
        <w:rPr/>
      </w:pPr>
      <w:r>
        <w:rPr/>
      </w:r>
    </w:p>
    <w:p>
      <w:pPr>
        <w:pStyle w:val="P68B1DB1Normal42"/>
        <w:spacing w:lineRule="auto" w:line="240"/>
        <w:rPr/>
      </w:pPr>
      <w:r>
        <w:rPr/>
        <w:t xml:space="preserve">Bidla 11 — L-istabbiliment ta’ relays Ewropej fit-territorji biex jisimgħu u jagħtu pariri liċ-ċittadini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Ix-xewqa tal-Ewropa assoċjata: Ewropa aktar mill-qrib u aċċessibbli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Xi tfisser din il-bidla?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Keywords: Djar tal-Ewropa, Ewropa referenzjali lokali, aċċess aħjar għall-informazzjoni </w:t>
      </w:r>
    </w:p>
    <w:p>
      <w:pPr>
        <w:pStyle w:val="P68B1DB1Normal19"/>
        <w:widowControl w:val="false"/>
        <w:spacing w:lineRule="auto" w:line="240" w:before="326" w:after="0"/>
        <w:ind w:left="0" w:right="11" w:hanging="0"/>
        <w:jc w:val="both"/>
        <w:rPr/>
      </w:pPr>
      <w:r>
        <w:rPr/>
        <w:t xml:space="preserve">L-għan ta’ din il-bidla huwa li tipprovdi tweġibiet konkreti għan- </w:t>
      </w:r>
      <w:r>
        <w:rPr>
          <w:b/>
        </w:rPr>
        <w:t>nuqqas ta’ inkarnazzjoni tal-Unjoni Ewropea</w:t>
      </w:r>
      <w:r>
        <w:rPr/>
        <w:t xml:space="preserve"> fil-ħajja ta’ kuljum, innotata minn ħafna parteċipanti, u li taħdem biex l-Ewropa u ċ-ċittadini tagħha jitqarrbu lejn xulxin.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X’inhuma l-passi ewlenin u l-kriterji ta’ suċċess? </w:t>
      </w:r>
    </w:p>
    <w:p>
      <w:pPr>
        <w:pStyle w:val="P68B1DB1Normal24"/>
        <w:widowControl w:val="false"/>
        <w:spacing w:lineRule="auto" w:line="240" w:before="317" w:after="0"/>
        <w:ind w:left="0" w:right="14" w:hanging="0"/>
        <w:jc w:val="both"/>
        <w:rPr/>
      </w:pPr>
      <w:r>
        <w:rPr/>
        <w:t xml:space="preserve">Sabiex tiġi indirizzata din id-distanza bejn l-UE u ċ-ċittadini, jista’ jinħatar </w:t>
      </w:r>
      <w:r>
        <w:rPr>
          <w:b/>
        </w:rPr>
        <w:t>referent speċjalista</w:t>
      </w:r>
      <w:r>
        <w:rPr/>
        <w:t xml:space="preserve"> f’kull muniċipju b’missjoni li jisma’ u jagħti pariri liċ-ċittadini. L-informazzjoni pprovduta minn dan ir-rapport tista’ tkun soċjoekonomika, b’mod partikolari dwar l-aċċess għal għajnuna Ewropea jew informattiva, pereżempju dwar ir-rwol tal-lobbyists. L-informazzjoni pprovduta tkun immirata kemm lejn il-pubbliku ġenerali kif ukoll lejn il-professjonisti, b’mod partikolari biex tagħti pariri lill-SMEs u tgħin lill-mexxejja tal-proġetti jaċċessaw il-fondi tal-UE. Fuq medda twila ta’ żmien, din il-bidla tista’ twassal għall-ħolqien </w:t>
      </w:r>
      <w:r>
        <w:rPr>
          <w:b/>
        </w:rPr>
        <w:t>ta’ postijiet iddedikati għall-Ewropa</w:t>
      </w:r>
      <w:r>
        <w:rPr/>
        <w:t xml:space="preserve">, simili għad-djar eżistenti tal-Ewropa, iżda fil-livell komunali li jippermetti netwerk territorjali fin. </w:t>
      </w:r>
    </w:p>
    <w:p>
      <w:pPr>
        <w:pStyle w:val="P68B1DB1Normal24"/>
        <w:widowControl w:val="false"/>
        <w:spacing w:lineRule="auto" w:line="240" w:before="235" w:after="0"/>
        <w:ind w:left="0" w:right="15" w:hanging="0"/>
        <w:jc w:val="both"/>
        <w:rPr/>
      </w:pPr>
      <w:r>
        <w:rPr/>
        <w:t xml:space="preserve">Is-suċċess ta’ din il-bidla jkun komplet jekk kull ċittadin ikun jaf </w:t>
      </w:r>
      <w:r>
        <w:rPr>
          <w:i/>
        </w:rPr>
        <w:t>‘bħala ovvju’</w:t>
      </w:r>
      <w:r>
        <w:rPr/>
        <w:t xml:space="preserve">l-eżistenza ta’ din ir-referenza u dan il-post ta’ riżorsi ddedikati għall-Ewropa li jipprovdu riżorsi, smigħ, informazzjoni u pariri.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Bidla 12 — L-unifikazzjoni tal-mod ta’ elezzjoni tal-Parlament Ewropew għas-27 stat u t-titjib tal-prossimità taċ-ċittadini billi l-vot attwali jiġi sostitwit b’vot ta’ darba fil-livell reġjonali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Ix-xewqa tal-Ewropa assoċjata: Ewropa b’Governanza Aktar Effettiva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Xi tfisser din il-bidla? </w:t>
      </w:r>
    </w:p>
    <w:p>
      <w:pPr>
        <w:pStyle w:val="P68B1DB1Normal7"/>
        <w:widowControl w:val="false"/>
        <w:spacing w:lineRule="auto" w:line="240" w:before="76" w:after="0"/>
        <w:ind w:left="0" w:right="0" w:hanging="0"/>
        <w:jc w:val="left"/>
        <w:rPr/>
      </w:pPr>
      <w:r>
        <w:rPr>
          <w:i/>
          <w:color w:val="000000"/>
        </w:rPr>
        <w:t>Keywords: bidla istituzzjonali, segwita miċ-ċittadini ta’ azzjonijiet matul il-mandat kollu</w:t>
      </w:r>
      <w:r>
        <w:rPr>
          <w:b/>
          <w:color w:val="273375"/>
        </w:rPr>
        <w:t xml:space="preserve"> </w:t>
      </w:r>
    </w:p>
    <w:p>
      <w:pPr>
        <w:pStyle w:val="P68B1DB1Normal19"/>
        <w:widowControl w:val="false"/>
        <w:spacing w:lineRule="auto" w:line="240" w:before="275" w:after="0"/>
        <w:ind w:left="0" w:right="10" w:hanging="0"/>
        <w:jc w:val="both"/>
        <w:rPr/>
      </w:pPr>
      <w:r>
        <w:rPr/>
        <w:t xml:space="preserve">Din il-bidla tirrifletti x-xewqa taċ-ċittadini li jsaħħu l- </w:t>
      </w:r>
      <w:r>
        <w:rPr>
          <w:b/>
        </w:rPr>
        <w:t>prossimità tagħhom ma’ uffiċjali eletti</w:t>
      </w:r>
      <w:r>
        <w:rPr/>
        <w:t xml:space="preserve"> u li jsegwu l-azzjonijiet tagħhom matul il-mandat tagħhom. Hija twieġeb għall-osservazzjoni kondiviża b’mod wiesa’ ta’ nuqqas ta’ traduzzjoni tat-tħassib taċ-ċittadini f’azzjonijiet konkreti mir-rappreżentanti eletti tal-Parlament Ewropew.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X’inhuma l-passi ewlenin u l-kriterji ta’ suċċess? </w:t>
      </w:r>
    </w:p>
    <w:p>
      <w:pPr>
        <w:pStyle w:val="P68B1DB1Normal19"/>
        <w:widowControl w:val="false"/>
        <w:spacing w:lineRule="auto" w:line="240" w:before="316" w:after="0"/>
        <w:ind w:left="0" w:right="10" w:hanging="0"/>
        <w:jc w:val="both"/>
        <w:rPr/>
      </w:pPr>
      <w:r>
        <w:rPr/>
        <w:t xml:space="preserve">Il-bidla fil-mod ta’ elezzjoni tkun tikkonsisti </w:t>
      </w:r>
      <w:r>
        <w:rPr>
          <w:b/>
        </w:rPr>
        <w:t>f’unifikazzjoni tas-sistema ta’ votazzjoni</w:t>
      </w:r>
      <w:r>
        <w:rPr/>
        <w:t xml:space="preserve"> fil-livell Ewropew u t-tranżizzjoni minn kostitwenzi nazzjonali għal dawk reġjonali, stmata li tkun possibbli sal-2035. </w:t>
      </w:r>
    </w:p>
    <w:p>
      <w:pPr>
        <w:pStyle w:val="Normal"/>
        <w:spacing w:lineRule="auto" w:line="240"/>
        <w:rPr/>
      </w:pPr>
      <w:r>
        <w:rPr/>
      </w:r>
    </w:p>
    <w:p>
      <w:pPr>
        <w:pStyle w:val="P68B1DB1Normal42"/>
        <w:spacing w:lineRule="auto" w:line="240"/>
        <w:rPr/>
      </w:pPr>
      <w:r>
        <w:rPr/>
        <w:t xml:space="preserve">Bidla 13 — Id-definizzjoni ta’ politika komuni biex jittejbu l-akkoljenza u l-integrazzjoni soċjali u okkupazzjonali tal-migranti (inklużi l-migranti irregolari)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Ix-xewqa tal-Ewropa assoċjata: Ewropa li tiggarantixxi r-rispett għad-drittijiet fundamentali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Xi tfisser din il-bidla? </w:t>
      </w:r>
    </w:p>
    <w:p>
      <w:pPr>
        <w:pStyle w:val="P68B1DB1Normal7"/>
        <w:widowControl w:val="false"/>
        <w:spacing w:lineRule="auto" w:line="240" w:before="76" w:after="0"/>
        <w:ind w:left="0" w:right="0" w:hanging="0"/>
        <w:jc w:val="left"/>
        <w:rPr/>
      </w:pPr>
      <w:r>
        <w:rPr>
          <w:i/>
          <w:color w:val="000000"/>
        </w:rPr>
        <w:t>Keywords: L-Uffiċċju Ewropew tal-Migrazzjoni, l-iżgurar ta’ akkoljenza deċenti madwar l-Ewropa</w:t>
      </w:r>
      <w:r>
        <w:rPr>
          <w:b/>
          <w:color w:val="273375"/>
        </w:rPr>
        <w:t xml:space="preserve"> </w:t>
      </w:r>
    </w:p>
    <w:p>
      <w:pPr>
        <w:pStyle w:val="P68B1DB1Normal19"/>
        <w:widowControl w:val="false"/>
        <w:spacing w:lineRule="auto" w:line="240" w:before="248" w:after="0"/>
        <w:ind w:left="0" w:right="10" w:hanging="0"/>
        <w:jc w:val="both"/>
        <w:rPr/>
      </w:pPr>
      <w:r>
        <w:rPr/>
        <w:t xml:space="preserve">Din il-bidla għandha l-għan li ttejjeb l-akkoljenza tal-migranti fl-Unjoni Ewropea, problema li ġiet identifikata b’mod unanimu bħala </w:t>
      </w:r>
      <w:r>
        <w:rPr>
          <w:b/>
        </w:rPr>
        <w:t>emerġenza</w:t>
      </w:r>
      <w:r>
        <w:rPr/>
        <w:t xml:space="preserve"> miċ-ċittadini. Fi waqfa mis-sitwazzjoni attwali, l-istabbiliment ta’ </w:t>
      </w:r>
      <w:r>
        <w:rPr>
          <w:b/>
        </w:rPr>
        <w:t>politika komuni, miftiehma u ta’ solidarjetà dwar l-immigrazzjoni</w:t>
      </w:r>
      <w:r>
        <w:rPr/>
        <w:t xml:space="preserve"> jidher li huwa mezz ewlieni ta’ paċi.</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X’inhuma l-passi ewlenin u l-kriterji ta’ suċċess? </w:t>
      </w:r>
    </w:p>
    <w:p>
      <w:pPr>
        <w:pStyle w:val="P68B1DB1Normal19"/>
        <w:widowControl w:val="false"/>
        <w:spacing w:lineRule="auto" w:line="240" w:before="243" w:after="0"/>
        <w:ind w:left="0" w:right="10" w:hanging="0"/>
        <w:jc w:val="left"/>
        <w:rPr/>
      </w:pPr>
      <w:r>
        <w:rPr/>
        <w:t xml:space="preserve">Is-suċċess ta’ bidla bħal din jirriżulta fl-implimentazzjoni gradwali ta’ politika komuni dwar l-akkoljenza tal-migranti. </w:t>
      </w:r>
    </w:p>
    <w:p>
      <w:pPr>
        <w:pStyle w:val="P68B1DB1Normal19"/>
        <w:widowControl w:val="false"/>
        <w:spacing w:lineRule="auto" w:line="240" w:before="326" w:after="0"/>
        <w:ind w:left="0" w:right="10" w:hanging="0"/>
        <w:jc w:val="both"/>
        <w:rPr/>
      </w:pPr>
      <w:r>
        <w:rPr/>
        <w:t xml:space="preserve">Inizjattiva </w:t>
      </w:r>
      <w:r>
        <w:rPr>
          <w:b/>
        </w:rPr>
        <w:t>taċ-ċittadini</w:t>
      </w:r>
      <w:r>
        <w:rPr/>
        <w:t xml:space="preserve"> għandha tirreferi l-kwistjoni lill-Kummissjoni u tippermetti f’terminu medju l-adozzjoni ta’ </w:t>
      </w:r>
      <w:r>
        <w:rPr>
          <w:b/>
        </w:rPr>
        <w:t>standard komuni</w:t>
      </w:r>
      <w:r>
        <w:rPr/>
        <w:t xml:space="preserve"> li jiddetermina qafas għall-akkoljenza u l-integrazzjoni soċjali tal-migranti. Fuq medda twila ta’ żmien, dan l-istandard ikun appoġġjat mill-ħolqien ta’ </w:t>
      </w:r>
      <w:r>
        <w:rPr>
          <w:b/>
        </w:rPr>
        <w:t>uffiċċju Ewropew speċjalizzat dwar l-immigrazzjoni</w:t>
      </w:r>
      <w:r>
        <w:rPr/>
        <w:t xml:space="preserve"> u r-rikonoxximent tal-politika dwar il-migrazzjoni bħala kompetenza tal-Unjoni Ewropea. </w:t>
      </w:r>
    </w:p>
    <w:p>
      <w:pPr>
        <w:pStyle w:val="Normal"/>
        <w:spacing w:lineRule="auto" w:line="240"/>
        <w:rPr/>
      </w:pPr>
      <w:r>
        <w:rPr/>
      </w:r>
    </w:p>
    <w:p>
      <w:pPr>
        <w:pStyle w:val="P68B1DB1Normal42"/>
        <w:spacing w:lineRule="auto" w:line="240"/>
        <w:rPr/>
      </w:pPr>
      <w:r>
        <w:rPr/>
        <w:t xml:space="preserve">Bidla 14 — Il-preservazzjoni tal-ispeċifiċitajiet (tikketti tal-ikel, produzzjoni artiġjanali, tradizzjonijiet) tar-reġjuni Ewropej differenti, sabiex jiġu evitati stili ta’ ħajja uniformi u jiġu żgurati t-traċċabbiltà u l-kwalità tal-prodotti </w:t>
      </w:r>
    </w:p>
    <w:p>
      <w:pPr>
        <w:pStyle w:val="P68B1DB1Normal43"/>
        <w:widowControl w:val="false"/>
        <w:spacing w:lineRule="auto" w:line="240" w:before="347" w:after="0"/>
        <w:ind w:left="0" w:right="912" w:hanging="0"/>
        <w:jc w:val="left"/>
        <w:rPr/>
      </w:pPr>
      <w:r>
        <w:rPr/>
        <w:t xml:space="preserve">Ix-xewqa tal-Ewropa assoċjata: Ewropa li fiha jipprevalu l-interessi ta’ kull stat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Xi tfisser din il-bidla? </w:t>
      </w:r>
    </w:p>
    <w:p>
      <w:pPr>
        <w:pStyle w:val="P68B1DB1Normal7"/>
        <w:widowControl w:val="false"/>
        <w:spacing w:lineRule="auto" w:line="240" w:before="76" w:after="0"/>
        <w:ind w:left="0" w:right="0" w:hanging="0"/>
        <w:jc w:val="left"/>
        <w:rPr/>
      </w:pPr>
      <w:r>
        <w:rPr>
          <w:i/>
          <w:color w:val="000000"/>
        </w:rPr>
        <w:t>Keywords: Tikketti Ewropej, li jagħtu valur lid-diversità tal-kulturi u t-tradizzjonijiet</w:t>
      </w:r>
      <w:r>
        <w:rPr>
          <w:b/>
          <w:color w:val="273375"/>
        </w:rPr>
        <w:t xml:space="preserve"> </w:t>
      </w:r>
    </w:p>
    <w:p>
      <w:pPr>
        <w:pStyle w:val="P68B1DB1Normal19"/>
        <w:widowControl w:val="false"/>
        <w:spacing w:lineRule="auto" w:line="240" w:before="323" w:after="0"/>
        <w:ind w:left="0" w:right="10" w:hanging="0"/>
        <w:jc w:val="both"/>
        <w:rPr/>
      </w:pPr>
      <w:r>
        <w:rPr/>
        <w:t xml:space="preserve">L-ambizzjoni ta’ din il-bidla hija li tinżamm id- </w:t>
      </w:r>
      <w:r>
        <w:rPr>
          <w:b/>
        </w:rPr>
        <w:t>diversità tat-tradizzjonijiet u l-produzzjonijiet Ewropej</w:t>
      </w:r>
      <w:r>
        <w:rPr/>
        <w:t xml:space="preserve"> u</w:t>
      </w:r>
      <w:r>
        <w:rPr>
          <w:b/>
        </w:rPr>
        <w:t xml:space="preserve">li tiġi evitata l-istandardizzazzjoni </w:t>
      </w:r>
      <w:r>
        <w:rPr/>
        <w:t>tal-istili ta’ ħajja, spiss imsejħa kritika għall-Unjoni Ewropea.</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X’inhuma l-passi ewlenin u l-kriterji ta’ suċċess? </w:t>
      </w:r>
    </w:p>
    <w:p>
      <w:pPr>
        <w:pStyle w:val="P68B1DB1Normal19"/>
        <w:widowControl w:val="false"/>
        <w:spacing w:lineRule="auto" w:line="240" w:before="322" w:after="0"/>
        <w:ind w:left="0" w:right="10" w:hanging="0"/>
        <w:jc w:val="both"/>
        <w:rPr/>
      </w:pPr>
      <w:r>
        <w:rPr/>
        <w:t xml:space="preserve">Għaċ-ċittadini, l-għan ewlieni huwa li l-bażi tad-data eżistenti li telenka d-diversi </w:t>
      </w:r>
      <w:r>
        <w:rPr>
          <w:b/>
        </w:rPr>
        <w:t>tikketti Ewropej u nazzjonali</w:t>
      </w:r>
      <w:r>
        <w:rPr/>
        <w:t xml:space="preserve"> ssir aktar aċċessibbli. Biex dan isir, qed jiġi propost il-ħolqien ta’ sit web “ta’ </w:t>
      </w:r>
      <w:r>
        <w:rPr>
          <w:i/>
        </w:rPr>
        <w:t>tliet klikk”</w:t>
      </w:r>
      <w:r>
        <w:rPr/>
        <w:t xml:space="preserve">: klikk waħda biex taċċessa s-sit, it-tieni biex turi mappa tar-reġjuni tal-Unjoni Ewropea u oħra biex turi d-deskrizzjoni tat-tikketti ta’ kull reġjun. </w:t>
      </w:r>
    </w:p>
    <w:p>
      <w:pPr>
        <w:pStyle w:val="Normal"/>
        <w:widowControl w:val="false"/>
        <w:spacing w:lineRule="auto" w:line="240" w:before="327" w:after="0"/>
        <w:ind w:left="0" w:right="14" w:hanging="0"/>
        <w:jc w:val="left"/>
        <w:rPr/>
      </w:pPr>
      <w:r>
        <w:rPr>
          <w:rFonts w:ascii="Times New Roman" w:hAnsi="Times New Roman"/>
          <w:color w:val="000000"/>
        </w:rPr>
        <w:t xml:space="preserve">Is-suċċess ta’ din il-bidla jkun jikkonsisti f’ </w:t>
      </w:r>
      <w:r>
        <w:rPr>
          <w:rFonts w:ascii="Times New Roman" w:hAnsi="Times New Roman"/>
          <w:b/>
          <w:color w:val="000000"/>
        </w:rPr>
        <w:t>komunikazzjoni</w:t>
      </w:r>
      <w:r>
        <w:rPr>
          <w:rFonts w:ascii="Times New Roman" w:hAnsi="Times New Roman"/>
          <w:color w:val="000000"/>
        </w:rPr>
        <w:t xml:space="preserve"> mtejba madwar il-kisbiet eżistenti, li tirriżulta f’ </w:t>
      </w:r>
      <w:r>
        <w:rPr>
          <w:rFonts w:ascii="Times New Roman" w:hAnsi="Times New Roman"/>
          <w:b/>
          <w:color w:val="000000"/>
        </w:rPr>
        <w:t>fehim</w:t>
      </w:r>
      <w:r>
        <w:rPr>
          <w:rFonts w:ascii="Times New Roman" w:hAnsi="Times New Roman"/>
          <w:color w:val="000000"/>
        </w:rPr>
        <w:t xml:space="preserve"> aħjar tad-diversità tal-kulturi Ewropej min-naħa taċ-ċittadini.</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It-tieni parti: preżentazzjoni tar-riżultati tal-konsultazzjoni “Kliem għaż-Żgħażagħ”</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Id-dati tal-konsultazzjoni </w:t>
      </w:r>
    </w:p>
    <w:p>
      <w:pPr>
        <w:pStyle w:val="P68B1DB1Normal19"/>
        <w:widowControl w:val="false"/>
        <w:spacing w:lineRule="auto" w:line="240" w:before="34" w:after="0"/>
        <w:ind w:left="0" w:right="0" w:hanging="0"/>
        <w:jc w:val="center"/>
        <w:rPr/>
      </w:pPr>
      <w:r>
        <w:rPr/>
        <w:t>mid-09/05/2021 sat-18/07/2021</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Ċifri ta’ parteċipazzjoni</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parteċipant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2,918-il proposta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vot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Il-konsultazzjoni “Walk għaż-Żgħażagħ” tnediet fuq l-inizjattiva tas-Segretarjat tal-Istat għall-Affarijiet Ewropej. Din il-konsultazzjoni ssir fil-kuntest tal-Konferenza dwar il-Ġejjieni tal-Ewropa, eżerċizzju ta’ demokrazija parteċipattiva mingħajr preċedent immexxi mill-istituzzjonijiet Ewropej, li l-objettiv tiegħu huwa li jippermetti liċ-ċittadini Ewropej kollha jesprimu l-fehmiet tagħhom dwar dak li jistennew mill-Unjoni Ewropea. It-tagħlimiet tal-konsultazzjoni se jikkontribwixxu għall-ħidma tal-Konferenza dwar il-Futur tal-Ewropa u l-Presidenza Franċiża tal-Kunsill tal-Unjoni Ewropea.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lezzjonijiet ewlenin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Mobilizzazzjoni massiva taż-żgħażagħ: aktar minn</w:t>
      </w:r>
      <w:r>
        <w:rPr>
          <w:rFonts w:ascii="Times New Roman" w:hAnsi="Times New Roman"/>
          <w:b/>
        </w:rPr>
        <w:t xml:space="preserve"> 50,000 ċittadin Franċiż żagħżugħ ħadu sehem </w:t>
      </w:r>
      <w:r>
        <w:rPr>
          <w:rFonts w:ascii="Times New Roman" w:hAnsi="Times New Roman"/>
        </w:rPr>
        <w:t xml:space="preserve">fil-konsultazzjoni, fit-territorji kollha.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b/>
        </w:rPr>
        <w:t>L-</w:t>
      </w:r>
      <w:r>
        <w:rPr>
          <w:rFonts w:ascii="Times New Roman" w:hAnsi="Times New Roman"/>
        </w:rPr>
        <w:t xml:space="preserve"> aktar kunsens importanti </w:t>
      </w:r>
      <w:r>
        <w:rPr>
          <w:rFonts w:ascii="Times New Roman" w:hAnsi="Times New Roman"/>
          <w:b/>
        </w:rPr>
        <w:t>jikkonċerna l-politiki Ewropej għall-ġlieda kontra t- tibdil fil-klima, ir- rilokazzjoni tal-produzzjoni lejn l-Ewropa, ir- rivitalizzazzjoni tad-demokrazija Ewropea, il-piż tal-UE fid-dinja (l- ekonomija, ir-riċerka, id-drittijiet tal-bniedem, id-diplomazija).</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rPr>
        <w:t>L</w:t>
      </w:r>
      <w:r>
        <w:rPr>
          <w:rFonts w:ascii="Times New Roman" w:hAnsi="Times New Roman"/>
          <w:b/>
        </w:rPr>
        <w:t>-idea ta’ Ewropa aktar b’saħħitha u magħquda tgħaddi mill-konsultazzjoni kollha</w:t>
      </w:r>
      <w:r>
        <w:rPr>
          <w:rFonts w:ascii="Times New Roman" w:hAnsi="Times New Roman"/>
        </w:rPr>
        <w:t xml:space="preserve">, u tilħaq kunsens dwar diversi punti: </w:t>
      </w:r>
    </w:p>
    <w:p>
      <w:pPr>
        <w:pStyle w:val="P68B1DB1Normal34"/>
        <w:widowControl w:val="false"/>
        <w:spacing w:lineRule="auto" w:line="240" w:before="92" w:after="0"/>
        <w:ind w:left="360" w:right="0" w:hanging="0"/>
        <w:jc w:val="left"/>
        <w:rPr/>
      </w:pPr>
      <w:r>
        <w:rPr>
          <w:rFonts w:ascii="Times New Roman" w:hAnsi="Times New Roman"/>
        </w:rPr>
        <w:t>-</w:t>
      </w:r>
      <w:r>
        <w:rPr/>
        <w:t xml:space="preserve"> </w:t>
      </w:r>
      <w:r>
        <w:rPr>
          <w:rFonts w:ascii="Times New Roman" w:hAnsi="Times New Roman"/>
        </w:rPr>
        <w:t xml:space="preserve">Ewropa aktar b’saħħitha ekonomikament (speċjalment permezz ta’ rilokazzjoni) biex tlaħħaq maċ-Ċina jew l-Istati Uniti </w:t>
      </w:r>
    </w:p>
    <w:p>
      <w:pPr>
        <w:pStyle w:val="P68B1DB1Normal34"/>
        <w:widowControl w:val="false"/>
        <w:spacing w:lineRule="auto" w:line="240" w:before="92" w:after="0"/>
        <w:ind w:left="360" w:right="0" w:hanging="0"/>
        <w:jc w:val="left"/>
        <w:rPr/>
      </w:pPr>
      <w:r>
        <w:rPr>
          <w:rFonts w:ascii="Times New Roman" w:hAnsi="Times New Roman"/>
        </w:rPr>
        <w:t>-</w:t>
      </w:r>
      <w:r>
        <w:rPr/>
        <w:t xml:space="preserve"> </w:t>
      </w:r>
      <w:r>
        <w:rPr>
          <w:rFonts w:ascii="Times New Roman" w:hAnsi="Times New Roman"/>
        </w:rPr>
        <w:t xml:space="preserve">Ewropa diplomatika li hija ta’ piż akbar fix-xena internazzjonali </w:t>
      </w:r>
    </w:p>
    <w:p>
      <w:pPr>
        <w:pStyle w:val="P68B1DB1Normal34"/>
        <w:widowControl w:val="false"/>
        <w:spacing w:lineRule="auto" w:line="240" w:before="85" w:after="0"/>
        <w:ind w:left="360" w:right="1483" w:hanging="0"/>
        <w:jc w:val="left"/>
        <w:rPr/>
      </w:pPr>
      <w:r>
        <w:rPr>
          <w:rFonts w:ascii="Times New Roman" w:hAnsi="Times New Roman"/>
        </w:rPr>
        <w:t>- Mexxej</w:t>
      </w:r>
      <w:r>
        <w:rPr/>
        <w:t xml:space="preserve"> </w:t>
      </w:r>
      <w:r>
        <w:rPr>
          <w:rFonts w:ascii="Times New Roman" w:hAnsi="Times New Roman"/>
        </w:rPr>
        <w:t>tal-Ewropa fil-ġlieda kontra t-tibdil fil-klima fid-dinja</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 xml:space="preserve">Ewropa miġmugħa flimkien miż-żgħażagħ tagħha </w:t>
      </w:r>
    </w:p>
    <w:p>
      <w:pPr>
        <w:pStyle w:val="P68B1DB1Normal34"/>
        <w:widowControl w:val="false"/>
        <w:spacing w:lineRule="auto" w:line="240" w:before="85" w:after="0"/>
        <w:ind w:left="360" w:right="0" w:hanging="0"/>
        <w:jc w:val="left"/>
        <w:rPr/>
      </w:pPr>
      <w:r>
        <w:rPr>
          <w:rFonts w:ascii="Times New Roman" w:hAnsi="Times New Roman"/>
        </w:rPr>
        <w:t>-</w:t>
      </w:r>
      <w:r>
        <w:rPr/>
        <w:t xml:space="preserve"> </w:t>
      </w:r>
      <w:r>
        <w:rPr>
          <w:rFonts w:ascii="Times New Roman" w:hAnsi="Times New Roman"/>
        </w:rPr>
        <w:t xml:space="preserve">Ewropa magħquda fir-riċerka u l-innovazzjoni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Erba’ ideat komplementari</w:t>
      </w:r>
      <w:r>
        <w:rPr>
          <w:rFonts w:ascii="Times New Roman" w:hAnsi="Times New Roman"/>
        </w:rPr>
        <w:t xml:space="preserve"> għal dawk mill-panels taċ-ċittadini ntlaqgħu wkoll miż-żgħażagħ: </w:t>
      </w:r>
    </w:p>
    <w:p>
      <w:pPr>
        <w:pStyle w:val="P68B1DB1Normal34"/>
        <w:widowControl w:val="false"/>
        <w:spacing w:lineRule="auto" w:line="240" w:before="90" w:after="0"/>
        <w:ind w:left="360" w:right="0" w:hanging="0"/>
        <w:jc w:val="left"/>
        <w:rPr/>
      </w:pPr>
      <w:r>
        <w:rPr>
          <w:rFonts w:ascii="Times New Roman" w:hAnsi="Times New Roman"/>
        </w:rPr>
        <w:t>-</w:t>
      </w:r>
      <w:r>
        <w:rPr/>
        <w:t xml:space="preserve"> Ekonomija Ewropea ambjentalment u soċjalment responsabbli </w:t>
      </w:r>
      <w:r>
        <w:rPr>
          <w:rFonts w:ascii="Times New Roman" w:hAnsi="Times New Roman"/>
        </w:rPr>
        <w:t xml:space="preserve">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Ewropa ġeografikament aktar konnessa bil-ferrovija </w:t>
      </w:r>
    </w:p>
    <w:p>
      <w:pPr>
        <w:pStyle w:val="P68B1DB1Normal34"/>
        <w:widowControl w:val="false"/>
        <w:spacing w:lineRule="auto" w:line="240" w:before="85" w:after="0"/>
        <w:ind w:left="360" w:right="0" w:hanging="0"/>
        <w:jc w:val="left"/>
        <w:rPr/>
      </w:pPr>
      <w:r>
        <w:rPr>
          <w:rFonts w:ascii="Times New Roman" w:hAnsi="Times New Roman"/>
        </w:rPr>
        <w:t>-</w:t>
      </w:r>
      <w:r>
        <w:rPr/>
        <w:t xml:space="preserve"> </w:t>
      </w:r>
      <w:r>
        <w:rPr>
          <w:rFonts w:ascii="Times New Roman" w:hAnsi="Times New Roman"/>
        </w:rPr>
        <w:t xml:space="preserve">Ewropa aktar ġusta fiskalment </w:t>
      </w:r>
    </w:p>
    <w:p>
      <w:pPr>
        <w:pStyle w:val="P68B1DB1Normal34"/>
        <w:widowControl w:val="false"/>
        <w:spacing w:lineRule="auto" w:line="240" w:before="88" w:after="0"/>
        <w:ind w:left="360" w:right="0" w:hanging="0"/>
        <w:jc w:val="left"/>
        <w:rPr/>
      </w:pPr>
      <w:r>
        <w:rPr>
          <w:rFonts w:ascii="Times New Roman" w:hAnsi="Times New Roman"/>
        </w:rPr>
        <w:t>Azzjoni</w:t>
      </w:r>
      <w:r>
        <w:rPr/>
        <w:t xml:space="preserve"> </w:t>
      </w:r>
      <w:r>
        <w:rPr>
          <w:rFonts w:ascii="Times New Roman" w:hAnsi="Times New Roman"/>
        </w:rPr>
        <w:t xml:space="preserve">b’saħħitha mill-Unjoni Ewropea b’appoġġ għad-drittijiet tan-nisa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idea popolari u 13-il idea kontroversjali mifruxa madwar id-9 temi tal-Konferenza dwar il-Futur tal-Ewropa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L-ideat imfaħħra</w:t>
      </w:r>
      <w:r>
        <w:rPr>
          <w:color w:val="000000"/>
        </w:rPr>
        <w:t xml:space="preserve"> huma bbażati fuq il-proposti appoġġjati l-aktar mill-parteċipanti fil-konsultazzjoni. Il-proposti milqugħin huma l-proposti li jattiraw l-aktar appoġġ, li bħala medja jikkapitalizzaw </w:t>
      </w:r>
      <w:r>
        <w:rPr>
          <w:b/>
          <w:color w:val="000000"/>
        </w:rPr>
        <w:t>79 % tal-“voti favur”</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L-ideat kontroversjali</w:t>
      </w:r>
      <w:r>
        <w:rPr>
          <w:color w:val="000000"/>
        </w:rPr>
        <w:t xml:space="preserve"> huma bbażati fuq il-proposti l-aktar diskussi mill-parteċipanti fil-konsultazzjoni, b’bilanċ bejn il-voti favur u kontra. Il-proposti kontroversjali huma l-aktar proposti diskussi ħafna tal-konsultazzjoni, li bħala medja jikkapitalizzaw </w:t>
      </w:r>
      <w:r>
        <w:rPr>
          <w:b/>
          <w:color w:val="000000"/>
        </w:rPr>
        <w:t>40 % tal-“voti favur”</w:t>
      </w:r>
      <w:r>
        <w:rPr>
          <w:color w:val="000000"/>
        </w:rPr>
        <w:t xml:space="preserve">, </w:t>
      </w:r>
      <w:r>
        <w:rPr>
          <w:b/>
          <w:color w:val="000000"/>
        </w:rPr>
        <w:t>38 % tal-“voti kontra”</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L-analiżi ta’ dawn il-proposti identifikat 22 idea mfaħħra u 13-il idea kontroversjali. Dawn it-22 idea mfaħħra u t-13-il idea kontroversjali kienu maqsuma f’9 assi li jikkorrispondu għat-temi ewlenin tal-Konferenza dwar il-Futur tal-Ewropa. </w:t>
      </w:r>
      <w:r>
        <w:br w:type="page"/>
      </w:r>
    </w:p>
    <w:p>
      <w:pPr>
        <w:pStyle w:val="Normal"/>
        <w:widowControl w:val="false"/>
        <w:spacing w:lineRule="auto" w:line="240" w:before="85" w:after="0"/>
        <w:ind w:left="0" w:right="0" w:hanging="0"/>
        <w:jc w:val="left"/>
        <w:rPr/>
      </w:pPr>
      <w:r>
        <w:rPr/>
        <w:t>Sinteżi ta’ ideat imfaħħra u kontroversjali</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It-tibdil fil-klima u l-ambjent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L-istabbiliment ta’ politika ekoloġika Ewropea aktar b’saħħitha</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Il-mixja lejn agrikoltura aktar sostenibbli</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Azzjoni aktar b’saħħitha għall-protezzjoni tal-bijodiversità</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L-iżvilupp tat-trasport ferrovjarju fl-UE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Titħaffef it-tranżizzjoni tal-enerġija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Il-limitazzjoni tal-imballaġġ u t-titjib tal-ġestjoni tal-iskart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It-tqajjim ta’ kuxjenza dwar l-ambjent</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Il-</w:t>
            </w:r>
            <w:r>
              <w:rPr>
                <w:rFonts w:eastAsia="Wingdings" w:cs="Wingdings" w:ascii="Wingdings" w:hAnsi="Wingdings"/>
              </w:rPr>
              <w:t xml:space="preserve"> </w:t>
            </w:r>
            <w:r>
              <w:rPr/>
              <w:t>promozzjoni ta’ proċessi ta’ kostruzzjoni ekoresponsabbli</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Aktar investiment fl-enerġija nukleari</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Id-demokrazija Ewropea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Komunikazzjoni aħjar dwar ir-rwol u l-ħidma tal-UE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Tibdil fil-funzjonament demokratiku tal-Unjoni Ewropea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Il-ġlieda kontra d-diżinformazzjoni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Nagħmlu l-Ewropa Federazzjoni</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Tħalli aktar awtonomija f’idejn l-Istati Membri</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Bini ta’ setgħa eżekuttiva Ewropea aktar b’saħħitha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L-għoti ta’ post liż-żgħażagħ fl-istituzzjonijiet Ewropej</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L-ekonomija, il-ġustizzja soċjali u l-impjiegi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Ir-rilokazzjoni tal-produzzjoni lejn l-Ewropa għal aktar awtonomija</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Nagħmlu l-prattiki tan-negozju u l-kummerċ aktar responsabbli</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Il-ġlieda kontra l-evażjoni u l-ottimizzazzjoni tat-taxxa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L-armonizzazzjoni tal-pagi Ewropej</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Stabbiliment ta’ dħul universali</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L-orjentazzjoni mill-ġdid tal-Ewropa lejn mudell antikapitalist</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L-edukazzjoni, il-kultura, iż-żgħażagħ u l-isport</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Trasformazzjoni diġitali</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Il-possibbiltà li ż-żgħażagħ jiskambjaw aktar ma’ pajjiżi oħra tal-UE</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L-inkoraġġiment tat-tagħlim ta’ lingwi mhux Ingliżi</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Investiment f’riċerka xjentifika, diġitali u ambjentali</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Titqajjem kuxjenza dwar it-teknoloġija diġitali u l-perikli tagħha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Nagħmlu s-soġġorni Ewropej obbligatorji għaż-żgħażagħ</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L-iżvilupp tal-kriptovaluti fl-Ewropa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Valuri u drittijiet, stat tad-dritt, sigurtà</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Saħħa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It-tisħiħ tal-azzjoni tal-UE għar-rispett tad-drittijiet tal-bniedem</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It-tisħiħ tad-drittijiet tan-nisa</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Investiment fis-Saħħa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Intejbu l-kwalità tal-prodotti tal-ikel tagħna</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L-UE fid-dinja</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Immigrazzjoni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Nagħmlu l-UE kapaċi tiżen internazzjonalment</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Il-ħolqien ta’ Forza Armata Ewropea</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It-tnaqqis jew l-akkumpanjament tal-immigrazzjoni fl-Ewropa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Idea predominanti (&gt; 10 proposti milqugħin)</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Idea singulari (&lt;10 proposti milqugħin)</w:t>
      </w:r>
    </w:p>
    <w:p>
      <w:pPr>
        <w:pStyle w:val="Contenudetableau"/>
        <w:spacing w:lineRule="auto" w:line="240"/>
        <w:jc w:val="center"/>
        <w:rPr/>
      </w:pPr>
      <w:r>
        <w:rPr>
          <w:rFonts w:eastAsia="SimSun" w:cs="Mangal" w:ascii="Times New Roman" w:hAnsi="Times New Roman"/>
          <w:color w:val="F58220"/>
          <w:sz w:val="18"/>
        </w:rPr>
        <w:t>Idea kontroversjali (&gt; 3 proposti kontroversjali)</w:t>
      </w:r>
      <w:r>
        <w:br w:type="page"/>
      </w:r>
    </w:p>
    <w:p>
      <w:pPr>
        <w:pStyle w:val="Titre2"/>
        <w:numPr>
          <w:ilvl w:val="1"/>
          <w:numId w:val="2"/>
        </w:numPr>
        <w:rPr/>
      </w:pPr>
      <w:bookmarkStart w:id="213" w:name="__RefHeading___Toc300458_1346298689"/>
      <w:bookmarkEnd w:id="213"/>
      <w:r>
        <w:rPr/>
        <w:t xml:space="preserve">Konklużjoni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w:t>
      </w:r>
      <w:r>
        <w:rPr/>
        <w:t xml:space="preserve">F’kelma, għalik, l-Ewropa fl-2035 se jkollha tkun...”: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1" descr=""/>
                    <pic:cNvPicPr>
                      <a:picLocks noChangeAspect="1" noChangeArrowheads="1"/>
                    </pic:cNvPicPr>
                  </pic:nvPicPr>
                  <pic:blipFill>
                    <a:blip r:embed="rId103"/>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I</w:t>
      </w:r>
      <w:r>
        <w:rPr>
          <w:rFonts w:ascii="Times New Roman" w:hAnsi="Times New Roman"/>
          <w:i/>
          <w:color w:val="632423"/>
          <w:sz w:val="24"/>
        </w:rPr>
        <w:t xml:space="preserve">t-tweġiba taċ-ċittadini tal-konferenza nazzjonali għall-mistoqsija finali: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Fil-qosor, għalik, l-Ewropa fl-2035 se jkollha tkun...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Bordijiet Nazzjonali: Il-Ġermanja</w:t>
      </w:r>
    </w:p>
    <w:p>
      <w:pPr>
        <w:pStyle w:val="P68B1DB1Normal67"/>
        <w:spacing w:lineRule="auto" w:line="240"/>
        <w:rPr>
          <w:rFonts w:ascii="Calibri" w:hAnsi="Calibri"/>
          <w:b/>
          <w:b/>
          <w:color w:val="000000"/>
          <w:sz w:val="36"/>
        </w:rPr>
      </w:pPr>
      <w:r>
        <w:rPr/>
        <w:t xml:space="preserve">Il-Panel Nazzjonali taċ-Ċittadini dwar il-Futur tal-Ewropa f’Berlin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Rakkomandazzjonijiet taċ-ċittadini — </w:t>
      </w:r>
    </w:p>
    <w:p>
      <w:pPr>
        <w:pStyle w:val="P68B1DB1Normal52"/>
        <w:widowControl w:val="false"/>
        <w:spacing w:lineRule="exact" w:line="317" w:before="288" w:after="0"/>
        <w:ind w:left="276" w:right="113" w:hanging="0"/>
        <w:jc w:val="both"/>
        <w:rPr/>
      </w:pPr>
      <w:r>
        <w:rPr>
          <w:color w:val="000000"/>
        </w:rPr>
        <w:t xml:space="preserve">Il-Ġermanja organizzat il-Panel Nazzjonali taċ-Ċittadini tagħha dwar il-Futur tal-Ewropa fil-5, it-8, il-15 u s-16 ta’ Jannar. Il-proċess tal-għażla taċ-ċittadini segwa l-għażla aleatorja stratifikata tal-parteċipanti fil-Panels taċ-Ċittadini Ewropej. 12,000 ċittadin Ġermaniż ġew mistiedna jipparteċipaw; minn dawk li wieġbu, intgħażlu madwar 100, b’kont meħud tad-data attwali taċ-ċensiment tar-Repubblika Federali tal-Ġermanja, sabiex tiġi riflessa d-diversità tas-soċjetà Ġermaniża u l-popolazzjoni kollha kemm hi. Matul il-Panel Nazzjonali taċ-Ċittadini, il-parteċipanti ddiskutew ħames temi: l-UE fid-dinja; ekonomija aktar b’saħħitha; it-tibdil fil-klima u l-ambjent; il-ġustizzja soċjali; Il-valuri Ewropej u l-istat tad-dritt. Huma mbagħad żviluppaw rakkomandazzjonijiet konkreti għal kull waħda minn dawn it-temi, li ġew adottati fis-sessjoni plenarja finali tas-16 ta’ Jannar: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Round Table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Ir-rabta tal-interessi tal-kummerċ barrani mal-miżuri tal-politika dwar il-klima </w:t>
      </w:r>
    </w:p>
    <w:p>
      <w:pPr>
        <w:pStyle w:val="P68B1DB1Normal20"/>
        <w:widowControl w:val="false"/>
        <w:spacing w:lineRule="exact" w:line="337" w:before="192" w:after="0"/>
        <w:ind w:left="276" w:right="123" w:hanging="0"/>
        <w:jc w:val="both"/>
        <w:rPr/>
      </w:pPr>
      <w:r>
        <w:rPr/>
        <w:t xml:space="preserve">Nirrakkomandaw li l-UE (b’mod partikolari l-Kummissjoni Ewropea) tniedi pakkett ta’ investiment għal teknoloġiji u innovazzjonijiet li ma jagħmlux ħsara lill-klima, inklużi programmi ta’ finanzjament. Dan il-pakkett ta’ miżuri għandu jiġi ffinanzjat minn dazji fuq l-importazzjoni relatati mal-klima, li jkunu speċifikament affettwati u mgħoddija bħala kumpens finanzjarju għall-ħsara fil-klima. F’dan il-kuntest, tiġi stabbilita sistema ta’ punti għall-valutazzjoni tas-sostenibbiltà għal ċerti prodotti. Pożizzjoni ċara tal-UE u Ewropa b’saħħitha u innovattiva jikkontribwixxu għall-kisba tal-għanijiet klimatiċi globali. Dan jgħin biex jiġi kkonsolidat ir-rwol tal-Unjoni Ewropea bħala pijunier globali u mudell responsabbli, li jiggarantixxi l-ġid u li jista’ jwassal għal bidla sostenibbli fuq skala globali. Dawn l-għanijiet huma importanti għalina, peress li l-UE tagħti kontribut sostenibbli fil-ġlieda kontra t-tibdil fil-klima, li jista’, fit-tul, ikollu rwol ewlieni fil-konsolidazzjoni tal-paċi globali.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Round Table 2: </w:t>
      </w:r>
    </w:p>
    <w:p>
      <w:pPr>
        <w:pStyle w:val="P68B1DB1Normal68"/>
        <w:widowControl w:val="false"/>
        <w:spacing w:lineRule="exact" w:line="338" w:before="321" w:after="0"/>
        <w:ind w:left="0" w:right="131" w:hanging="0"/>
        <w:jc w:val="left"/>
        <w:rPr/>
      </w:pPr>
      <w:r>
        <w:rPr/>
        <w:t xml:space="preserve">Il-ħolqien ta’ inċentivi għall-implimentazzjoni tal-produzzjoni fl-UE, b’mod partikolari fir-rigward tal-komoditajiet </w:t>
      </w:r>
    </w:p>
    <w:p>
      <w:pPr>
        <w:pStyle w:val="P68B1DB1Normal20"/>
        <w:widowControl w:val="false"/>
        <w:spacing w:lineRule="exact" w:line="337" w:before="208" w:after="0"/>
        <w:ind w:left="276" w:right="121" w:hanging="0"/>
        <w:jc w:val="both"/>
        <w:rPr/>
      </w:pPr>
      <w:r>
        <w:rPr/>
        <w:t xml:space="preserve">Sabiex tiġi ffaċilitata l-produzzjoni tal-komoditajiet fl-UE, nirrakkomandaw li jitħaffu u jiġu standardizzati l-proċeduri ta’ approvazzjoni, titnaqqas il-burokrazija u jingħataw sussidji lill-kumpaniji li jidħlu fl-UE u/jew jistabbilixxu siti ta’ produzzjoni fl-UE. L-UE għandha tippromwovi bil-kbir l-enerġija rinnovabbli sabiex jitnaqqsu l-ispejjeż tal-enerġija. </w:t>
      </w:r>
    </w:p>
    <w:p>
      <w:pPr>
        <w:pStyle w:val="P68B1DB1Normal20"/>
        <w:widowControl w:val="false"/>
        <w:spacing w:lineRule="exact" w:line="336" w:before="216" w:after="0"/>
        <w:ind w:left="276" w:right="121" w:hanging="0"/>
        <w:jc w:val="both"/>
        <w:rPr/>
      </w:pPr>
      <w:r>
        <w:rPr/>
        <w:t xml:space="preserve">Permezz ta’ dawn il-miżuri, irridu nqassru l-ktajjen tal-provvista u nagħmluhom aktar favur il-klima, ngħinu fit-tisħiħ tal-UE u noħolqu impjiegi fejn id-drittijiet tal-bniedem jiġu rispettati. </w:t>
      </w:r>
    </w:p>
    <w:p>
      <w:pPr>
        <w:pStyle w:val="Normal"/>
        <w:widowControl w:val="false"/>
        <w:spacing w:lineRule="exact" w:line="336" w:before="219" w:after="0"/>
        <w:ind w:left="276" w:right="121" w:hanging="0"/>
        <w:jc w:val="both"/>
        <w:rPr/>
      </w:pPr>
      <w:r>
        <w:rPr>
          <w:rFonts w:ascii="Calibri" w:hAnsi="Calibri"/>
          <w:color w:val="000000"/>
          <w:sz w:val="24"/>
        </w:rPr>
        <w:t xml:space="preserve">Dawn l-objettivi huma importanti għalina għaliex ir-rilokazzjoni tal-produzzjoni lejn l-UE tagħmel lill-UE aktar awtonoma internazzjonalment, u inqas vulnerabbli politikament.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Round Table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sistema ta’ punti għal ekonomija diġitali b’saħħitha fl-UE kollha </w:t>
      </w:r>
    </w:p>
    <w:p>
      <w:pPr>
        <w:pStyle w:val="P68B1DB1Normal20"/>
        <w:widowControl w:val="false"/>
        <w:spacing w:lineRule="exact" w:line="337" w:before="192" w:after="0"/>
        <w:ind w:left="276" w:right="119" w:hanging="0"/>
        <w:jc w:val="both"/>
        <w:rPr/>
      </w:pPr>
      <w:r>
        <w:rPr/>
        <w:t xml:space="preserve">Nipproponu l-istabbiliment ta’ dashboard diġitali aċċessibbli għall-pubbliku, imsejjaħ Digi-Score, ġestit mill-Kummissjoni Ewropea (DĠ CNECT). Din tkun sistema ta’ klassifikazzjoni preċiża biex tindika u tqabbel il-livell attwali ta’ maturità diġitali tal-kumpaniji tal-UE. B’din il-proposta, irridu nħeġġu aktar diġitalizzazzjoni madwar l-Ewropa. Il-kumpaniji b’punteġġ diġitali baxx ikunu intitolati għal appoġġ immirat biex jgħinhom ilaħħqu mal-oħrajn. </w:t>
      </w:r>
    </w:p>
    <w:p>
      <w:pPr>
        <w:pStyle w:val="P68B1DB1Normal20"/>
        <w:widowControl w:val="false"/>
        <w:spacing w:lineRule="exact" w:line="338" w:before="219" w:after="0"/>
        <w:ind w:left="276" w:right="121" w:hanging="0"/>
        <w:jc w:val="both"/>
        <w:rPr/>
      </w:pPr>
      <w:r>
        <w:rPr/>
        <w:t xml:space="preserve">Dan l-objettiv huwa importanti għalina peress li jgħin biex inwittu t-triq għal żieda fil-produttività, l-effiċjenza u l-bejgħ, u b’hekk jissaħħaħ ir-rwol tal-Ewropa bħala bażi għall-produzzjoni.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Round Table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Pjattaforma ta’ informazzjoni għall-iskambju ta’ għarfien u esperjenza fil-livell tal-UE </w:t>
      </w:r>
    </w:p>
    <w:p>
      <w:pPr>
        <w:pStyle w:val="P68B1DB1Normal20"/>
        <w:widowControl w:val="false"/>
        <w:spacing w:lineRule="exact" w:line="337"/>
        <w:ind w:left="276" w:right="119" w:hanging="0"/>
        <w:jc w:val="both"/>
        <w:rPr/>
      </w:pPr>
      <w:r>
        <w:rPr/>
        <w:t xml:space="preserve">Nirrakkomandaw li l-UE tistabbilixxi pjattaforma ta’ informazzjoni għall-iskambju ta’ għarfien u esperjenza fil-livell tal-UE. L-għan tagħna huwa li naqsmu informazzjoni dwar attivitajiet transnazzjonali eżistenti ta’ edukazzjoni u taħriġ fl-UE, li nippreżentaw eżempji tal-aħjar prattiki u li nagħtu liċ-ċittadini l-opportunità li jippreżentaw ideat ġodda għal skambji transkonfinali. Barra minn hekk, tista’ tiġi pprovduta informazzjoni addizzjonali dwar fora ta’ esperti tekniċi disponibbli (eż. dwar l-enerġija, l-ambjent jew it-tranżizzjoni diġitali). </w:t>
      </w:r>
    </w:p>
    <w:p>
      <w:pPr>
        <w:pStyle w:val="P68B1DB1Normal20"/>
        <w:widowControl w:val="false"/>
        <w:spacing w:lineRule="exact" w:line="337" w:before="216" w:after="0"/>
        <w:ind w:left="276" w:right="121" w:hanging="0"/>
        <w:jc w:val="both"/>
        <w:rPr/>
      </w:pPr>
      <w:r>
        <w:rPr/>
        <w:t xml:space="preserve">Aħna nemmnu li dan huwa importanti għaliex iċ-ċittadini jeħtieġu trasparenza fir-rigward tal-attivitajiet ta’ edukazzjoni u taħriġ transkonfinali li huma disponibbli. Huma għandhom jirċievu gwida aħjar fil-livell tal-UE dwar fora u pjattaformi eżistenti.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Round Table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Regolament dwar il-Garanzija tal-Ħajja tal-Prodott </w:t>
      </w:r>
    </w:p>
    <w:p>
      <w:pPr>
        <w:pStyle w:val="P68B1DB1Normal20"/>
        <w:widowControl w:val="false"/>
        <w:spacing w:lineRule="exact" w:line="337" w:before="192" w:after="0"/>
        <w:ind w:left="276" w:right="119" w:hanging="0"/>
        <w:jc w:val="both"/>
        <w:rPr/>
      </w:pPr>
      <w:r>
        <w:rPr/>
        <w:t xml:space="preserve">Nirrakkomandaw li l-UE tadotta leġiżlazzjoni biex tistabbilixxi tul ta’ ħajja estiż, garantit u speċifiku għal kull prodott manifatturat u mibjugħ fl-UE, u biex tkun trasparenti mal-konsumaturi f’dan ir-rigward. </w:t>
      </w:r>
    </w:p>
    <w:p>
      <w:pPr>
        <w:pStyle w:val="P68B1DB1Normal20"/>
        <w:widowControl w:val="false"/>
        <w:spacing w:lineRule="exact" w:line="336" w:before="219" w:after="0"/>
        <w:ind w:left="276" w:right="126" w:hanging="0"/>
        <w:jc w:val="both"/>
        <w:rPr/>
      </w:pPr>
      <w:r>
        <w:rPr/>
        <w:t xml:space="preserve">Ir-riżorsi huma limitati u dan jiffranka l-flus u jnaqqas l-iskart, li jkun ta’ benefiċċju għall-ambjent, il-klima u l-konsumaturi. </w:t>
      </w:r>
    </w:p>
    <w:p>
      <w:pPr>
        <w:pStyle w:val="P68B1DB1Normal20"/>
        <w:widowControl w:val="false"/>
        <w:spacing w:lineRule="exact" w:line="338" w:before="216" w:after="0"/>
        <w:ind w:left="276" w:right="131" w:hanging="0"/>
        <w:jc w:val="left"/>
        <w:rPr/>
      </w:pPr>
      <w:r>
        <w:rPr/>
        <w:t xml:space="preserve">Irridu nħeġġu lill-manifatturi biex idaħħlu fis-suq prodotti aktar durabbli u li jistgħu jissewwew.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Round Table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Kampanja fit-tul tal-UE għal konsum u stil ta’ ħajja sostenibbli </w:t>
      </w:r>
    </w:p>
    <w:p>
      <w:pPr>
        <w:pStyle w:val="P68B1DB1Normal20"/>
        <w:widowControl w:val="false"/>
        <w:spacing w:lineRule="exact" w:line="336"/>
        <w:ind w:left="276" w:right="126" w:hanging="0"/>
        <w:jc w:val="left"/>
        <w:rPr/>
      </w:pPr>
      <w:r>
        <w:rPr/>
        <w:t xml:space="preserve">Nirrakkomandaw li korp Ewropew, inklużi fergħat fil-pajjiżi tal-UE, ikollu r-riżorsi proprji u jmexxi din il-kampanja. </w:t>
      </w:r>
    </w:p>
    <w:p>
      <w:pPr>
        <w:pStyle w:val="P68B1DB1Normal20"/>
        <w:widowControl w:val="false"/>
        <w:spacing w:lineRule="exact" w:line="336" w:before="219" w:after="0"/>
        <w:ind w:left="276" w:right="128" w:hanging="0"/>
        <w:jc w:val="both"/>
        <w:rPr/>
      </w:pPr>
      <w:r>
        <w:rPr/>
        <w:t xml:space="preserve">L-għan tagħna huwa li niżguraw li ċ-ċittadini kollha tal-UE jirrikonoxxu lilhom infushom f’identità komuni, isiru aktar konxji tal-ħtieġa għal konsum u stil ta’ ħajja sostenibbli u jadottaw dan l-istil ta’ ħajja. </w:t>
      </w:r>
    </w:p>
    <w:p>
      <w:pPr>
        <w:pStyle w:val="P68B1DB1Normal20"/>
        <w:widowControl w:val="false"/>
        <w:spacing w:lineRule="exact" w:line="336" w:before="216" w:after="0"/>
        <w:ind w:left="276" w:right="128" w:hanging="0"/>
        <w:jc w:val="left"/>
        <w:rPr/>
      </w:pPr>
      <w:r>
        <w:rPr/>
        <w:t xml:space="preserve">Dawn l-għanijiet huma importanti għalina għaliex irridu nqanqlu motivazzjoni intrinsika għal stil ta’ ħajja sostenibbli.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Round Table 1: </w:t>
      </w:r>
    </w:p>
    <w:p>
      <w:pPr>
        <w:pStyle w:val="P68B1DB1Normal68"/>
        <w:widowControl w:val="false"/>
        <w:spacing w:lineRule="exact" w:line="400" w:before="88" w:after="0"/>
        <w:ind w:left="0" w:right="0" w:hanging="0"/>
        <w:jc w:val="left"/>
        <w:rPr>
          <w:rFonts w:ascii="Calibri" w:hAnsi="Calibri"/>
          <w:b/>
          <w:b/>
          <w:color w:val="000000"/>
          <w:sz w:val="24"/>
        </w:rPr>
      </w:pPr>
      <w:r>
        <w:rPr/>
        <w:t xml:space="preserve">Il-ħolqien ta’ aktar opportunitajiet ta’ skambju għall-istudenti fl-Ewropa </w:t>
      </w:r>
    </w:p>
    <w:p>
      <w:pPr>
        <w:pStyle w:val="P68B1DB1Normal20"/>
        <w:widowControl w:val="false"/>
        <w:spacing w:lineRule="exact" w:line="293" w:before="162" w:after="0"/>
        <w:ind w:left="276" w:right="123" w:hanging="0"/>
        <w:jc w:val="both"/>
        <w:rPr/>
      </w:pPr>
      <w:r>
        <w:rPr/>
        <w:t xml:space="preserve">Nirrakkomandaw li l-Unjoni Ewropea tadotta, minbarra l-programm Erasmus, regolament dwar programm ta’ skambju għall-istudenti bejn l-14 u l-25 sena, irrispettivament mill-oriġini, is-sess u l-livell ta’ edukazzjoni tagħhom. Dan il-programm ta’ skambju għandu jitwaqqaf u jiġi promoss b’mod sistematiku mill-iskejjel fil-livell lokali. Kull student għandu jkollu l-opportunità li jipparteċipa fil-programm ta ‘skambju fi kwalunkwe ħin ta’ skola tagħhom. Għal dan il-għan, il-Kummissjoni Ewropea għandha tippreżenta proposta lill-Parlament Ewropew u lill-Kunsill Ewropew. </w:t>
      </w:r>
    </w:p>
    <w:p>
      <w:pPr>
        <w:pStyle w:val="P68B1DB1Normal20"/>
        <w:widowControl w:val="false"/>
        <w:spacing w:lineRule="exact" w:line="293" w:before="168" w:after="0"/>
        <w:ind w:left="276" w:right="123" w:hanging="0"/>
        <w:jc w:val="both"/>
        <w:rPr/>
      </w:pPr>
      <w:r>
        <w:rPr/>
        <w:t xml:space="preserve">L-għan tagħna huwa li nagħtu lill-istudenti, irrispettivament mill-prestazzjoni akkademika tagħhom u l-appoġġ finanzjarju tal-ġenituri tagħhom, l-opportunità li jipparteċipaw fi programmi ta’ skambju madwar l-Ewropa. Għandha titrawwem kultura ta’ skambji Ewropej mill-età tal-iskola. Fuq kollox, huwa importanti li l-programmi ta’ skambju jkunu faċilment aċċessibbli u ħielsa mill-burokrazija. Permezz ta’ dan il-programm ta’ skambju, irridu nistabbilixxu solidarjetà Ewropea u nnaqqsu l-ostakli lingwistiċi. F’dan il-kuntest, wieħed għandu jżomm f’moħħu l-ekwità fl-edukazzjoni u l-parteċipazzjoni fl-edukazzjoni sabiex jissaħħu l-ħiliet interkulturali u ta’ komunikazzjoni. </w:t>
      </w:r>
    </w:p>
    <w:p>
      <w:pPr>
        <w:pStyle w:val="P68B1DB1Normal20"/>
        <w:widowControl w:val="false"/>
        <w:spacing w:lineRule="exact" w:line="293" w:before="168" w:after="0"/>
        <w:ind w:left="276" w:right="123" w:hanging="0"/>
        <w:jc w:val="both"/>
        <w:rPr/>
      </w:pPr>
      <w:r>
        <w:rPr/>
        <w:t xml:space="preserve">Dawn l-objettivi huma importanti għalina peress li jistgħu jgħinu fil-promozzjoni tal-koeżjoni Ewropea, isaħħu r-rispett u l-kooperazzjoni u jwasslu l-valuri Ewropej minn età bikrija, sabiex id-diversità tal-Ewropa tkun tista’ titqies bħala opportunità.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Round Table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Stabbiliment ta’ paga bażika speċifika għall-impjieg </w:t>
      </w:r>
    </w:p>
    <w:p>
      <w:pPr>
        <w:pStyle w:val="P68B1DB1Normal20"/>
        <w:widowControl w:val="false"/>
        <w:spacing w:lineRule="exact" w:line="293"/>
        <w:ind w:left="276" w:right="121" w:hanging="0"/>
        <w:jc w:val="both"/>
        <w:rPr/>
      </w:pPr>
      <w:r>
        <w:rPr/>
        <w:t xml:space="preserve">Nirrakkomandaw li l-Kummissarju Ewropew għall-Impjiegi u d-Drittijiet Soċjali jippreżenta lill-Parlament Ewropew proposta biex tiġi stabbilita paga bażika speċifika għall-impjiegi fl-Istati Membri kollha. Din il-paga bażika għandha tikkonsisti fi dħul minimu suffiċjenti biex jiżgura s-sussistenza u kompliment speċifiku għall-impjieg. </w:t>
      </w:r>
    </w:p>
    <w:p>
      <w:pPr>
        <w:pStyle w:val="P68B1DB1Normal20"/>
        <w:widowControl w:val="false"/>
        <w:spacing w:lineRule="exact" w:line="293" w:before="173" w:after="0"/>
        <w:ind w:left="276" w:right="121" w:hanging="0"/>
        <w:jc w:val="both"/>
        <w:rPr/>
      </w:pPr>
      <w:r>
        <w:rPr/>
        <w:t xml:space="preserve">L-għan tagħna huwa li niżguraw li l-prestazzjoni professjonali u l-pagi jkunu komparabbli madwar l-UE, sabiex insaħħu l-ġustizzja soċjali. Dan l-objettiv huwa importanti għalina peress li jiżgura li s-suq tax-xogħol jirrispetta prinċipju fundamentali tal-UE: kundizzjonijiet tal-għajxien u tax-xogħol komparabbli, irrispettivament mill-post ta’ residenza u l-impjieg ta’ persuna.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Round Table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L-inkorporazzjoni tal-valuri Ewropej u l-komunikazzjoni tagħhom billi jappellaw għall-emozzjonijiet </w:t>
      </w:r>
    </w:p>
    <w:p>
      <w:pPr>
        <w:pStyle w:val="P68B1DB1Normal20"/>
        <w:widowControl w:val="false"/>
        <w:spacing w:lineRule="exact" w:line="338" w:before="192" w:after="0"/>
        <w:ind w:left="276" w:right="126" w:hanging="0"/>
        <w:jc w:val="both"/>
        <w:rPr/>
      </w:pPr>
      <w:r>
        <w:rPr/>
        <w:t xml:space="preserve">Nirrakkomandaw li l-valuri Ewropej isiru aktar konkreti u li ssir komunikazzjoni b’aktar emozzjonijiet. Nistgħu niksbu dan, pereżempju, permezz ta’ pakkett ta’ “integrazzjoni” li jkopri l-midja, elementi interattivi u parteċipazzjoni akbar taċ-ċittadini. </w:t>
      </w:r>
    </w:p>
    <w:p>
      <w:pPr>
        <w:pStyle w:val="P68B1DB1Normal20"/>
        <w:widowControl w:val="false"/>
        <w:spacing w:lineRule="exact" w:line="336" w:before="216" w:after="0"/>
        <w:ind w:left="276" w:right="126" w:hanging="0"/>
        <w:jc w:val="left"/>
        <w:rPr/>
      </w:pPr>
      <w:r>
        <w:rPr/>
        <w:t xml:space="preserve">L-għan tagħna huwa li kull min jgħix fl-UE jkun jaf u jħaddan valuri komuni. </w:t>
      </w:r>
    </w:p>
    <w:p>
      <w:pPr>
        <w:pStyle w:val="P68B1DB1Normal20"/>
        <w:widowControl w:val="false"/>
        <w:spacing w:lineRule="exact" w:line="337" w:before="216" w:after="0"/>
        <w:ind w:left="276" w:right="119" w:hanging="0"/>
        <w:jc w:val="both"/>
        <w:rPr/>
      </w:pPr>
      <w:r>
        <w:rPr/>
        <w:t xml:space="preserve">Dan l-għan huwa importanti għalina għaliex jifforma l-bażi għall-koeżistenza tagħna fi ħdan il-komunità tagħna ta ‘valuri. Dawn il-valuri ftit li xejn huma magħrufa minħabba li r-rabta personali hija nieqsa. Jeħtieġ li nagħmlu din il-konnessjoni.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Round Table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Il-ħajja fl-UE </w:t>
      </w:r>
    </w:p>
    <w:p>
      <w:pPr>
        <w:pStyle w:val="P68B1DB1Normal20"/>
        <w:widowControl w:val="false"/>
        <w:spacing w:lineRule="exact" w:line="337" w:before="191" w:after="0"/>
        <w:ind w:left="276" w:right="116" w:hanging="0"/>
        <w:jc w:val="both"/>
        <w:rPr/>
      </w:pPr>
      <w:r>
        <w:rPr/>
        <w:t xml:space="preserve">Nirrakkomandaw li l-UE tistabbilixxi l-programm tagħha stess għall-edukazzjoni u t-televiżjoni ta’ informazzjoni biex tqajjem kuxjenza fost iċ-ċittadini kollha tal-UE dwar il-valuri komuni tagħna u tiżgura aċċess faċli u mingħajr xkiel għal din l-informazzjoni għal kulħadd. Dawn l-għanijiet huma importanti għalina għax irridu nifhmu aħjar l-opinjoni pubblika f’kull wieħed mill-pajjiżi tal-UE. B’dan il-mod, irridu nsaħħu l-bażi komuni u ngħinu biex inlaqqgħu liċ-ċittadini flimkien biex jippromwovu solidarjetà akbar u jħarrġuhom fl-istat tad-dritt sabiex tiġi ppreservata d-demokrazija.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Bordijiet Nazzjonali: L-Italja</w:t>
      </w:r>
    </w:p>
    <w:p>
      <w:pPr>
        <w:pStyle w:val="P68B1DB1Normal70"/>
        <w:spacing w:lineRule="auto" w:line="240"/>
        <w:jc w:val="center"/>
        <w:rPr/>
      </w:pPr>
      <w:r>
        <w:rPr/>
        <w:t xml:space="preserve">Il-Bord taċ-Ċittadini se jagħmel rakkomandazzjonijiet għall-Konferenza dwar il-Ġejjieni tal-Ewropa, 11–12 ta’ Marzu 2022 </w:t>
      </w:r>
    </w:p>
    <w:p>
      <w:pPr>
        <w:pStyle w:val="P68B1DB1Normal71"/>
        <w:widowControl w:val="false"/>
        <w:spacing w:lineRule="exact" w:line="916" w:before="147" w:after="0"/>
        <w:ind w:left="2234" w:right="0" w:hanging="0"/>
        <w:jc w:val="left"/>
        <w:rPr>
          <w:rFonts w:ascii="Arial" w:hAnsi="Arial"/>
          <w:color w:val="BD1271"/>
          <w:sz w:val="56"/>
        </w:rPr>
      </w:pPr>
      <w:r>
        <w:rPr/>
        <w:t xml:space="preserve">Rapport ta’ sinteżi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Ruma, 16 ta’ Marzu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42" descr=""/>
                    <pic:cNvPicPr>
                      <a:picLocks noChangeAspect="1" noChangeArrowheads="1"/>
                    </pic:cNvPicPr>
                  </pic:nvPicPr>
                  <pic:blipFill>
                    <a:blip r:embed="rId104"/>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Tabella ta’ Kontenut</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Prinċipji ta’ gwida għall-proċess ta’ organizzazzjoni tal-bord </w:t>
      </w:r>
    </w:p>
    <w:p>
      <w:pPr>
        <w:pStyle w:val="P68B1DB1Normal34"/>
        <w:widowControl w:val="false"/>
        <w:spacing w:lineRule="auto" w:line="240"/>
        <w:ind w:left="0" w:right="0" w:hanging="0"/>
        <w:jc w:val="left"/>
        <w:rPr/>
      </w:pPr>
      <w:r>
        <w:rPr/>
        <w:t xml:space="preserve"> </w:t>
      </w:r>
      <w:r>
        <w:rPr/>
        <w:t xml:space="preserve">Il-proċess kollu tal-implimentazzjoni tal-bord tfassal biex ikun konformi mal-gwida li tinsab fil-linji gwida għall-panels nazzjonali taċ-ċittadini fil-kuntest tal-Konferenza dwar il-Futur tal-Ewropa. B’mod aktar speċifiku: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Għan:</w:t>
      </w:r>
      <w:r>
        <w:rPr>
          <w:b/>
          <w:color w:val="000000"/>
        </w:rPr>
        <w:t xml:space="preserve"> </w:t>
      </w:r>
    </w:p>
    <w:p>
      <w:pPr>
        <w:pStyle w:val="P68B1DB1Normal34"/>
        <w:widowControl w:val="false"/>
        <w:spacing w:lineRule="auto" w:line="240"/>
        <w:ind w:left="720" w:right="0" w:hanging="0"/>
        <w:jc w:val="left"/>
        <w:rPr/>
      </w:pPr>
      <w:r>
        <w:rPr/>
        <w:t xml:space="preserve">Dawk kollha mistiedna jipparteċipaw fil-bord ikkompletaw kwestjonarju dwar il-parteċipazzjoni li fih l-objettivi u l-finijiet tal-proġett, b’referenzi speċifiċi għall-Konferenza dwar il-Futur tal-Ewropa, is-suġġetti koperti u l-modalitajiet tal-parteċipazzjoni.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Trasparenza: </w:t>
      </w:r>
    </w:p>
    <w:p>
      <w:pPr>
        <w:pStyle w:val="P68B1DB1Normal34"/>
        <w:widowControl w:val="false"/>
        <w:spacing w:lineRule="auto" w:line="240"/>
        <w:ind w:left="720" w:right="0" w:hanging="0"/>
        <w:jc w:val="left"/>
        <w:rPr/>
      </w:pPr>
      <w:r>
        <w:rPr/>
        <w:t xml:space="preserve">Id-dokumenti kollha li jippreżentaw l-inizjattiva kienu disponibbli għall-parteċipanti b’diversi mezzi, dejjem b’referenza għas-sit web uffiċjali tal-konferenza. Id-dokumenti ntbagħtu bil-posta elettronika lill-parteċipanti kollha.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Inklużività: </w:t>
      </w:r>
    </w:p>
    <w:p>
      <w:pPr>
        <w:pStyle w:val="P68B1DB1Normal75"/>
        <w:widowControl w:val="false"/>
        <w:spacing w:lineRule="auto" w:line="240"/>
        <w:ind w:left="708" w:right="0" w:hanging="0"/>
        <w:jc w:val="left"/>
        <w:rPr/>
      </w:pPr>
      <w:r>
        <w:rPr>
          <w:color w:val="000000"/>
        </w:rPr>
        <w:t xml:space="preserve">L-istedina għall-parteċipazzjoni ntbagħtet permezz ta’ mezzi differenti: pereżempju, email lill-membri tal-komunità </w:t>
      </w:r>
      <w:r>
        <w:rPr>
          <w:color w:val="ED7D31"/>
        </w:rPr>
        <w:t>SWG</w:t>
      </w:r>
      <w:r>
        <w:rPr>
          <w:color w:val="000000"/>
        </w:rPr>
        <w:t xml:space="preserve"> u jaqsmu l-link għall-formola ta ‘applikazzjoni permezz Twitter u LinkedIn. Dan irriżulta f’total ta’ aktar minn 400 aċċess għall-formola ta’ applikazzjoni u 245 applikazzjoni. L-għażla (aleatorja) tal-parteċipanti saret b’tali mod li tiggarantixxi l-preżenza ta’ persuni differenti ta’ sess, età, oriġini soċjali, post ta’ residenza u status professjonali.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Rappreżentanza: </w:t>
      </w:r>
    </w:p>
    <w:p>
      <w:pPr>
        <w:pStyle w:val="P68B1DB1Normal34"/>
        <w:widowControl w:val="false"/>
        <w:spacing w:lineRule="auto" w:line="240"/>
        <w:ind w:left="708" w:right="0" w:hanging="0"/>
        <w:jc w:val="left"/>
        <w:rPr/>
      </w:pPr>
      <w:r>
        <w:rPr/>
        <w:t xml:space="preserve">Għalkemm id-daqs tal-kampjun mhuwiex rappreżentattiv fis-sens statistiku, il-kampjun tfassal biex jikseb eteroġeneità massima fost il-parteċipanti sabiex jirriproduċi mikrokożmu tal-udjenza fil-mira.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Informazzjoni: </w:t>
      </w:r>
    </w:p>
    <w:p>
      <w:pPr>
        <w:pStyle w:val="Normal"/>
        <w:widowControl w:val="false"/>
        <w:spacing w:lineRule="auto" w:line="240"/>
        <w:ind w:left="720" w:right="0" w:hanging="0"/>
        <w:jc w:val="left"/>
        <w:rPr/>
      </w:pPr>
      <w:r>
        <w:rPr>
          <w:color w:val="000000"/>
        </w:rPr>
        <w:t xml:space="preserve">Il-parteċipanti kollha rċevew firxa wiesgħa ta’ informazzjoni dwar il-konferenza u dwar is-suġġetti diskussi matul il-bord. L-objettivi u l-modalitajiet tal-proġett ġew imfakkra lill-parteċipanti fil-parti introduttorja, skont il-prinċipji tan-newtralità u l-kompletezza. Il-parteċipanti kollha ngħataw l-opportunità li jitolbu aktar informazzjoni u dettalji dwar l-avveniment permezz tan-numri tat-telefon diretti tal-maniġers tal-proġett fi ħdan l- </w:t>
      </w:r>
      <w:r>
        <w:rPr>
          <w:color w:val="ED7D31"/>
        </w:rPr>
        <w:t>SWG</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Gruppi ta’ deliberazzjoni: </w:t>
      </w:r>
    </w:p>
    <w:p>
      <w:pPr>
        <w:pStyle w:val="P68B1DB1Normal76"/>
        <w:widowControl w:val="false"/>
        <w:spacing w:lineRule="auto" w:line="240"/>
        <w:ind w:left="720" w:right="0" w:hanging="0"/>
        <w:jc w:val="left"/>
        <w:rPr/>
      </w:pPr>
      <w:r>
        <w:rPr/>
        <w:t xml:space="preserve">L-għan ewlieni tal-proċess kollu kien li jiġu fformulati rakkomandazzjonijiet konkreti, kondiviżi b’mod wiesa’ mill-parteċipanti, li għandhom jiġu indirizzati lill-Unjoni Ewropea. Il-mod li bih ġie organizzat ix-xogħol u t-tmexxija tal-gruppi rriżulta fi proċess li jiffoka fuq il-ġbir tal-indikazzjonijiet tal-parteċipanti, it-trattament u s-sinteżi tagħhom, kif ukoll il-verifika u l-validazzjoni tagħhom mill-gruppi nfushom matul sessjoni ta’ ħidma sussegwenti.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Kalendarju: </w:t>
      </w:r>
    </w:p>
    <w:p>
      <w:pPr>
        <w:pStyle w:val="P68B1DB1Normal76"/>
        <w:widowControl w:val="false"/>
        <w:spacing w:lineRule="auto" w:line="240"/>
        <w:ind w:left="720" w:right="0" w:hanging="0"/>
        <w:jc w:val="left"/>
        <w:rPr/>
      </w:pPr>
      <w:r>
        <w:rPr/>
        <w:t xml:space="preserve">Matul is-sessjonijiet ta’ ħidma nħolqot atmosfera rilassata, li tat lill-parteċipanti l-ħin kollu meħtieġ biex japprofondixxu t-temi li dwarhom kienu ġew mistiedna jiddeliberaw, jesprimu l-fehmiet tagħhom u jisimgħu lil dawk ta’ oħrajn. Għall-istess raġuni, ġie deċiż li ż-żewġ gruppi ewlenin jinqasmu f’żewġ sottogruppi. Barra minn hekk, ix-xogħol kien mifrux fuq jumejn biex jippermetti li l-ideat ifformulati jiġu bbażati.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Segwitu:</w:t>
      </w:r>
      <w:r>
        <w:rPr>
          <w:color w:val="000000"/>
        </w:rPr>
        <w:t xml:space="preserve"> </w:t>
      </w:r>
    </w:p>
    <w:p>
      <w:pPr>
        <w:pStyle w:val="P68B1DB1Normal76"/>
        <w:widowControl w:val="false"/>
        <w:spacing w:lineRule="auto" w:line="240"/>
        <w:ind w:left="720" w:right="0" w:hanging="0"/>
        <w:jc w:val="left"/>
        <w:rPr/>
      </w:pPr>
      <w:r>
        <w:rPr/>
        <w:t xml:space="preserve">Fl-aħħar jum, il-gruppi kollha wettqu l-verifika u l-validazzjoni tal-ewwel abbozz ta’ rakkomandazzjonijiet li saru matul l-ewwel fażi tax-xogħol. Ladarba r-rapport dwar ir-riżultati ġie ppreżentat lid-Dipartiment Tematiku Ewropew tal-Presidenza tal-Kunsill tal-Ministri u l-awtorizzazzjoni tiegħu, il-verżjoni finali tar-rakkomandazzjonijiet intbagħtet lill-parteċipanti kollha tal-bord. Fi kwalunkwe każ, il-parteċipanti ġew mistiedna jkomplu jimmonitorjaw l-attivitajiet tal-konferenza fuq is-sit web u permezz tal-aġġornamenti li għandhom jiġu ppubblikati.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Integrità: </w:t>
      </w:r>
    </w:p>
    <w:p>
      <w:pPr>
        <w:pStyle w:val="Normal"/>
        <w:widowControl w:val="false"/>
        <w:spacing w:lineRule="auto" w:line="240"/>
        <w:ind w:left="720" w:right="0" w:hanging="0"/>
        <w:jc w:val="left"/>
        <w:rPr/>
      </w:pPr>
      <w:r>
        <w:rPr>
          <w:color w:val="000000"/>
        </w:rPr>
        <w:t xml:space="preserve">Il-proċess kollu tax-xogħol twettaq b’mod indipendenti mill- </w:t>
      </w:r>
      <w:r>
        <w:rPr>
          <w:color w:val="ED7D31"/>
        </w:rPr>
        <w:t>SWG</w:t>
      </w:r>
      <w:r>
        <w:rPr>
          <w:color w:val="000000"/>
        </w:rPr>
        <w:t xml:space="preserve">, skont il-missjoni riċevuta. Id-Dipartiment Tematiku Ewropew tal-Presidenza tal-Kunsill tal-Ministri kien kontinwament infurmat dwar id-diversi stadji tal-inizjattiva u r-riżultati. </w:t>
      </w:r>
    </w:p>
    <w:p>
      <w:pPr>
        <w:pStyle w:val="P68B1DB1Normal74"/>
        <w:widowControl w:val="false"/>
        <w:spacing w:lineRule="auto" w:line="240"/>
        <w:ind w:left="361" w:right="0" w:hanging="0"/>
        <w:jc w:val="left"/>
        <w:rPr/>
      </w:pPr>
      <w:r>
        <w:rPr>
          <w:rFonts w:ascii="Symbol" w:hAnsi="Symbol"/>
        </w:rPr>
        <w:t xml:space="preserve">• </w:t>
      </w:r>
      <w:r>
        <w:rPr>
          <w:rFonts w:ascii="Symbol" w:hAnsi="Symbol"/>
        </w:rPr>
        <w:t>Il</w:t>
      </w:r>
      <w:r>
        <w:rPr/>
        <w:t xml:space="preserve"> </w:t>
      </w:r>
      <w:r>
        <w:rPr>
          <w:b/>
        </w:rPr>
        <w:t xml:space="preserve">-protezzjoni tal-privatezza: </w:t>
      </w:r>
    </w:p>
    <w:p>
      <w:pPr>
        <w:pStyle w:val="P68B1DB1Normal76"/>
        <w:widowControl w:val="false"/>
        <w:spacing w:lineRule="auto" w:line="240"/>
        <w:ind w:left="721" w:right="0" w:hanging="0"/>
        <w:jc w:val="left"/>
        <w:rPr/>
      </w:pPr>
      <w:r>
        <w:rPr/>
        <w:t xml:space="preserve">Il-privatezza tal-parteċipanti kienet garantita bis-sħiħ. Sabiex ikunu eliġibbli biex jipparteċipaw fil-bord, il-kandidati kollha kellhom jiffirmaw il-formola ta’ kunsens informat meħtieġa mil-liġi.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Klassifikazzjoni: </w:t>
      </w:r>
    </w:p>
    <w:p>
      <w:pPr>
        <w:pStyle w:val="P68B1DB1Normal76"/>
        <w:widowControl w:val="false"/>
        <w:spacing w:lineRule="auto" w:line="240"/>
        <w:ind w:left="721" w:right="0" w:hanging="0"/>
        <w:jc w:val="left"/>
        <w:rPr>
          <w:rFonts w:ascii="Arial" w:hAnsi="Arial"/>
          <w:color w:val="000000"/>
          <w:sz w:val="22"/>
        </w:rPr>
      </w:pPr>
      <w:r>
        <w:rPr/>
        <w:t xml:space="preserve">Fi tmiem il-proċess, intbagħat kwestjonarju lill-parteċipanti kollha biex jivvalutaw l-esperjenza tagħhom. Ir-riżultati huma miġbura fil-qosor f’dan ir-rapport. </w:t>
      </w:r>
    </w:p>
    <w:p>
      <w:pPr>
        <w:pStyle w:val="P68B1DB1Titre277"/>
        <w:numPr>
          <w:ilvl w:val="0"/>
          <w:numId w:val="2"/>
        </w:numPr>
        <w:rPr>
          <w:color w:val="BD1271"/>
        </w:rPr>
      </w:pPr>
      <w:bookmarkStart w:id="217" w:name="__RefHeading___Toc300310_1346298689"/>
      <w:bookmarkEnd w:id="217"/>
      <w:r>
        <w:rPr/>
        <w:t xml:space="preserve">2. L-għażla tal-parteċipanti u l-modalità tal-parteċipazzjoni </w:t>
      </w:r>
    </w:p>
    <w:p>
      <w:pPr>
        <w:pStyle w:val="P68B1DB1Normal74"/>
        <w:widowControl w:val="false"/>
        <w:spacing w:lineRule="auto" w:line="240" w:before="208" w:after="0"/>
        <w:ind w:left="0" w:right="0" w:hanging="0"/>
        <w:jc w:val="left"/>
        <w:rPr>
          <w:rFonts w:ascii="Arial" w:hAnsi="Arial"/>
          <w:color w:val="2E74B5"/>
          <w:sz w:val="22"/>
        </w:rPr>
      </w:pPr>
      <w:r>
        <w:rPr/>
        <w:t xml:space="preserve">Għażla </w:t>
      </w:r>
    </w:p>
    <w:p>
      <w:pPr>
        <w:pStyle w:val="P68B1DB1Normal76"/>
        <w:widowControl w:val="false"/>
        <w:spacing w:lineRule="auto" w:line="240" w:before="90" w:after="0"/>
        <w:ind w:left="0" w:right="6" w:hanging="0"/>
        <w:jc w:val="left"/>
        <w:rPr/>
      </w:pPr>
      <w:r>
        <w:rPr/>
        <w:t xml:space="preserve">L-għan tal-fażi ta’ komunikazzjoni ta’ qabel l-avveniment kien li jintgħażlu mill-inqas 50 ċittadin Taljan interessati li jipparteċipaw fl-inizjattiva. </w:t>
      </w:r>
    </w:p>
    <w:p>
      <w:pPr>
        <w:pStyle w:val="Normal"/>
        <w:widowControl w:val="false"/>
        <w:spacing w:lineRule="auto" w:line="240" w:before="90" w:after="0"/>
        <w:ind w:left="0" w:right="4" w:hanging="0"/>
        <w:jc w:val="both"/>
        <w:rPr/>
      </w:pPr>
      <w:r>
        <w:rPr>
          <w:color w:val="000000"/>
        </w:rPr>
        <w:t xml:space="preserve">Għal dan il-għan, inħolqot formola qasira ta’ awtoapplikazzjoni fil-forma ta’ kwestjonarju li għandu jimtela online fuq il-pjattaforma tal- </w:t>
      </w:r>
      <w:r>
        <w:rPr>
          <w:color w:val="ED7D31"/>
        </w:rPr>
        <w:t>SWG</w:t>
      </w:r>
      <w:r>
        <w:rPr>
          <w:color w:val="000000"/>
        </w:rPr>
        <w:t xml:space="preserve">, li permezz tagħha dawk kollha interessati li jipparteċipaw fl-inizjattiva setgħu japplikaw, li tindika d-data meħtieġa li tiddaħħal fil-gruppi li minnhom intgħażlu l-parteċipanti b’mod aleatorju. Il-kundizzjonijiet meħtieġa għall-parteċipazzjoni kienu: ikollhom konnessjoni tal-internet, apparat mgħammar b’mikrofonu u vidjokamera, kif ukoll jiffirmaw il-karta tal-konferenza.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4" descr=""/>
                    <pic:cNvPicPr>
                      <a:picLocks noChangeAspect="1" noChangeArrowheads="1"/>
                    </pic:cNvPicPr>
                  </pic:nvPicPr>
                  <pic:blipFill>
                    <a:blip r:embed="rId105"/>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9">
            <wp:simplePos x="0" y="0"/>
            <wp:positionH relativeFrom="column">
              <wp:posOffset>49530</wp:posOffset>
            </wp:positionH>
            <wp:positionV relativeFrom="paragraph">
              <wp:posOffset>958850</wp:posOffset>
            </wp:positionV>
            <wp:extent cx="287020" cy="287020"/>
            <wp:effectExtent l="0" t="0" r="0" b="0"/>
            <wp:wrapSquare wrapText="largest"/>
            <wp:docPr id="101"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43" descr=""/>
                    <pic:cNvPicPr>
                      <a:picLocks noChangeAspect="1" noChangeArrowheads="1"/>
                    </pic:cNvPicPr>
                  </pic:nvPicPr>
                  <pic:blipFill>
                    <a:blip r:embed="rId106"/>
                    <a:stretch>
                      <a:fillRect/>
                    </a:stretch>
                  </pic:blipFill>
                  <pic:spPr bwMode="auto">
                    <a:xfrm>
                      <a:off x="0" y="0"/>
                      <a:ext cx="287020" cy="287020"/>
                    </a:xfrm>
                    <a:prstGeom prst="rect">
                      <a:avLst/>
                    </a:prstGeom>
                  </pic:spPr>
                </pic:pic>
              </a:graphicData>
            </a:graphic>
          </wp:anchor>
        </w:drawing>
      </w:r>
      <w:r>
        <w:rPr>
          <w:color w:val="000000"/>
        </w:rPr>
        <w:t>I</w:t>
      </w:r>
      <w:r>
        <w:rPr>
          <w:color w:val="000000"/>
        </w:rPr>
        <w:t>l-formola ta’ applikazzjoni tqassmet fuq in-netwerks soċjali mill-kontijiet ta’</w:t>
      </w:r>
      <w:r>
        <w:rPr>
          <w:color w:val="ED7D31"/>
        </w:rPr>
        <w:t>SWG</w:t>
      </w:r>
      <w:r>
        <w:rPr>
          <w:color w:val="000000"/>
        </w:rPr>
        <w:t xml:space="preserve">. Għal dan il-għan, sitt postijiet ġew stazzjonati fuq Twitter u wieħed fuq LinkedIn, bir-riżultati li ġejjin: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Netwerk soċjali</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Data ta’ skadenza</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Għadd ta’ fehmiet</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Aċċess għall-formola ta’ applikazzjoni</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postijiet bejn it-8 u l-10 ta’ Marzu</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kariga fit-8 ta’ Marzu</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Fl-istess ħin, il-membri tal-komunità </w:t>
      </w:r>
      <w:r>
        <w:rPr>
          <w:color w:val="ED7D31"/>
        </w:rPr>
        <w:t>SWG</w:t>
      </w:r>
      <w:r>
        <w:rPr>
          <w:color w:val="000000"/>
        </w:rPr>
        <w:t xml:space="preserve"> ġew mistiedna japplikaw, f’konformità ma’ strateġija ta’ stedina mmirata biex tiżgura rappreżentanza massima tal-popolazzjoni Taljana, mhux biss f’termini ta’ karatteristiċi soċjali, iżda wkoll f’termini ta’ ideat, orjentazzjonijiet kulturali u valuri. </w:t>
      </w:r>
    </w:p>
    <w:p>
      <w:pPr>
        <w:pStyle w:val="P68B1DB1Normal76"/>
        <w:widowControl w:val="false"/>
        <w:spacing w:lineRule="exact" w:line="253" w:before="71" w:after="0"/>
        <w:ind w:left="1" w:right="0" w:hanging="0"/>
        <w:jc w:val="both"/>
        <w:rPr/>
      </w:pPr>
      <w:r>
        <w:rPr/>
        <w:t xml:space="preserve">L-applikazzjonijiet jistgħu jitressqu bejn it-8 ta’ Marzu fit-8 a.m. u l-10 ta’ Marzu 2022 fl-4 p.m. B’kollox, il-proċess iġġenera 420 aċċess għall-formola tal-applikazzjoni u waslu 225 applikazzjoni sħiħa. </w:t>
      </w:r>
    </w:p>
    <w:p>
      <w:pPr>
        <w:pStyle w:val="P68B1DB1Normal76"/>
        <w:widowControl w:val="false"/>
        <w:spacing w:lineRule="exact" w:line="253" w:before="67" w:after="0"/>
        <w:ind w:left="1" w:right="2" w:hanging="0"/>
        <w:jc w:val="both"/>
        <w:rPr/>
      </w:pPr>
      <w:r>
        <w:rPr/>
        <w:t xml:space="preserve">Total ta’ </w:t>
      </w:r>
      <w:r>
        <w:rPr>
          <w:b/>
        </w:rPr>
        <w:t>140 persuna</w:t>
      </w:r>
      <w:r>
        <w:rPr/>
        <w:t xml:space="preserve"> kienu fil-fatt eliġibbli, li minnhom 70 intgħażlu fuq il-bażi ta’ kriterju biex tiġi żgurata preżenza bbilanċjata f’termini ta’ sess, distribuzzjoni ġeografika, età u kisba edukattiva. </w:t>
      </w:r>
    </w:p>
    <w:p>
      <w:pPr>
        <w:pStyle w:val="P68B1DB1Normal76"/>
        <w:widowControl w:val="false"/>
        <w:spacing w:lineRule="exact" w:line="253" w:before="73" w:after="0"/>
        <w:ind w:left="1" w:right="1" w:hanging="0"/>
        <w:jc w:val="both"/>
        <w:rPr/>
      </w:pPr>
      <w:r>
        <w:rPr/>
        <w:t xml:space="preserve">Fil-kuntest tal-proċedura tal-għażla, ingħatat attenzjoni partikolari għall-prinċipju ta’ probabbiltà ġusta fl-għażla tal-parteċipanti, flimkien ma’ proċeduri bbażati fuq kriterju aleatorju. </w:t>
      </w:r>
    </w:p>
    <w:p>
      <w:pPr>
        <w:pStyle w:val="P68B1DB1Normal76"/>
        <w:widowControl w:val="false"/>
        <w:spacing w:lineRule="exact" w:line="253" w:before="71" w:after="0"/>
        <w:ind w:left="1" w:right="0" w:hanging="0"/>
        <w:jc w:val="both"/>
        <w:rPr/>
      </w:pPr>
      <w:r>
        <w:rPr/>
        <w:t xml:space="preserve">In-natura aleatorja tal-għażla kienet element ċentrali tal-proġett biex tiġi żgurata l-ġustizzja tal-proċess ta’ aċċess. Madankollu, fl-ispirtu tal-inizjattiva, deher importanti li tiġi stabbilita strateġija mmirata mhux biss lejn l-involviment ta’ kemm jista’ jkun nies, iżda wkoll lejn l-iżgurar ta’ eteroġeneità massima tal-persuni magħżula sabiex tiġi promossa l-akbar inklużività.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Fil-qosor, id-distribuzzjoni tal-persuni eliġibbli kienet kif ġej:</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Formola 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7"/>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Distribuzzjoni ta’ kandidati eliġibbli</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sess</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grupp ta’ età</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 bejn it-18 u l-34 sena</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sena</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Età ta’ 65–75 sena</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Livell ta’ edukazzjoni</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Baxxa</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Grigal</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Kulleġġ, edukazzjoni vokazzjonali</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Medja ta’</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L-iskola għolja</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Mgħollija</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Grad ta’ baċellerat, grad ta’ masters jew aktar</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Il-Majjistral</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Żona ta’ residenza</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iċ-ċentru ta’</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In-Nofsinhar u l-Gżejjer</w:t>
                              </w:r>
                            </w:p>
                          </w:txbxContent>
                        </wps:txbx>
                        <wps:bodyPr lIns="90000" rIns="90000" tIns="45000" bIns="45000">
                          <a:noAutofit/>
                        </wps:bodyPr>
                      </wps:wsp>
                    </wpg:wgp>
                  </a:graphicData>
                </a:graphic>
              </wp:anchor>
            </w:drawing>
          </mc:Choice>
          <mc:Fallback>
            <w:pict>
              <v:group id="shape_0" alt="Formola 4" style="position:absolute;margin-left:0pt;margin-top:10.45pt;width:477.1pt;height:297.25pt" coordorigin="0,209" coordsize="9542,5945">
                <v:shape id="shape_0" stroked="f" style="position:absolute;left:0;top:976;width:9526;height:5177" type="shapetype_75">
                  <v:imagedata r:id="rId107"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Distribuzzjoni ta’ kandidati eliġibbli</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sess</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grupp ta’ età</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 bejn it-18 u l-34 sena</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sena</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Età ta’ 65–75 sena</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Livell ta’ edukazzjoni</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Baxxa</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Grigal</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Kulleġġ, edukazzjoni vokazzjonali</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Medja ta’</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L-iskola għolja</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Mgħollija</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Grad ta’ baċellerat, grad ta’ masters jew aktar</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Il-Majjistral</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Żona ta’ residenza</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iċ-ċentru ta’</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In-Nofsinhar u l-Gżejjer</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Ladarba s-70 kandidat intgħażlu, filgħodu stess tal-avveniment, huma rċevew telefonata biex jikkonfermaw il-parteċipazzjoni tagħhom. Dawn is-sejħiet saru miċ-ċentru ta’ kuntatt tal- </w:t>
      </w:r>
      <w:r>
        <w:rPr>
          <w:color w:val="ED7D31"/>
        </w:rPr>
        <w:t>SWG</w:t>
      </w:r>
      <w:r>
        <w:rPr>
          <w:color w:val="000000"/>
        </w:rPr>
        <w:t xml:space="preserve"> bl-użu tal-metodu CATI (Stħarriġ tat-Telefown Megħjun mill-Kompjuter). Fl-aħħar ta’ din il-fażi, total ta’ 59 persuna kkonfermaw il-parteċipazzjoni tagħhom u ġew irreġistrati. </w:t>
      </w:r>
      <w:r>
        <w:rPr>
          <w:b/>
          <w:color w:val="BD1271"/>
        </w:rPr>
        <w:t>Minn dawn, 55 ipparteċipaw b’mod attiv fil-bord.</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Id-distribuzzjoni soċjali u tal-grupp ta’ età tal-membri tal-bord kienet kif ġej: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Formola 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8"/>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Distribuzzjoni ta’ parteċipanti attivi</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sess</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grupp ta’ età</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 bejn it-18 u l-34 sena</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sena</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Età ta’ 65–75 sena</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Livell ta’ edukazzjoni</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Baxxa</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Grigal</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Kulleġġ, edukazzjoni vokazzjonali</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Medja ta’</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L-iskola għolja</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Mgħollija</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Grad ta’ baċellerat, grad ta’ masters jew aktar</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Il-Majjistral</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Żona ta’ residenza</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iċ-ċentru ta’</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In-Nofsinhar u l-Gżejjer</w:t>
                              </w:r>
                            </w:p>
                          </w:txbxContent>
                        </wps:txbx>
                        <wps:bodyPr lIns="90000" rIns="90000" tIns="45000" bIns="45000">
                          <a:noAutofit/>
                        </wps:bodyPr>
                      </wps:wsp>
                    </wpg:wgp>
                  </a:graphicData>
                </a:graphic>
              </wp:anchor>
            </w:drawing>
          </mc:Choice>
          <mc:Fallback>
            <w:pict>
              <v:group id="shape_0" alt="Formola 5" style="position:absolute;margin-left:0.05pt;margin-top:3.25pt;width:484.8pt;height:285.3pt" coordorigin="1,65" coordsize="9696,5706">
                <v:shape id="shape_0" stroked="f" style="position:absolute;left:1;top:787;width:9545;height:4982" type="shapetype_75">
                  <v:imagedata r:id="rId108"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Distribuzzjoni ta’ parteċipanti attivi</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sess</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grupp ta’ età</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 bejn it-18 u l-34 sena</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sena</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Età ta’ 65–75 sena</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Livell ta’ edukazzjoni</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Baxxa</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Grigal</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Kulleġġ, edukazzjoni vokazzjonali</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Medja ta’</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L-iskola għolja</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Mgħollija</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Grad ta’ baċellerat, grad ta’ masters jew aktar</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Il-Majjistral</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Żona ta’ residenza</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iċ-ċentru ta’</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In-Nofsinhar u l-Gżejjer</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Dawn huma r-riżultati tal-istadji tal-proċess tal-għażla: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Formola 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9"/>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Il-proċess ta’ applikazzjoni</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Aċċess għall-formola ta’ applikazzjoni</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Applikazzjonijiet sħaħ</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Kandidati eliġibbli</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Ammessi għall-panel</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Parteċipanti attivi</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ta’ Marzu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ta’ Marzu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ta’ Marzu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ta’ Marzu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ta’ Marzu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ta’ Marzu 2022</w:t>
                              </w:r>
                            </w:p>
                          </w:txbxContent>
                        </wps:txbx>
                        <wps:bodyPr lIns="90000" rIns="90000" tIns="45000" bIns="45000">
                          <a:noAutofit/>
                        </wps:bodyPr>
                      </wps:wsp>
                    </wpg:wgp>
                  </a:graphicData>
                </a:graphic>
              </wp:anchor>
            </w:drawing>
          </mc:Choice>
          <mc:Fallback>
            <w:pict>
              <v:group id="shape_0" alt="Formola 6" style="position:absolute;margin-left:0.8pt;margin-top:11.4pt;width:476.1pt;height:286.6pt" coordorigin="16,228" coordsize="9522,5732">
                <v:shape id="shape_0" stroked="f" style="position:absolute;left:2410;top:949;width:4571;height:5010" type="shapetype_75">
                  <v:imagedata r:id="rId109"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Il-proċess ta’ applikazzjoni</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Aċċess għall-formola ta’ applikazzjoni</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Applikazzjonijiet sħaħ</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Kandidati eliġibbli</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Ammessi għall-panel</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Parteċipanti attivi</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ta’ Marzu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ta’ Marzu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ta’ Marzu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ta’ Marzu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ta’ Marzu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ta’ Marzu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Tagħmir ta’ komunikazzjoni </w:t>
      </w:r>
    </w:p>
    <w:p>
      <w:pPr>
        <w:pStyle w:val="P68B1DB1Normal76"/>
        <w:widowControl w:val="false"/>
        <w:spacing w:lineRule="exact" w:line="379" w:before="200" w:after="0"/>
        <w:ind w:left="0" w:right="2" w:hanging="0"/>
        <w:jc w:val="left"/>
        <w:rPr/>
      </w:pPr>
      <w:r>
        <w:rPr/>
        <w:t xml:space="preserve">Sabiex jiġi żgurat livell għoli ta’ motivazzjoni u parteċipazzjoni mill-bidu nett, id-dokumenti li ġejjin saru disponibbli għall-parteċipanti kollha: </w:t>
      </w:r>
    </w:p>
    <w:p>
      <w:pPr>
        <w:pStyle w:val="P68B1DB1Normal76"/>
        <w:widowControl w:val="false"/>
        <w:spacing w:lineRule="exact" w:line="252" w:before="192" w:after="0"/>
        <w:ind w:left="720" w:right="0" w:hanging="0"/>
        <w:jc w:val="left"/>
        <w:rPr/>
      </w:pPr>
      <w:r>
        <w:rPr/>
        <w:t xml:space="preserve">• </w:t>
      </w:r>
      <w:r>
        <w:rPr>
          <w:b/>
        </w:rPr>
        <w:t xml:space="preserve">id-dokumenti ta’ preżentazzjoni tal-Konferenza dwar il-Futur tal-Ewropa u l-panels nazzjonali; </w:t>
      </w:r>
    </w:p>
    <w:p>
      <w:pPr>
        <w:pStyle w:val="P68B1DB1Normal76"/>
        <w:widowControl w:val="false"/>
        <w:spacing w:lineRule="exact" w:line="379"/>
        <w:ind w:left="720" w:right="0" w:hanging="0"/>
        <w:jc w:val="left"/>
        <w:rPr/>
      </w:pPr>
      <w:r>
        <w:rPr/>
        <w:t xml:space="preserve">• </w:t>
      </w:r>
      <w:r>
        <w:rPr>
          <w:b/>
        </w:rPr>
        <w:t xml:space="preserve">il-Karta tal-Konferenza dwar il-Futur tal-Ewropa; </w:t>
      </w:r>
    </w:p>
    <w:p>
      <w:pPr>
        <w:pStyle w:val="P68B1DB1Normal76"/>
        <w:widowControl w:val="false"/>
        <w:spacing w:lineRule="exact" w:line="379"/>
        <w:ind w:left="720" w:right="0" w:hanging="0"/>
        <w:jc w:val="left"/>
        <w:rPr/>
      </w:pPr>
      <w:r>
        <w:rPr/>
        <w:t xml:space="preserve">• </w:t>
      </w:r>
      <w:r>
        <w:rPr/>
        <w:t xml:space="preserve">is </w:t>
      </w:r>
      <w:r>
        <w:rPr>
          <w:b/>
        </w:rPr>
        <w:t xml:space="preserve">-suġġetti li għandhom jiġu diskussi matul il-panels; </w:t>
      </w:r>
    </w:p>
    <w:p>
      <w:pPr>
        <w:pStyle w:val="P68B1DB1Normal76"/>
        <w:widowControl w:val="false"/>
        <w:spacing w:lineRule="exact" w:line="379"/>
        <w:ind w:left="721" w:right="0" w:hanging="0"/>
        <w:jc w:val="left"/>
        <w:rPr/>
      </w:pPr>
      <w:r>
        <w:rPr/>
        <w:t xml:space="preserve">• </w:t>
      </w:r>
      <w:r>
        <w:rPr>
          <w:b/>
        </w:rPr>
        <w:t xml:space="preserve">informazzjoni teknika u organizzattiva meħtieġa għall-parteċipazzjoni. </w:t>
      </w:r>
    </w:p>
    <w:p>
      <w:pPr>
        <w:pStyle w:val="P68B1DB1Titre277"/>
        <w:numPr>
          <w:ilvl w:val="0"/>
          <w:numId w:val="2"/>
        </w:numPr>
        <w:rPr>
          <w:color w:val="BD1271"/>
        </w:rPr>
      </w:pPr>
      <w:bookmarkStart w:id="218" w:name="__RefHeading___Toc300312_1346298689"/>
      <w:bookmarkEnd w:id="218"/>
      <w:r>
        <w:rPr/>
        <w:t xml:space="preserve">3. Organizzazzjoni tal-bord </w:t>
      </w:r>
    </w:p>
    <w:p>
      <w:pPr>
        <w:pStyle w:val="P68B1DB1Normal76"/>
        <w:widowControl w:val="false"/>
        <w:spacing w:lineRule="exact" w:line="272" w:before="231" w:after="0"/>
        <w:ind w:left="0" w:right="0" w:hanging="0"/>
        <w:jc w:val="both"/>
        <w:rPr/>
      </w:pPr>
      <w:r>
        <w:rPr/>
        <w:t xml:space="preserve">Sabiex jippermetti parteċipazzjoni massima, inklużi persuni b’impenji professjonali, il-bord ġie organizzat fuq żewġ nofstanhari konsekuttivi, inkluż wieħed fi tmiem il-ġimgħa, skont l-iskeda ta’ żmien li ġejja: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Il-Ġimgħa 11 ta’ Marzu mill-4 sat-8 p.m.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Is-Sibt 12 ta’ Marzu mill-10 am sa 12 pm </w:t>
      </w:r>
    </w:p>
    <w:p>
      <w:pPr>
        <w:pStyle w:val="Normal"/>
        <w:widowControl w:val="false"/>
        <w:spacing w:lineRule="exact" w:line="286" w:before="83" w:after="0"/>
        <w:ind w:left="0" w:right="1" w:hanging="0"/>
        <w:jc w:val="both"/>
        <w:rPr/>
      </w:pPr>
      <w:r>
        <w:rPr>
          <w:color w:val="000000"/>
        </w:rPr>
        <w:t xml:space="preserve">Din l-għażla kienet maħsuba, minn naħa waħda, biex tiffaċilita l-parteċipazzjoni tal-ħaddiema fl-inizjattiva u, min-naħa l-oħra, biex taqsam il-ħin tal-attendenza biex tinkoraġġixxi aktar attenzjoni u parteċipazzjoni, kif ukoll riflessjoni ulterjuri dwar it-temi u l-proposti ppreżentati. Il-parteċipanti tal-panel konnessi maż-żewġ sessjonijiet ta’ ħidma bl-użu tal-pjattaforma GoToMeeting u kienu maqsuma f’erba’ gruppi (tnejn għal kull qasam tematiku), immexxija minn moderatur tal- </w:t>
      </w:r>
      <w:r>
        <w:rPr>
          <w:color w:val="ED7D31"/>
        </w:rPr>
        <w:t>SWG</w:t>
      </w:r>
      <w:r>
        <w:rPr>
          <w:color w:val="000000"/>
        </w:rPr>
        <w:t xml:space="preserve"> u assistenti ta’ persuna responsabbli għall-kitba tal-proċedimenti. Il-moderaturi ffaċilitaw il-gruppi permezz ta’ żewġ toroq differenti għad-diskussjoni (waħda għal kull qasam tematiku), bil-għan li jinvolvu kemm jista’ jkun lin-nies kollha magħżula u jiżguraw approċċ ibbażat fuq l-inklużjoni massima u n-newtralità. </w:t>
      </w:r>
    </w:p>
    <w:p>
      <w:pPr>
        <w:pStyle w:val="Titre2"/>
        <w:numPr>
          <w:ilvl w:val="1"/>
          <w:numId w:val="2"/>
        </w:numPr>
        <w:rPr/>
      </w:pPr>
      <w:bookmarkStart w:id="219" w:name="__RefHeading___Toc300314_1346298689"/>
      <w:bookmarkEnd w:id="219"/>
      <w:r>
        <w:rPr>
          <w:color w:val="BD1271"/>
        </w:rPr>
        <w:t>4. Programm ta’ ħidma</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L-ewwel sessjoni (il-Ġimgħa 11 ta’ Marzu 2022) </w:t>
      </w:r>
    </w:p>
    <w:p>
      <w:pPr>
        <w:pStyle w:val="P68B1DB1Normal76"/>
        <w:widowControl w:val="false"/>
        <w:spacing w:lineRule="exact" w:line="362" w:before="208" w:after="0"/>
        <w:ind w:left="360" w:right="0" w:hanging="0"/>
        <w:jc w:val="left"/>
        <w:rPr/>
      </w:pPr>
      <w:r>
        <w:rPr/>
        <w:t xml:space="preserve">• </w:t>
      </w:r>
      <w:r>
        <w:rPr/>
        <w:t xml:space="preserve">00 p.m. — Ftuħ tal-kamra virtwali u l-possibbiltà għall-parteċipanti li jaqbdu mal-pjattaforma biex jivverifikaw il-funzjonament xieraq tas-sistemi awdjo u vidjo tagħhom. </w:t>
      </w:r>
    </w:p>
    <w:p>
      <w:pPr>
        <w:pStyle w:val="P68B1DB1Normal76"/>
        <w:widowControl w:val="false"/>
        <w:spacing w:lineRule="exact" w:line="362"/>
        <w:ind w:left="360" w:right="0" w:hanging="0"/>
        <w:jc w:val="left"/>
        <w:rPr/>
      </w:pPr>
      <w:r>
        <w:rPr/>
        <w:t xml:space="preserve">• </w:t>
      </w:r>
      <w:r>
        <w:rPr/>
        <w:t xml:space="preserve">16:00 — Introduzzjoni minn moderatur: spjegazzjoni tar-raġunijiet wara l-inizjattiva u deskrizzjoni tal-istruttura tax-xogħol.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 p.m. — Distribuzzjoni ta’ parteċipanti fi gruppi abbażi tal-preferenzi indikati matul il-fażi tal-applikazzjoni.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Bidu tad-diskussjoni tal-grupp.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20.00 p.m. — Tmiem is-sessjoni. </w:t>
      </w:r>
    </w:p>
    <w:p>
      <w:pPr>
        <w:pStyle w:val="P68B1DB1Normal80"/>
        <w:widowControl w:val="false"/>
        <w:spacing w:lineRule="exact" w:line="393" w:before="248" w:after="0"/>
        <w:ind w:left="0" w:right="0" w:hanging="0"/>
        <w:jc w:val="left"/>
        <w:rPr>
          <w:rFonts w:ascii="Arial" w:hAnsi="Arial"/>
          <w:color w:val="116E9A"/>
          <w:sz w:val="24"/>
        </w:rPr>
      </w:pPr>
      <w:r>
        <w:rPr/>
        <w:t xml:space="preserve">It-tieni sessjoni (is-Sibt 12 ta’ Marzu 2022)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L-10 a.m. — Is-suppożizzjoni ta’ xogħol billi taqra r-riżultati tax-xogħol tal-ewwel jum. </w:t>
      </w:r>
    </w:p>
    <w:p>
      <w:pPr>
        <w:pStyle w:val="P68B1DB1Normal76"/>
        <w:widowControl w:val="false"/>
        <w:spacing w:lineRule="exact" w:line="254"/>
        <w:ind w:left="360" w:right="140" w:hanging="0"/>
        <w:jc w:val="left"/>
        <w:rPr/>
      </w:pPr>
      <w:r>
        <w:rPr/>
        <w:t xml:space="preserve">• </w:t>
      </w:r>
      <w:r>
        <w:rPr/>
        <w:t xml:space="preserve">10.15 a.m. — Diskussjoni kontinwa, diskussjonijiet fil-fond u kummenti mill-parteċipanti. </w:t>
      </w:r>
    </w:p>
    <w:p>
      <w:pPr>
        <w:pStyle w:val="Normal"/>
        <w:widowControl w:val="false"/>
        <w:spacing w:lineRule="exact" w:line="362"/>
        <w:ind w:left="360" w:right="0" w:hanging="0"/>
        <w:jc w:val="left"/>
        <w:rPr/>
      </w:pPr>
      <w:r>
        <w:rPr>
          <w:color w:val="000000"/>
        </w:rPr>
        <w:t xml:space="preserve">• </w:t>
      </w:r>
      <w:r>
        <w:rPr>
          <w:color w:val="000000"/>
        </w:rPr>
        <w:t>12.00 — Konklużjoni tax-xogħol</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45" descr=""/>
                    <pic:cNvPicPr>
                      <a:picLocks noChangeAspect="1" noChangeArrowheads="1"/>
                    </pic:cNvPicPr>
                  </pic:nvPicPr>
                  <pic:blipFill>
                    <a:blip r:embed="rId110"/>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Rakkomandazzjonijiet magħmula </w:t>
      </w:r>
    </w:p>
    <w:p>
      <w:pPr>
        <w:pStyle w:val="Titre3"/>
        <w:numPr>
          <w:ilvl w:val="2"/>
          <w:numId w:val="2"/>
        </w:numPr>
        <w:rPr/>
      </w:pPr>
      <w:bookmarkStart w:id="221" w:name="__RefHeading___Toc300318_1346298689"/>
      <w:bookmarkEnd w:id="221"/>
      <w:r>
        <w:rPr>
          <w:color w:val="FFFFFF"/>
          <w:shd w:fill="0066B3" w:val="clear"/>
        </w:rPr>
        <w:t>Ekonomija aktar b’saħħitha, ġustizzja soċjali u impjiegi</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Negħlbu l-mudell tal-produzzjoni tas-seklu li għadda </w:t>
      </w:r>
    </w:p>
    <w:p>
      <w:pPr>
        <w:pStyle w:val="P68B1DB1Normal76"/>
        <w:widowControl w:val="false"/>
        <w:spacing w:lineRule="auto" w:line="240" w:before="80" w:after="0"/>
        <w:ind w:left="0" w:right="1" w:hanging="0"/>
        <w:jc w:val="both"/>
        <w:rPr/>
      </w:pPr>
      <w:r>
        <w:rPr/>
        <w:t xml:space="preserve">Il-parteċipanti tal-panel ħassew li l-aħħar avvenimenti globali (il-pandemija tal-COVID-19 u l-kunflitt bejn ir-Russja u l-Ukrajna) urew b’mod ċar il-limitazzjonijiet tal-mudell ta’ produzzjoni Ewropew attwali u enfasizzaw il-ħtieġa li jiġi rivedut approċċ li ħafna jiddeskrivu bħala “li jappartjenu għas-seklu li għadda”.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L-evidenza tad-dipendenza tal-Ewropa fuq l-importazzjonijiet tal-enerġija u l-ikel minn pajjiżi barra l-Unjoni Ewropea, kif ukoll l-iskoperta (matul il-pandemija) li ma nistgħux nipproduċu waħedhom l-ammont ta’ apparat mediku u vaċċini meħtieġa biex jiġi miġġieled it-tixrid tal-virus, taw lok għall-impressjoni li s-sistema ekonomika tagħna qed tbati minn dgħufija strutturali minħabba nuqqas ta’ awtosuffiċjenza.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Fl-istess ħin, il-parteċipanti jemmnu b’mod ċar li ekonomija aktar b’saħħitha, kapaċi li toħloq impjiegi f’kuntest ta’ ġustizzja soċjali, għandha tkun tista’ takkwista assi teknoloġiċi importanti. Sabiex dan isir, huwa essenzjali li tiġi appoġġjata sistema edukattiva b’attenzjoni dejjem akbar għas-suġġetti relatati mas-STEM.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b/>
        </w:rPr>
        <w:t>L-innovazzjoni teknoloġika, l-enerġija sostenibbli, iżda wkoll it-turiżmu u l-kultura</w:t>
      </w:r>
      <w:r>
        <w:rPr/>
        <w:t xml:space="preserve"> jidhru li huma tliet assi fundamentali għall-iżvilupp tal-ekonomija Ewropea ta’ għada, b’enfasi partikolari fuq iż-żamma tal-produzzjoni bażika sabiex jiġi evitat ir-riskju ta’ dipendenza eċċessiva fuq pajjiżi terzi fuq il-provvista ta’ prodotti essenzjali u materja prima.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RAKKOMANDAZZJONIJIET FIL-QOSOR </w:t>
      </w:r>
    </w:p>
    <w:p>
      <w:pPr>
        <w:pStyle w:val="P68B1DB1Normal84"/>
        <w:widowControl w:val="false"/>
        <w:spacing w:lineRule="auto" w:line="240" w:before="69" w:after="0"/>
        <w:ind w:left="283" w:right="0" w:hanging="0"/>
        <w:jc w:val="left"/>
        <w:rPr/>
      </w:pPr>
      <w:r>
        <w:rPr>
          <w:color w:val="BD1271"/>
        </w:rPr>
        <w:t xml:space="preserve">1. </w:t>
      </w:r>
      <w:r>
        <w:rPr>
          <w:color w:val="000000"/>
        </w:rPr>
        <w:t>Tieħu azzjoni effettiva dwar it-tibdil fil-klima u l-enerġija alternattiva.</w:t>
      </w:r>
    </w:p>
    <w:p>
      <w:pPr>
        <w:pStyle w:val="P68B1DB1Normal84"/>
        <w:widowControl w:val="false"/>
        <w:spacing w:lineRule="auto" w:line="240"/>
        <w:ind w:left="283" w:right="0" w:hanging="0"/>
        <w:jc w:val="left"/>
        <w:rPr/>
      </w:pPr>
      <w:r>
        <w:rPr>
          <w:color w:val="BD1271"/>
        </w:rPr>
        <w:t xml:space="preserve">2. </w:t>
      </w:r>
      <w:r>
        <w:rPr>
          <w:color w:val="000000"/>
        </w:rPr>
        <w:t>Ninvestu fl-ekonomija tat-turiżmu u kulturali, u nivvalorizzaw ukoll il-ħafna destinazzjonijiet żgħar fl-Ewropa.</w:t>
      </w:r>
    </w:p>
    <w:p>
      <w:pPr>
        <w:pStyle w:val="P68B1DB1Normal84"/>
        <w:widowControl w:val="false"/>
        <w:spacing w:lineRule="auto" w:line="240"/>
        <w:ind w:left="283" w:right="0" w:hanging="0"/>
        <w:jc w:val="left"/>
        <w:rPr/>
      </w:pPr>
      <w:r>
        <w:rPr>
          <w:color w:val="BD1271"/>
        </w:rPr>
        <w:t xml:space="preserve">3. </w:t>
      </w:r>
      <w:r>
        <w:rPr>
          <w:color w:val="000000"/>
        </w:rPr>
        <w:t>Tiffoka fuq it-teknoloġija u l-innovazzjoni bħala muturi tat-tkabbir.</w:t>
      </w:r>
    </w:p>
    <w:p>
      <w:pPr>
        <w:pStyle w:val="P68B1DB1Normal84"/>
        <w:widowControl w:val="false"/>
        <w:spacing w:lineRule="auto" w:line="240"/>
        <w:ind w:left="283" w:right="0" w:hanging="0"/>
        <w:jc w:val="left"/>
        <w:rPr/>
      </w:pPr>
      <w:r>
        <w:rPr>
          <w:color w:val="BD1271"/>
        </w:rPr>
        <w:t xml:space="preserve">4. </w:t>
      </w:r>
      <w:r>
        <w:rPr>
          <w:color w:val="000000"/>
        </w:rPr>
        <w:t>Jitnaqqsu d-dipendenzi fuq pajjiżi oħra fuq il-materja prima, is-sorsi tal-enerġija u l-agrikoltura.</w:t>
      </w:r>
    </w:p>
    <w:p>
      <w:pPr>
        <w:pStyle w:val="P68B1DB1Normal84"/>
        <w:widowControl w:val="false"/>
        <w:spacing w:lineRule="auto" w:line="240"/>
        <w:ind w:left="283" w:right="0" w:hanging="0"/>
        <w:jc w:val="left"/>
        <w:rPr/>
      </w:pPr>
      <w:r>
        <w:rPr>
          <w:color w:val="BD1271"/>
        </w:rPr>
        <w:t xml:space="preserve">5. </w:t>
      </w:r>
      <w:r>
        <w:rPr>
          <w:color w:val="000000"/>
        </w:rPr>
        <w:t>L-inkoraġġiment taż-żgħażagħ biex jistudjaw suġġetti xjentifiċi.</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Ir-regolamenti dwar il-produzzjoni ġenerattiva u inklużiva </w:t>
      </w:r>
    </w:p>
    <w:p>
      <w:pPr>
        <w:pStyle w:val="P68B1DB1Normal76"/>
        <w:widowControl w:val="false"/>
        <w:spacing w:lineRule="auto" w:line="240" w:before="91" w:after="0"/>
        <w:ind w:left="0" w:right="2" w:hanging="0"/>
        <w:jc w:val="both"/>
        <w:rPr/>
      </w:pPr>
      <w:r>
        <w:rPr/>
        <w:t xml:space="preserve">Sabiex tingħeleb il-loġika ekonomika tas-seklu li għadda, jeħtieġ ukoll li jiġu riveduti r-regoli u l-proċeduri li jirregolaw l-attivitajiet tan-negozju. Hemm erba’ rakkomandazzjonijiet f’dan is-sens, li lkoll jirrispondu għal loġika komuni: minn naħa, is-simplifikazzjoni tar-regoli u, min-naħa l-oħra, iż-żamma ta’ livell għoli ta’ viġilanza kontra l-għemil ħażin (b’mod partikolari fir-rigward tal-falsifikazzjoni u l-kompetizzjoni inġusta). </w:t>
      </w:r>
    </w:p>
    <w:p>
      <w:pPr>
        <w:pStyle w:val="P68B1DB1Normal76"/>
        <w:widowControl w:val="false"/>
        <w:spacing w:lineRule="auto" w:line="240" w:before="15" w:after="0"/>
        <w:ind w:left="0" w:right="2" w:hanging="0"/>
        <w:jc w:val="both"/>
        <w:rPr/>
      </w:pPr>
      <w:r>
        <w:rPr/>
        <w:t xml:space="preserve">Tingħata attenzjoni kbira lill-ħtieġa ta’ regoli ekonomiċi li huma primarjament ġeneriċi, li jnaqqsu kemm jista’ jkun l-għażliet li jeħtieġu standardizzazzjoni tal-proċessi ta’ produzzjoni (li jheddu produzzjonijiet lokali speċifiċi b’għeruq kulturali profondi), iżda wkoll il-qerda ta’ prodotti agrikoli minħabba l-ħtieġa li jinżammu kwantitajiet predefiniti ta’ produzzjoni.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RAKKOMANDAZZJONIJIET FIL-QOSOR </w:t>
      </w:r>
    </w:p>
    <w:p>
      <w:pPr>
        <w:pStyle w:val="P68B1DB1Normal84"/>
        <w:widowControl w:val="false"/>
        <w:spacing w:lineRule="auto" w:line="240" w:before="72" w:after="0"/>
        <w:ind w:left="142" w:right="0" w:hanging="0"/>
        <w:jc w:val="left"/>
        <w:rPr/>
      </w:pPr>
      <w:r>
        <w:rPr>
          <w:color w:val="BD1271"/>
        </w:rPr>
        <w:t xml:space="preserve">1. </w:t>
      </w:r>
      <w:r>
        <w:rPr>
          <w:color w:val="000000"/>
        </w:rPr>
        <w:t>It-tnaqqis tal-burokrazija (awtorizzazzjonijiet, ċertifikazzjonijiet).</w:t>
      </w:r>
    </w:p>
    <w:p>
      <w:pPr>
        <w:pStyle w:val="P68B1DB1Normal84"/>
        <w:widowControl w:val="false"/>
        <w:spacing w:lineRule="auto" w:line="240"/>
        <w:ind w:left="142" w:right="0" w:hanging="0"/>
        <w:jc w:val="left"/>
        <w:rPr/>
      </w:pPr>
      <w:r>
        <w:rPr>
          <w:color w:val="BD1271"/>
        </w:rPr>
        <w:t xml:space="preserve">2. </w:t>
      </w:r>
      <w:r>
        <w:rPr>
          <w:color w:val="000000"/>
        </w:rPr>
        <w:t>Titnaqqas l-istandardizzazzjoni tal-prodotti u jiġu rikonoxxuti l-ispeċifiċitajiet lokali u reġjonali f’termini ta’ kultura u produzzjoni (rispett għat-tradizzjonijiet tal-produzzjoni).</w:t>
      </w:r>
    </w:p>
    <w:p>
      <w:pPr>
        <w:pStyle w:val="P68B1DB1Normal84"/>
        <w:widowControl w:val="false"/>
        <w:spacing w:lineRule="auto" w:line="240"/>
        <w:ind w:left="142" w:right="417" w:hanging="0"/>
        <w:jc w:val="left"/>
        <w:rPr/>
      </w:pPr>
      <w:r>
        <w:rPr>
          <w:color w:val="BD1271"/>
        </w:rPr>
        <w:t xml:space="preserve">3. </w:t>
      </w:r>
      <w:r>
        <w:rPr>
          <w:color w:val="000000"/>
        </w:rPr>
        <w:t>Jaqbżu l-loġika tal-kwoti fil-produzzjoni agrikola u l-qerda li tirriżulta tal-produzzjoni żejda.</w:t>
      </w:r>
    </w:p>
    <w:p>
      <w:pPr>
        <w:pStyle w:val="P68B1DB1Normal84"/>
        <w:widowControl w:val="false"/>
        <w:spacing w:lineRule="auto" w:line="240"/>
        <w:ind w:left="142" w:right="0" w:hanging="0"/>
        <w:jc w:val="left"/>
        <w:rPr/>
      </w:pPr>
      <w:r>
        <w:rPr>
          <w:color w:val="BD1271"/>
        </w:rPr>
        <w:t xml:space="preserve">4. </w:t>
      </w:r>
      <w:r>
        <w:rPr>
          <w:color w:val="000000"/>
        </w:rPr>
        <w:t>Il-ġlieda kontra l-falsifikazzjoni u l-kompetizzjoni inġusta.</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Il-kejl tat-tkabbir kontra l-kuntentizza fil-popolazzjoni aktar milli l-kwantità ta’ prodotti </w:t>
      </w:r>
    </w:p>
    <w:p>
      <w:pPr>
        <w:pStyle w:val="P68B1DB1Normal76"/>
        <w:widowControl w:val="false"/>
        <w:spacing w:lineRule="auto" w:line="240" w:before="88" w:after="0"/>
        <w:ind w:left="0" w:right="0" w:hanging="0"/>
        <w:jc w:val="both"/>
        <w:rPr/>
      </w:pPr>
      <w:r>
        <w:rPr/>
        <w:t xml:space="preserve">Li mmorru lil hinn mill-mudell ta’ produzzjoni tas-seklu li għadda ma jfissirx biss li jinbidlu l-metodi ta’ produzzjoni, iżda wkoll li tiġi żviluppata kultura ġdida fejn l-indikaturi tat-tkabbir ma jiffokawx biss fuq il-kwantità ta’ prodotti prodotti, iżda wkoll fuq il-kapaċità li jiggarantixxu liċ-ċittadini objettiv ta’ kuntentizza. F’din l-ekonomija l-ġdida, il-prodotti ma jistgħux ikunu l-punt fokali tal-kunsiderazzjonijiet f’termini ta’ impatt u investiment, iżda dan il-post għandu jerġa’ lura għan-nies. Dan jinvolvi l-bidla minn sistema ta’ indikaturi bbażati fuq il-kwantità ta’ oġġetti prodotti (PDG) għal sistema li kapaċi tkejjel il-benesseri prodott għan-nies (BIB — kuntentizza domestika grossa).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RAKKOMANDAZZJONI FIL-QOSOR </w:t>
      </w:r>
    </w:p>
    <w:p>
      <w:pPr>
        <w:pStyle w:val="P68B1DB1Normal84"/>
        <w:widowControl w:val="false"/>
        <w:spacing w:lineRule="auto" w:line="240" w:before="69" w:after="0"/>
        <w:ind w:left="142" w:right="0" w:hanging="0"/>
        <w:jc w:val="left"/>
        <w:rPr/>
      </w:pPr>
      <w:r>
        <w:rPr>
          <w:color w:val="BD1271"/>
        </w:rPr>
        <w:t xml:space="preserve">1. </w:t>
      </w:r>
      <w:r>
        <w:rPr>
          <w:color w:val="000000"/>
        </w:rPr>
        <w:t>L-iżvilupp ta’ ekonomija aktar iffukata fuq il-produzzjoni tal-kuntentizza (ferħ domestiku gross) milli fuq il-prodotti (prodott domestiku gross).</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Integrazzjoni akbar fost l-Istati </w:t>
      </w:r>
    </w:p>
    <w:p>
      <w:pPr>
        <w:pStyle w:val="P68B1DB1Normal76"/>
        <w:widowControl w:val="false"/>
        <w:spacing w:lineRule="auto" w:line="240" w:before="49" w:after="0"/>
        <w:ind w:left="0" w:right="0" w:hanging="0"/>
        <w:jc w:val="both"/>
        <w:rPr/>
      </w:pPr>
      <w:r>
        <w:rPr/>
        <w:t xml:space="preserve">Dak li huwa ċar għal kulħadd, anke fost dawk li huma inqas sodisfatti bl-organizzazzjoni attwali u r-riżultati miksuba s’issa mill-Unjoni Ewropea, huwa li unjoni monetarja mhijiex biżżejjed u li l-Ewropa għandha tkun tista’ tevolvi b’saħħa dejjem akbar bħala entità politika koerenti li kapaċi tinnegozja b’vuċi waħda barra u taġixxi b’aktar solidarjetà internament. Unjoni aktar b’saħħitha hija aspett essenzjali tat-tisħiħ tas-saħħa politika, kummerċjali u produttiva tal-Unjoni Ewropea: l-omoġeneità tal-liġijiet fundamentali kif ukoll sistema integrata u koerenti ta’ tassazzjoni tan-negozji u ċ-ċittadini, li fiha l-pagi u s-servizzi liċ-ċittadini huma allinjati. B’dan il-mod biss se jkollna Ewropa li tista’ tnaqqas id-differenzi soċjali u tippromwovi l-kwalità tal-ħajja. </w:t>
      </w:r>
    </w:p>
    <w:p>
      <w:pPr>
        <w:pStyle w:val="P68B1DB1Normal76"/>
        <w:widowControl w:val="false"/>
        <w:spacing w:lineRule="auto" w:line="240" w:before="1" w:after="0"/>
        <w:ind w:left="0" w:right="2" w:hanging="0"/>
        <w:jc w:val="both"/>
        <w:rPr/>
      </w:pPr>
      <w:r>
        <w:rPr/>
        <w:t xml:space="preserve">Dan ifisser li ma mmorrux lura għall-kisbiet ta’ dawn l-aħħar snin u nippreservaw il-kunċett tal-istat soċjali, li l-parteċipanti tal-bord identifikaw bħala l-aktar avvanzati fid-dinja u l-aktar imħassba dwar l-iżgurar tal-ugwaljanza tal-opportunitajiet u l-ġustizzja soċjali għaċ-ċittadini tagħha. </w:t>
      </w:r>
    </w:p>
    <w:p>
      <w:pPr>
        <w:pStyle w:val="P68B1DB1Normal83"/>
        <w:widowControl w:val="false"/>
        <w:spacing w:lineRule="auto" w:line="240" w:before="72" w:after="0"/>
        <w:ind w:left="3000" w:right="0" w:hanging="0"/>
        <w:jc w:val="left"/>
        <w:rPr>
          <w:rFonts w:ascii="Arial" w:hAnsi="Arial"/>
          <w:b/>
          <w:b/>
          <w:color w:val="2E74B5"/>
          <w:sz w:val="24"/>
        </w:rPr>
      </w:pPr>
      <w:r>
        <w:rPr/>
        <w:t xml:space="preserve">RAKKOMANDAZZJONIJIET FIL-QOSOR </w:t>
      </w:r>
    </w:p>
    <w:p>
      <w:pPr>
        <w:pStyle w:val="P68B1DB1Normal84"/>
        <w:widowControl w:val="false"/>
        <w:spacing w:lineRule="auto" w:line="240" w:before="69" w:after="0"/>
        <w:ind w:left="283" w:right="0" w:hanging="0"/>
        <w:jc w:val="left"/>
        <w:rPr/>
      </w:pPr>
      <w:r>
        <w:rPr>
          <w:color w:val="BD1271"/>
        </w:rPr>
        <w:t xml:space="preserve">1. </w:t>
      </w:r>
      <w:r>
        <w:rPr>
          <w:color w:val="000000"/>
        </w:rPr>
        <w:t>Ma jikkompromettux id-drittijiet soċjali (is-saħħa pubblika, l-edukazzjoni pubblika, il-politiki tax-xogħol).</w:t>
      </w:r>
    </w:p>
    <w:p>
      <w:pPr>
        <w:pStyle w:val="P68B1DB1Normal84"/>
        <w:widowControl w:val="false"/>
        <w:spacing w:lineRule="auto" w:line="240"/>
        <w:ind w:left="283" w:right="0" w:hanging="0"/>
        <w:jc w:val="left"/>
        <w:rPr/>
      </w:pPr>
      <w:r>
        <w:rPr>
          <w:color w:val="BD1271"/>
        </w:rPr>
        <w:t xml:space="preserve">2. </w:t>
      </w:r>
      <w:r>
        <w:rPr>
          <w:color w:val="000000"/>
        </w:rPr>
        <w:t>Jikkonsolida dak li sar fir-rigward tal-munita unika u l-interkonnessjoni tas-sistemi ta’ pagament u t-telekomunikazzjoni.</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Madankollu, illum, dak kollu li sar fil-passat jidher li m’għadux biżżejjed, u l-Ewropa tal-ġejjieni għandha tagħmel qabża deċiżiva ‘l quddiem f’termini ta’ integrazzjoni bejn l-Istati Membri, skont viżjoni interna li m’għadhiex ibbażata fuq il-kompetizzjoni, iżda fuq il-kooperazzjoni, li tiżgura li kull ċittadin Ewropew jista’ jkollu l-istess sistemi ta’ garanziji u opportunitajiet fl-Istati Membri kollha ta’ l-Unjoni.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RAKKOMANDAZZJONIJIET FIL-QOSOR </w:t>
      </w:r>
    </w:p>
    <w:p>
      <w:pPr>
        <w:pStyle w:val="P68B1DB1Normal84"/>
        <w:widowControl w:val="false"/>
        <w:spacing w:lineRule="auto" w:line="240" w:before="72" w:after="0"/>
        <w:ind w:left="283" w:right="0" w:hanging="0"/>
        <w:jc w:val="left"/>
        <w:rPr/>
      </w:pPr>
      <w:r>
        <w:rPr>
          <w:color w:val="BD1271"/>
        </w:rPr>
        <w:t xml:space="preserve">1. </w:t>
      </w:r>
      <w:r>
        <w:rPr>
          <w:color w:val="000000"/>
        </w:rPr>
        <w:t>Imorru lil hinn mill-egoiżmu tal-istati u t-tendenza li jfittxu benefiċċji individwali għad-detriment tal-oħrajn.</w:t>
      </w:r>
    </w:p>
    <w:p>
      <w:pPr>
        <w:pStyle w:val="P68B1DB1Normal84"/>
        <w:widowControl w:val="false"/>
        <w:spacing w:lineRule="auto" w:line="240"/>
        <w:ind w:left="283" w:right="0" w:hanging="0"/>
        <w:jc w:val="left"/>
        <w:rPr/>
      </w:pPr>
      <w:r>
        <w:rPr>
          <w:color w:val="BD1271"/>
        </w:rPr>
        <w:t xml:space="preserve">2. </w:t>
      </w:r>
      <w:r>
        <w:rPr>
          <w:color w:val="000000"/>
        </w:rPr>
        <w:t>Tiġi stabbilita sistema bl-istess liġijiet, sistemi tat-taxxa, drittijiet u dazji fil-pajjiżi kollha.</w:t>
      </w:r>
    </w:p>
    <w:p>
      <w:pPr>
        <w:pStyle w:val="P68B1DB1Normal84"/>
        <w:widowControl w:val="false"/>
        <w:spacing w:lineRule="auto" w:line="240"/>
        <w:ind w:left="283" w:right="0" w:hanging="0"/>
        <w:jc w:val="left"/>
        <w:rPr/>
      </w:pPr>
      <w:r>
        <w:rPr>
          <w:color w:val="BD1271"/>
        </w:rPr>
        <w:t xml:space="preserve">3. </w:t>
      </w:r>
      <w:r>
        <w:rPr>
          <w:color w:val="000000"/>
        </w:rPr>
        <w:t>Sistemi tat-taxxa kkoordinati bejn Stati differenti, b’mod partikolari fir-rigward tan-negozji (l-ebda żona ħielsa jew tassazzjoni baxxa).</w:t>
      </w:r>
    </w:p>
    <w:p>
      <w:pPr>
        <w:pStyle w:val="P68B1DB1Normal84"/>
        <w:widowControl w:val="false"/>
        <w:spacing w:lineRule="auto" w:line="240"/>
        <w:ind w:left="283" w:right="416" w:hanging="0"/>
        <w:jc w:val="left"/>
        <w:rPr/>
      </w:pPr>
      <w:r>
        <w:rPr>
          <w:color w:val="BD1271"/>
        </w:rPr>
        <w:t xml:space="preserve">4. </w:t>
      </w:r>
      <w:r>
        <w:rPr>
          <w:color w:val="000000"/>
        </w:rPr>
        <w:t>Prezzijiet konsistenti għall-prodotti u l-garanzija ta’ kapaċità tal-akkwist ugwali bejn l-istati differenti.</w:t>
      </w:r>
    </w:p>
    <w:p>
      <w:pPr>
        <w:pStyle w:val="P68B1DB1Normal84"/>
        <w:widowControl w:val="false"/>
        <w:spacing w:lineRule="auto" w:line="240"/>
        <w:ind w:left="283" w:right="416" w:hanging="0"/>
        <w:jc w:val="left"/>
        <w:rPr/>
      </w:pPr>
      <w:r>
        <w:rPr>
          <w:color w:val="BD1271"/>
        </w:rPr>
        <w:t xml:space="preserve">5. </w:t>
      </w:r>
      <w:r>
        <w:rPr>
          <w:color w:val="000000"/>
        </w:rPr>
        <w:t>Tnaqqas id-disparitajiet fil-pagi bejn l-istati differenti u r-reġjuni ġeografiċi fl-istess pajjiż.</w:t>
      </w:r>
    </w:p>
    <w:p>
      <w:pPr>
        <w:pStyle w:val="P68B1DB1Normal84"/>
        <w:widowControl w:val="false"/>
        <w:spacing w:lineRule="auto" w:line="240"/>
        <w:ind w:left="283" w:right="416" w:hanging="0"/>
        <w:jc w:val="left"/>
        <w:rPr/>
      </w:pPr>
      <w:r>
        <w:rPr>
          <w:color w:val="BD1271"/>
        </w:rPr>
        <w:t xml:space="preserve">6. </w:t>
      </w:r>
      <w:r>
        <w:rPr>
          <w:color w:val="000000"/>
        </w:rPr>
        <w:t>Id-dejn pubbliku ta’ diversi Stati Membri jsir responsabbiltà komuni.</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Politiki ta’ inklużjoni </w:t>
      </w:r>
    </w:p>
    <w:p>
      <w:pPr>
        <w:pStyle w:val="P68B1DB1Normal76"/>
        <w:widowControl w:val="false"/>
        <w:spacing w:lineRule="auto" w:line="240" w:before="88" w:after="0"/>
        <w:ind w:left="0" w:right="0" w:hanging="0"/>
        <w:jc w:val="both"/>
        <w:rPr/>
      </w:pPr>
      <w:r>
        <w:rPr/>
        <w:t xml:space="preserve">Ewropa ġusta li kapaċi toffri l-kuntentizza liċ-ċittadini tagħha hija Ewropa inklużiva, li dejjem tagħti attenzjoni kbira lill-ġlieda kontra l-inugwaljanza. Ir-rakkomandazzjonijiet jistabbilixxu t-triq’il quddiem biex jinkisbu għanijiet fit-tul (bħall-ugwaljanza bejn is-sessi) u jistabbilixxu rekwiżiti ġodda relatati mat-trasformazzjonijiet kulturali tas-soċjetajiet kontemporanji (l-inugwaljanza diġitali u d-dritt li wieħed jgħix f’ambjent b’saħħtu).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RAKKOMANDAZZJONIJIET FIL-QOSOR </w:t>
      </w:r>
    </w:p>
    <w:p>
      <w:pPr>
        <w:pStyle w:val="P68B1DB1Normal84"/>
        <w:widowControl w:val="false"/>
        <w:spacing w:lineRule="auto" w:line="240" w:before="69" w:after="0"/>
        <w:ind w:left="283" w:right="0" w:hanging="0"/>
        <w:jc w:val="left"/>
        <w:rPr/>
      </w:pPr>
      <w:r>
        <w:rPr>
          <w:color w:val="BD1271"/>
        </w:rPr>
        <w:t xml:space="preserve">1. </w:t>
      </w:r>
      <w:r>
        <w:rPr>
          <w:color w:val="000000"/>
        </w:rPr>
        <w:t>Il-kisba ta’ ugwaljanza sħiħa bejn is-sessi, inkluż billi jissaħħu l-liv tal-ġenituri u l-faċilitajiet għall-indukrar tat-tfal.</w:t>
      </w:r>
    </w:p>
    <w:p>
      <w:pPr>
        <w:pStyle w:val="P68B1DB1Normal84"/>
        <w:widowControl w:val="false"/>
        <w:spacing w:lineRule="auto" w:line="240"/>
        <w:ind w:left="283" w:right="0" w:hanging="0"/>
        <w:jc w:val="left"/>
        <w:rPr/>
      </w:pPr>
      <w:r>
        <w:rPr>
          <w:color w:val="BD1271"/>
        </w:rPr>
        <w:t xml:space="preserve">2. </w:t>
      </w:r>
      <w:r>
        <w:rPr>
          <w:color w:val="000000"/>
        </w:rPr>
        <w:t>L-indirizzar tal-inugwaljanzi diġitali.</w:t>
      </w:r>
    </w:p>
    <w:p>
      <w:pPr>
        <w:pStyle w:val="P68B1DB1Normal84"/>
        <w:widowControl w:val="false"/>
        <w:spacing w:lineRule="auto" w:line="240"/>
        <w:ind w:left="283" w:right="0" w:hanging="0"/>
        <w:jc w:val="left"/>
        <w:rPr/>
      </w:pPr>
      <w:r>
        <w:rPr>
          <w:color w:val="BD1271"/>
        </w:rPr>
        <w:t xml:space="preserve">3. </w:t>
      </w:r>
      <w:r>
        <w:rPr>
          <w:color w:val="000000"/>
        </w:rPr>
        <w:t>Jiġi żgurat li ċ-ċittadini Ewropej kollha jkunu jistgħu jgħixu f’ambjent b’saħħtu u sostenibbli.</w:t>
      </w:r>
    </w:p>
    <w:p>
      <w:pPr>
        <w:pStyle w:val="P68B1DB1Normal84"/>
        <w:widowControl w:val="false"/>
        <w:spacing w:lineRule="auto" w:line="240"/>
        <w:ind w:left="283" w:right="0" w:hanging="0"/>
        <w:jc w:val="left"/>
        <w:rPr/>
      </w:pPr>
      <w:r>
        <w:rPr>
          <w:color w:val="BD1271"/>
        </w:rPr>
        <w:t xml:space="preserve">4. </w:t>
      </w:r>
      <w:r>
        <w:rPr>
          <w:color w:val="000000"/>
        </w:rPr>
        <w:t>Jiżguraw opportunitajiet għall-mobilità soċjali u għalhekk ikollhom kull opportunità għall-iżvilupp personali u l-awtodeterminazzjoni</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Il-promozzjoni tat-tiġdid tal-ġenerazzjonijiet fil-livelli kollha</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Iġġestixxi l-akkoljenza ta’ refuġjati u migranti b’mod bilanċjat bejn stati differenti.</w:t>
      </w:r>
    </w:p>
    <w:p>
      <w:pPr>
        <w:pStyle w:val="P68B1DB1Normal76"/>
        <w:widowControl w:val="false"/>
        <w:spacing w:lineRule="auto" w:line="240" w:before="106" w:after="0"/>
        <w:ind w:left="0" w:right="0" w:hanging="0"/>
        <w:jc w:val="both"/>
        <w:rPr/>
      </w:pPr>
      <w:r>
        <w:rPr/>
        <w:t xml:space="preserve">Għal darb’oħra, ir-rwol tal-iskejjel u l-politiki edukattivi jidher li huwa ċentrali, mhux biss biex jipprovdu liż-żgħażagħ bil-ħiliet li jeħtieġu biex jidħlu fis-suq tax-xogħol, iżda wkoll biex jibnu kultura Ewropea. Wara l-bini ta’ Ewropa ta’ istituzzjonijiet, huwa essenzjali li tinbena Ewropa tal-Popli. F’dan ir-rigward, issir enfasi fuq iċ-ċentralità ta’ lingwa komuni sabiex ikun jista’ jsir djalogu bejn iċ-ċittadini ta’ pajjiżi differenti u aċċess ugwali għas-servizzi. Hekk kif il-ħolma ta’ Esperanto kkollassat, il-ħruġ tar-Renju Unit mill-Unjoni Ewropea qajjem dubji dwar il-possibbiltà li l-Ingliż jiġi adottat bħala lingwa komuni, lingwa ewlenija tar-relazzjonijiet internazzjonali u fi ħdan is-sistema xjentifika u ekonomika.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RAKKOMANDAZZJONIJIET FIL-QOSOR </w:t>
      </w:r>
    </w:p>
    <w:p>
      <w:pPr>
        <w:pStyle w:val="P68B1DB1Normal84"/>
        <w:widowControl w:val="false"/>
        <w:spacing w:lineRule="auto" w:line="240" w:before="72" w:after="0"/>
        <w:ind w:left="283" w:right="0" w:hanging="0"/>
        <w:jc w:val="left"/>
        <w:rPr/>
      </w:pPr>
      <w:r>
        <w:rPr>
          <w:color w:val="BD1271"/>
        </w:rPr>
        <w:t xml:space="preserve">1. </w:t>
      </w:r>
      <w:r>
        <w:rPr>
          <w:color w:val="000000"/>
        </w:rPr>
        <w:t>Tippromwovi l-adozzjoni ta’ lingwa komuni.</w:t>
      </w:r>
    </w:p>
    <w:p>
      <w:pPr>
        <w:pStyle w:val="P68B1DB1Normal84"/>
        <w:widowControl w:val="false"/>
        <w:spacing w:lineRule="auto" w:line="240"/>
        <w:ind w:left="283" w:right="0" w:hanging="0"/>
        <w:jc w:val="left"/>
        <w:rPr/>
      </w:pPr>
      <w:r>
        <w:rPr>
          <w:color w:val="BD1271"/>
        </w:rPr>
        <w:t xml:space="preserve">2. </w:t>
      </w:r>
      <w:r>
        <w:rPr>
          <w:color w:val="000000"/>
        </w:rPr>
        <w:t>Jinvestu fl-iskejjel u t-tagħlim tal-istorja Ewropea aktar milli f’kull nazzjon, kif ukoll fit-tagħlim tal-ekonomija politika u l-edukazzjoni ċivika.</w:t>
      </w:r>
    </w:p>
    <w:p>
      <w:pPr>
        <w:pStyle w:val="P68B1DB1Normal84"/>
        <w:widowControl w:val="false"/>
        <w:spacing w:lineRule="auto" w:line="240"/>
        <w:ind w:left="283" w:right="417" w:hanging="0"/>
        <w:jc w:val="left"/>
        <w:rPr/>
      </w:pPr>
      <w:r>
        <w:rPr>
          <w:color w:val="BD1271"/>
        </w:rPr>
        <w:t xml:space="preserve">3. </w:t>
      </w:r>
      <w:r>
        <w:rPr>
          <w:color w:val="000000"/>
        </w:rPr>
        <w:t>L-aċċess għall-kultura, l-edukazzjoni u l-iskambji bejn l-istudenti u ċ-ċittadini ta’ Stati Membri differenti.</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Il-politiki ta’ inklużjoni għandhom rwol ewlieni fl-iżgurar li ċ-ċittadini jkollhom aċċess għall-opportunitajiet. F’dan ir-rigward, il-parteċipanti tal-panel enfasizzaw li l-Italja spiss ma setgħetx tuża l-fondi tal-UE disponibbli għal dan il-għan. L-inklużjoni u l-aċċessibbiltà jfissru li l-istituzzjonijiet Ewropej jeħtieġ li jkunu eqreb taċ-ċittadini tagħhom u dawn il-kunċetti jmorru id f’id ma’ aktar informazzjoni u għarfien dwar id-drittijiet li jgawdu ċ-ċittadini Ewropej bħala tali. Minn din il-perspettiva, tfaċċat l-importanza ta’ relazzjoni diretta bejn l-istituzzjonijiet tal-UE u ċ-ċittadini, mingħajr ma neċessarjament ikollhom jiġu medjati mill-Istati Membri.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RAKKOMANDAZZJONIJIET FIL-QOSOR</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Tippromwovi l-użu tal-fondi tal-UE biex jitnaqqsu l-inugwaljanzi</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L-aċċessibbiltà u l-prossimità tal-istituzzjonijiet Ewropej għaċ-ċittadini.</w:t>
      </w:r>
    </w:p>
    <w:p>
      <w:pPr>
        <w:pStyle w:val="P68B1DB1Normal84"/>
        <w:widowControl w:val="false"/>
        <w:spacing w:lineRule="auto" w:line="240"/>
        <w:ind w:left="283" w:right="416" w:hanging="0"/>
        <w:jc w:val="left"/>
        <w:rPr/>
      </w:pPr>
      <w:r>
        <w:rPr>
          <w:color w:val="BD1271"/>
        </w:rPr>
        <w:t xml:space="preserve">3. </w:t>
      </w:r>
      <w:r>
        <w:rPr>
          <w:color w:val="000000"/>
        </w:rPr>
        <w:t>Jikkomunikaw b’mod ċar liċ-ċittadini d-drittijiet u l-opportunitajiet tagħhom u jippromwovu l-aċċess dirett taċ-ċittadini għalihom.</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Impjieg </w:t>
      </w:r>
    </w:p>
    <w:p>
      <w:pPr>
        <w:pStyle w:val="Normal"/>
        <w:widowControl w:val="false"/>
        <w:spacing w:lineRule="auto" w:line="240" w:before="97" w:after="0"/>
        <w:ind w:left="0" w:right="1" w:hanging="0"/>
        <w:jc w:val="both"/>
        <w:rPr/>
      </w:pPr>
      <w:r>
        <w:rPr>
          <w:color w:val="000000"/>
        </w:rPr>
        <w:t xml:space="preserve">Il-kwistjoni tal-impjiegi tfaċċat fuq bażi kontinwa bħala element trasversali u effett dirett tal-kapaċità tal-Unjoni Ewropea li twieġeb għar-rakkomandazzjonijiet tagħha. Matul id-dibattitu </w:t>
      </w:r>
      <w:r>
        <w:rPr>
          <w:color w:val="FF0000"/>
        </w:rPr>
        <w:t>bejn</w:t>
      </w:r>
      <w:r>
        <w:rPr>
          <w:color w:val="000000"/>
        </w:rPr>
        <w:t xml:space="preserve"> il-parteċipanti, kien ċar li l-kwistjoni tal-impjiegi hija fil-qalba tal-ħajja taċ-ċittadini, iżda li tmur id f’id mat-tisħiħ tal-kwistjonijiet tal-ġustizzja ekonomika u soċjali. Unjoni Ewropea li fiha l-politiki attivi tax-xogħol jibqgħu ċentrali u dejjem aktar ikkoordinati hija antiċipata ħafna.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RAKKOMANDAZZJONIJIET FIL-QOSOR</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Il-promozzjoni tal-kummerċ bejn il-ħaddiema fl-Ewropa permezz ta’ Ċentru Ewropew għall-Impjiegi.</w:t>
      </w:r>
    </w:p>
    <w:p>
      <w:pPr>
        <w:pStyle w:val="P68B1DB1Normal84"/>
        <w:widowControl w:val="false"/>
        <w:spacing w:lineRule="auto" w:line="240"/>
        <w:ind w:left="283" w:right="0" w:hanging="0"/>
        <w:jc w:val="left"/>
        <w:rPr/>
      </w:pPr>
      <w:r>
        <w:rPr>
          <w:color w:val="BD1271"/>
        </w:rPr>
        <w:t xml:space="preserve">2. </w:t>
      </w:r>
      <w:r>
        <w:rPr>
          <w:color w:val="000000"/>
        </w:rPr>
        <w:t>Integraw il-politiki dwar l-impjiegi fil-livell tal-UE.</w:t>
      </w:r>
    </w:p>
    <w:p>
      <w:pPr>
        <w:pStyle w:val="P68B1DB1Normal84"/>
        <w:widowControl w:val="false"/>
        <w:spacing w:lineRule="auto" w:line="240"/>
        <w:ind w:left="283" w:right="0" w:hanging="0"/>
        <w:jc w:val="left"/>
        <w:rPr/>
      </w:pPr>
      <w:r>
        <w:rPr>
          <w:color w:val="BD1271"/>
        </w:rPr>
        <w:t xml:space="preserve">3. </w:t>
      </w:r>
      <w:r>
        <w:rPr>
          <w:color w:val="000000"/>
        </w:rPr>
        <w:t>Jipprovdu inċentivi għall-kumpaniji li joffru l-impjiegi.</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L-Ewropa fid-dinja </w:t>
      </w:r>
    </w:p>
    <w:p>
      <w:pPr>
        <w:pStyle w:val="P68B1DB1Normal76"/>
        <w:widowControl w:val="false"/>
        <w:spacing w:lineRule="exact" w:line="380" w:before="143" w:after="0"/>
        <w:ind w:left="74" w:right="0" w:hanging="0"/>
        <w:jc w:val="both"/>
        <w:rPr/>
      </w:pPr>
      <w:r>
        <w:rPr/>
        <w:t xml:space="preserve">L-avvenimenti internazzjonali reċenti u, b’mod partikolari, il-gwerra bejn ir-Russja u l-Ukraina kellhom influwenza kbira fuq il-perċezzjoni tar-rwol li l-Ewropa se jkollha fil-livell internazzjonali. Ir-rakkomandazzjonijiet miġbura ffukaw l-aktar fuq it-tisħiħ tal-UE (kemm f’termini ta’ identità kif ukoll ta’ setgħa ekonomika) u l-pożizzjoni tagħha bħala mudell ta’ referenza u ta’ rkupru fir-relazzjonijiet tagħha ma’ pajjiżi oħra.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Formola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11"/>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It-tisħiħ ta’ l-identità Ewropea</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It-tisħiħ tal-ekonomija u l-istituzzjonijiet</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Kooperazzjoni u sħubijiet</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Punt ta’ referenza politiku u kulturali</w:t>
                              </w:r>
                            </w:p>
                          </w:txbxContent>
                        </wps:txbx>
                        <wps:bodyPr lIns="90000" rIns="90000" tIns="45000" bIns="45000">
                          <a:noAutofit/>
                        </wps:bodyPr>
                      </wps:wsp>
                    </wpg:wgp>
                  </a:graphicData>
                </a:graphic>
              </wp:anchor>
            </w:drawing>
          </mc:Choice>
          <mc:Fallback>
            <w:pict>
              <v:group id="shape_0" alt="Formola7" style="position:absolute;margin-left:-13.1pt;margin-top:5.35pt;width:508.1pt;height:71.15pt" coordorigin="-262,107" coordsize="10162,1423">
                <v:shape id="shape_0" stroked="f" style="position:absolute;left:438;top:982;width:8699;height:548;rotation:180" type="shapetype_75">
                  <v:imagedata r:id="rId112"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It-tisħiħ ta’ l-identità Ewropea</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It-tisħiħ tal-ekonomija u l-istituzzjonijiet</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Kooperazzjoni u sħubijiet</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Punt ta’ referenza politiku u kulturali</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It-tisħiħ ta’ l-identità Ewropea</w:t>
      </w:r>
    </w:p>
    <w:p>
      <w:pPr>
        <w:pStyle w:val="P68B1DB1Normal76"/>
        <w:widowControl w:val="false"/>
        <w:spacing w:lineRule="auto" w:line="240" w:before="106" w:after="0"/>
        <w:ind w:left="74" w:right="0" w:hanging="0"/>
        <w:jc w:val="both"/>
        <w:rPr/>
      </w:pPr>
      <w:r>
        <w:rPr/>
        <w:t xml:space="preserve">Sabiex tiġi rikonoxxuta lil hinn mill-fruntieri tagħha, l-Unjoni Ewropea għandha l-ewwel turi koeżjoni internament, mhux biss ekonomikament u finanzjarjament, iżda wkoll f’termini ta’ identità u valuri. Identità li ma tinħoloqx bl-approvazzjoni iżda bil-valorizzazzjoni tal-ispeċifiċitajiet lokali fi ħdan qafas ta’ valuri essenzjali kondiviżi. </w:t>
      </w:r>
    </w:p>
    <w:p>
      <w:pPr>
        <w:pStyle w:val="P68B1DB1Normal76"/>
        <w:widowControl w:val="false"/>
        <w:spacing w:lineRule="auto" w:line="240" w:before="78" w:after="0"/>
        <w:ind w:left="74" w:right="1" w:hanging="0"/>
        <w:jc w:val="both"/>
        <w:rPr/>
      </w:pPr>
      <w:r>
        <w:rPr/>
        <w:t xml:space="preserve">Ir-riflessjoni dwar it-tkabbir possibbli ta’ l-ambitu ta’ l-Unjoni saret ukoll b’dan il-ħsieb: skont xi parteċipanti tal-panel, m’għandhiex isseħħ b’mod mhux differenzjat, iżda għandha tiffoka fuq ir-rikonoxximent reċiproku tal-kultura u l-valuri aktar milli fuq l-istandards ekonomiċi.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RAKKOMANDAZZJONIJIET FIL-QOSOR</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It-tisħiħ tal-valuri u l-karatteristiċi kulturali Ewropej, kif ukoll l-ispeċifiċitajiet reġjonali.</w:t>
      </w:r>
    </w:p>
    <w:p>
      <w:pPr>
        <w:pStyle w:val="P68B1DB1Normal84"/>
        <w:widowControl w:val="false"/>
        <w:spacing w:lineRule="auto" w:line="240"/>
        <w:ind w:left="358" w:right="0" w:hanging="0"/>
        <w:jc w:val="left"/>
        <w:rPr/>
      </w:pPr>
      <w:r>
        <w:rPr>
          <w:color w:val="BD1271"/>
        </w:rPr>
        <w:t xml:space="preserve">2. </w:t>
      </w:r>
      <w:r>
        <w:rPr>
          <w:color w:val="000000"/>
        </w:rPr>
        <w:t>Il-ħolqien ta’ istitut għall-kultura Ewropea biex jippromwovi kultura ta’ rispett u arrikkiment reċiproku bejn iċ-ċittadini ta’ stati differenti.</w:t>
      </w:r>
    </w:p>
    <w:p>
      <w:pPr>
        <w:pStyle w:val="P68B1DB1Normal84"/>
        <w:widowControl w:val="false"/>
        <w:spacing w:lineRule="auto" w:line="240"/>
        <w:ind w:left="418" w:right="418" w:hanging="0"/>
        <w:jc w:val="both"/>
        <w:rPr/>
      </w:pPr>
      <w:r>
        <w:rPr>
          <w:color w:val="BD1271"/>
        </w:rPr>
        <w:t xml:space="preserve">3. </w:t>
      </w:r>
      <w:r>
        <w:rPr>
          <w:color w:val="000000"/>
        </w:rPr>
        <w:t>Definizzjoni mill-ġdid tal-prinċipji ta’ appartenenza għall-pajjiżi kandidati l-ġodda, b’tisħiħ ta’ fatturi bħall-identità u l-valuri kulturali.</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It-tisħiħ tal-ekonomija u l-istituzzjonijiet </w:t>
      </w:r>
    </w:p>
    <w:p>
      <w:pPr>
        <w:pStyle w:val="P68B1DB1Normal76"/>
        <w:widowControl w:val="false"/>
        <w:spacing w:lineRule="auto" w:line="240" w:before="109" w:after="0"/>
        <w:ind w:left="0" w:right="0" w:hanging="0"/>
        <w:jc w:val="both"/>
        <w:rPr/>
      </w:pPr>
      <w:r>
        <w:rPr/>
        <w:t xml:space="preserve">L-Ewropa ta’ għada hija mistennija li jkollha rwol ewlieni fil-livell internazzjonali, li jista’ jiġi assunt biss b’Unjoni b’saħħitha u indipendenti minn pajjiżi oħra. Huwa rikonoxxut b’mod wiesa’ li l-pajjiżi tal-UE huma fqar fil-materja prima, iżda jidher essenzjali li l-UE tkun kapaċi tiżgura indipendenza akbar f’termini ta’ provvista tal-enerġija, agrikoltura u prodotti teknoloġiċi. </w:t>
      </w:r>
    </w:p>
    <w:p>
      <w:pPr>
        <w:pStyle w:val="P68B1DB1Normal76"/>
        <w:widowControl w:val="false"/>
        <w:spacing w:lineRule="auto" w:line="240" w:before="78" w:after="0"/>
        <w:ind w:left="0" w:right="1" w:hanging="0"/>
        <w:jc w:val="both"/>
        <w:rPr/>
      </w:pPr>
      <w:r>
        <w:rPr/>
        <w:t xml:space="preserve">Dan jeħtieġ investimenti speċifiċi biex ilaħħqu ma’ xulxin f’oqsma bħat-teknoloġija (fejn l-Unjoni Ewropea ma tidhirx li għandha rwol ewlieni fil-preżent), iżda wkoll fis-setturi tal-ikel u l-enerġija. </w:t>
      </w:r>
    </w:p>
    <w:p>
      <w:pPr>
        <w:pStyle w:val="P68B1DB1Normal76"/>
        <w:widowControl w:val="false"/>
        <w:spacing w:lineRule="auto" w:line="240" w:before="78" w:after="0"/>
        <w:ind w:left="0" w:right="2" w:hanging="0"/>
        <w:jc w:val="both"/>
        <w:rPr/>
      </w:pPr>
      <w:r>
        <w:rPr/>
        <w:t xml:space="preserve">Il-gwerra bejn ir-Russja u l-Ukraina poġġiet ukoll fiċ-ċentru tad-dibattitu l-importanza ta’ politika ta’ difiża Ewropea integrata, b’identità speċifika u awtonomija akbar min-NATO, mingħajr ma tiddubita s-sħubija tagħha. </w:t>
      </w:r>
    </w:p>
    <w:p>
      <w:pPr>
        <w:pStyle w:val="P68B1DB1Normal76"/>
        <w:widowControl w:val="false"/>
        <w:spacing w:lineRule="auto" w:line="240" w:before="78" w:after="0"/>
        <w:ind w:left="0" w:right="1" w:hanging="0"/>
        <w:jc w:val="left"/>
        <w:rPr/>
      </w:pPr>
      <w:r>
        <w:rPr/>
        <w:t xml:space="preserve">Fl-aħħar nett, dan jimplika għażliet ċari għall-futur akkumpanjati minn investiment sinifikanti fix-xjenza u r-riċerka sabiex jiżdiedu l-ħiliet taż-żgħażagħ Ewropej.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RAKKOMANDAZZJONIJIET FIL-QOSOR</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It-tisħiħ tal-kapaċità ta’ produzzjoni interna: il-katina alimentari (speċjalment il-qamħ) u t-teknoloġija (mikroproċessuri). </w:t>
      </w:r>
    </w:p>
    <w:p>
      <w:pPr>
        <w:pStyle w:val="P68B1DB1Normal84"/>
        <w:widowControl w:val="false"/>
        <w:spacing w:lineRule="auto" w:line="240"/>
        <w:ind w:left="283" w:right="0" w:hanging="0"/>
        <w:jc w:val="left"/>
        <w:rPr/>
      </w:pPr>
      <w:r>
        <w:rPr>
          <w:color w:val="BD1271"/>
        </w:rPr>
        <w:t xml:space="preserve">2. </w:t>
      </w:r>
      <w:r>
        <w:rPr>
          <w:color w:val="000000"/>
        </w:rPr>
        <w:t>Il-promozzjoni ta’ produzzjonijiet tipiċi reġjonali u Ewropej.</w:t>
      </w:r>
    </w:p>
    <w:p>
      <w:pPr>
        <w:pStyle w:val="P68B1DB1Normal84"/>
        <w:widowControl w:val="false"/>
        <w:spacing w:lineRule="auto" w:line="240"/>
        <w:ind w:left="283" w:right="0" w:hanging="0"/>
        <w:jc w:val="left"/>
        <w:rPr/>
      </w:pPr>
      <w:r>
        <w:rPr>
          <w:color w:val="BD1271"/>
        </w:rPr>
        <w:t xml:space="preserve">3. </w:t>
      </w:r>
      <w:r>
        <w:rPr>
          <w:color w:val="000000"/>
        </w:rPr>
        <w:t>It-tisħiħ tar-raggruppamenti industrijali Ewropej (eż. l-azzar).</w:t>
      </w:r>
    </w:p>
    <w:p>
      <w:pPr>
        <w:pStyle w:val="P68B1DB1Normal84"/>
        <w:widowControl w:val="false"/>
        <w:spacing w:lineRule="auto" w:line="240"/>
        <w:ind w:left="283" w:right="0" w:hanging="0"/>
        <w:jc w:val="left"/>
        <w:rPr/>
      </w:pPr>
      <w:r>
        <w:rPr>
          <w:color w:val="BD1271"/>
        </w:rPr>
        <w:t xml:space="preserve">4. </w:t>
      </w:r>
      <w:r>
        <w:rPr>
          <w:color w:val="000000"/>
        </w:rPr>
        <w:t>It-tisħiħ tal-produzzjoni lokali tal-enerġija minn perspettiva ekoloġika (gass, solari, riħ).</w:t>
      </w:r>
    </w:p>
    <w:p>
      <w:pPr>
        <w:pStyle w:val="P68B1DB1Normal84"/>
        <w:widowControl w:val="false"/>
        <w:spacing w:lineRule="auto" w:line="240"/>
        <w:ind w:left="283" w:right="0" w:hanging="0"/>
        <w:jc w:val="left"/>
        <w:rPr/>
      </w:pPr>
      <w:r>
        <w:rPr>
          <w:color w:val="BD1271"/>
        </w:rPr>
        <w:t xml:space="preserve">5. </w:t>
      </w:r>
      <w:r>
        <w:rPr>
          <w:color w:val="000000"/>
        </w:rPr>
        <w:t>L-iżvilupp ta’ teknoloġiji aerospazjali.</w:t>
      </w:r>
    </w:p>
    <w:p>
      <w:pPr>
        <w:pStyle w:val="P68B1DB1Normal84"/>
        <w:widowControl w:val="false"/>
        <w:spacing w:lineRule="auto" w:line="240"/>
        <w:ind w:left="283" w:right="417" w:hanging="0"/>
        <w:jc w:val="left"/>
        <w:rPr/>
      </w:pPr>
      <w:r>
        <w:rPr>
          <w:color w:val="BD1271"/>
        </w:rPr>
        <w:t xml:space="preserve">6. </w:t>
      </w:r>
      <w:r>
        <w:rPr>
          <w:color w:val="000000"/>
        </w:rPr>
        <w:t>It-twaqqif ta’ laboratorji xjentifiċi Ewropej (il-bank Ewropew tal-virus).</w:t>
      </w:r>
    </w:p>
    <w:p>
      <w:pPr>
        <w:pStyle w:val="P68B1DB1Normal84"/>
        <w:widowControl w:val="false"/>
        <w:spacing w:lineRule="auto" w:line="240"/>
        <w:ind w:left="283" w:right="417" w:hanging="0"/>
        <w:jc w:val="left"/>
        <w:rPr/>
      </w:pPr>
      <w:r>
        <w:rPr>
          <w:color w:val="BD1271"/>
        </w:rPr>
        <w:t xml:space="preserve">7. </w:t>
      </w:r>
      <w:r>
        <w:rPr>
          <w:color w:val="000000"/>
        </w:rPr>
        <w:t>Toħloq armata Ewropea komuni li taġixxi fi ħdan il-qafas tan-NATO, iżda wkoll tgħin biex tmur lil hinn.</w:t>
      </w:r>
    </w:p>
    <w:p>
      <w:pPr>
        <w:pStyle w:val="P68B1DB1Normal84"/>
        <w:widowControl w:val="false"/>
        <w:spacing w:lineRule="auto" w:line="240"/>
        <w:ind w:left="283" w:right="417" w:hanging="0"/>
        <w:jc w:val="left"/>
        <w:rPr/>
      </w:pPr>
      <w:r>
        <w:rPr>
          <w:color w:val="BD1271"/>
        </w:rPr>
        <w:t xml:space="preserve">8. </w:t>
      </w:r>
      <w:r>
        <w:rPr>
          <w:color w:val="000000"/>
        </w:rPr>
        <w:t>Jinvestu fit-taħriġ ta’ min iħarreġ (skambji Ewropej tal-għalliema, Erasmus għall-għalliema).</w:t>
      </w:r>
    </w:p>
    <w:p>
      <w:pPr>
        <w:pStyle w:val="P68B1DB1Normal84"/>
        <w:widowControl w:val="false"/>
        <w:spacing w:lineRule="auto" w:line="240"/>
        <w:ind w:left="283" w:right="416" w:hanging="0"/>
        <w:jc w:val="left"/>
        <w:rPr/>
      </w:pPr>
      <w:r>
        <w:rPr>
          <w:color w:val="BD1271"/>
        </w:rPr>
        <w:t xml:space="preserve">9. </w:t>
      </w:r>
      <w:r>
        <w:rPr>
          <w:color w:val="000000"/>
        </w:rPr>
        <w:t>Tiżdied il-mobilità tar-riċerkaturi Ewropej billi jiġu żviluppati istituzzjonijiet xjentifiċi Ewropej ġodda</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Irawwem il-ħolqien ta’ negozji ġodda innovattivi.</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Kooperazzjoni u sħubijiet </w:t>
      </w:r>
    </w:p>
    <w:p>
      <w:pPr>
        <w:pStyle w:val="P68B1DB1Normal76"/>
        <w:widowControl w:val="false"/>
        <w:spacing w:lineRule="auto" w:line="240" w:before="109" w:after="0"/>
        <w:ind w:left="0" w:right="2" w:hanging="0"/>
        <w:jc w:val="both"/>
        <w:rPr/>
      </w:pPr>
      <w:r>
        <w:rPr/>
        <w:t xml:space="preserve">Il-viżjoni tal-Ewropa ta’ għada mhijiex dik ta’ fortizza li tiddefendi l-ġid tagħha, iżda ta’ protagonista fix-xena internazzjonali li kapaċi tiddjaloga mal-pajjiżi kollha tad-dinja. Djalogu li jibda minn setgħa kummerċjali u għandu jimmira għal tmexxija ekonomika, u li jista’ jiġi kkonsolidat permezz tal-istabbiliment ta’ sħubijiet u proġetti internazzjonali fuq skala kbira. </w:t>
      </w:r>
    </w:p>
    <w:p>
      <w:pPr>
        <w:pStyle w:val="P68B1DB1Normal76"/>
        <w:widowControl w:val="false"/>
        <w:spacing w:lineRule="auto" w:line="240" w:before="78" w:after="0"/>
        <w:ind w:left="0" w:right="0" w:hanging="0"/>
        <w:jc w:val="both"/>
        <w:rPr/>
      </w:pPr>
      <w:r>
        <w:rPr/>
        <w:t xml:space="preserve">Dan kollu bil-ħsieb ta’ kooperazzjoni u attenzjoni għar-reġjuni l-aktar fraġli tad-dinja, bi proġetti ad hoc immirati biex jenfasizzaw l-ifqar pajjiżi, kif ukoll skambji kulturali u ekonomiċi mal-pajjiżi tal-Lvant. </w:t>
      </w:r>
    </w:p>
    <w:p>
      <w:pPr>
        <w:pStyle w:val="P68B1DB1Normal76"/>
        <w:widowControl w:val="false"/>
        <w:spacing w:lineRule="auto" w:line="240" w:before="78" w:after="0"/>
        <w:ind w:left="0" w:right="3" w:hanging="0"/>
        <w:jc w:val="both"/>
        <w:rPr/>
      </w:pPr>
      <w:r>
        <w:rPr/>
        <w:t xml:space="preserve">Tingħata wkoll attenzjoni partikolari lis-suġġett tal-migrazzjoni, b’koordinazzjoni aħjar bejn il-pajjiżi u l-użu ta’ proċeduri komuni għall-ġestjoni tal-applikazzjonijiet u l-individwi.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RAKKOMANDAZZJONIJIET FIL-QOSOR</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L-għoti ta’ spinta lill-esportazzjonijiet.</w:t>
      </w:r>
    </w:p>
    <w:p>
      <w:pPr>
        <w:pStyle w:val="P68B1DB1Normal84"/>
        <w:widowControl w:val="false"/>
        <w:spacing w:lineRule="auto" w:line="240"/>
        <w:ind w:left="283" w:right="0" w:hanging="0"/>
        <w:jc w:val="left"/>
        <w:rPr/>
      </w:pPr>
      <w:r>
        <w:rPr>
          <w:color w:val="BD1271"/>
        </w:rPr>
        <w:t xml:space="preserve">2. </w:t>
      </w:r>
      <w:r>
        <w:rPr>
          <w:color w:val="000000"/>
        </w:rPr>
        <w:t>Il-promozzjoni ta’ rotot turistiċi Ewropej transnazzjonali.</w:t>
      </w:r>
    </w:p>
    <w:p>
      <w:pPr>
        <w:pStyle w:val="P68B1DB1Normal84"/>
        <w:widowControl w:val="false"/>
        <w:spacing w:lineRule="auto" w:line="240"/>
        <w:ind w:left="283" w:right="0" w:hanging="0"/>
        <w:jc w:val="left"/>
        <w:rPr/>
      </w:pPr>
      <w:r>
        <w:rPr>
          <w:color w:val="BD1271"/>
        </w:rPr>
        <w:t xml:space="preserve">3. </w:t>
      </w:r>
      <w:r>
        <w:rPr>
          <w:color w:val="000000"/>
        </w:rPr>
        <w:t>Tiżviluppa sistema ta’ negozjar ta’ negozjati fil-livell Ewropew (mhux individwalment bħala stati jew kumpaniji, iżda bħala Unjoni) biex ikollha setgħa akbar ta’ negozjar, iżda b’restrizzjonijiet relatati mar-rispett tad-drittijiet tal-bniedem.</w:t>
      </w:r>
    </w:p>
    <w:p>
      <w:pPr>
        <w:pStyle w:val="P68B1DB1Normal84"/>
        <w:widowControl w:val="false"/>
        <w:spacing w:lineRule="auto" w:line="240"/>
        <w:ind w:left="283" w:right="417" w:hanging="0"/>
        <w:jc w:val="left"/>
        <w:rPr/>
      </w:pPr>
      <w:r>
        <w:rPr>
          <w:color w:val="BD1271"/>
        </w:rPr>
        <w:t xml:space="preserve">4. </w:t>
      </w:r>
      <w:r>
        <w:rPr>
          <w:color w:val="000000"/>
        </w:rPr>
        <w:t>Imexxu proġetti internazzjonali kbar bħall-Istazzjon Spazjali Internazzjonali.</w:t>
      </w:r>
    </w:p>
    <w:p>
      <w:pPr>
        <w:pStyle w:val="P68B1DB1Normal84"/>
        <w:widowControl w:val="false"/>
        <w:spacing w:lineRule="auto" w:line="240"/>
        <w:ind w:left="283" w:right="417" w:hanging="0"/>
        <w:jc w:val="left"/>
        <w:rPr/>
      </w:pPr>
      <w:r>
        <w:rPr>
          <w:color w:val="BD1271"/>
        </w:rPr>
        <w:t xml:space="preserve">5. </w:t>
      </w:r>
      <w:r>
        <w:rPr>
          <w:color w:val="000000"/>
        </w:rPr>
        <w:t>Tiffinanzja proġetti fl-Afrika biex jinbnew skejjel u sptarijiet, mingħajr ma tiġi adottata attitudni ta’ stil kolonjali, iżda b’enfasi fuq ir-rispett tal-valuri u d-drittijiet Ewropej.</w:t>
      </w:r>
    </w:p>
    <w:p>
      <w:pPr>
        <w:pStyle w:val="P68B1DB1Normal84"/>
        <w:widowControl w:val="false"/>
        <w:spacing w:lineRule="auto" w:line="240"/>
        <w:ind w:left="283" w:right="417" w:hanging="0"/>
        <w:jc w:val="left"/>
        <w:rPr/>
      </w:pPr>
      <w:r>
        <w:rPr>
          <w:color w:val="BD1271"/>
        </w:rPr>
        <w:t xml:space="preserve">6. </w:t>
      </w:r>
      <w:r>
        <w:rPr>
          <w:color w:val="000000"/>
        </w:rPr>
        <w:t>Jinvestu f’taħriġ fuq il-post (speċjalment għan-nisa) fl-ifqar pajjiżi.</w:t>
      </w:r>
    </w:p>
    <w:p>
      <w:pPr>
        <w:pStyle w:val="P68B1DB1Normal84"/>
        <w:widowControl w:val="false"/>
        <w:spacing w:lineRule="auto" w:line="240"/>
        <w:ind w:left="283" w:right="0" w:hanging="0"/>
        <w:jc w:val="left"/>
        <w:rPr/>
      </w:pPr>
      <w:r>
        <w:rPr>
          <w:color w:val="BD1271"/>
        </w:rPr>
        <w:t xml:space="preserve">7. </w:t>
      </w:r>
      <w:r>
        <w:rPr>
          <w:color w:val="000000"/>
        </w:rPr>
        <w:t>Il-promozzjoni ta’ skambji ta’ tekniċi u ħarrieġa.</w:t>
      </w:r>
    </w:p>
    <w:p>
      <w:pPr>
        <w:pStyle w:val="P68B1DB1Normal84"/>
        <w:widowControl w:val="false"/>
        <w:spacing w:lineRule="auto" w:line="240"/>
        <w:ind w:left="283" w:right="0" w:hanging="0"/>
        <w:jc w:val="left"/>
        <w:rPr/>
      </w:pPr>
      <w:r>
        <w:rPr>
          <w:color w:val="BD1271"/>
        </w:rPr>
        <w:t xml:space="preserve">8. </w:t>
      </w:r>
      <w:r>
        <w:rPr>
          <w:color w:val="000000"/>
        </w:rPr>
        <w:t>Tiġi stabbilita sistema ta’ regoli komuni għall-aċċess tal-migranti, bi proċessi differenti bejn il-migrazzjoni umanitarja u ekonomika, u b’distribuzzjoni ekwa bejn stati differenti, iżda b’regoli komuni (iċ-ċensiment u l-kontroll tal-imġiba u l-impjiegi).</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Referenza politika u kulturali </w:t>
      </w:r>
    </w:p>
    <w:p>
      <w:pPr>
        <w:pStyle w:val="P68B1DB1Normal76"/>
        <w:widowControl w:val="false"/>
        <w:spacing w:lineRule="auto" w:line="240" w:before="106" w:after="0"/>
        <w:ind w:left="0" w:right="145" w:hanging="0"/>
        <w:jc w:val="both"/>
        <w:rPr/>
      </w:pPr>
      <w:r>
        <w:rPr/>
        <w:t xml:space="preserve">Fix-xenarju deskritt hawn fuq, l-Ewropa hija mistennija tipprovdi referenza politika u kulturali ċara fil-livell globali mill-perspettiva tad-drittijiet u l-etika, billi tagħti eżempju permezz tat-teħid ta’ deċiżjonijiet biex jiġi żgurat ambjent b’saħħtu, ir-rispett għad-drittijiet tan-nies u d-djalogu bejn il-Lvant u l-Punent.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RAKKOMANDAZZJONIJIET FIL-QOSOR</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It-tmexxija bħala kontinent ekoloġiku, il-kisba ta’ emissjonijiet żero qabel l-oħrajn u ż-żieda fil-produzzjoni tal-enerġija nadifa (ir-riħ u x-xemx).</w:t>
      </w:r>
    </w:p>
    <w:p>
      <w:pPr>
        <w:pStyle w:val="P68B1DB1Normal84"/>
        <w:widowControl w:val="false"/>
        <w:spacing w:lineRule="auto" w:line="240"/>
        <w:ind w:left="283" w:right="0" w:hanging="0"/>
        <w:jc w:val="left"/>
        <w:rPr/>
      </w:pPr>
      <w:r>
        <w:rPr>
          <w:color w:val="BD1271"/>
        </w:rPr>
        <w:t xml:space="preserve">2. </w:t>
      </w:r>
      <w:r>
        <w:rPr>
          <w:color w:val="000000"/>
        </w:rPr>
        <w:t>Esportazzjoni ta’ teknoloġiji għall-produzzjoni ta’ oġġetti b’impatt żero.</w:t>
      </w:r>
    </w:p>
    <w:p>
      <w:pPr>
        <w:pStyle w:val="P68B1DB1Normal84"/>
        <w:widowControl w:val="false"/>
        <w:spacing w:lineRule="auto" w:line="240"/>
        <w:ind w:left="283" w:right="0" w:hanging="0"/>
        <w:jc w:val="left"/>
        <w:rPr/>
      </w:pPr>
      <w:r>
        <w:rPr>
          <w:color w:val="BD1271"/>
        </w:rPr>
        <w:t xml:space="preserve">3. </w:t>
      </w:r>
      <w:r>
        <w:rPr>
          <w:color w:val="000000"/>
        </w:rPr>
        <w:t>Iservu ta’ konfluwenza (post pubbliku, agora) bejn il-Lvant u l-Punent, jippromwovu skambji kulturali u inizjattivi kulturali konġunti (bħall-Jum Dinji tal-Arti, li min-naħa tagħhom għandhom jiġu organizzati fil-bliet kapitali Ewropej varji, bi programm artistiku li jinkludi l-artisti tal-Punent u tal-Lvant).</w:t>
      </w:r>
    </w:p>
    <w:p>
      <w:pPr>
        <w:pStyle w:val="P68B1DB1Normal84"/>
        <w:widowControl w:val="false"/>
        <w:spacing w:lineRule="auto" w:line="240"/>
        <w:ind w:left="283" w:right="560" w:hanging="0"/>
        <w:jc w:val="left"/>
        <w:rPr/>
      </w:pPr>
      <w:r>
        <w:rPr>
          <w:color w:val="BD1271"/>
        </w:rPr>
        <w:t xml:space="preserve">4. </w:t>
      </w:r>
      <w:r>
        <w:rPr>
          <w:color w:val="000000"/>
        </w:rPr>
        <w:t>Jinħoloq mudell etiku Ewropew għall-ġestjoni tal-proċessi ta’ migrazzjoni li jistgħu jiġu kondiviżi internazzjonalment.</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Evalwazzjoni finali mill-parteċipanti </w:t>
      </w:r>
    </w:p>
    <w:p>
      <w:pPr>
        <w:pStyle w:val="P68B1DB1Normal76"/>
        <w:widowControl w:val="false"/>
        <w:spacing w:lineRule="auto" w:line="240" w:before="106" w:after="0"/>
        <w:ind w:left="0" w:right="0" w:hanging="0"/>
        <w:jc w:val="both"/>
        <w:rPr/>
      </w:pPr>
      <w:r>
        <w:rPr/>
        <w:t xml:space="preserve">Fi tmiem il-jumejn tax-xogħol, il-parteċipanti kollha ntalbu jimlew kwestjonarju qasir biex jivvalutaw l-esperjenza tagħhom. Il-kwestjonarju ta’ evalwazzjoni ntbagħat jumejn wara t-tmiem tal-bord sabiex il-parteċipanti kollha jingħataw żmien biex jieħdu pass lura mill-esperjenza u biex ikunu jistgħu jwieġbu b’mod aktar oġġettiv. </w:t>
      </w:r>
    </w:p>
    <w:p>
      <w:pPr>
        <w:pStyle w:val="Normal"/>
        <w:widowControl w:val="false"/>
        <w:spacing w:lineRule="auto" w:line="240" w:before="78" w:after="0"/>
        <w:ind w:left="0" w:right="2" w:hanging="0"/>
        <w:jc w:val="left"/>
        <w:rPr/>
      </w:pPr>
      <w:r>
        <w:rPr>
          <w:color w:val="000000"/>
        </w:rPr>
        <w:t xml:space="preserve">Ir-riżultati miġbura juru livell partikolarment għoli ta’ sodisfazzjon, kemm f’termini ta’ interess kif ukoll ta’ faċilità ta’ parteċipazzjoni u sens ta’ smigħ u inklużjoni.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Formola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3"/>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Sodisfazzjon bil-parteċipazzjoni fil-bord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Sodisfazzjon ġenerali bl-esperjenza</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Il-kwalità tal-kontribuzzjonijiet tal-parteċipanti</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Koerenza bejn ir-rakkomandazzjonijiet magħmula u d-dibattitu</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Faċilità tal-użu tal-pjattaforma</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Rispett għad-diversità tal-opinjonijiet</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Kapaċità tal-moderaturi li jagħtu vuċi lill-parteċipanti u jisimgħu l-interventi tagħhom</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Interess fis-suġġetti indirizzati</w:t>
                              </w:r>
                            </w:p>
                          </w:txbxContent>
                        </wps:txbx>
                        <wps:bodyPr lIns="90000" rIns="90000" tIns="45000" bIns="45000">
                          <a:noAutofit/>
                        </wps:bodyPr>
                      </wps:wsp>
                    </wpg:wgp>
                  </a:graphicData>
                </a:graphic>
              </wp:anchor>
            </w:drawing>
          </mc:Choice>
          <mc:Fallback>
            <w:pict>
              <v:group id="shape_0" alt="Formola8" style="position:absolute;margin-left:0.05pt;margin-top:3.95pt;width:472.1pt;height:238.2pt" coordorigin="1,79" coordsize="9442,4764">
                <v:shape id="shape_0" stroked="f" style="position:absolute;left:3991;top:846;width:5321;height:3996" type="shapetype_75">
                  <v:imagedata r:id="rId113"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Sodisfazzjon bil-parteċipazzjoni fil-bord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Sodisfazzjon ġenerali bl-esperjenza</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Il-kwalità tal-kontribuzzjonijiet tal-parteċipanti</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Koerenza bejn ir-rakkomandazzjonijiet magħmula u d-dibattitu</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Faċilità tal-użu tal-pjattaforma</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Rispett għad-diversità tal-opinjonijiet</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Kapaċità tal-moderaturi li jagħtu vuċi lill-parteċipanti u jisimgħu l-interventi tagħhom</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Interess fis-suġġetti indirizzati</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Għalkemm fil-bidu kellhom esperjenzi, ħiliet u motivazzjonijiet differenti, il-parteċipanti ħassew li kienu involuti b’mod qawwi: 98 % ta’ dawk li wieġbu għall-kwestjonarju ta’ evalwazzjoni ħassew li kienu pparteċipaw b’mod attiv u kkontribwew b’mod pożittiv għad-dibattitu.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B’mod ġenerali, l-utilità ta’ din l-esperjenza, li ġiet perċepita fuq kollox bħala opportunità biex wieħed jipparteċipa b’mod attiv u li tat sens ta’ prossimità akbar għall-istituzzjonijiet Ewropej, inħasset ħafna. Dan wassal biex kważi r-rispondenti kollha jitolbu li din it-tip ta’ inizjattiva tiġi ripetuta maż-żmien.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Forma ta’ 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4"/>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EVALWAZZJONI TAL-INTERESS TAL-“PANEL TALJAN GĦALL-KONFERENZA DWAR IL-FUTUR TAL-EWROPA”</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Għandhom isiru aktar ta’ spiss</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Hija utli biex il-vuċi taċ-ċittadini tinstema’ fl-istituzzjonijiet Ewropej</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Jistgħu jagħtu kontribut pożittiv għat-titjib tal-futur tal-Ewropa</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Inqarrbu l-istituzzjonijiet Ewropej lejn iċ-ċittadini</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Kien ħela ta ‘żmien</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Pjuttost jaqblu</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 d pjuttost jaqblu.</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L-ebda ftehim u l-ebda ftehim</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 naqbilx.</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Jien ma naqbel xejn.</w:t>
                              </w:r>
                            </w:p>
                          </w:txbxContent>
                        </wps:txbx>
                        <wps:bodyPr lIns="90000" rIns="90000" tIns="45000" bIns="45000">
                          <a:noAutofit/>
                        </wps:bodyPr>
                      </wps:wsp>
                    </wpg:wgp>
                  </a:graphicData>
                </a:graphic>
              </wp:anchor>
            </w:drawing>
          </mc:Choice>
          <mc:Fallback>
            <w:pict>
              <v:group id="shape_0" alt="Forma ta’ 9" style="position:absolute;margin-left:0pt;margin-top:5.6pt;width:476.15pt;height:248.3pt" coordorigin="0,112" coordsize="9523,4966">
                <v:shape id="shape_0" stroked="f" style="position:absolute;left:430;top:675;width:9092;height:4095" type="shapetype_75">
                  <v:imagedata r:id="rId114"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EVALWAZZJONI TAL-INTERESS TAL-“PANEL TALJAN GĦALL-KONFERENZA DWAR IL-FUTUR TAL-EWROPA”</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Għandhom isiru aktar ta’ spiss</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Hija utli biex il-vuċi taċ-ċittadini tinstema’ fl-istituzzjonijiet Ewropej</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Jistgħu jagħtu kontribut pożittiv għat-titjib tal-futur tal-Ewropa</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Inqarrbu l-istituzzjonijiet Ewropej lejn iċ-ċittadini</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Kien ħela ta ‘żmien</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Pjuttost jaqblu</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 d pjuttost jaqblu.</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L-ebda ftehim u l-ebda ftehim</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 naqbilx.</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Jien ma naqbel xejn.</w:t>
                        </w:r>
                      </w:p>
                    </w:txbxContent>
                  </v:textbox>
                  <w10:wrap type="square"/>
                  <v:fill o:detectmouseclick="t" on="false"/>
                  <v:stroke color="#3465a4" joinstyle="round" endcap="flat"/>
                </v:rect>
              </v:group>
            </w:pict>
          </mc:Fallback>
        </mc:AlternateContent>
      </w:r>
      <w:r>
        <w:rPr>
          <w:color w:val="000000"/>
        </w:rPr>
        <w:t>Il-parteċipanti kollha indikaw li jekk inizjattiva bħal din kellha tiġi organizzata mill-ġdid, huma mhux biss ikunu lesti li jipparteċipaw, iżda jirrakkomandaw ukoll lill-ħbieb tagħhom biex jipparteċipaw.</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Bordijiet Nazzjonali: Il-Litwanja</w:t>
      </w:r>
    </w:p>
    <w:p>
      <w:pPr>
        <w:pStyle w:val="P68B1DB1Normal95"/>
        <w:widowControl w:val="false"/>
        <w:spacing w:lineRule="exact" w:line="393"/>
        <w:ind w:left="0" w:right="0" w:hanging="0"/>
        <w:jc w:val="left"/>
        <w:rPr>
          <w:rFonts w:ascii="Arial" w:hAnsi="Arial"/>
          <w:color w:val="5A5A5A"/>
          <w:sz w:val="28"/>
        </w:rPr>
      </w:pPr>
      <w:r>
        <w:rPr/>
        <w:t xml:space="preserve">Il-Panel taċ-Ċittadini Litwan dwar il-Futur tal-Ewropa </w:t>
      </w:r>
    </w:p>
    <w:p>
      <w:pPr>
        <w:pStyle w:val="P68B1DB1Normal95"/>
        <w:widowControl w:val="false"/>
        <w:spacing w:lineRule="exact" w:line="460"/>
        <w:ind w:left="4320" w:right="0" w:hanging="0"/>
        <w:jc w:val="left"/>
        <w:rPr>
          <w:rFonts w:ascii="Arial" w:hAnsi="Arial"/>
          <w:color w:val="5A5A5A"/>
          <w:sz w:val="28"/>
        </w:rPr>
      </w:pPr>
      <w:r>
        <w:rPr/>
        <w:t xml:space="preserve">Rapport </w:t>
      </w:r>
    </w:p>
    <w:p>
      <w:pPr>
        <w:pStyle w:val="P68B1DB1Normal76"/>
        <w:widowControl w:val="false"/>
        <w:spacing w:lineRule="exact" w:line="227" w:before="87" w:after="0"/>
        <w:ind w:left="0" w:right="2" w:hanging="0"/>
        <w:jc w:val="both"/>
        <w:rPr/>
      </w:pPr>
      <w:r>
        <w:rPr/>
        <w:t xml:space="preserve">Dan ir-rapport jikkonsisti f’erba’ partijiet. L-ewwel jippreżenta fil-qosor il-progress tal-avveniment. It-tieni wieħed jiddeskrivi r-rakkomandazzjonijiet li saru mill-parteċipanti fil-Panel taċ-Ċittadini għall-politiki tal-UE u tal-Litwanja. It-tielet jipprovdi analiżi qasira tad-diskussjonijiet fil-gruppi u r-riżultati ewlenin tal-forum. Ir-raba’ wieħed iqabbel ir-riżultati tal-Panel taċ-Ċittadini ma’ dawk tal-istħarriġ taċ-ċittadini Litwani dwar l-istat u l-futur tal-Ewropa.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Kondotta tal-Panel Nazzjonali taċ-Ċittadini</w:t>
      </w:r>
    </w:p>
    <w:p>
      <w:pPr>
        <w:pStyle w:val="Normal"/>
        <w:widowControl w:val="false"/>
        <w:spacing w:lineRule="exact" w:line="253" w:before="95" w:after="0"/>
        <w:ind w:left="0" w:right="0" w:hanging="0"/>
        <w:jc w:val="both"/>
        <w:rPr/>
      </w:pPr>
      <w:r>
        <w:rPr>
          <w:color w:val="000000"/>
        </w:rPr>
        <w:t>F’konformità mal-linji gwida għall-organizzazzjoni ta’ panels nazzjonali taċ-ċittadini fil-qafas tal-Konferenza dwar il-Futur tal-Ewropa, l-istitut tal-istħarriġ Kantar TNS LT żviluppa f’Diċembru 2021, fuq talba tal-Ministeru tal-Affarijiet Barranin (MAE), metodoloġija tal-għażla aleatorja stratifikata ta’ kampjun rappreżentattiv tal-popolazzjoni Litwana, li abbażi tagħha Kantar TNS għażlet 25 ċittadin Litwan ta’ bejn it-18 u l-65 sena li jirrappreżentaw gruppi soċjoekonomiċi differenti u r-reġjuni ġeografiċi kollha tal-Litwanja</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Fl-4 ta’ Jannar, iċ-ċittadini magħżula ġew mistiedna għal sessjoni introduttorja virtwali li matulha ġiet ippreżentata l-idea tal-Panel taċ-Ċittadini Nazzjonali u saru skambji dwar is-suġġetti l-aktar rilevanti għall-futur tal-Ewropa. Fi tmiem l-avveniment, il-parteċipanti rċevew dokument ta’ sfond b’deskrizzjoni dettaljata tas-suġġetti diskussi u s-sorsi ta’ informazzjoni. </w:t>
      </w:r>
    </w:p>
    <w:p>
      <w:pPr>
        <w:pStyle w:val="P68B1DB1Normal76"/>
        <w:widowControl w:val="false"/>
        <w:spacing w:lineRule="exact" w:line="253"/>
        <w:ind w:left="0" w:right="2" w:hanging="0"/>
        <w:jc w:val="both"/>
        <w:rPr/>
      </w:pPr>
      <w:r>
        <w:rPr/>
        <w:t xml:space="preserve">Fil-15 ta’ Jannar, sar bord ta’ ċittadini nazzjonali dwar il-futur tal-Ewropa fil-MAE, organizzat miċ-Ċentru ta’ Studju tal-Ewropa tal-Lvant (RESC) tal-MAE u l-Istitut tal-votazzjoni Kantar TNS LT, li fih ħadu sehem direttament 25 ċittadin magħżul.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Il-parteċipanti ddiskutew żewġ kwistjonijiet relatati mal-politiki tal-UE: ir</w:t>
      </w:r>
      <w:r>
        <w:rPr>
          <w:b/>
        </w:rPr>
        <w:t>-rwol u l-kompetenzi li l-UE jista’ jkollha fil-politika barranija</w:t>
      </w:r>
      <w:r>
        <w:rPr/>
        <w:t xml:space="preserve">, kif ukoll ir </w:t>
      </w:r>
      <w:r>
        <w:rPr>
          <w:b/>
        </w:rPr>
        <w:t>-rwol ekonomiku tal-UE</w:t>
      </w:r>
      <w:r>
        <w:rPr/>
        <w:t>.</w:t>
      </w:r>
      <w:r>
        <w:rPr>
          <w:b/>
        </w:rPr>
        <w:t xml:space="preserve"> </w:t>
      </w:r>
      <w:r>
        <w:rPr/>
        <w:t xml:space="preserve">F’dan l-avveniment, kull waħda minn dawn il-kwistjonijiet kienet is-suġġett ta’ sessjoni separata li fil-bidu tagħha l-esperti tal-politika tal-UE Linas Kojala (RESC) u Ramūnas Vilpišauskas (Professor fl-Università ta’ Vilnius) introduċew fil-qosor liċ-ċittadini għat-topiċità u l-kwistjonijiet tas-suġġett tas-sessjoni. Matul id-diskussjoni, iċ-ċittadini setgħu jistaqsu mistoqsijiet u jaqsmu l-fehmiet tagħhom. Wara l-preżentazzjonijiet tal-esperti, il-parteċipanti nqasmu fi tliet gruppi rappreżentattivi iżgħar biex kull wieħed jirrifletti dwar kwistjoni differenti relatata mat-tema tas-sessjoni. Il-kwistjonijiet tal-politika barranija diskussi kienu kif ġej: </w:t>
      </w:r>
    </w:p>
    <w:p>
      <w:pPr>
        <w:pStyle w:val="P68B1DB1Normal76"/>
        <w:widowControl w:val="false"/>
        <w:spacing w:lineRule="exact" w:line="253"/>
        <w:ind w:left="720" w:right="1" w:hanging="0"/>
        <w:jc w:val="left"/>
        <w:rPr/>
      </w:pPr>
      <w:r>
        <w:rPr>
          <w:b/>
        </w:rPr>
        <w:t>1.1.</w:t>
      </w:r>
      <w:r>
        <w:rPr/>
        <w:t xml:space="preserve"> Hemm bżonn ta’ politika barranija u ta’ difiża awtonoma tal-UE?</w:t>
      </w:r>
    </w:p>
    <w:p>
      <w:pPr>
        <w:pStyle w:val="P68B1DB1Normal76"/>
        <w:widowControl w:val="false"/>
        <w:spacing w:lineRule="exact" w:line="253"/>
        <w:ind w:left="720" w:right="1" w:hanging="0"/>
        <w:jc w:val="left"/>
        <w:rPr/>
      </w:pPr>
      <w:r>
        <w:rPr>
          <w:b/>
        </w:rPr>
        <w:t>1.2.</w:t>
      </w:r>
      <w:r>
        <w:rPr/>
        <w:t xml:space="preserve"> X’għandhom ikunu r-relazzjonijiet tal-UE mal-ġirien tagħha tal-Ewropa tal-Lvant, l-Afrika ta’ Fuq u t-Turkija? </w:t>
      </w:r>
    </w:p>
    <w:p>
      <w:pPr>
        <w:pStyle w:val="P68B1DB1Normal76"/>
        <w:widowControl w:val="false"/>
        <w:spacing w:lineRule="exact" w:line="379"/>
        <w:ind w:left="720" w:right="0" w:hanging="0"/>
        <w:jc w:val="left"/>
        <w:rPr/>
      </w:pPr>
      <w:r>
        <w:rPr>
          <w:b/>
        </w:rPr>
        <w:t>1.3.</w:t>
      </w:r>
      <w:r>
        <w:rPr/>
        <w:t xml:space="preserve"> X’għandha tkun il-politika tal-UE dwar il-migrazzjoni? </w:t>
      </w:r>
    </w:p>
    <w:p>
      <w:pPr>
        <w:pStyle w:val="P68B1DB1Normal76"/>
        <w:widowControl w:val="false"/>
        <w:spacing w:lineRule="exact" w:line="254"/>
        <w:ind w:left="0" w:right="0" w:hanging="0"/>
        <w:jc w:val="left"/>
        <w:rPr/>
      </w:pPr>
      <w:r>
        <w:rPr/>
        <w:t xml:space="preserve">Is-sessjoni dwar ir-rwol ekonomiku tal-UE tat lok għal riflessjoni dwar il-kwistjonijiet li ġejjin: </w:t>
      </w:r>
    </w:p>
    <w:p>
      <w:pPr>
        <w:pStyle w:val="P68B1DB1Normal76"/>
        <w:widowControl w:val="false"/>
        <w:spacing w:lineRule="exact" w:line="254"/>
        <w:ind w:left="720" w:right="0" w:hanging="0"/>
        <w:jc w:val="left"/>
        <w:rPr/>
      </w:pPr>
      <w:r>
        <w:rPr>
          <w:b/>
        </w:rPr>
        <w:t xml:space="preserve">2.1. </w:t>
      </w:r>
      <w:r>
        <w:rPr/>
        <w:t xml:space="preserve">Hemm bżonn ta’ allokazzjoni mill-ġdid akbar tal-fondi mill-baġit tal-UE, mid-dejn komuni tal-UE? </w:t>
      </w:r>
    </w:p>
    <w:p>
      <w:pPr>
        <w:pStyle w:val="P68B1DB1Normal76"/>
        <w:widowControl w:val="false"/>
        <w:spacing w:lineRule="exact" w:line="379"/>
        <w:ind w:left="720" w:right="0" w:hanging="0"/>
        <w:jc w:val="left"/>
        <w:rPr/>
      </w:pPr>
      <w:r>
        <w:rPr>
          <w:b/>
        </w:rPr>
        <w:t>2.2. L</w:t>
      </w:r>
      <w:r>
        <w:rPr/>
        <w:t>-istandards soċjali għandhom jiġu rregolati fil-livell tal-UE?</w:t>
      </w:r>
      <w:r>
        <w:rPr>
          <w:b/>
        </w:rPr>
        <w:t xml:space="preserve"> </w:t>
      </w:r>
    </w:p>
    <w:p>
      <w:pPr>
        <w:pStyle w:val="P68B1DB1Normal76"/>
        <w:widowControl w:val="false"/>
        <w:spacing w:lineRule="exact" w:line="379"/>
        <w:ind w:left="720" w:right="0" w:hanging="0"/>
        <w:jc w:val="left"/>
        <w:rPr/>
      </w:pPr>
      <w:r>
        <w:rPr>
          <w:b/>
        </w:rPr>
        <w:t>2.3.</w:t>
      </w:r>
      <w:r>
        <w:rPr/>
        <w:t xml:space="preserve"> Kif tista’ tissaħħaħ l-ekonomija tal-UE? </w:t>
      </w:r>
    </w:p>
    <w:p>
      <w:pPr>
        <w:pStyle w:val="P68B1DB1Normal76"/>
        <w:widowControl w:val="false"/>
        <w:spacing w:lineRule="auto" w:line="240"/>
        <w:ind w:left="0" w:right="0" w:hanging="0"/>
        <w:jc w:val="both"/>
        <w:rPr/>
      </w:pPr>
      <w:r>
        <w:rPr/>
        <w:t xml:space="preserve">Fi tmiem is-sessjoni, kull grupp kellu jifformula l-konklużjonijiet ewlenin tad-diskussjoni, jagħmel dikjarazzjonijiet ta’ prinċipju jew proposti konkreti dwar it-tħassib dwar il-politika tal-UE. Matul id-diskussjoni mal-bord kollu, ir-rappreżentant ta’ kull grupp ippreżenta dawn is-sejbiet lill-parteċipanti l-oħra. Dawk li kienu fi gruppi oħra setgħu jistaqsu mistoqsijiet u jlestu l-proposti bl-ideat tagħhom. Wara l-preżentazzjonijiet u d-dibattiti, kull ċittadin ivvota tnejn minn dawn il-konklużjonijiet, b’vot għall-aktar proposta jew dikjarazzjoni importanti għar-rwol tal-Litwanja fit-tisħiħ tal-UE u s-suċċess tal-UE anke madwar l-Ewropa; u l-vot l-ieħor għad-dikjarazzjoni jew il-proposta jidhru l-aktar importanti fil-kapaċità personali tagħhom, fl-interess tagħhom bħala abitant tal-UE. Wara dan il-vot, sar dibattitu fil-panel, u ġew diskussi l-ideat ewlenin li ħarġu mid-diskussjonijiet. </w:t>
      </w:r>
    </w:p>
    <w:p>
      <w:pPr>
        <w:pStyle w:val="P68B1DB1Normal76"/>
        <w:widowControl w:val="false"/>
        <w:spacing w:lineRule="auto" w:line="240"/>
        <w:ind w:left="0" w:right="0" w:hanging="0"/>
        <w:jc w:val="both"/>
        <w:rPr/>
      </w:pPr>
      <w:r>
        <w:rPr/>
        <w:t xml:space="preserve">Fil-ġimgħa ta’ wara l-avveniment, l-esperti eżaminaw il-kontenut tad-diskussjonijiet u kixfu l-essenza tal-ideat proposti miċ-ċittadini. Fil-25 ta’ Jannar saret sessjoni rikapitulattiva virtwali u r-rakkomandazzjonijiet mill-kontenut tad-diskussjonijiet tagħhom ġew kondiviżi maċ-ċittadini. Iċ-ċittadini ngħataw l-opportunità li jgħidu jekk approvawx ir-rakkomandazzjonijiet, biex jissupplimentawhom dwar is-sustanza u biex jevalwawhom. Il-parteċipanti kollha kellhom din l-opportunità mill-ġdid ġimgħa wara s-sessjoni rikapitulattiva, u bagħtu l-opinjonijiet u l-kummenti tagħhom bil-miktub lill-organizzaturi tal-panel.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Riżultati tal-Panel Nazzjonali taċ-Ċittadini</w:t>
      </w:r>
      <w:r>
        <w:rPr/>
        <w:t xml:space="preserve"> </w:t>
      </w:r>
    </w:p>
    <w:p>
      <w:pPr>
        <w:pStyle w:val="P68B1DB1Normal76"/>
        <w:widowControl w:val="false"/>
        <w:spacing w:lineRule="auto" w:line="240" w:before="70" w:after="0"/>
        <w:ind w:left="0" w:right="1" w:hanging="0"/>
        <w:jc w:val="both"/>
        <w:rPr/>
      </w:pPr>
      <w:r>
        <w:rPr/>
        <w:t xml:space="preserve">Din il-parti tar-rapport turi r-riżultati tal-Panel taċ-Ċittadini, bir-rakkomandazzjonijiet magħmula mill-parteċipanti fil-gruppi ta’ ħidma u l-pożizzjonijiet tagħhom dwar ir-rwol tal-UE fil-politika barranija u l-ekonomija.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L-ewwel sessjoni:</w:t>
      </w:r>
      <w:r>
        <w:rPr/>
        <w:t xml:space="preserve"> </w:t>
      </w:r>
      <w:r>
        <w:rPr>
          <w:b/>
        </w:rPr>
        <w:t>ir-rwol u l-kompetenzi tal-UE fil-politika barranija</w:t>
      </w:r>
    </w:p>
    <w:p>
      <w:pPr>
        <w:pStyle w:val="P68B1DB1Normal99"/>
        <w:widowControl w:val="false"/>
        <w:spacing w:lineRule="auto" w:line="240" w:before="39" w:after="0"/>
        <w:ind w:left="468" w:right="0" w:hanging="0"/>
        <w:jc w:val="left"/>
        <w:rPr/>
      </w:pPr>
      <w:r>
        <w:rPr/>
        <w:t xml:space="preserve">1. Nappellaw lill-UE biex tiżviluppa politika aktar effettiva vis-à-vis iċ-Ċina. Il-Litwanja teħtieġ li tiġi appoġġata b’mod aktar riżolut, iżda għandha wkoll tallinja aħjar il-pożizzjoni tagħha ma’ dik tas-sħab tal-UE. Sabiex jiġi żgurat li l-interessi jkunu jistgħu jiġu bbilanċjati aħjar fi ħdan l-UE u li jkun hemm biss politika waħda vis-à-vis iċ-Ċina, kif ukoll dwar kwistjonijiet oħra ta’ politika barranija, nirrakkomandaw li tiġi kkunsidrata l-possibbiltà li jiġi stabbilit Ministru tal-Affarijiet Barranin tal-UE. </w:t>
      </w:r>
    </w:p>
    <w:p>
      <w:pPr>
        <w:pStyle w:val="P68B1DB1Normal99"/>
        <w:widowControl w:val="false"/>
        <w:spacing w:lineRule="auto" w:line="240" w:before="78" w:after="0"/>
        <w:ind w:left="468" w:right="341" w:hanging="0"/>
        <w:jc w:val="left"/>
        <w:rPr/>
      </w:pPr>
      <w:r>
        <w:rPr/>
        <w:t xml:space="preserve">2. Nirrakkomandaw li l-kwistjoni tal-kwoti tal-migranti titqiegħed fuq l-aġenda fil-livell tal-UE. </w:t>
      </w:r>
    </w:p>
    <w:p>
      <w:pPr>
        <w:pStyle w:val="P68B1DB1Normal99"/>
        <w:widowControl w:val="false"/>
        <w:spacing w:lineRule="auto" w:line="240" w:before="78" w:after="0"/>
        <w:ind w:left="468" w:right="0" w:hanging="0"/>
        <w:jc w:val="left"/>
        <w:rPr/>
      </w:pPr>
      <w:r>
        <w:rPr/>
        <w:t>3. Nirrakkomandaw it-twaqqif ta’ kumitat iddedikat fil-livell tal-UE biex jindirizza kwistjonijiet ta’ migrazzjoni, li jiżgura rispons aktar rapidu għall-kriżijiet tal-migrazzjoni u d-dritt tal-Istati Membri li jispjegaw u jiddefendu l-interessi nazzjonali tagħhom, u jiżviluppaw u jimplimentaw linji gwida komuni għall-ġestjoni tal-migrazzjoni.</w:t>
      </w:r>
    </w:p>
    <w:p>
      <w:pPr>
        <w:pStyle w:val="P68B1DB1Normal99"/>
        <w:widowControl w:val="false"/>
        <w:spacing w:lineRule="auto" w:line="240" w:before="78" w:after="0"/>
        <w:ind w:left="468" w:right="0" w:hanging="0"/>
        <w:jc w:val="left"/>
        <w:rPr/>
      </w:pPr>
      <w:r>
        <w:rPr/>
        <w:t xml:space="preserve">4. Nirrakkomandaw it-tisħiħ tar-rabtiet ekonomiċi u umanitarji mal-pajjiżi tal-Afrika ta’ Fuq, mingħajr ma nitilfu r-realtajiet politiċi, b’mod partikolari bil-ħsieb li titnaqqas l-influwenza taċ-Ċina, ir-Russja u stati oħra fir-reġjun. </w:t>
      </w:r>
    </w:p>
    <w:p>
      <w:pPr>
        <w:pStyle w:val="P68B1DB1Normal99"/>
        <w:widowControl w:val="false"/>
        <w:spacing w:lineRule="auto" w:line="240" w:before="78" w:after="0"/>
        <w:ind w:left="468" w:right="466" w:hanging="0"/>
        <w:jc w:val="left"/>
        <w:rPr/>
      </w:pPr>
      <w:r>
        <w:rPr/>
        <w:t xml:space="preserve">5. Nirrakkomandaw it-tisħiħ tar-rabtiet mal-Ewropa tal-Lvant u l-inkoraġġiment ta’ miżuri ekonomiċi fil-livell personali. </w:t>
      </w:r>
    </w:p>
    <w:p>
      <w:pPr>
        <w:pStyle w:val="P68B1DB1Normal99"/>
        <w:widowControl w:val="false"/>
        <w:spacing w:lineRule="auto" w:line="240" w:before="78" w:after="0"/>
        <w:ind w:left="468" w:right="286" w:hanging="0"/>
        <w:jc w:val="left"/>
        <w:rPr/>
      </w:pPr>
      <w:r>
        <w:rPr/>
        <w:t xml:space="preserve">6. Aħna ninsistu li s-sanzjonijiet imposti mill-UE fuq atturi barranin ikunu aktar stretti, aktar immirati u jikkonċernaw figuri importanti tal-istat sanzjonat (eż. mexxejja politiċi). </w:t>
      </w:r>
    </w:p>
    <w:p>
      <w:pPr>
        <w:pStyle w:val="P68B1DB1Normal99"/>
        <w:widowControl w:val="false"/>
        <w:spacing w:lineRule="auto" w:line="240" w:before="78" w:after="0"/>
        <w:ind w:left="466" w:right="295" w:hanging="0"/>
        <w:jc w:val="left"/>
        <w:rPr/>
      </w:pPr>
      <w:r>
        <w:rPr/>
        <w:t>7. Aħna ninsistu li l-politika estera u ta’ sigurtà komuni tal-UE hija bbażata fuq il-prinċipju fundamentali tas-solidarjetà bejn l-Istati Membri differenti tal-UE u r-reġjuni u s-soċjetajiet Ewropej differenti.</w:t>
      </w:r>
    </w:p>
    <w:p>
      <w:pPr>
        <w:pStyle w:val="P68B1DB1Normal99"/>
        <w:widowControl w:val="false"/>
        <w:spacing w:lineRule="auto" w:line="240" w:before="78" w:after="0"/>
        <w:ind w:left="466" w:right="295" w:hanging="0"/>
        <w:jc w:val="left"/>
        <w:rPr/>
      </w:pPr>
      <w:r>
        <w:rPr/>
        <w:t xml:space="preserve">8. Nirrakkomandaw li l-UE tirrevedi l-politika ta’ ftuħ s’issa dwar il-migrazzjoni, li qed tikkawża problemi ta’ sigurtà, żieda fil-kriminalità, u l-istabbiliment tal-komunitarjaniżmu fis-soċjetà. </w:t>
      </w:r>
    </w:p>
    <w:p>
      <w:pPr>
        <w:pStyle w:val="P68B1DB1Normal99"/>
        <w:widowControl w:val="false"/>
        <w:spacing w:lineRule="auto" w:line="240" w:before="78" w:after="0"/>
        <w:ind w:left="468" w:right="0" w:hanging="0"/>
        <w:jc w:val="left"/>
        <w:rPr/>
      </w:pPr>
      <w:r>
        <w:rPr/>
        <w:t xml:space="preserve">9. Nistiednu lil-Litwanja biex titkellem b’mod aktar attiv dwar kwistjonijiet ta’ politika dwar il-migrazzjoni u biex tniedi diskussjonijiet dwar kwistjonijiet relatati mal-migrazzjoni. </w:t>
      </w:r>
    </w:p>
    <w:p>
      <w:pPr>
        <w:pStyle w:val="P68B1DB1Normal99"/>
        <w:widowControl w:val="false"/>
        <w:spacing w:lineRule="auto" w:line="240" w:before="78" w:after="0"/>
        <w:ind w:left="468" w:right="0" w:hanging="0"/>
        <w:jc w:val="left"/>
        <w:rPr>
          <w:rFonts w:ascii="Arial" w:hAnsi="Arial"/>
          <w:color w:val="000000"/>
          <w:sz w:val="20"/>
        </w:rPr>
      </w:pPr>
      <w:r>
        <w:rPr/>
        <w:t xml:space="preserve">10. Nirrakkomandaw li l-UE ssegwi politika attiva u rigoruża lejn stati li jużaw il-flussi migratorji bħala arma f’attakki ibridi: minn naħa waħda bl-applikazzjoni ta’ sanzjonijiet aktar stretti, u min-naħa l-oħra permezz ta’ djalogu magħhom bil-ħsieb li titnaqqas it-tensjoni.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It-tieni sessjoni: ir-rwol ekonomiku tal-UE </w:t>
      </w:r>
    </w:p>
    <w:p>
      <w:pPr>
        <w:pStyle w:val="P68B1DB1Normal99"/>
        <w:widowControl w:val="false"/>
        <w:spacing w:lineRule="auto" w:line="240"/>
        <w:ind w:left="828" w:right="142" w:hanging="359"/>
        <w:jc w:val="both"/>
        <w:rPr/>
      </w:pPr>
      <w:r>
        <w:rPr/>
        <w:t xml:space="preserve">1. Nirrakkomandaw li l-UE ssaħħaħ is-sigurtà tal-provvista ta’ oġġetti essenzjali b’diversi mezzi: il-prijoritizzazzjoni tal-kummerċ intern tal-UE, il-promozzjoni tal-produzzjoni ta’ teknoloġiji avvanzati u d-diversifikazzjoni ulterjuri tas-sorsi tal-importazzjoni. Nirrakkomandaw ukoll li jiġu esplorati swieq ġodda tal-esportazzjoni. </w:t>
      </w:r>
    </w:p>
    <w:p>
      <w:pPr>
        <w:pStyle w:val="P68B1DB1Normal99"/>
        <w:widowControl w:val="false"/>
        <w:spacing w:lineRule="auto" w:line="240" w:before="83" w:after="0"/>
        <w:ind w:left="828" w:right="143" w:hanging="359"/>
        <w:jc w:val="both"/>
        <w:rPr/>
      </w:pPr>
      <w:r>
        <w:rPr/>
        <w:t xml:space="preserve">2. Nirrakkomandaw li jiġu riveduti l-prattiki ta’ negozjar tal-kuntratti tal-gass naturali, bil-ħsieb kemm ta’ kuntratti fuq terminu qasir kif ukoll dawk fit-tul. Nirrakkomandaw aktar diversifikazzjoni tas-sorsi tal-provvista tal-enerġija. </w:t>
      </w:r>
    </w:p>
    <w:p>
      <w:pPr>
        <w:pStyle w:val="P68B1DB1Normal99"/>
        <w:widowControl w:val="false"/>
        <w:spacing w:lineRule="auto" w:line="240" w:before="83" w:after="0"/>
        <w:ind w:left="828" w:right="143" w:hanging="359"/>
        <w:jc w:val="both"/>
        <w:rPr/>
      </w:pPr>
      <w:r>
        <w:rPr/>
        <w:t xml:space="preserve">3. Nirrakkomandaw li l-miżuri tal-Patt Ekoloġiku u l-implimentazzjoni tagħhom jiġu vvalutati filwaqt li jitqiesu l-impatti soċjoekonomiċi negattivi potenzjali. Sabiex jiġu implimentati l-objettivi tal-Patt Ekoloġiku, nirrakkomandaw li l-enerġija nukleari u l-gass naturali jintużaw flimkien mal-użu ta’ sorsi ta’ enerġija rinnovabbli. </w:t>
      </w:r>
    </w:p>
    <w:p>
      <w:pPr>
        <w:pStyle w:val="P68B1DB1Normal99"/>
        <w:widowControl w:val="false"/>
        <w:spacing w:lineRule="auto" w:line="240" w:before="83" w:after="0"/>
        <w:ind w:left="828" w:right="143" w:hanging="359"/>
        <w:jc w:val="both"/>
        <w:rPr/>
      </w:pPr>
      <w:r>
        <w:rPr/>
        <w:t xml:space="preserve">4. Nenfasizzaw li huwa partikolarment importanti li l-Istati Membri kollha jirrispettaw il-prinċipju tas-supremazija tal-liġi tal-UE. Aħna nistaqsu, pereżempju, li l-Litwanja għandha pożizzjoni bi prinċipji ċari dwar din il-kwistjoni. </w:t>
      </w:r>
    </w:p>
    <w:p>
      <w:pPr>
        <w:pStyle w:val="P68B1DB1Normal99"/>
        <w:widowControl w:val="false"/>
        <w:spacing w:lineRule="auto" w:line="240" w:before="83" w:after="0"/>
        <w:ind w:left="828" w:right="142" w:hanging="359"/>
        <w:jc w:val="both"/>
        <w:rPr/>
      </w:pPr>
      <w:r>
        <w:rPr/>
        <w:t>5. Nirrakkomandaw li l-Litwanja tagħmel użu aktar attiv mill-prattiki tajbin mill-pajjiżi tal-UE bil-għan ta’ standards soċjali ogħla, espansjoni ekonomika u żvilupp bilanċjat u sostenibbli.</w:t>
      </w:r>
    </w:p>
    <w:p>
      <w:pPr>
        <w:pStyle w:val="P68B1DB1Normal99"/>
        <w:widowControl w:val="false"/>
        <w:spacing w:lineRule="auto" w:line="240" w:before="83" w:after="0"/>
        <w:ind w:left="828" w:right="142" w:hanging="359"/>
        <w:jc w:val="both"/>
        <w:rPr/>
      </w:pPr>
      <w:r>
        <w:rPr/>
        <w:t xml:space="preserve">6. Nirrakkomandaw li tingħata aktar attenzjoni lit-tisħiħ taċ-ċibersigurtà, kif ukoll lill-protezzjoni tad-data u tal-infrastruttura. </w:t>
      </w:r>
    </w:p>
    <w:p>
      <w:pPr>
        <w:pStyle w:val="P68B1DB1Normal99"/>
        <w:widowControl w:val="false"/>
        <w:spacing w:lineRule="auto" w:line="240" w:before="83" w:after="0"/>
        <w:ind w:left="821" w:right="143" w:hanging="354"/>
        <w:jc w:val="both"/>
        <w:rPr/>
      </w:pPr>
      <w:r>
        <w:rPr/>
        <w:t xml:space="preserve">7. Nirrakkomandaw li l-UE u l-Istati Membri jagħtu prijorità lill-iżvilupp tal-għarfien ekonomiku bażiku fost iċ-ċittadini, l-edukazzjoni u t-tixrid tal-informazzjoni. </w:t>
      </w:r>
    </w:p>
    <w:p>
      <w:pPr>
        <w:pStyle w:val="P68B1DB1Normal99"/>
        <w:widowControl w:val="false"/>
        <w:spacing w:lineRule="auto" w:line="240" w:before="45" w:after="0"/>
        <w:ind w:left="821" w:right="143" w:hanging="354"/>
        <w:jc w:val="both"/>
        <w:rPr/>
      </w:pPr>
      <w:r>
        <w:rPr/>
        <w:t xml:space="preserve">8. Nirrakkomandaw li l-ftehimiet kummerċjali l-ġodda tal-UE jinkorporaw standards soċjali, tax-xogħol u tas-saħħa ambizzjużi. Nirrakkomandaw l-istabbiliment fil-livell tal-UE ta’ linji gwida dwar x’għandu jsir u ma għandux id-dritt li jagħmel pjattaformi tal-midja soċjali li jimmaniġġjaw id-data personali tal-konsumaturi u l-informazzjoni dwarhom. </w:t>
      </w:r>
    </w:p>
    <w:p>
      <w:pPr>
        <w:pStyle w:val="P68B1DB1Normal99"/>
        <w:widowControl w:val="false"/>
        <w:spacing w:lineRule="auto" w:line="240" w:before="42" w:after="0"/>
        <w:ind w:left="821" w:right="143" w:hanging="354"/>
        <w:jc w:val="both"/>
        <w:rPr/>
      </w:pPr>
      <w:r>
        <w:rPr/>
        <w:t>9. Nirrakkomandaw riflessjoni ulterjuri dwar il-possibbiltà ta’ self konġunt fil-livell tal-UE sabiex jinkisbu l-aħjar kundizzjonijiet ta’ self possibbli. Nirrakkomandaw ukoll l-iżvilupp ta’ politika finanzjarjament soda u responsabbli biex titnaqqas il-ħtieġa ta’ dejn għall-Istati Membri.</w:t>
      </w:r>
    </w:p>
    <w:p>
      <w:pPr>
        <w:pStyle w:val="P68B1DB1Normal99"/>
        <w:widowControl w:val="false"/>
        <w:spacing w:lineRule="auto" w:line="240" w:before="42" w:after="0"/>
        <w:ind w:left="821" w:right="143" w:hanging="354"/>
        <w:jc w:val="both"/>
        <w:rPr/>
      </w:pPr>
      <w:r>
        <w:rPr/>
        <w:t>10. Nirrakkomandaw li jissaħħaħ il-monitoraġġ tal-assorbiment u l-użu tal-fondi tal-UE, li jgħin lill-awtoritajiet lokali jistabbilixxu prattika reali ta’ aġġustament tal-użu tal-fondi. Peress li s-sitwazzjoni oġġettiva tal-benefiċjarji tal-fondi tal-UE tista’ tinbidel, l-artikulazzjoni bejn ir-rekwiżiti tat-trasparenza u tal-flessibbiltà hija ta’ importanza partikolari.</w:t>
      </w:r>
    </w:p>
    <w:p>
      <w:pPr>
        <w:pStyle w:val="P68B1DB1Normal99"/>
        <w:widowControl w:val="false"/>
        <w:spacing w:lineRule="auto" w:line="240" w:before="42" w:after="0"/>
        <w:ind w:left="821" w:right="143" w:hanging="354"/>
        <w:jc w:val="both"/>
        <w:rPr/>
      </w:pPr>
      <w:r>
        <w:rPr/>
        <w:t xml:space="preserve">11. Nirrakkomandaw li l-Litwanja tkompli tippromwovi b’mod attiv l-iżvilupp ekonomiku u l-investiment fir-reġjuni tal-pajjiż.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Diskussjonijiet fil-Panel Nazzjonali taċ-Ċittadini u analiżi tar-riżultati </w:t>
      </w:r>
    </w:p>
    <w:p>
      <w:pPr>
        <w:pStyle w:val="P68B1DB1Normal76"/>
        <w:widowControl w:val="false"/>
        <w:spacing w:lineRule="auto" w:line="240" w:before="46" w:after="0"/>
        <w:ind w:left="0" w:right="29" w:hanging="0"/>
        <w:jc w:val="both"/>
        <w:rPr/>
      </w:pPr>
      <w:r>
        <w:rPr/>
        <w:t xml:space="preserve">Il-parteċipanti fil-Panel Nazzjonali taċ-Ċittadini ddiskutew l-aktar kwistjonijiet topiċi importanti għal-Litwanja (fil-biċċa l-kbira diskussi fil-livell nazzjonali fl-arena politika u tal-midja) u kif għandhom jiġu indirizzati. Il-votazzjoni ġenerali dwar il-konklużjonijiet ewlenin tal-bord żvelat li kważi 45 % tal-voti kollha mitfugħa matul iż-żewġ sessjonijiet kienu ddedikati għal proposti dwar żewġ temi: ir-relazzjonijiet maċ-Ċina u l-kontroll tal-flussi migratorji (ara t-tabella hawn taħt). It-tema tal-politika tal-enerġija wkoll ġabet ħafna attenzjoni. Kien is-suġġett ta’ proposta waħda biss, iżda rċieva l-voti ta’ kważi 10 % tal-parteċipanti. Ir-riżultat ta’ dawn il-voti jissuġġerixxi li l-perċezzjoni taċ-ċittadini dwar il-futur tal-Ewropa tista’ tkun deċiżiva għall-kwistjonijiet politiċi u l-aħbarijiet tal-lum (fil-livell nazzjonali).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Rakkomandazzjoni</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Votazzjoni</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L-ewwel sessjoni: ir-rwol u l-kompetenzi tal-UE fil-politika barranija</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Nappellaw lill-UE biex tiżviluppa politika aktar effettiva vis-à-vis iċ-Ċina. L-appoġġ attwali għal-Litwanja mhuwiex biżżejjed, iżda l-Litwanja lanqas ma allinjat biżżejjed il-pożizzjoni tagħha ma’ dik tas-sħab tal-UE. Sabiex jiġi żgurat li l-interessi jkunu jistgħu jiġu bbilanċjati aħjar fi ħdan l-UE u li jkun hemm biss politika waħda vis-à-vis iċ-Ċina, kif ukoll dwar kwistjonijiet oħra ta’ politika barranija, nirrakkomandaw li tiġi kkunsidrata l-possibbiltà li jiġi stabbilit Ministru tal-Affarijiet Barranin tal-UE.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importanti għall-Ewropa kollha: 8; F’kapaċità personali: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Nirrakkomandaw li l-kwistjoni tal-kwoti tal-migranti titqiegħed fuq l-aġenda fil-livell tal-UE.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importanti għall-Ewropa kollha: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Nirrakkomandaw it-twaqqif ta’ kumitat iddedikat fil-livell tal-UE biex jindirizza kwistjonijiet ta’ migrazzjoni, li jiżgura rispons aktar rapidu għall-kriżijiet tal-migrazzjoni u d-dritt tal-Istati Membri li jispjegaw u jiddefendu l-interessi nazzjonali tagħhom, u li jiżviluppaw u jimplimentaw linji gwida komuni għall-ġestjoni tal-migrazzjoni.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importanti għall-Ewropa kollha: 3; F’kapaċità personali: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Nirrakkomandaw it-tisħiħ tar-rabtiet ekonomiċi u umanitarji mal-pajjiżi tal-Afrika ta’ Fuq, mingħajr ma nitilfu r-realtajiet politiċi, b’mod partikolari bil-ħsieb li titnaqqas l-influwenza taċ-Ċina, ir-Russja u stati oħra fir-reġjun.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importanti fil-kapaċità personali: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Nirrakkomandaw li jissaħħu r-rabtiet mal-Ewropa tal-Lvant u li jiġu applikati miżuri ekonomiċi fil-livell tan-nies.</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importanti personalment: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It-tieni sessjoni: ir-rwol ekonomiku tal-UE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Nirrakkomandaw li l-UE tieħu diversi passi biex ittejjeb is-sigurtà tal-provvista ta’ oġġetti essenzjali: il-prijoritizzazzjoni tal-kummerċ intra-UE, il-promozzjoni tal-produzzjoni ta’ teknoloġiji avvanzati fl-UE u d-diversifikazzjoni ulterjuri tas-sorsi tal-importazzjoni. Nirrakkomandaw ukoll li jiġu esplorati swieq ġodda tal-esportazzjoni.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importanti għall-Ewropa kollha: 3; personalment: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Nirrakkomandaw li jiġu riveduti l-prattiki ta’ negozjar tal-kuntratti tal-gass naturali, bil-ħsieb kemm ta’ kuntratti fuq terminu qasir kif ukoll dawk fit-tul. Nirrakkomandaw aktar diversifikazzjoni tas-sorsi tal-provvista tal-enerġija.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importanti għall-Ewropa kollha: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Nirrakkomandaw li l-miżuri tal-Patt Ekoloġiku u l-implimentazzjoni tagħhom jiġu vvalutati filwaqt li jitqiesu l-impatti soċjoekonomiċi negattivi potenzjali. Sabiex jiġu implimentati l-objettivi tal-Patt Ekoloġiku, nirrakkomandaw li l-enerġija nukleari u l-gass naturali jintużaw flimkien mal-użu ta’ sorsi ta’ enerġija rinnovabbli.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importanti fil-kapaċità personali: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Aħna nenfasizzaw li huwa importanti li l-Istati Membri kollha jirrispettaw il-prinċipju tas-supremazija tal-liġi tal-UE. Aħna nistaqsu, pereżempju, li l-Litwanja għandha pożizzjoni bi prinċipji ċari dwar din il-kwistjoni.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importanti għall-Ewropa kollha: 2; F’kapaċità personali: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Barra minn hekk, l-aktar kwistjonijiet importanti għaċ-ċittadini, jiġifieri r-relazzjonijiet maċ-Ċina, il-migrazzjoni jew l-enerġija, huma temporanji: ir-riżoluzzjoni tagħhom se jkollha impatt fundamentali fuq il-futur fit-tul tal-Ewropa. Għalhekk, il-probabbiltà li ċ-ċittadini jaħsbu dwar il-futur se jagħtu prijorità lil dak li huwa importanti bħalissa mhijiex problematika. Hekk kif il-kostruzzjoni tal-futur tibda b’għadd kbir ta’ passi żgħar illum, il-perċezzjoni tal-aspettattivi taċ-ċittadini fuq medda qasira ta’ żmien hija kundizzjoni essenzjali biex jiġi żgurat kontroll qawwi fit-tul tal-proċessi u s-soluzzjoni tal-problemi. L-analiżi ta’ hawn taħt tar-riżultati ewlenin tal-bord ta’ ċittadini nazzjonali hija bbażata fuq din l-osservazzjoni.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Ir-riżoluzzjoni li tirċievi l-ogħla numru ta’ voti (11 jew kważi 12 %) hija li l</w:t>
      </w:r>
      <w:r>
        <w:rPr>
          <w:b/>
        </w:rPr>
        <w:t xml:space="preserve"> -UE teħtieġ politika aktar effettiva fir-rigward taċ-Ċina</w:t>
      </w:r>
      <w:r>
        <w:rPr/>
        <w:t xml:space="preserve">. Din il-konklużjoni ġenerali kopriet diversi dikjarazzjonijiet aktar konkreti. L-ewwel nett, il-parteċipanti enfasizzaw li f’dan l-istadju, l-appoġġ tal-UE lil-Litwanja fid-dawl tal-pressjoni ekonomika miċ-Ċina ma kienx biżżejjed. It-tieni nett, ir-rappreżentanti tal-Grupp li kkomunikaw il-konklużjoni enfasizzaw li l-Litwanja nnifisha għandha tagħmel sforzi akbar biex tarmonizza l-politika tagħha lejn iċ-Ċina ma’ dik tas-sħab tal-UE, b’mod partikolari minħabba li huwa importanti li l-UE kollha kemm hi tkompli tinvolvi ruħha fil-kummerċ maċ-Ċina. It-tielet nett, iċ-ċittadini qajmu l-idea li l-koordinazzjoni tal-pożizzjonijiet u l-iżvilupp ta’ politika komuni dwar iċ-Ċina b’mod partikolari jistgħu jkunu aktar effettivi jekk jiġi stabbilit Ministru tal-Affarijiet Barranin tal-UE. Tmien parteċipanti ddikjaraw din il-konklużjoni partikolarment importanti għall-Ewropa kollha, u tlieta oħra ddikjarawha importanti għalihom fil-kapaċità personali tagħhom.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Il-kwistjoni tar-relazzjonijiet maċ-Ċina hija marbuta mill-qrib ma’ żewġ proposti oħra b’għadd kbir ta’ vuċijiet taċ-ċittadini. Disa’ parteċipanti vvutaw favur il-konklużjoni li ntlaħqet fit-tieni sessjoni li l- </w:t>
      </w:r>
      <w:r>
        <w:rPr>
          <w:b/>
        </w:rPr>
        <w:t>UE teħtieġ li ssaħħaħ is-sigurtà tal-provvista</w:t>
      </w:r>
      <w:r>
        <w:rPr/>
        <w:t xml:space="preserve"> (tliet parteċipanti indikaw dan bħala partikolarment importanti għall-Ewropa kollha, u sitta oħra li dan huwa għalihom fil-kapaċità personali tagħhom). Din il-konklużjoni inkludiet ukoll diversi aspetti. L-ewwel nett, iċ-ċittadini enfasizzaw il-ħtieġa li tingħata prijorità lis-swieq tal-UE kkaratterizzati minn fornituri u prodotti affidabbli li jissodisfaw standards eżiġenti. It-tieni nett, il-parteċipanti enfasizzaw il-ħtieġa li titħeġġeġ il-kapaċità ta’ produzzjoni ta’ teknoloġija avvanzata fl-Ewropa nnifisha. It-tielet nett, iċ-ċittadini esprimew appoġġ għal diversifikazzjoni akbar tas-sorsi tal-importazzjoni. Fil-formulazzjoni ta’ dawn ir-rakkomandazzjonijiet, il-parteċipanti fid-diskussjoni rreferew b’mod konsistenti għall-fattur taċ-Ċina: it-theddid għas-sigurtà relatat mal-prodotti Ċiniżi, id-dipendenza fuq il-materja prima Ċiniża meħtieġa għall-manifattura ta’ teknoloġiji avvanzati, kif ukoll il-prattiki taċ-Ċina ta’ teknoloġiji ta’ kkupjar u serq minn kumpaniji tal-Punent li joperaw fis-suq tagħha. Il-proposta għall</w:t>
      </w:r>
      <w:r>
        <w:rPr>
          <w:b/>
        </w:rPr>
        <w:t xml:space="preserve"> -iżvilupp tal-kooperazzjoni ekonomika u umanitarja tal-UE mal-pajjiżi tal-Afrika ta’ Fuq</w:t>
      </w:r>
      <w:r>
        <w:rPr/>
        <w:t xml:space="preserve"> irċeviet ukoll sitt voti (importanti f’kapaċità personali) fuq il-bażi li f’dan ir-reġjun huwa importanti li titnaqqas l-influwenza taċ-Ċina kif ukoll tar-Russja u ta’ stati amikevoli oħra.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Ir-riżultati tal-votazzjoni rriflettew ukoll it-tħassib taċ-ċittadini dwar kwistjonijiet ta’ migrazzjoni. Tnejn mit-tliet sejbiet l-aktar vokali fil-politika barranija kienu ddedikati għall-migrazzjoni. Disa’ parteċipanti vvutaw favur il-proposta </w:t>
      </w:r>
      <w:r>
        <w:rPr>
          <w:b/>
        </w:rPr>
        <w:t>li l-UE terġa’ lura għall-ħolqien ta’ sistema ta’ kwoti obbligatorji ta’ akkoljenza tal-migranti għall-Istati Membri</w:t>
      </w:r>
      <w:r>
        <w:rPr/>
        <w:t xml:space="preserve"> (kollha enfasizzaw li din il-proposta hija ta’ importanza partikolari għall-Ewropa kollha). Il-parteċipanti li għamlu din il-konklużjoni esprimew appoġġ għall-kwoti nazzjonali li għandhom jiġu stabbiliti skont in-numru ta’ abitanti, u għall-kofinanzjament tal-UE biex jintlaħqu l-ħtiġijiet tal-migranti skont dawn il-kwoti. Seba’ parteċipanti xorta vvutaw favur il-proposta </w:t>
      </w:r>
      <w:r>
        <w:rPr>
          <w:b/>
        </w:rPr>
        <w:t>li titwaqqaf kummissjoni teknika permanenti fil-livell tal-UE biex tittratta kwistjonijiet ta’ migrazzjoni, li fiha r-rappreżentanti tal-Istati Membri jiġu ssekondati</w:t>
      </w:r>
      <w:r>
        <w:rPr/>
        <w:t xml:space="preserve"> (tliet parteċipanti jqisu din il-proposta ta’ importanza partikolari għall-Ewropa kollha kemm hi, erbgħa jqisuha importanti għalihom fil-kapaċità personali tagħhom). Il-parteċipanti saħqu li tali korp jista’ jippermetti lill-UE tirreaġixxi aktar malajr għall-kriżijiet tal-migrazzjoni, filwaqt li jiżgura bilanċ bejn ir-rispett adegwat għall-prinċipji ġenerali tal-UE u d-dritt tal-Istati Membri li jiddefendu l-interessi u s-sigurtà nazzjonali tagħhom.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Matul id-dibattitu dwar il-politika dwar il-migrazzjoni, il-parteċipanti ddiskutew żewġ kriżijiet distinti fil-ġestjoni tal-flussi migratorji: fl-2016, il-kriżi tal-migrazzjoni tal-Baħar Mediterran, u fl-2 012 l-attakk ibridu tal-Belarussja fuq il-Litwanja, il-Latvja u l-Polonja, li matulu Minsk użat migranti minn flussi mil-Lvant Nofsani u l-Afrika. Għadd ta’ parteċipanti fil-panel qalu li l-kriżi fl-2016 dehret’il bogħod u irrilevanti, kemm għal-Litwanja kollha kif ukoll għalihom f’kapaċità personali, u l-proposta li titwaqqaf sistema ta’ kwoti għall-migranti ma dehritx xierqa għalihom. Skont il-parteċipanti, l-esperjenza tal-attakk ibridu għamlet il-kwistjoni tal-migrazzjoni eqreb fl-Ewropa tal-Lvant, u sfurzat toqrob il-kwoti bħala għodda ta’ politika dwar il-migrazzjoni adattata, effettiva u bbażata fuq is-solidarjetà. Xi parteċipanti indikaw li, f’nofs il-kriżi tal-2021, kien sar diffiċli li ssir distinzjoni bejn dawk fit-territorju tal-pajjiż, ir-refuġjati, il-migranti u dawk li huma ta’ theddida. Il-parteċipanti kollha fid-diskussjoni qablu li l-politika attwali “miftuħa” tal-UE dwar il-migrazzjoni ma tqisx biżżejjed it-theddid ikkawżat mill-migrazzjoni, l-interessi nazzjonali tal-Istati Membri, il-kapaċità tagħhom li jintegraw il-migranti, eċċ. Iċ-ċittadini kkritikaw ukoll lill-UE għad-dewmien jew in-nuqqas ta’ rispons tagħha għall-ħtiġijiet tal-Litwanja, kif ukoll ir-rifjut tagħha li tiffinanzja l-bini ta’ ħajt fil-fruntieri esterni.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Fil-qosor, jista’ jingħad li żewġ elementi tal-aħbarijiet l-aktar sħan tal-Litwanja fl-2021 — ir-relazzjonijiet maċ-Ċina u l-ġestjoni tal-flussi migratorji — iħeġġu liċ-ċittadini Litwani jitolbu li l-UE tintervjeni aktar u jkollha politika komuni aktar effettiva. Iċ-ċittadini huma mħassba dwar il-politika taċ-Ċina u l-influwenza dejjem tikber tagħha fl-Ewropa u fil-viċinat tal-UE. Għandu jiġi rikonoxxut li l-influwenza ekonomika taċ-Ċina ġġiegħel lill-Ewropa tfittex miżuri ta’ politika xierqa u bbilanċjati. Fl-opinjoni taċ-ċittadini, is-soluzzjoni ewlenija hija li jissaħħu l-istrumenti tal-politika barranija komuni tal-UE, il-politika industrijali u l-kooperazzjoni mal-ġirien. Bl-istess mod, iċ-ċittadini qiesu li azzjoni unika fil-livell tal-UE, kif ukoll sistema ġdida possibbli ta’ kwoti ta’ migrazzjoni, probabbilment kienet l-aktar mod xieraq biex jiġi evitat it-theddid għas-sigurtà kkawżat mill-migrazzjoni, kif ukoll biex jiġu kkontrollati malajr u b’mod effiċjenti l-flussi migratorji lejn l-Ewropa. Fil-fehma tal-bord, l-aħjar rispons għall-pressjonijiet dejjem jikbru taċ-Ċina u għall-attakk ibridu tal-Belarussja jkun li jkun hemm politika komuni tal-UE profonda u msaħħa.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Din l-opinjoni dwar il-kriżijiet li qed jiġu diskussi tista’ titqabbel mal-proposti tal-parteċipanti tal-panel dwar kwistjonijiet tal-enerġija u l-klima. Fi tmiem l-2021, ħafna ċittadini Litwani kellhom jittrattaw direttament iż-żieda fil-prezzijiet tat-tisħin, u l-kriżi tal-prezzijiet tal-enerġija malajr uriet li kienet fost l-aktar aħbarijiet importanti għal-Litwanja. It-tħassib dwar il-prezzijiet tal-enerġija huwa rifless ukoll fil-vot tal-parteċipanti: Disa’ ċittadini saħansitra vvutaw għall-konklużjoni li din il-kwistjoni hija l-aktar importanti għall-Ewropa kollha. Ir-rakkomandazzjoni ewlenija tal-parteċipanti kienet</w:t>
      </w:r>
      <w:r>
        <w:rPr>
          <w:b/>
        </w:rPr>
        <w:t xml:space="preserve"> li tiġi riveduta l-prattika attwali tal-Istati Membri billi jiġu konklużi kuntratti għall-provvista tal-enerġija ma’ fornituri differenti, u billi jsir sforz biex dawn jiġu konklużi kemm fuq medda qasira ta’ żmien kif ukoll fuq medda twila ta’ żmien.</w:t>
      </w:r>
      <w:r>
        <w:rPr/>
        <w:t xml:space="preserve"> Fi kliem ieħor, iċ-ċittadini appoġġaw il-politika tad-diversifikazzjoni tas-sorsi tal-provvista tal-enerġija, iżda ma għamlu l-ebda rakkomandazzjoni dwar il-politiki ġenerali tal-UE u ma rrakkomandawx aktar integrazzjoni tal-politiki tal-enerġija.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Fir-rigward tal-politika dwar il-klima, iċ </w:t>
      </w:r>
      <w:r>
        <w:rPr>
          <w:b/>
        </w:rPr>
        <w:t>-ċittadini rrakkomandaw valutazzjoni tal-miżuri tal-Patt Ekoloġiku, filwaqt li jitqiesu l-impatt soċjoekonomiku u l-ambizzjoni mistennija.</w:t>
      </w:r>
      <w:r>
        <w:rPr/>
        <w:t xml:space="preserve"> Din il-proposta rċeviet il-vuċi ta’ sitt parteċipanti, li kull wieħed minnhom qiesha importanti f’kapaċità personali. Xi parteċipanti esprimew tħassib dwar il-pass mgħaġġel wisq tal-hekk imsejħa “tranżizzjoni ekoloġika” u qalu li l-Litwanja għandha tivvaluta b’aktar reqqa jekk politika bħal din timminax l-interessi tal-pajjiż u taċ-ċittadini tiegħu. Xi parteċipanti qajmu mill-ġdid ukoll il-ħtieġa li tintuża mhux biss l-enerġija rinnovabbli, iżda wkoll l-enerġija nukleari u l-gass naturali. B’appoġġ għal din il-pożizzjoni, huma rreferew għad-deċiżjoni tal-Ġermanja li tkompli tuża l-gass naturali, kif ukoll il-potenzjal ta’ reatturi nukleari “modulari” ta’ ġenerazzjoni ġdida. Fir-rigward tal-politika dwar il-klima, il-bord għalhekk ta prijorità lill-politiki tal-Istati Membri f’konformità mal-ħtiġijiet nazzjonali, u mhux politika komuni ambizzjuża tal-UE dwar il-governanza klimatika.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Minħabba n-numru relattivament żgħir ta’ parteċipanti fil-bord u d-disparità tar-reazzjonijiet taċ-ċittadini (aktar unità ta’ azzjoni jew aktar flessibbiltà) għad-diversi kriżijiet, ikun żbaljat li jiġu kkunsidrati miżuri rikapitulattivi u applikabbli b’mod wiesa’. Madankollu, din id-dinamika ta’ espressjoni ta’ opinjonijiet tista’ twassal għall-proposta ta’ suġġetti ta’ interess għal studji ta’ opinjoni futuri taċ-ċittadini Litwani dwar kwistjonijiet ta’ integrazzjoni tal-UE, fejn għandu jitqies dak li jgħidu ċ-ċittadini dwar il-politiki awtonomi tal-UE, il-bidliet fl-arranġamenti istituzzjonali u d-differenzi.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Riżultati tal-Panel taċ-Ċittadini fil-kuntest usa’ tal-opinjoni pubblika fil-Litwanja </w:t>
      </w:r>
    </w:p>
    <w:p>
      <w:pPr>
        <w:pStyle w:val="Normal"/>
        <w:widowControl w:val="false"/>
        <w:spacing w:lineRule="auto" w:line="240"/>
        <w:ind w:left="0" w:right="1" w:hanging="0"/>
        <w:jc w:val="both"/>
        <w:rPr/>
      </w:pPr>
      <w:r>
        <w:rPr>
          <w:color w:val="000000"/>
        </w:rPr>
        <w:t xml:space="preserve">Sabiex jiġu kuntestwalizzati r-riżultati tal-Panel Nazzjonali taċ-Ċittadini, dawn jitqabblu fil-qosor fl-aħħar parti mar-riżultati ta’ żewġ stħarriġiet ta’ opinjoni attwali kif ukoll mar-riżultati intermedji ta’ ħidma preparatorja oħra għall-Konferenza dwar il-Ġejjieni tal-Ewropa. L-ewwel parti ta’ dan ir-rapport tikkonċerna stħarriġ dwar l-obarometru tal- </w:t>
      </w:r>
      <w:hyperlink r:id="rId115">
        <w:r>
          <w:rPr>
            <w:rStyle w:val="LienInternet"/>
            <w:color w:val="0563C1"/>
          </w:rPr>
          <w:t>Eu</w:t>
        </w:r>
      </w:hyperlink>
      <w:hyperlink r:id="rId116">
        <w:r>
          <w:rPr>
            <w:color w:val="000000"/>
          </w:rPr>
          <w:t xml:space="preserve"> </w:t>
        </w:r>
      </w:hyperlink>
      <w:hyperlink r:id="rId117">
        <w:r>
          <w:rPr>
            <w:rStyle w:val="LienInternet"/>
            <w:color w:val="0563C1"/>
          </w:rPr>
          <w:t>r</w:t>
        </w:r>
      </w:hyperlink>
      <w:r>
        <w:rPr>
          <w:color w:val="000000"/>
        </w:rPr>
        <w:t xml:space="preserve">taċ-ċittadini li sar f’Ottubru u Novembru 2020 dwar il-Konferenza dwar il-Ġejjieni tal-Ewropa; it-tieni wieħed dwar l-aħħar </w:t>
      </w:r>
      <w:hyperlink r:id="rId118">
        <w:r>
          <w:rPr>
            <w:rStyle w:val="LienInternet"/>
            <w:color w:val="0563C1"/>
          </w:rPr>
          <w:t>Ewrobarometru standard</w:t>
        </w:r>
      </w:hyperlink>
      <w:r>
        <w:rPr>
          <w:color w:val="000000"/>
        </w:rPr>
        <w:t xml:space="preserve"> li sar fis-sajf tal-2021. Sa fejn uħud mill-mistoqsijiet f’dawn l-istudji ffukaw fuq temi politiċi oħra u l-aspettattivi taċ-ċittadini tal-konferenza nnifisha, hawn taħt qed isir tqabbil mal-kwistjonijiet li kienu verament indirizzati fil-panel. L-eżami tar-riżultati tal-ħidma preparatorja għall-Konferenza dwar il-Futur tal-Ewropa kien ibbażat fuq ir-rapport preliminari ta’ din il-ħidma mħejji mill-ESCR, li kien jinkludi dikjarazzjonijiet minn ċittadini li pparteċipaw fil-ħidma dwar kwistjonijiet ta’ politika differenti tal-UE.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Ir-riżultati tal-istħarriġ tal-Ewrobarometru jissuġġerixxu li d-diskussjonijiet u l-voti tal-parteċipanti fil-Panel taċ-Ċittadini jirriflettu pjuttost tajjeb il-fehmiet prevalenti fis-soċjetà Litwana. Ir-rakkomandazzjonijiet tal-parteċipanti tal-bord biex tissaħħaħ il-politika estera u ta’ migrazzjoni komuni, billi jieħdu sehem fid-deċiżjonijiet fil-livell tal-UE, jikkorrispondu għas-sejbiet tal-istħarriġ usa’ tal-opinjoni pubblika: </w:t>
      </w:r>
    </w:p>
    <w:p>
      <w:pPr>
        <w:pStyle w:val="P68B1DB1Normal76"/>
        <w:widowControl w:val="false"/>
        <w:spacing w:lineRule="auto" w:line="240"/>
        <w:ind w:left="361" w:right="1" w:hanging="0"/>
        <w:jc w:val="left"/>
        <w:rPr/>
      </w:pPr>
      <w:r>
        <w:rPr>
          <w:rFonts w:ascii="Garamond" w:hAnsi="Garamond"/>
        </w:rPr>
        <w:t>- Iċ</w:t>
      </w:r>
      <w:r>
        <w:rPr/>
        <w:t xml:space="preserve"> -ċittadini Litwani jappoġġaw il-politika ta’ difiża komuni tal-UE aktar mill-medja tal-UE (90 % vs. 78 %); </w:t>
      </w:r>
    </w:p>
    <w:p>
      <w:pPr>
        <w:pStyle w:val="P68B1DB1Normal76"/>
        <w:widowControl w:val="false"/>
        <w:spacing w:lineRule="auto" w:line="240"/>
        <w:ind w:left="361" w:right="3" w:hanging="0"/>
        <w:jc w:val="left"/>
        <w:rPr/>
      </w:pPr>
      <w:r>
        <w:rPr>
          <w:rFonts w:ascii="Garamond" w:hAnsi="Garamond"/>
        </w:rPr>
        <w:t>- Iċ</w:t>
      </w:r>
      <w:r>
        <w:rPr/>
        <w:t xml:space="preserve"> -ċittadini Litwani jappoġġaw il-politika komuni tal-UE dwar il-migrazzjoni aktar mill-medja tal-UE (76 % vs. 71 %; din id-differenza hija fi ħdan il-marġni ta’ żball); </w:t>
      </w:r>
    </w:p>
    <w:p>
      <w:pPr>
        <w:pStyle w:val="P68B1DB1Normal76"/>
        <w:widowControl w:val="false"/>
        <w:spacing w:lineRule="auto" w:line="240"/>
        <w:ind w:left="360" w:right="2" w:hanging="0"/>
        <w:jc w:val="left"/>
        <w:rPr/>
      </w:pPr>
      <w:r>
        <w:rPr>
          <w:rFonts w:ascii="Garamond" w:hAnsi="Garamond"/>
        </w:rPr>
        <w:t>-</w:t>
      </w:r>
      <w:r>
        <w:rPr/>
        <w:t xml:space="preserve"> Iċ-ċittadini Litwani jqisu l-migrazzjoni bħala waħda miż-żewġ problemi ewlenin tal-UE; </w:t>
      </w:r>
    </w:p>
    <w:p>
      <w:pPr>
        <w:pStyle w:val="P68B1DB1Normal76"/>
        <w:widowControl w:val="false"/>
        <w:spacing w:lineRule="auto" w:line="240"/>
        <w:ind w:left="360" w:right="3" w:hanging="0"/>
        <w:jc w:val="left"/>
        <w:rPr/>
      </w:pPr>
      <w:r>
        <w:rPr>
          <w:rFonts w:ascii="Garamond" w:hAnsi="Garamond"/>
        </w:rPr>
        <w:t>-</w:t>
      </w:r>
      <w:r>
        <w:rPr/>
        <w:t xml:space="preserve"> Iċ-ċittadini Litwani jridu li jiġu solvuti aktar problemi fil-livell tal-UE (49 % vs. 42 %). </w:t>
      </w:r>
    </w:p>
    <w:p>
      <w:pPr>
        <w:pStyle w:val="P68B1DB1Normal76"/>
        <w:widowControl w:val="false"/>
        <w:spacing w:lineRule="auto" w:line="240" w:before="83" w:after="0"/>
        <w:ind w:left="0" w:right="3" w:hanging="0"/>
        <w:jc w:val="both"/>
        <w:rPr/>
      </w:pPr>
      <w:r>
        <w:rPr/>
        <w:t xml:space="preserve">Iċ-ċittadini Litwani li pparteċipaw fl-avvenimenti preparatorji għall-Konferenza dwar il-Futur tal-Ewropa enfasizzaw ukoll l-importanza tal-kooperazzjoni fil-qasam tad-difiża, u li l-politika komuni tal-UE dwar il-migrazzjoni u l-politika barranija tal-UE huma oqsma li fihom il-Litwanja tibbenefika minn intervent aktar b’saħħtu tal-UE.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Id-data tal-Ewrobarometru tista’ titfa’ dawl fuq il-fehmiet tal-parteċipanti tal-bord dwar ir-relazzjonijiet maċ-Ċina u l-prezzijiet tal-enerġija: Il-Litwani huma aktar imħassba mill-medja tal-UE dwar it-tkissir tar-relazzjonijiet bejn il-pajjiżi madwar id-dinja u t-tensjonijiet ġeopolitiċi li jirriżultaw (33 % vs. 18 %). Il-konklużjonijiet tal-bord dwar il-ħtieġa għal politika aktar ambizzjuża fir-rigward taċ-Ċina jikkoinċidu wkoll ma’ din id-data, kif ukoll il-pożizzjoni msemmija hawn fuq favur it-teħid ta’ deċiżjonijiet fil-livell tal-UE u politika ta’ difiża komuni tal-UE. Min-naħa l-oħra, it-tħassib tal-parteċipanti tal-panel dwar diversi deċiżjonijiet biex jitnaqqsu l-prezzijiet tal-enerġija jista’ jkun relatat mal-fatt li l-Litwani huma ferm aktar ikkonċernati mill-medja tal-UE dwar iż-żieda fl-inflazzjoni u l-prezzijiet li qed jogħlew (53 % vs. 23 %). Is-sensittività għaż-żieda fl-inflazzjoni hija dovuta għall-fatt li l-kontroll taż-żidiet fil-prezzijiet jidher li huwa aktar importanti mit-tfassil tal-politika ġenerali tal-UE jew minn għanijiet politiċi oħra.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Id-data tal-Ewrobarometru tissuġġerixxi wkoll żvilupp interessanti tal-perċezzjoni tal-Litwani dwar il-kwistjoni tal-migrazzjoni minn perspettiva politika. Fl-istħarriġ tal-2020, il-Litwani kkwotaw il-migrazzjoni bħala sfida importanti għall-futur tal-UE (16 % kontra 27 %) mill-medja tal-UE; Fl-istħarriġ tal-2021, 32 % tar-rispondenti Litwani qiesu l-migrazzjoni bħala waħda mill-problemi ewlenin fl-UE (meta mqabbla ma’ medja ta’ 25 % fl-UE kollha kemm hi). Filwaqt li din il-bidla fil-fehma tista’ tkun minħabba differenzi fil-formulazzjoni tal-kwistjoni, hija tikkoinċidi ma’ dak li qalu l-parteċipanti tal-bord fid-diskussjonijiet dwar l-evoluzzjoni tal-fehmiet tagħhom dwar kwistjonijiet ta’ migrazzjoni.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Barra minn hekk, it-tqabbil tar-riżultati tal-Panel taċ-Ċittadini mad-data tal-Ewrobarometru juri distakk bejn, minn naħa waħda, fehma relattivament kawta tal-parteċipanti tal-bord dwar il-politika tal-UE u, min-naħa l-oħra, tħassib taċ-ċittadini Litwani dwar kwistjonijiet tat-tibdil fil-klima. Għalkemm il-parteċipanti tal-bord ħeġġew jivvalutaw jekk il-Patt Ekoloġiku kienx ambizzjuż wisq u jekk kienx se jagħmel ħsara lill-interessi tal-Litwanja, il-Litwani, skont studji tal-Ewrobarometru, identifikaw b’mod konsistenti t-tibdil fil-klima bħala waħda mill-isfidi ewlenin għall-UE. Fl-istħarriġ tal-2020, 47 % tar-rispondenti Litwani qiesu li l-klima hija waħda mill-aktar sfidi importanti għall-futur tal-Ewropa (meta mqabbla ma’ medja ta’ 45 % fl-UE kollha kemm hi); Fl-istħarriġ tal-2021, dan kien il-każ għal 28 % tar-rispondenti Litwani (żieda minn medja ta’ 25 % fl-UE kollha kemm hi). Għandu jiġi nnutat li ċ-ċittadini li pparteċipaw fl-avvenimenti preparatorji l-oħra għall-Konferenza dwar il-Futur tal-Ewropa rreferew ukoll għall-politika dwar il-klima bħala wieħed mill-oqsma li fihom il-Litwanja jkollha l-aktar interess f’intervent aktar b’saħħtu tal-UE. Din id-diskrepanza tista’ probabbilment tiġi spjegata mill-motivazzjoni tal-vot tal-parteċipanti tal-bord: dawk kollha li vvutaw favur ir-rakkomandazzjoni biex jiġu vvalutati mill-ġdid il-miżuri tal-Patt Ekoloġiku identifikaw dan bħala importanti għalihom mil-lat personali. Fi kliem ieħor, l-oppożizzjoni personali ma tkunx inkonsistenti mas-sejba li t-tibdil fil-klima huwa waħda mill-isfidi l-aktar importanti għall-politika tal-UE.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Panels Nazzjonali: In-Netherlands</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46" descr=""/>
                    <pic:cNvPicPr>
                      <a:picLocks noChangeAspect="1" noChangeArrowheads="1"/>
                    </pic:cNvPicPr>
                  </pic:nvPicPr>
                  <pic:blipFill>
                    <a:blip r:embed="rId119"/>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I</w:t>
      </w:r>
      <w:r>
        <w:rPr>
          <w:rFonts w:ascii="Calibri" w:hAnsi="Calibri"/>
          <w:b/>
          <w:i/>
          <w:color w:val="000000"/>
          <w:sz w:val="48"/>
        </w:rPr>
        <w:t>l-viżjoni tagħna tal-Ewropa</w:t>
      </w:r>
    </w:p>
    <w:p>
      <w:pPr>
        <w:pStyle w:val="P68B1DB1Normal103"/>
        <w:widowControl w:val="false"/>
        <w:spacing w:lineRule="exact" w:line="499" w:before="100" w:after="0"/>
        <w:ind w:left="0" w:right="0" w:hanging="0"/>
        <w:jc w:val="left"/>
        <w:rPr>
          <w:rFonts w:ascii="Calibri" w:hAnsi="Calibri"/>
          <w:i/>
          <w:i/>
          <w:color w:val="000000"/>
          <w:sz w:val="32"/>
        </w:rPr>
      </w:pPr>
      <w:r>
        <w:rPr/>
        <w:t xml:space="preserve">Opinjonijiet, ideat u rakkomandazzjonijiet </w:t>
      </w:r>
    </w:p>
    <w:p>
      <w:pPr>
        <w:pStyle w:val="P68B1DB1Normal104"/>
        <w:widowControl w:val="false"/>
        <w:spacing w:lineRule="exact" w:line="339" w:before="101" w:after="0"/>
        <w:ind w:left="0" w:right="0" w:hanging="0"/>
        <w:jc w:val="left"/>
        <w:rPr>
          <w:rFonts w:ascii="Calibri" w:hAnsi="Calibri"/>
          <w:color w:val="000000"/>
          <w:sz w:val="21"/>
        </w:rPr>
      </w:pPr>
      <w:r>
        <w:rPr/>
        <w:t xml:space="preserve">Temi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Il-valuri u d-drittijiet, l-istat tad-dritt u s-sigurtà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Ekonomija aktar b’saħħitha, ġustizzja soċjali u impjiegi </w:t>
      </w:r>
    </w:p>
    <w:p>
      <w:pPr>
        <w:pStyle w:val="P68B1DB1Normal105"/>
        <w:widowControl w:val="false"/>
        <w:spacing w:lineRule="exact" w:line="293" w:before="2" w:after="0"/>
        <w:ind w:left="0" w:right="5110" w:hanging="0"/>
        <w:jc w:val="left"/>
        <w:rPr/>
      </w:pPr>
      <w:r>
        <w:rPr>
          <w:rFonts w:ascii="Verdana" w:hAnsi="Verdana"/>
        </w:rPr>
        <w:t xml:space="preserve">• </w:t>
      </w:r>
      <w:r>
        <w:rPr>
          <w:rFonts w:ascii="Verdana" w:hAnsi="Verdana"/>
        </w:rPr>
        <w:t>Id</w:t>
      </w:r>
      <w:r>
        <w:rPr/>
        <w:t xml:space="preserve"> </w:t>
      </w:r>
      <w:r>
        <w:rPr>
          <w:rFonts w:ascii="Calibri" w:hAnsi="Calibri"/>
        </w:rPr>
        <w:t xml:space="preserve">-demokrazija Ewropea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Trasformazzjoni diġitali </w:t>
      </w:r>
    </w:p>
    <w:p>
      <w:pPr>
        <w:pStyle w:val="P68B1DB1Normal105"/>
        <w:widowControl w:val="false"/>
        <w:spacing w:lineRule="exact" w:line="349" w:before="2" w:after="0"/>
        <w:ind w:left="0" w:right="0" w:hanging="0"/>
        <w:jc w:val="left"/>
        <w:rPr/>
      </w:pPr>
      <w:r>
        <w:rPr>
          <w:rFonts w:ascii="Verdana" w:hAnsi="Verdana"/>
        </w:rPr>
        <w:t xml:space="preserve">• </w:t>
      </w:r>
      <w:r>
        <w:rPr>
          <w:rFonts w:ascii="Verdana" w:hAnsi="Verdana"/>
        </w:rPr>
        <w:t>L</w:t>
      </w:r>
      <w:r>
        <w:rPr/>
        <w:t xml:space="preserve"> </w:t>
      </w:r>
      <w:r>
        <w:rPr>
          <w:rFonts w:ascii="Calibri" w:hAnsi="Calibri"/>
        </w:rPr>
        <w:t xml:space="preserve">-edukazzjoni, il-kultura, iż-żgħażagħ u l-isport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3 ta’ Diċembru 2021 </w:t>
      </w:r>
    </w:p>
    <w:p>
      <w:pPr>
        <w:pStyle w:val="Normal"/>
        <w:widowControl w:val="false"/>
        <w:spacing w:lineRule="exact" w:line="282" w:before="1" w:after="0"/>
        <w:ind w:left="0" w:right="37" w:hanging="0"/>
        <w:jc w:val="left"/>
        <w:rPr/>
      </w:pPr>
      <w:r>
        <w:rPr>
          <w:rFonts w:ascii="Calibri" w:hAnsi="Calibri"/>
          <w:color w:val="000000"/>
          <w:sz w:val="21"/>
        </w:rPr>
        <w:t xml:space="preserve">Dan id-dokument huwa traduzzjoni tar-rapport bit-titolu "Eleven kijk op Europa; Meningen, ideeën en Aanbevelingen“(”Il-viżjoni tagħna tal-Ewropa: opinjonijiet, ideat u rakkomandazzjonijiet"), li ġew ippubblikati bin-Netherlandiż fit-3 ta’ Diċembru 2021 fuq www.kijkopeuropa.nl. Din it-traduzzjoni hija verżjoni simplifikata tar-rapport li fih il-preżentazzjoni oriġinali (illustrazzjonijiet u elementi grafiċi oħra) ġiet modifikata għal skopijiet ta’ traduzzjoni.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Viżjoni tagħna ta’...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Sommarju tar-rapport: ir-rakkomandazzjonijiet kollha fil-qosor </w:t>
      </w:r>
    </w:p>
    <w:p>
      <w:pPr>
        <w:pStyle w:val="P68B1DB1Normal104"/>
        <w:widowControl w:val="false"/>
        <w:spacing w:lineRule="exact" w:line="282" w:before="185" w:after="0"/>
        <w:ind w:left="0" w:right="25" w:hanging="0"/>
        <w:jc w:val="left"/>
        <w:rPr/>
      </w:pPr>
      <w:r>
        <w:rPr/>
        <w:t xml:space="preserve">Permezz tad-Djalogu taċ-Ċittadini organizzat dwar it-tema “Viżjoni tal-Ewropa”, aħna ġbarna l-fehmiet u l-ideat taċ-ċittadini Netherlandiżi dwar il-futur tal-Ewropa. Dan wassal għar-rakkomandazzjonijiet li ġejjin lill-Unjoni Ewropea għall-ewwel ħames temi.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Il-valuri u d-drittijiet, l-istat tad-dritt u s-sigurtà </w:t>
      </w:r>
    </w:p>
    <w:p>
      <w:pPr>
        <w:pStyle w:val="P68B1DB1Normal104"/>
        <w:widowControl w:val="false"/>
        <w:spacing w:lineRule="exact" w:line="282" w:before="178" w:after="0"/>
        <w:ind w:left="0" w:right="105" w:hanging="0"/>
        <w:jc w:val="left"/>
        <w:rPr/>
      </w:pPr>
      <w:r>
        <w:rPr/>
        <w:t xml:space="preserve">Huwa importanti li l-UE tipproteġi l-istat tad-dritt. Fl-istess ħin, l-Olandiżi jemmnu li għandha tingħata attenzjoni lid-diversità tat-tradizzjonijiet u l-kulturi li jeżistu fl-Ewropa. Il-kooperazzjoni fi ħdan l-UE jista’ jkollha ħafna benefiċċji f’forom differenti, iżda jeħtieġ li żżid il-valur għall-partijiet interessati kollha. Dan japplika wkoll għall-kondiviżjoni ta’ informazzjoni dwar is-sigurtà. Il-qsim tal-informazzjoni kollha malajr irendi l-kooperazzjoni ineffettiva.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Żgurar li kulħadd jista’ jħossok liberu u sikur</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Tkabbar l-UE biss jekk iġġib valur miżjud</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Kooperazzjoni prinċipalment fil-ġlieda kontra l-kriminalità internazzjonali u t-terroriżmu</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Ekonomija aktar b’saħħitha, ġustizzja soċjali u impjiegi </w:t>
      </w:r>
    </w:p>
    <w:p>
      <w:pPr>
        <w:pStyle w:val="P68B1DB1Normal104"/>
        <w:widowControl w:val="false"/>
        <w:spacing w:lineRule="exact" w:line="282" w:before="178" w:after="0"/>
        <w:ind w:left="0" w:right="18" w:hanging="0"/>
        <w:jc w:val="left"/>
        <w:rPr/>
      </w:pPr>
      <w:r>
        <w:rPr/>
        <w:t xml:space="preserve">L-Olandiżi jemmnu li hemm ħafna opportunitajiet biex tissaħħaħ l-ekonomija Ewropea. Iżda l-pajjiżi mhux dejjem jistgħu jitqabblu ma’ xulxin. Is-sistema tat-taxxa, b’mod partikolari, għandha tkun aktar ġusta u aktar ċara. U, fl-Ewropa, għandna niffukaw aktar fuq is-saħħiet tagħna, bħall-kwalità u d-diversità. Barra minn hekk, il-pajjiżi tal-UE jistgħu jikkooperaw biex jiżguraw opportunitajiet indaqs fis-suq tax-xogħol Ewropew.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Jittieħed kont tal-komunalitajiet u d-differenzi</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Użu akbar tas-saħħiet ta’ l-Ewropa</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L-iżvilupp ta’ sistema tat-taxxa ġusta u ċara</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L-iżgurar li kulħadd ikun jista’ jipparteċipa fid </w:t>
      </w:r>
      <w:r>
        <w:rPr>
          <w:rFonts w:ascii="Calibri" w:hAnsi="Calibri"/>
          <w:b/>
          <w:i/>
          <w:sz w:val="24"/>
        </w:rPr>
        <w:t xml:space="preserve">-demokrazija Ewropea </w:t>
      </w:r>
    </w:p>
    <w:p>
      <w:pPr>
        <w:pStyle w:val="P68B1DB1Normal104"/>
        <w:widowControl w:val="false"/>
        <w:spacing w:lineRule="exact" w:line="282" w:before="178" w:after="0"/>
        <w:ind w:left="0" w:right="323" w:hanging="0"/>
        <w:jc w:val="both"/>
        <w:rPr/>
      </w:pPr>
      <w:r>
        <w:rPr/>
        <w:t xml:space="preserve">L-Olandiżi m’għandhomx bżonn ikunu jafu kollox dwar l-Unjoni Ewropea, iżda jridu aktar trasparenza u aktar informazzjoni. Pereżempju, l-għarfien tal-fehmiet ta’ pajjiżi oħra tal-UE jista’ jikkontribwixxi għal ħarsa ġenerali aħjar. Barra minn hekk, l-Olandiżi jemmnu li l-UE għandha tinvolvi ruħha aktar ta’ spiss u preferibbilment fuq bażi permanenti maċ-ċittadini. F’dan ir-rigward, huwa importanti mhux biss li jitqiesu l-interessi differenti, iżda wkoll li jittieħdu deċiżjonijiet aktar malajr milli huwa l-każ bħalissa.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Nagħtu ħarsa ġenerali aħjar lejn l-Ewropa</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Sib modi ġodda kif tisma’ liċ-ċittadini b’mod kontinwu</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Aktar trasparenza u ċarezza dwar id-deċiżjonijiet meħuda</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L-iżgurar li l-kwistjonijiet diffiċli jistgħu jiġu solvuti aktar malajr</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Trasformazzjoni diġitali </w:t>
      </w:r>
    </w:p>
    <w:p>
      <w:pPr>
        <w:pStyle w:val="P68B1DB1Normal104"/>
        <w:widowControl w:val="false"/>
        <w:spacing w:lineRule="exact" w:line="282" w:before="178" w:after="0"/>
        <w:ind w:left="0" w:right="54" w:hanging="0"/>
        <w:jc w:val="left"/>
        <w:rPr/>
      </w:pPr>
      <w:r>
        <w:rPr/>
        <w:t xml:space="preserve">Is-soċjetà qed issir dejjem aktar dipendenti fuq l-internet u l-kumpaniji l-kbar tat-teknoloġija qed isiru dejjem aktar b’saħħithom. Dan xi drabi jinkwieta ħafna lill-poplu Olandiż. Għalhekk huwa utli għall-UE li tiżviluppa regoli u standards Ewropej (dwar il-privatezza). Madankollu, huwa importanti li kulħadd ikun jista’ jifhem u japplika dawn ir-regoli u l-istandards. L-Olandiż jippreferu li jirċievu appoġġ u informazzjoni mill-awtoritajiet nazzjonali fil-lingwa tagħhom stess.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L-iżgurar ta’ internet veloċi, sikur u stabbli kullimkien</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L-istabbiliment ta’ regoli u standards ċari għall-kumpaniji tal-internet</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Iż-żieda ta’ implimentazzjoni u spjegazzjonijiet prattiċi għar-regoli ta’ privatezza</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L-edukazzjoni, il-kultura, iż-żgħażagħ u l-isport </w:t>
      </w:r>
    </w:p>
    <w:p>
      <w:pPr>
        <w:pStyle w:val="P68B1DB1Normal104"/>
        <w:widowControl w:val="false"/>
        <w:spacing w:lineRule="exact" w:line="282" w:before="178" w:after="0"/>
        <w:ind w:left="0" w:right="166" w:hanging="0"/>
        <w:jc w:val="left"/>
        <w:rPr/>
      </w:pPr>
      <w:r>
        <w:rPr/>
        <w:t>Iż-żgħażagħ li jistudjaw barra minn pajjiżhom għandhom ikunu jistgħu jitgħallmu aktar mill-pajjiż ospitanti milli</w:t>
      </w:r>
      <w:r>
        <w:rPr/>
        <w:commentReference w:id="21"/>
      </w:r>
      <w:r>
        <w:rPr/>
        <w:t xml:space="preserve"> huma llum. U l-pajjiżi b’livell aktar baxx ta’ għarfien m’għandhomx jitilfu t-talenti kollha tagħhom, li jmorru barra minn pajjiżhom. L-Olandiżi jqisu li suġġetti bħall-kultura u l-abbuż fl-isport huma kwistjonijiet li pjuttost għandhom ikunu r-responsabbiltà tal-Istati Membri nfushom. U huma jqisu li huwa importanti ħafna li wieħed ikollu l-lingwa nazzjonali tiegħu stess. B’mod ġenerali, fl-Ewropa, kull persuna trid fuq kollox tħossok liberu u tkun kapaċi tkun hi stess.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L-inkoraġġiment tal-istudenti biex jistudjaw barra pajjiżhom b’mod intelliġenti</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Tippermetti lill-Istati Membri jiffukaw fuq suġġetti bħall-kultura u l-isport</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Niżguraw li l-Ewropej isiru jafu lil xulxin aħjar u jirrispettaw lil xulxin </w:t>
      </w:r>
      <w:r>
        <w:br w:type="page"/>
      </w:r>
    </w:p>
    <w:p>
      <w:pPr>
        <w:pStyle w:val="P68B1DB1Normal109"/>
        <w:rPr>
          <w:rFonts w:ascii="Calibri" w:hAnsi="Calibri"/>
          <w:b/>
          <w:b/>
          <w:i/>
          <w:i/>
          <w:color w:val="000000"/>
          <w:sz w:val="32"/>
        </w:rPr>
      </w:pPr>
      <w:r>
        <w:rPr/>
        <w:t xml:space="preserve">Introduzzjoni </w:t>
      </w:r>
    </w:p>
    <w:p>
      <w:pPr>
        <w:pStyle w:val="P68B1DB1Normal110"/>
        <w:widowControl w:val="false"/>
        <w:spacing w:lineRule="exact" w:line="274" w:before="31" w:after="0"/>
        <w:ind w:left="0" w:right="113" w:hanging="0"/>
        <w:jc w:val="left"/>
        <w:rPr/>
      </w:pPr>
      <w:r>
        <w:rPr>
          <w:sz w:val="21"/>
        </w:rPr>
        <w:t xml:space="preserve">Id-Djalogu taċ-Ċittadini “Viżjoni tal-Ewropa”, li sar mill-1 ta’ Settembru sa nofs Novembru, ippermetta lill-Olandiżi kollha jesprimu l-opinjonijiet u l-ideat tagħhom dwar il-futur tal-Ewropa. Il-Pajjiżi l-Baxxi għandhom jippreżentaw lill-Unjoni Ewropea (UE) ir-rakkomandazzjonijiet li d-djalogu mexxa fuqhom, kif ukoll l-ideat u l-fehmiet espressi. F’dan ir-rapport, aħna niffukaw fuq l-ewwel ħames temi. L-erba’ suġġetti l-oħra se jiġu indirizzati f’rapport li jmiss fil-bidu tal-2022. </w:t>
      </w:r>
      <w:r>
        <w:rPr>
          <w:b/>
          <w:i/>
          <w:sz w:val="24"/>
        </w:rPr>
        <w:t>Dwar il-Viżjoni tal-Ewropa</w:t>
      </w:r>
    </w:p>
    <w:p>
      <w:pPr>
        <w:pStyle w:val="P68B1DB1Normal104"/>
        <w:widowControl w:val="false"/>
        <w:spacing w:lineRule="exact" w:line="257" w:before="34" w:after="0"/>
        <w:ind w:left="0" w:right="200" w:hanging="0"/>
        <w:jc w:val="left"/>
        <w:rPr/>
      </w:pPr>
      <w:r>
        <w:rPr/>
        <w:t xml:space="preserve">L-Unjoni Ewropea trid li ċ-ċittadini tagħha jaqsmu dak li jaħsbu dwar l-Ewropa. Huwa għalhekk li l-UE qed torganizza l-Konferenza dwar il-Futur tal-Ewropa. L-opinjonijiet u l-ideat taċ-ċittadini madwar l-Unjoni Ewropea mbagħad jikkontribwixxu għall-pjanijiet għall-futur tal-Ewropa. Bħala parti mill-konferenza, il-Pajjiżi l-Baxxi organizzaw id-Djalogu taċ-Ċittadini “Viżjoni tal-Ewropa” fil-livell nazzjonali.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Id-djalogu Viżjoni tal-Ewropa beda fl-1 ta’ Settembru bil-ġabra onlajn ta’ opinjonijiet u ideat permezz ta’ stħarriġ ta’ panel rappreżentattiv. Sabiex napprofondixxu r-riżultati inizjali tal-istħarriġ tal-bord u biex nagħmlu rakkomandazzjonijiet konkreti, organizzajna djalogi tematiċi online. Kull min ried jipparteċipa jista ‘jipparteċipa. Ivvjaġġajna wkoll lill-pajjiż biex norganizzaw diskussjonijiet maż-żgħażagħ u ma’ gruppi oħra (diffiċli biex jintlaħqu). </w:t>
      </w:r>
    </w:p>
    <w:p>
      <w:pPr>
        <w:pStyle w:val="P68B1DB1Normal111"/>
        <w:widowControl w:val="false"/>
        <w:spacing w:lineRule="exact" w:line="269" w:before="28" w:after="0"/>
        <w:ind w:left="0" w:right="113" w:hanging="0"/>
        <w:jc w:val="left"/>
        <w:rPr/>
      </w:pPr>
      <w:r>
        <w:rPr/>
        <w:t xml:space="preserve">Mit-tfal tal-iskola, it-tfal tal-iskola sekondarja vokazzjonali u l-istudenti sal-Ministru, il-bdiewa u l-migranti </w:t>
      </w:r>
    </w:p>
    <w:p>
      <w:pPr>
        <w:pStyle w:val="P68B1DB1Normal104"/>
        <w:widowControl w:val="false"/>
        <w:spacing w:lineRule="exact" w:line="257" w:before="26" w:after="0"/>
        <w:ind w:left="0" w:right="44" w:hanging="0"/>
        <w:jc w:val="left"/>
        <w:rPr/>
      </w:pPr>
      <w:r>
        <w:rPr/>
        <w:t xml:space="preserve">F’Ottubru u Novembru, saru total ta’ tmien djalogi tematiċi online, b’medja ta’ 30 parteċipant għal kull laqgħa. Organizzajna wkoll djalogu tematiku online u seba’ djalogi tematiċi fuq il-post ma’ gruppi differenti ta’ ċittadini Netherlandiżi. Tkellimna mal-komunità Torka fi Schiedam u konna mistiedna mill-voluntiera tal-Fondazzjoni Piëzo f’Zoetermeer. Fl-aħħar okkażjoni, il-Ministru tal-Affarijiet Barranin Ben Knapen kien preżenti wkoll fi tmiem id-djalogu. Il-Ministru kellu diskussjoni mal-parteċipanti dwar id-djalogu u l-fehmiet espressi dwar il-futur tal-Ewropa. Fl-aħħar nett, organizzajna sitt laqgħat ma’ gruppi differenti ta’ żgħażagħ. Pereżempju, konna milqugħa fi skola sekondarja f’Helmond, skola sekondarja vokazzjonali f’Doetinchem u l-Università ta’ Leiden.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Dejjem nixtieq nesprimi l-opinjoni tiegħi quddiem il-magna tal-kafè. C’est pourquoi ħsibt kelli biex jipparteċipaw. </w:t>
      </w:r>
    </w:p>
    <w:p>
      <w:pPr>
        <w:pStyle w:val="P68B1DB1Normal110"/>
        <w:widowControl w:val="false"/>
        <w:spacing w:lineRule="exact" w:line="346" w:before="41" w:after="0"/>
        <w:ind w:left="0" w:right="6639" w:hanging="0"/>
        <w:jc w:val="left"/>
        <w:rPr/>
      </w:pPr>
      <w:r>
        <w:rPr>
          <w:sz w:val="21"/>
        </w:rPr>
        <w:t xml:space="preserve">Parteċipant fid- </w:t>
      </w:r>
      <w:r>
        <w:rPr>
          <w:b/>
          <w:i/>
          <w:sz w:val="24"/>
        </w:rPr>
        <w:t xml:space="preserve">Djalogu Tematiku Dwar dan ir-rapport </w:t>
      </w:r>
    </w:p>
    <w:p>
      <w:pPr>
        <w:pStyle w:val="P68B1DB1Normal104"/>
        <w:widowControl w:val="false"/>
        <w:spacing w:lineRule="exact" w:line="257" w:before="178" w:after="0"/>
        <w:ind w:left="0" w:right="56" w:hanging="0"/>
        <w:jc w:val="left"/>
        <w:rPr/>
      </w:pPr>
      <w:r>
        <w:rPr/>
        <w:t xml:space="preserve">Fuq il-bażi ta’ l-ideat u l-opinjonijiet li ġbarna f’dawn l-aħħar xhur, ħejjejna sensiela ta’ rakkomandazzjonijiet li ċ-ċittadini Olandiżi jagħmlu lill-Unjoni Ewropea. Matul id-diskussjonijiet bejn iċ-ċittadini Olandiżi, saru skambji interessanti ta’ fehmiet u tressqu ideat innovattivi. Saru wkoll suġġerimenti permezz tal-bord u l-inkjesta pubblika. Xi wħud minn dawn l-ideat ġew inkorporati f’dan ir-rapport. Il-kontenut ta’ dan ir-rapport huwa għalhekk il-vuċi tal-Pajjiżi l-Baxxi: il-viżjoni tagħna tal-Ewropa.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Hekk kif hemm differenzi ta’ fehmiet bejn il-pajjiżi u ċ-ċittadini Ewropej, aħna wkoll mhux dejjem naqblu ma’ xulxin fl-Olanda. Dawn id-differenzi ta’ fehmiet, preċiżament, huma ta’ valur: dawn huma karatteristika importanti ta’ demokrazija. Ir-rakkomandazzjonijiet huma meħuda mill-ideat u l-opinjonijiet l-aktar espressi ta’ spiss tal-parteċipanti fl-istħarriġ Viżjoni tal-Ewropa. Aħna niddeskrivu wkoll tħassib, ideat u sentimenti li jistgħu jkunu inqas mifruxa, iżda li ġibdu l-attenzjoni tagħna matul id-djalogi u l-istħarriġ online. </w:t>
      </w:r>
      <w:r>
        <w:br w:type="page"/>
      </w:r>
    </w:p>
    <w:p>
      <w:pPr>
        <w:pStyle w:val="P68B1DB1Normal113"/>
        <w:spacing w:lineRule="auto" w:line="240"/>
        <w:rPr/>
      </w:pPr>
      <w:r>
        <w:rPr/>
        <w:t xml:space="preserve">Kien sbieħ li jkunu jistgħu jitkellmu fi gruppi żgħar ma ‘partitarji u avversarji. Huwa differenti ħafna minn kif normalment isiru d-diskussjonijiet fuq il-midja soċjali. </w:t>
      </w:r>
    </w:p>
    <w:p>
      <w:pPr>
        <w:pStyle w:val="P68B1DB1Normal76"/>
        <w:widowControl w:val="false"/>
        <w:spacing w:lineRule="auto" w:line="240" w:before="267" w:after="0"/>
        <w:ind w:left="0" w:right="0" w:hanging="0"/>
        <w:jc w:val="left"/>
        <w:rPr/>
      </w:pPr>
      <w:r>
        <w:rPr>
          <w:rFonts w:ascii="Calibri" w:hAnsi="Calibri"/>
          <w:sz w:val="21"/>
        </w:rPr>
        <w:t>Parteċipant fid-djalogu tematiku</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Ġew identifikati disa’ temi għall-Konferenza dwar il-Futur tal-Ewropa. Dawn it-temi huma wkoll fil-qalba tad-djalogu Viżjoni ta’ l-Ewropa maċ-ċittadini Olandiżi. F’Ottubru, aħna ppubblikajna rapport interim li jagħti ħarsa ġenerali inizjali lejn ir-riżultati u l-mistoqsijiet komplementari bbażati fuq l-istħarriġ tal-bord. F’dan it-tieni rapport, aħna ppreżentajna l-opinjonijiet, l-ideat u r-rakkomandazzjonijiet dwar l-ewwel ħames suġġetti għal-laqgħa plenarja tal-Konferenza dwar il-Ġejjieni tal-Ewropa f’Diċembru. Ir-rapport li ġej, li se jindirizza l-erba’ temi li fadal, se jiġi ppubblikat f’nofs Jannar. </w:t>
      </w:r>
    </w:p>
    <w:p>
      <w:pPr>
        <w:pStyle w:val="Normal"/>
        <w:rPr/>
      </w:pPr>
      <w:r>
        <w:rPr/>
        <w:t xml:space="preserve">Rapport attwali — Diċembru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Il-valuri u d-drittijiet, l-istat tad-dritt u s-sigurtà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Ekonomija aktar b’saħħitha, ġustizzja soċjali u impjiegi </w:t>
      </w:r>
    </w:p>
    <w:p>
      <w:pPr>
        <w:pStyle w:val="P68B1DB1Normal105"/>
        <w:widowControl w:val="false"/>
        <w:spacing w:lineRule="auto" w:line="240" w:before="2" w:after="0"/>
        <w:ind w:left="0" w:right="0" w:hanging="0"/>
        <w:jc w:val="left"/>
        <w:rPr/>
      </w:pPr>
      <w:r>
        <w:rPr>
          <w:rFonts w:ascii="Verdana" w:hAnsi="Verdana"/>
        </w:rPr>
        <w:t xml:space="preserve">• </w:t>
      </w:r>
      <w:r>
        <w:rPr>
          <w:rFonts w:ascii="Verdana" w:hAnsi="Verdana"/>
        </w:rPr>
        <w:t>Id</w:t>
      </w:r>
      <w:r>
        <w:rPr/>
        <w:t xml:space="preserve"> </w:t>
      </w:r>
      <w:r>
        <w:rPr>
          <w:rFonts w:ascii="Calibri" w:hAnsi="Calibri"/>
        </w:rPr>
        <w:t xml:space="preserve">-demokrazija Ewropea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Trasformazzjoni diġitali </w:t>
      </w:r>
    </w:p>
    <w:p>
      <w:pPr>
        <w:pStyle w:val="P68B1DB1Normal105"/>
        <w:widowControl w:val="false"/>
        <w:spacing w:lineRule="auto" w:line="240" w:before="5" w:after="0"/>
        <w:ind w:left="0" w:right="0" w:hanging="0"/>
        <w:jc w:val="left"/>
        <w:rPr/>
      </w:pPr>
      <w:r>
        <w:rPr>
          <w:rFonts w:ascii="Verdana" w:hAnsi="Verdana"/>
        </w:rPr>
        <w:t xml:space="preserve">• </w:t>
      </w:r>
      <w:r>
        <w:rPr>
          <w:rFonts w:ascii="Verdana" w:hAnsi="Verdana"/>
        </w:rPr>
        <w:t>L</w:t>
      </w:r>
      <w:r>
        <w:rPr/>
        <w:t xml:space="preserve"> </w:t>
      </w:r>
      <w:r>
        <w:rPr>
          <w:rFonts w:ascii="Calibri" w:hAnsi="Calibri"/>
        </w:rPr>
        <w:t xml:space="preserve">-edukazzjoni, il-kultura, iż-żgħażagħ u l-isport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Rapport li jmiss — Jannar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It-tibdil fil-klima u l-ambjent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Migrazzjoni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Saħħa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L-UE fid-dinja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Il-passi li jmiss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Il-Konferenza dwar il-Futur tal-Ewropa tiġbor flimkien l-ideat, l-opinjonijiet u r-rakkomandazzjonijiet taċ-ċittadini kollha tal-UE. Il-laqgħat se jkunu ddedikati mhux biss għar-riżultati tad-djalogi kollha taċ-ċittadini fil-livell nazzjonali, iżda wkoll għar-riżultati ta’ inizjattivi oħra mnedija fil-kuntest tal-konferenza. Pereżempju, hemm ukoll panels ta’ ċittadini Ewropej, u ċ-ċittadini kollha tal-UE (inklużi ċ-ċittadini Netherlandiżi) jistgħu jaċċessaw pjattaforma diġitali Ewropea. </w:t>
      </w:r>
    </w:p>
    <w:p>
      <w:pPr>
        <w:pStyle w:val="P68B1DB1Normal113"/>
        <w:widowControl w:val="false"/>
        <w:spacing w:lineRule="auto" w:line="240" w:before="203" w:after="0"/>
        <w:ind w:left="1080" w:right="1083" w:hanging="0"/>
        <w:jc w:val="center"/>
        <w:rPr/>
      </w:pPr>
      <w:r>
        <w:rPr/>
        <w:t>“</w:t>
      </w:r>
      <w:r>
        <w:rPr/>
        <w:t xml:space="preserve">Hija ħaġa tajba li l-UE qed tieħu din l-inizjattiva. Nispera li r-riżultati verament jiġu kkunsidrati. </w:t>
      </w:r>
    </w:p>
    <w:p>
      <w:pPr>
        <w:pStyle w:val="P68B1DB1Normal104"/>
        <w:widowControl w:val="false"/>
        <w:spacing w:lineRule="auto" w:line="240" w:before="307" w:after="0"/>
        <w:ind w:left="0" w:right="0" w:hanging="0"/>
        <w:jc w:val="left"/>
        <w:rPr>
          <w:rFonts w:ascii="Calibri" w:hAnsi="Calibri"/>
          <w:color w:val="000000"/>
          <w:sz w:val="21"/>
        </w:rPr>
      </w:pPr>
      <w:r>
        <w:rPr/>
        <w:t xml:space="preserve">Parteċipant fid-djalogu tematiku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Il-konferenza se tintemm fir-rebbiegħa tal-2022. Il-Pajjiżi l-Baxxi mbagħad se jfasslu rapport finali dwar id-Djalogu taċ-Ċittadini: kompilazzjoni ta’ dan ir-rapport u r-rapport li ġej (inklużi temi oħra). Wara l-Konferenza, se jsiru rakkomandazzjonijiet lill-President tal-Konferenza: il-Presidenti tal-Parlament Ewropew, tal-Kunsill tal-Ministri u tal-Kummissjoni Ewropea. Huma impenjaw ruħhom li jesploraw modi u mezzi ta’ implimentazzjoni tar-rakkomandazzjonijiet. Għall-Gvern Olandiż, ir-riżultati huma wkoll kontribut siewi għall-iżvilupp tal-politiki Ewropej tal-Pajjiżi l-Baxxi.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Fil-qosor, il-proċess sar-rebbiegħa tal-2022 se jiġi organizzat kif ġej: </w:t>
      </w:r>
      <w:r>
        <w:br w:type="page"/>
      </w:r>
    </w:p>
    <w:p>
      <w:pPr>
        <w:pStyle w:val="P68B1DB1Normal107"/>
        <w:spacing w:lineRule="auto" w:line="240"/>
        <w:rPr/>
      </w:pPr>
      <w:r>
        <w:rPr/>
        <w:t xml:space="preserve">Kronoloġija </w:t>
      </w:r>
    </w:p>
    <w:p>
      <w:pPr>
        <w:pStyle w:val="P68B1DB1Normal114"/>
        <w:spacing w:lineRule="auto" w:line="240"/>
        <w:rPr/>
      </w:pPr>
      <w:r>
        <w:rPr/>
        <w:t xml:space="preserve">Viżjoni ta’ l-Ewropa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L-ewwel sebgħa.</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ta’ Ottubru</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22/23 ta’ Ottubru</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15 Nov.</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17/18 ta’ Diċembru</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21/22 ta’ Jannar</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22/24 ta’ April</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Ġbir ta’ ideat online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Djalogi tematiċi</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Riżultati intermedji (rapport intermedju)</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Rapport interim dwar “Ekonomija” u “Demokrazija”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Rapport interim dwar “Klima” u “L-UE fid-dinja”</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Rapport Finali “Il-Viżjoni Tagħna għall-Ewropa”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L-EWWEL NETT,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L-EWWEL NETT,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L-EWWEL NETT,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L-EWWEL NETT,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Laqgħa tal-Konferenza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Laqgħa tal-Konferenza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Laqgħa tal-Konferenza</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Għeluq tal-konferenza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Rakkomandazzjonijiet għall-Presidenti </w:t>
              <w:br/>
              <w:t xml:space="preserve">• Il-Parlament Ewropew </w:t>
              <w:br/>
              <w:t xml:space="preserve">• Il-Kummissjoni Ewropea </w:t>
              <w:br/>
              <w:t>• Kunsill tal-Ministri</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Aktar opinjonijiet u ideat dwar il-futur tal-Ewropa:</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Djalogi maċ-ċittadini</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Il-Panels taċ-Ċittadini Ewropej</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Pjattaforma Diġitali Ewropea (anke għaċ-ċittadini Netherlandiżi)</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Spjegazzjonijiet biex jiġi ffaċilitat il-qari </w:t>
      </w:r>
    </w:p>
    <w:p>
      <w:pPr>
        <w:pStyle w:val="P68B1DB1Normal104"/>
        <w:widowControl w:val="false"/>
        <w:spacing w:lineRule="auto" w:line="240" w:before="125" w:after="0"/>
        <w:ind w:left="0" w:right="0" w:hanging="0"/>
        <w:jc w:val="left"/>
        <w:rPr/>
      </w:pPr>
      <w:r>
        <w:rPr/>
        <w:t xml:space="preserve">F’dan ir-rapport, iddiskutejna ħames temi. Għal kull tema, aħna inklużi suċċessivament: </w:t>
      </w:r>
    </w:p>
    <w:p>
      <w:pPr>
        <w:pStyle w:val="P68B1DB1Normal104"/>
        <w:widowControl w:val="false"/>
        <w:spacing w:lineRule="auto" w:line="240"/>
        <w:ind w:left="0" w:right="0" w:hanging="0"/>
        <w:jc w:val="left"/>
        <w:rPr>
          <w:rFonts w:ascii="Calibri" w:hAnsi="Calibri"/>
          <w:color w:val="000000"/>
          <w:sz w:val="21"/>
        </w:rPr>
      </w:pPr>
      <w:r>
        <w:rPr/>
        <w:t xml:space="preserve">rakkomandazzjonijiet ibbażati fuq l-aspetti kollha tad-Djalogu taċ-Ċittadini; </w:t>
      </w:r>
    </w:p>
    <w:p>
      <w:pPr>
        <w:pStyle w:val="P68B1DB1Normal104"/>
        <w:widowControl w:val="false"/>
        <w:spacing w:lineRule="auto" w:line="240" w:before="1" w:after="0"/>
        <w:ind w:left="0" w:right="0" w:hanging="0"/>
        <w:jc w:val="left"/>
        <w:rPr/>
      </w:pPr>
      <w:r>
        <w:rPr/>
        <w:t xml:space="preserve">ħarsa ġenerali lejn l-opinjonijiet, l-ideat u l-fehmiet skambjati (onlajn u bi preżenza fiżika) matul id-djalogi tematiċi u s-suġġerimenti mill-istħarriġ online, bil-kliem u bl-istampi.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Deskrizzjoni tal-metodoloġija użata fl-istħarriġ tista’ tinstab fl-aħħar ta’ dan ir-rapport.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Il-valuri u d-drittijiet, l-istat tad-dritt u s-sigurtà </w:t>
      </w:r>
    </w:p>
    <w:p>
      <w:pPr>
        <w:pStyle w:val="P68B1DB1Normal104"/>
        <w:widowControl w:val="false"/>
        <w:spacing w:lineRule="auto" w:line="240" w:before="36" w:after="0"/>
        <w:ind w:left="0" w:right="0" w:hanging="0"/>
        <w:jc w:val="both"/>
        <w:rPr/>
      </w:pPr>
      <w:r>
        <w:rPr/>
        <w:t xml:space="preserve">L-UE timmonitorja l-istat tad-dritt fil-pajjiżi kollha tal-UE u tipprova tnaqqas l-inugwaljanzi fi ħdan l-UE. L-UE trid ukoll tipproteġi lill-Ewropej kollha mit-terroriżmu u l-kriminalità. Biex tikseb dan, l-UE qed tistabbilixxi miżuri u regoli, u l-pajjiżi tal-UE qed jikkooperaw b’mod intensiv.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X’inhi l-viżjoni tal-Pajjiżi l-Baxxi għal dan?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Rakkomandazzjonijiet — Il-viżjoni tagħna tas-sigurtà u l-istat tad-dritt </w:t>
      </w:r>
    </w:p>
    <w:p>
      <w:pPr>
        <w:pStyle w:val="P68B1DB1Normal69"/>
        <w:widowControl w:val="false"/>
        <w:spacing w:lineRule="auto" w:line="240" w:before="41" w:after="0"/>
        <w:ind w:left="0" w:right="0" w:hanging="0"/>
        <w:jc w:val="left"/>
        <w:rPr/>
      </w:pPr>
      <w:r>
        <w:rPr/>
        <w:t xml:space="preserve">68 % tan-Netherlands jemmnu li s-sigurtà u l-istat tad-dritt huma kwistjoni importanti u li l-UE trid tintervjeni f’dan il-qasam.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Żgurar li kulħadd jista’ jħossok liberu u sikur </w:t>
      </w:r>
    </w:p>
    <w:p>
      <w:pPr>
        <w:pStyle w:val="P68B1DB1Normal104"/>
        <w:widowControl w:val="false"/>
        <w:spacing w:lineRule="auto" w:line="240" w:before="25" w:after="0"/>
        <w:ind w:left="0" w:right="0" w:hanging="0"/>
        <w:jc w:val="left"/>
        <w:rPr/>
      </w:pPr>
      <w:r>
        <w:rPr/>
        <w:t xml:space="preserve">78 % tal-Olandiżi jemmnu li huwa importanti għall-UE li tipproteġi l-istat tad-dritt u d-drittijiet u l-libertajiet fundamentali tagħna. U aħna nagħtu importanza wkoll lill-protezzjoni tad-drittijiet tal-konsumatur: il-maġġoranza l-kbira taċ-ċittadini jemmnu li hija ħaġa tajba li l-UE teħtieġ li l-manifatturi jinkludu l-istess informazzjoni fuq it-tikketti fil-pajjiżi kollha. Madankollu, għadd kbir ta’ Olandiżi jemmnu li l-UE teħtieġ li tagħti attenzjoni lid-differenzi fit-tradizzjonijiet u l-kulturi (ta’ governanza) fl-Ewropa. U dan, fost affarijiet oħra, għaliex, inkella, ikun diffiċli li tikkoopera b’mod effettiv. Aħna nemmnu li huwa partikolarment importanti li kulħadd iħossu ħieles u sikur fl-Ewropa. Dan jinkludi li jkollok saqaf fuq rasek, iżda wkoll l-edukazzjoni u l-kura. U dan jikkonċerna wkoll il-fatt li l-prodotti li jinsabu fil-ħwienet Ewropej huma </w:t>
      </w:r>
    </w:p>
    <w:p>
      <w:pPr>
        <w:pStyle w:val="P68B1DB1Normal104"/>
        <w:widowControl w:val="false"/>
        <w:spacing w:lineRule="auto" w:line="240"/>
        <w:ind w:left="0" w:right="0" w:hanging="0"/>
        <w:jc w:val="left"/>
        <w:rPr>
          <w:rFonts w:ascii="Calibri" w:hAnsi="Calibri"/>
          <w:color w:val="000000"/>
          <w:sz w:val="21"/>
        </w:rPr>
      </w:pPr>
      <w:r>
        <w:rPr/>
        <w:t xml:space="preserve">dejjem żgur.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Tkabbar l-UE biss jekk iġġib valur miżjud </w:t>
      </w:r>
    </w:p>
    <w:p>
      <w:pPr>
        <w:pStyle w:val="P68B1DB1Normal104"/>
        <w:widowControl w:val="false"/>
        <w:spacing w:lineRule="auto" w:line="240" w:before="25" w:after="0"/>
        <w:ind w:left="0" w:right="0" w:hanging="0"/>
        <w:jc w:val="left"/>
        <w:rPr/>
      </w:pPr>
      <w:r>
        <w:rPr/>
        <w:t xml:space="preserve">44 % tal-Olandiżi ma jaħsbux li l-UE għandha tespandi għal aktar pajjiżi. 25 %, min-naħa l-oħra, huma favur it-tkabbir. Aħna nosservaw li diġà hemm ħafna dibattitu bejn l-Istati Membri attwali. Ħafna Netherlandiżi jaħsbu li l-ewwel irridu niffukaw fuq din il-kwistjoni. U jekk pajjiżi ġodda jissieħbu fl-Unjoni, iridu verament ikunu jistgħu jissodisfaw il-kundizzjonijiet tagħna. Illum u fil-futur. Ħafna Olandiżi jqisu li l-Istati Membri attwali għandhom jipperċepixxu wkoll il-valur miżjud tat-tkabbir. Nemmnu wkoll li hemm opportunitajiet oħra biex naħdmu flimkien bħala pajjiż għas-sigurtà u l-istabbiltà. Pereżempju, xi drabi aħna ninsabu mħassba dwar l-influwenza tar-Russja fuq il-pajjiżi fuq il-fruntiera tal-Lvant tal-UE. Huwa importanti li l-UE tagħti attenzjoni.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It-tkabbir m’għandux jiffoka fuq l-ispejjeż u l-benefiċċji, iżda fuq viżjoni ta’ stabbiltà.” </w:t>
      </w:r>
    </w:p>
    <w:p>
      <w:pPr>
        <w:pStyle w:val="P68B1DB1Normal111"/>
        <w:widowControl w:val="false"/>
        <w:spacing w:lineRule="auto" w:line="240" w:before="40" w:after="0"/>
        <w:ind w:left="0" w:right="0" w:hanging="0"/>
        <w:jc w:val="left"/>
        <w:rPr/>
      </w:pPr>
      <w:r>
        <w:rPr/>
        <w:t xml:space="preserve">3. Kooperazzjoni prinċipalment fil-ġlieda kontra l-kriminalità internazzjonali u t-terroriżmu </w:t>
      </w:r>
    </w:p>
    <w:p>
      <w:pPr>
        <w:pStyle w:val="P68B1DB1Normal104"/>
        <w:widowControl w:val="false"/>
        <w:spacing w:lineRule="auto" w:line="240" w:before="26" w:after="0"/>
        <w:ind w:left="0" w:right="0" w:hanging="0"/>
        <w:jc w:val="left"/>
        <w:rPr/>
      </w:pPr>
      <w:r>
        <w:rPr/>
        <w:t xml:space="preserve">68 % tal-Olandiżi jemmnu li s-servizzi tas-sigurtà tal-UE għandhom jaqsmu l-informazzjoni tagħhom. Aħna nemmnu, madankollu, li huwa importanti li l-pajjiżi jkunu jistgħu wkoll ikomplu jiddeċiedu huma stess x’informazzjoni jixtiequ jipprovdu jew le. Il-qsim tal-informazzjoni kollha malajr irendi l-kooperazzjoni ineffettiva. U l-UE hija tant kbira llum li għandna bżonn inkomplu neżaminaw b’mod kritiku fejn tasal jew x’aktarx isseħħ informazzjoni sensittiva. Irridu nkomplu nafdaw li l-privatezza tagħna hija protetta. Aħna nemmnu li jagħmel sens fuq kollox li jkun hemm kooperazzjoni fil-ġlieda kontra l-kriminalità internazzjonali serja, bħaċ-ċiberkriminalità, it-traffikar tad-drogi u t-terroriżmu. </w:t>
      </w:r>
    </w:p>
    <w:p>
      <w:pPr>
        <w:pStyle w:val="P68B1DB1Normal113"/>
        <w:widowControl w:val="false"/>
        <w:spacing w:lineRule="auto" w:line="240" w:before="28" w:after="0"/>
        <w:ind w:left="0" w:right="0" w:hanging="0"/>
        <w:jc w:val="center"/>
        <w:rPr/>
      </w:pPr>
      <w:r>
        <w:rPr/>
        <w:t xml:space="preserve">Jekk tirrekordja darba dawl aħmar fil-Pajjiżi l-Baxxi, verament m’hemm l-ebda raġuni biex dan ikun magħruf fi Spanja.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Diskussjonijiet u ideat online u fuq il-post </w:t>
      </w:r>
    </w:p>
    <w:p>
      <w:pPr>
        <w:pStyle w:val="P68B1DB1Normal118"/>
        <w:widowControl w:val="false"/>
        <w:spacing w:lineRule="auto" w:line="240" w:before="118" w:after="0"/>
        <w:ind w:left="0" w:right="0" w:hanging="0"/>
        <w:jc w:val="left"/>
        <w:rPr>
          <w:rFonts w:ascii="Calibri" w:hAnsi="Calibri"/>
          <w:i/>
          <w:i/>
          <w:color w:val="000000"/>
          <w:sz w:val="21"/>
        </w:rPr>
      </w:pPr>
      <w:r>
        <w:rPr/>
        <w:t xml:space="preserve">Jekk tissanzjona pajjiż li ma jirrispettax ir-regoli, huma l-ifqar abitanti ta’ dan il-pajjiż li huma l-ewwel vittmi. C’est pourquoi naħseb li huwa aħjar li jitkellmu minn sanzjoni. </w:t>
      </w:r>
    </w:p>
    <w:p>
      <w:pPr>
        <w:pStyle w:val="P68B1DB1Normal118"/>
        <w:widowControl w:val="false"/>
        <w:spacing w:lineRule="auto" w:line="240" w:before="87" w:after="0"/>
        <w:ind w:left="0" w:right="0" w:hanging="0"/>
        <w:jc w:val="left"/>
        <w:rPr>
          <w:rFonts w:ascii="Calibri" w:hAnsi="Calibri"/>
          <w:i/>
          <w:i/>
          <w:color w:val="000000"/>
          <w:sz w:val="21"/>
        </w:rPr>
      </w:pPr>
      <w:r>
        <w:rPr/>
        <w:t xml:space="preserve">L-ewwel irridu niżguraw l-istabbiltà fi ħdan il-klabb attwali. U mbagħad jaħsbu biss dwar it-tkabbir. </w:t>
      </w:r>
    </w:p>
    <w:p>
      <w:pPr>
        <w:pStyle w:val="P68B1DB1Normal118"/>
        <w:widowControl w:val="false"/>
        <w:spacing w:lineRule="auto" w:line="240" w:before="85" w:after="0"/>
        <w:ind w:left="0" w:right="392" w:hanging="0"/>
        <w:jc w:val="left"/>
        <w:rPr/>
      </w:pPr>
      <w:r>
        <w:rPr/>
        <w:t xml:space="preserve">Jeħtieġ ukoll li neżaminaw b’mod kritiku l-istat tad-dritt tagħna stess. Ċertament hemm waħda jew l-oħra malfunzjonament. </w:t>
      </w:r>
    </w:p>
    <w:p>
      <w:pPr>
        <w:pStyle w:val="P68B1DB1Normal118"/>
        <w:widowControl w:val="false"/>
        <w:spacing w:lineRule="auto" w:line="240" w:before="85" w:after="0"/>
        <w:ind w:left="0" w:right="244" w:hanging="0"/>
        <w:jc w:val="left"/>
        <w:rPr/>
      </w:pPr>
      <w:r>
        <w:rPr/>
        <w:t xml:space="preserve">IDEA: “Jistabbilixxi regoli stretti ta’ integrità għall-politiċi madwar l-Ewropa biex ma jħalluhomx jiġu influwenzati faċilment wisq.” </w:t>
      </w:r>
    </w:p>
    <w:p>
      <w:pPr>
        <w:pStyle w:val="P68B1DB1Normal118"/>
        <w:widowControl w:val="false"/>
        <w:spacing w:lineRule="auto" w:line="240" w:before="85" w:after="0"/>
        <w:ind w:left="0" w:right="0" w:hanging="0"/>
        <w:jc w:val="left"/>
        <w:rPr>
          <w:rFonts w:ascii="Calibri" w:hAnsi="Calibri"/>
          <w:i/>
          <w:i/>
          <w:color w:val="000000"/>
          <w:sz w:val="21"/>
        </w:rPr>
      </w:pPr>
      <w:r>
        <w:rPr/>
        <w:t xml:space="preserve">IDEA: “It-tisħiħ tal-kooperazzjoni bejn il-pulizija u l-ġudikatura fil-pajjiżi tal-UE.” </w:t>
      </w:r>
    </w:p>
    <w:p>
      <w:pPr>
        <w:pStyle w:val="P68B1DB1Normal111"/>
        <w:widowControl w:val="false"/>
        <w:spacing w:lineRule="auto" w:line="240" w:before="84" w:after="0"/>
        <w:ind w:left="0" w:right="67" w:hanging="0"/>
        <w:jc w:val="left"/>
        <w:rPr/>
      </w:pPr>
      <w:r>
        <w:rPr/>
        <w:t xml:space="preserve">Doetinchem Studenti tal-Iskola Sekondarja Vokazzjonali: Dawk li jridu jkunu parti mill-UE għandhom jirrispettaw ir-regoli. </w:t>
      </w:r>
    </w:p>
    <w:p>
      <w:pPr>
        <w:pStyle w:val="P68B1DB1Normal104"/>
        <w:widowControl w:val="false"/>
        <w:spacing w:lineRule="auto" w:line="240" w:before="100" w:after="0"/>
        <w:ind w:left="0" w:right="0" w:hanging="0"/>
        <w:jc w:val="left"/>
        <w:rPr/>
      </w:pPr>
      <w:r>
        <w:rPr/>
        <w:t xml:space="preserve">Fil-Kulleġġ Graafschap f’Doetinchem, madwar 20 student tal-infermiera ddiskutew il-kwistjoni ta’ x’kienu, fil-fehma tagħhom, l-akbar benefiċċji tal-UE: is-suq ħieles, l-euro bħala munita komuni u l-fatt li bħala wieħed Ewropew jista’ faċilment jissetilja u jaħdem f’pajjiżi oħra tal-UE. U l-fatt li l-pajjiżi tal-UE jistgħu jappoġġjaw lil xulxin. L-unjoni hija s-saħħa," qal wieħed mill-istudenti preżenti. Ġiet diskussa wkoll l-importanza tar-regoli. Jekk il-pajjiżi ma jirrispettawhomx, ta’ spiss ikun diffiċli li jiġu kkastigati b’mod aħrax. Skont l-istudenti, jista ‘jkun utli li dan isir ftit aktar faċli. Wieħed minnhom semma wkoll l-effett dissważiv. Jekk timponi sanzjonijiet severi, pajjiżi oħra jaraw x’jista’ jiġri meta ma ssegwix ir-regoli.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Hindutanis minn Suriname għal Utrecht: Il-fiduċja fl-istat tad-dritt xi kultant hija nieqsa </w:t>
      </w:r>
    </w:p>
    <w:p>
      <w:pPr>
        <w:pStyle w:val="Normal"/>
        <w:widowControl w:val="false"/>
        <w:spacing w:lineRule="auto" w:line="240" w:before="97" w:after="0"/>
        <w:ind w:left="0" w:right="34" w:hanging="0"/>
        <w:jc w:val="left"/>
        <w:rPr/>
      </w:pPr>
      <w:r>
        <w:rPr>
          <w:rFonts w:ascii="Calibri" w:hAnsi="Calibri"/>
          <w:color w:val="000000"/>
          <w:sz w:val="21"/>
        </w:rPr>
        <w:t xml:space="preserve">Il-Fondazzjoni Asha hija organizzazzjoni ta’ voluntiera Hindustanis mis-Surinam fil-muniċipalità ta’ Utrecht. Il-parteċipanti fid-djalogu tematiku ddiskutew b’mod partikolari l-importanza tad-drittijiet taċ-ċittadini: id-dritt li jkollok saqaf fuq ir-ras, iżda wkoll, pereżempju, id-dritt għan-nondiskriminazzjoni. Skont il-voluntiera preżenti, għandu jkun hemm regoli li jipproteġu dawn id-drittijiet għaċ-ċittadini Ewropej kollha. Mhux dejjem ikun magħruf x’inhu attwalment regolat fil-Pajjiżi l-Baxxi u dak li bħalissa huwa rregolat fil-livell Ewropew. B’riżultat ta’ dan, xi kultant huwa diffiċli li jkun hemm fiduċja fl-awtoritajiet pubbliċi. Speċjalment minħabba li xi kultant ikun hemm xi ħsarat fi ħdan l-awtoritajiet pubbliċi. “Tista’ tgħid li l-awtoritajiet iridu jiddefenduni, iżda xi drabi jirnexxilhom jiżirgħu, kif kien il-każ fil-każ tal-allowance,” qal wieħed mill-parteċipanti. “L-UE għandha tiżgura li r-regoli jiġu fil-fatt rispettati,” qal parteċipant ieħor. </w:t>
      </w:r>
      <w:r>
        <w:br w:type="page"/>
      </w:r>
    </w:p>
    <w:p>
      <w:pPr>
        <w:pStyle w:val="P68B1DB1Normal117"/>
        <w:spacing w:lineRule="auto" w:line="240"/>
        <w:ind w:left="0" w:right="0" w:hanging="0"/>
        <w:rPr>
          <w:rFonts w:ascii="Calibri" w:hAnsi="Calibri"/>
          <w:b/>
          <w:b/>
          <w:i/>
          <w:i/>
          <w:color w:val="000000"/>
          <w:sz w:val="28"/>
        </w:rPr>
      </w:pPr>
      <w:r>
        <w:rPr/>
        <w:t xml:space="preserve">Ekonomija aktar b’saħħitha, ġustizzja soċjali u impjiegi </w:t>
      </w:r>
    </w:p>
    <w:p>
      <w:pPr>
        <w:pStyle w:val="P68B1DB1Normal104"/>
        <w:widowControl w:val="false"/>
        <w:spacing w:lineRule="auto" w:line="240" w:before="139" w:after="0"/>
        <w:ind w:left="0" w:right="0" w:hanging="0"/>
        <w:jc w:val="left"/>
        <w:rPr/>
      </w:pPr>
      <w:r>
        <w:rPr/>
        <w:t xml:space="preserve">L-intrapriżi żgħar u ta’ daqs medju huma s-sinsla tal-ekonomija Ewropea. Għalhekk, l-UE trid li l-pajjiżi tal-UE jaħdmu flimkien fuq pjanijiet ta’ rkupru biex joħorġu ekonomikament aktar b’saħħithom mill-kriżi tal-COVID-19. Fit-tul, l-objettiv tal-UE huwa li tagħmel l-ekonomija Ewropea aktar b’saħħitha, aktar ekoloġika u diġitali. X’inhi l-viżjoni tal-Pajjiżi l-Baxxi għal dan?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Rakkomandazzjonijiet — Il-viżjoni tagħna tal-ekonomija u l-impjiegi </w:t>
      </w:r>
    </w:p>
    <w:p>
      <w:pPr>
        <w:pStyle w:val="P68B1DB1Normal35"/>
        <w:widowControl w:val="false"/>
        <w:spacing w:lineRule="auto" w:line="240" w:before="123" w:after="0"/>
        <w:ind w:left="0" w:right="0" w:hanging="0"/>
        <w:jc w:val="left"/>
        <w:rPr/>
      </w:pPr>
      <w:r>
        <w:rPr>
          <w:rFonts w:ascii="Calibri" w:hAnsi="Calibri"/>
          <w:sz w:val="20"/>
        </w:rPr>
        <w:t>61 % tal-Olandiżi jemmnu li l-ekonomija u l-impjiegi huma tema importanti u li l-UE għandha tintervjeni f’dan il-qasam.</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Jittieħed kont tal-komunalitajiet u d-differenzi </w:t>
      </w:r>
    </w:p>
    <w:p>
      <w:pPr>
        <w:pStyle w:val="P68B1DB1Normal104"/>
        <w:widowControl w:val="false"/>
        <w:spacing w:lineRule="auto" w:line="240" w:before="97" w:after="0"/>
        <w:ind w:left="0" w:right="0" w:hanging="0"/>
        <w:jc w:val="left"/>
        <w:rPr/>
      </w:pPr>
      <w:r>
        <w:rPr/>
        <w:t xml:space="preserve">71 % tal-Olandiżi jemmnu li l-UE għandha tiżgura li n-negozji jikkollaboraw aktar, biex b’hekk tissaħħaħ l-ekonomija Ewropea. Madankollu, minn dawn in-nies, parti żgħira biss taħseb li l-UE teħtieġ tħallas aktar flus lin-negozji. Fuq kollox, aħna nemmnu li l-kooperazzjoni tista’ tkun aktar effettiva. Illum naraw li kumpaniji differenti qed jinvestu fl-istess teknoloġija ġdida, xi kultant anke b’fondi pubbliċi. Kieku kellna viżjoni Ewropea tal-ekonomija, inkunu nistgħu nużaw dawk il-flus b’mod aktar effettiv. Madankollu, meta jsir dan, għandha tingħata attenzjoni partikolari lid-differenzi bejn il-pajjiżi. </w:t>
      </w:r>
    </w:p>
    <w:p>
      <w:pPr>
        <w:pStyle w:val="P68B1DB1Normal113"/>
        <w:widowControl w:val="false"/>
        <w:spacing w:lineRule="auto" w:line="240" w:before="306" w:after="0"/>
        <w:ind w:left="0" w:right="0" w:hanging="0"/>
        <w:jc w:val="center"/>
        <w:rPr/>
      </w:pPr>
      <w:r>
        <w:rPr/>
        <w:t xml:space="preserve">Is-settur agrikolu fil-Pajjiżi l-Baxxi huwa tant modern. Mhux dejjem ikun possibbli li din titqabbel ma’ dik ta’ pajjiżi oħra.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Użu akbar tas-saħħiet ta’ l-Ewropa </w:t>
      </w:r>
    </w:p>
    <w:p>
      <w:pPr>
        <w:pStyle w:val="P68B1DB1Normal104"/>
        <w:widowControl w:val="false"/>
        <w:spacing w:lineRule="auto" w:line="240" w:before="97" w:after="0"/>
        <w:ind w:left="0" w:right="0" w:hanging="0"/>
        <w:jc w:val="left"/>
        <w:rPr/>
      </w:pPr>
      <w:r>
        <w:rPr/>
        <w:t>L-Olandiżi jemmnu li hemm ħafna opportunitajiet biex tissaħħaħ l-ekonomija Ewropea, iżda li għandhom isiru għażliet. Huwa għalhekk li nemmnu li l-UE għandha tiffoka fuq is-saħħiet tagħha fuq kollox. Pereżempju, aħna nqisu li l-Ewropa hija tajba fil—</w:t>
      </w:r>
    </w:p>
    <w:p>
      <w:pPr>
        <w:pStyle w:val="P68B1DB1Normal104"/>
        <w:widowControl w:val="false"/>
        <w:spacing w:lineRule="auto" w:line="240"/>
        <w:ind w:left="0" w:right="0" w:hanging="0"/>
        <w:jc w:val="left"/>
        <w:rPr/>
      </w:pPr>
      <w:r>
        <w:rPr/>
        <w:t xml:space="preserve"> </w:t>
      </w:r>
      <w:r>
        <w:rPr/>
        <w:t xml:space="preserve">oqsma bħat-tranżizzjoni diġitali, is-sostenibbiltà u l-infrastruttura. U x’inhu forsi aktar importanti: aħna niddefendu l-kwalità u d-diversità. Hija preċiżament id-diversità tal-kontinent tagħna, b’opinjonijiet u ideat differenti, li għandna nisfruttaw ħafna aktar bħala vantaġġ ekonomiku. Dan jista’ jippermetti lill-Ewropa tiddistingwi ruħha, pereżempju, mill-ekonomija Ċiniża.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L-iżvilupp ta’ sistema tat-taxxa ġusta u ċara </w:t>
      </w:r>
    </w:p>
    <w:p>
      <w:pPr>
        <w:pStyle w:val="P68B1DB1Normal104"/>
        <w:widowControl w:val="false"/>
        <w:spacing w:lineRule="auto" w:line="240" w:before="95" w:after="0"/>
        <w:ind w:left="0" w:right="0" w:hanging="0"/>
        <w:jc w:val="left"/>
        <w:rPr/>
      </w:pPr>
      <w:r>
        <w:rPr/>
        <w:t xml:space="preserve">82 % tal-Olandiżi jemmnu li l-pajjiżi tal-UE għandhom kollettivament jiżguraw li l-kumpaniji kollha tal-UE jħallsu taxxi ġusti. Dan jinkludi kumpaniji kbar ħafna. Illum, xi kultant joqogħdu f’pajjiżi oħra għas-sempliċi raġuni li jħallsu inqas taxxi. L-UE għandha tiġġieled kontra dan il-fenomenu, pereżempju billi tistabbilixxi rata minima għall-pajjiżi kollha. Min-naħa l-oħra, aħna nemmnu li t-tassazzjoni hija kompetenza li tappartjeni lill-pajjiżi, li għandhom l-objettivi u l-kuntesti tagħhom stess. Insibu li t-tassazzjoni hija ġeneralment kwistjoni kumplessa. Huwa preċiżament għal din ir-raġuni li nixtiequ sistema fiskali aħjar, li tkun ġusta u ċara għal kulħadd fl-Ewropa. </w:t>
      </w:r>
    </w:p>
    <w:p>
      <w:pPr>
        <w:pStyle w:val="P68B1DB1Normal113"/>
        <w:widowControl w:val="false"/>
        <w:spacing w:lineRule="auto" w:line="240" w:before="256" w:after="0"/>
        <w:ind w:left="0" w:right="0" w:hanging="0"/>
        <w:jc w:val="center"/>
        <w:rPr/>
      </w:pPr>
      <w:r>
        <w:rPr/>
        <w:t xml:space="preserve">Il-ħjar irid ikollu l-istess forma kullimkien, iżda r-regoli tat-taxxa huma differenti. Huwa crazy, mhuwiex dan?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Żgurar li kulħadd jista’ jipparteċipa </w:t>
      </w:r>
    </w:p>
    <w:p>
      <w:pPr>
        <w:pStyle w:val="P68B1DB1Normal104"/>
        <w:widowControl w:val="false"/>
        <w:spacing w:lineRule="auto" w:line="240" w:before="97" w:after="0"/>
        <w:ind w:left="0" w:right="0" w:hanging="0"/>
        <w:jc w:val="left"/>
        <w:rPr/>
      </w:pPr>
      <w:r>
        <w:rPr/>
        <w:t xml:space="preserve">71 % tal-Olandiżi jemmnu li l-UE għandha tgħin biex tagħti spinta lill-impjiegi. F’dan ir-rigward, aħna nemmnu li għandha tingħata attenzjoni partikolari lil ċerti gruppi, bħaż-żgħażagħ u l-persuni ‘l barra mis-suq tax-xogħol. Dan jista’ jsir permezz ta’ regoli jew sussidji għall-kumpaniji, iżda wkoll billi jingħata appoġġ speċifiku lil min iħaddem u lill-ħaddiema. Qed naħsbu, pereżempju, ta’ attivitajiet ta’ sensibilizzazzjoni jew kwistjonijiet prattiċi ħafna. Huwa possibbli li, f’xi każijiet, tali appoġġ jista’ jiġi organizzat b’mod aktar effettiv fil-livell tal-UE u f’oħrajn jista’ jkun kompitu aktar milli għall-Istati Membri nfushom. Fl-aħħar mill-aħħar il-pajjiżi tal-UE għandhom jikkooperaw biex jiżguraw opportunitajiet indaqs fis-suq tax-xogħol Ewropew.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Diskussjonijiet u ideat online u fuq il-post </w:t>
      </w:r>
    </w:p>
    <w:p>
      <w:pPr>
        <w:pStyle w:val="P68B1DB1Normal118"/>
        <w:widowControl w:val="false"/>
        <w:spacing w:lineRule="auto" w:line="240" w:before="115" w:after="0"/>
        <w:ind w:left="0" w:right="0" w:hanging="0"/>
        <w:jc w:val="left"/>
        <w:rPr>
          <w:rFonts w:ascii="Calibri" w:hAnsi="Calibri"/>
          <w:i/>
          <w:i/>
          <w:color w:val="000000"/>
          <w:sz w:val="21"/>
        </w:rPr>
      </w:pPr>
      <w:r>
        <w:rPr/>
        <w:t xml:space="preserve">Taċċellera l-awtomatizzazzjoni fl-Ewropa sabiex il-prodotti li bħalissa ġejjin miċ-Ċina jerġgħu jiġu manifatturati hawnhekk. </w:t>
      </w:r>
    </w:p>
    <w:p>
      <w:pPr>
        <w:pStyle w:val="P68B1DB1Normal118"/>
        <w:widowControl w:val="false"/>
        <w:spacing w:lineRule="auto" w:line="240" w:before="85" w:after="0"/>
        <w:ind w:left="0" w:right="0" w:hanging="0"/>
        <w:jc w:val="left"/>
        <w:rPr/>
      </w:pPr>
      <w:r>
        <w:rPr/>
        <w:t xml:space="preserve">Ħu l-rivoluzzjoni ta ‘bitcoins u cryptocurrencies oħra bis-serjetà. In-nies interessati fiha huma ttrattati bħala frodaturi tat-taxxa, filwaqt li din it-tip ta’ teknoloġija blockchain hija l-futur. </w:t>
      </w:r>
    </w:p>
    <w:p>
      <w:pPr>
        <w:pStyle w:val="P68B1DB1Normal118"/>
        <w:widowControl w:val="false"/>
        <w:spacing w:lineRule="auto" w:line="240" w:before="87" w:after="0"/>
        <w:ind w:left="0" w:right="0" w:hanging="0"/>
        <w:jc w:val="left"/>
        <w:rPr/>
      </w:pPr>
      <w:r>
        <w:rPr/>
        <w:t xml:space="preserve">L-azzjonisti mhumiex l-uniċi atturi fl-ekonomija Ewropea. Xejn ma huwa possibbli mingħajr l-impjegati. "L-Ewropa teħtieġ li tagħmel aktar għall-persuni b’diżabilità. Illum il-ġurnata, huwa diffiċli wisq għalihom li jsibu impjieg xieraq. </w:t>
      </w:r>
    </w:p>
    <w:p>
      <w:pPr>
        <w:pStyle w:val="P68B1DB1Normal118"/>
        <w:widowControl w:val="false"/>
        <w:spacing w:lineRule="auto" w:line="240" w:before="85" w:after="0"/>
        <w:ind w:left="0" w:right="0" w:hanging="0"/>
        <w:jc w:val="left"/>
        <w:rPr/>
      </w:pPr>
      <w:r>
        <w:rPr/>
        <w:t xml:space="preserve">Ħafna regoli Ewropej huma kumplessi u jinbidlu regolarment. Għalhekk huwa diffiċli għall-kumpaniji li jinnovaw. </w:t>
      </w:r>
    </w:p>
    <w:p>
      <w:pPr>
        <w:pStyle w:val="P68B1DB1Normal118"/>
        <w:widowControl w:val="false"/>
        <w:spacing w:lineRule="auto" w:line="240" w:before="85" w:after="0"/>
        <w:ind w:left="0" w:right="0" w:hanging="0"/>
        <w:jc w:val="both"/>
        <w:rPr/>
      </w:pPr>
      <w:r>
        <w:rPr/>
        <w:t xml:space="preserve">Fil-każ ta’ xogħol ta’ trasformazzjoni fi ħdan il-kumpanija tiegħi, il-kuntrattur lokali tiegħi seta’ beda żmien twil ilu. Iżda l-ewwel kelli nniedi sejħa Ewropea għall-offerti. Huwa mistħija. </w:t>
      </w:r>
    </w:p>
    <w:p>
      <w:pPr>
        <w:pStyle w:val="P68B1DB1Normal111"/>
        <w:widowControl w:val="false"/>
        <w:spacing w:lineRule="auto" w:line="240" w:before="85" w:after="0"/>
        <w:ind w:left="0" w:right="0" w:hanging="0"/>
        <w:jc w:val="both"/>
        <w:rPr>
          <w:rFonts w:ascii="Calibri" w:hAnsi="Calibri"/>
          <w:b/>
          <w:b/>
          <w:color w:val="000000"/>
          <w:sz w:val="22"/>
        </w:rPr>
      </w:pPr>
      <w:r>
        <w:rPr/>
        <w:t xml:space="preserve">Parteċipanti fid-djalogu online: “Naħsbu flimkien dwar il-kwistjoni tal-kumpaniji l-kbar” </w:t>
      </w:r>
    </w:p>
    <w:p>
      <w:pPr>
        <w:pStyle w:val="P68B1DB1Normal104"/>
        <w:widowControl w:val="false"/>
        <w:spacing w:lineRule="auto" w:line="240" w:before="97" w:after="0"/>
        <w:ind w:left="0" w:right="0" w:hanging="0"/>
        <w:jc w:val="left"/>
        <w:rPr/>
      </w:pPr>
      <w:r>
        <w:rPr/>
        <w:t>Matul wieħed mid-djalogi tematiċi online, qam dibattitu dwar is-setgħa dejjem tikber tal-kumpaniji l-kbar. Xi parteċipanti jixtiequ li l-UE</w:t>
      </w:r>
      <w:r>
        <w:rPr/>
        <w:commentReference w:id="22"/>
      </w:r>
      <w:r>
        <w:rPr/>
        <w:t xml:space="preserve"> tieħu azzjoni aktar b’saħħitha f’dan ir-rigward. Fil-fatt, xi kumpaniji xi kultant jagħmlu profitti sinifikanti li fuqhom iħallsu ftit taxxa bis-saħħa ta’ arranġamenti sofistikati. Parteċipanti oħra talbu li wieħed iħares lejn l-affarijiet kollha kemm huma: dawn il-kumpaniji jiġġeneraw livell għoli ta’ impjiegi u huma ta’ benefiċċju għall-ekonomija nazzjonali. “Inti m’għandekx chase minnhom,” xi ħadd qal. Parteċipant ieħor ħass li kien fi kwalunkwe każ importanti għall-pajjiżi tal-UE li jirriflettu dwar din il-kwistjoni flimkien. Il-kumpaniji l-kbar bħalissa jistgħu jikkompetu bejn il-pajjiżi. Huwa għalhekk li għandna bżonn nippreżentaw front aktar magħqud bħala UE. </w:t>
      </w:r>
    </w:p>
    <w:p>
      <w:pPr>
        <w:pStyle w:val="P68B1DB1Normal111"/>
        <w:widowControl w:val="false"/>
        <w:spacing w:lineRule="auto" w:line="240" w:before="97" w:after="0"/>
        <w:ind w:left="0" w:right="0" w:hanging="0"/>
        <w:jc w:val="left"/>
        <w:rPr>
          <w:rFonts w:ascii="Calibri" w:hAnsi="Calibri"/>
          <w:b/>
          <w:b/>
          <w:color w:val="000000"/>
          <w:sz w:val="22"/>
        </w:rPr>
      </w:pPr>
      <w:r>
        <w:rPr/>
        <w:t xml:space="preserve">Bdiewa li jqisu n-natura: “Jiġu stabbiliti miri aktar milli kwoti” </w:t>
      </w:r>
    </w:p>
    <w:p>
      <w:pPr>
        <w:pStyle w:val="P68B1DB1Normal104"/>
        <w:widowControl w:val="false"/>
        <w:spacing w:lineRule="auto" w:line="240" w:before="95" w:after="0"/>
        <w:ind w:left="0" w:right="0" w:hanging="0"/>
        <w:jc w:val="left"/>
        <w:rPr/>
      </w:pPr>
      <w:r>
        <w:rPr/>
        <w:t xml:space="preserve">BoerenNatuur hija assoċjazzjoni ta’ gruppi agrikoli. Grupp żgħir ta’ membri ddiskutew, fost affarijiet oħra, ir-regoli tal-UE għall-bdiewa. Minn naħa waħda, huma jemmnu li l-UE ġġib ħafna affarijiet pożittivi, bħall-faċilità tal-esportazzjoni lejn pajjiżi oħra. Min-naħa l-oħra, huma jaħsbu li l-politiki ta’ spiss jistgħu jkunu saħansitra aktar espliċiti. “Imma kulħadd diġà qed jaħdem aktar u aktar fl-istess direzzjoni,” xi ħadd qal dwar dan. B’mod partikolari, titjib fil-proċeduri huwa possibbli: ħafna drabi dawn ikunu amministrattivi ħafna u jieħdu ħafna ħin. Fil-fehma ta’ parteċipant wieħed, ir-regoli m’għandhomx ikunu dettaljati wisq. Jippreferu għanijiet ċari, bħall-ilma nadif. Nistgħu mbagħad niddeċiedu lilna nfusna bħala riżultat tal-wisa’ ta’ foss.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Id-demokrazija Ewropea </w:t>
      </w:r>
    </w:p>
    <w:p>
      <w:pPr>
        <w:pStyle w:val="P68B1DB1Normal104"/>
        <w:widowControl w:val="false"/>
        <w:spacing w:lineRule="auto" w:line="240"/>
        <w:ind w:left="0" w:right="0" w:hanging="0"/>
        <w:jc w:val="left"/>
        <w:rPr/>
      </w:pPr>
      <w:r>
        <w:rPr/>
        <w:t xml:space="preserve">L-UE tħeġġeġ lill-Ewropej biex jivvutaw u trid ukoll tinvolvihom fit-teħid tad-deċiżjonijiet u l-politiki Ewropej barra mill-perijodu elettorali. L-UE qed tieħu wkoll inizjattivi biex issaħħaħ id-demokrazija, pereżempju billi tiżviluppa pjan ta’ azzjoni li jiffoka fuq elezzjonijiet ħielsa u ġusti u l-libertà tal-istampa. X’inhi l-viżjoni tal-Pajjiżi l-Baxxi għal dan?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Rakkomandazzjonijiet — Il-viżjoni tagħna għad-demokrazija Ewropea </w:t>
      </w:r>
    </w:p>
    <w:p>
      <w:pPr>
        <w:pStyle w:val="P68B1DB1Normal69"/>
        <w:widowControl w:val="false"/>
        <w:spacing w:lineRule="auto" w:line="240"/>
        <w:ind w:left="0" w:right="0" w:hanging="0"/>
        <w:jc w:val="left"/>
        <w:rPr/>
      </w:pPr>
      <w:r>
        <w:rPr/>
        <w:t xml:space="preserve">60 % tal-Olandiżi jemmnu li d-demokrazija Ewropea hija kwistjoni importanti u li l-UE għandha tintervjeni f’dan il-qasam.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Nagħtu ħarsa ġenerali aħjar lejn l-Ewropa </w:t>
      </w:r>
    </w:p>
    <w:p>
      <w:pPr>
        <w:pStyle w:val="P68B1DB1Normal104"/>
        <w:widowControl w:val="false"/>
        <w:spacing w:lineRule="auto" w:line="240"/>
        <w:ind w:left="0" w:right="0" w:hanging="0"/>
        <w:jc w:val="left"/>
        <w:rPr/>
      </w:pPr>
      <w:r>
        <w:rPr/>
        <w:t xml:space="preserve">L-Olandiżi jindikaw li spiss ikun f’każ ta’ kriżi li l-Ewropa tidher fil-midja. Min-naħa l-oħra, għandna ftit informazzjoni dwar deċiżjonijiet ta’ kuljum. Bħala ċittadini, m’għandniex bżonn inkunu nafu kollox, iżda sabiex niffurmaw opinjoni tajba, ikun tajjeb li jkollna ħarsa ġenerali aħjar. Pereżempju, ikun interessanti li jinstemgħu aktar ta’ spiss il-fehmiet ta’ pajjiżi oħra dwar l-UE. Il-midja u l-edukazzjoni jista’ jkollhom rwol importanti f’dan ir-rigward. Iżda l-midja għandha tibqa’ kapaċi tagħmel l-għażliet tagħha stess. Għax l-Olandiżi jqisu li l-libertà tal-istampa hija importanti ħafna fid-demokrazija tagħna. </w:t>
      </w:r>
    </w:p>
    <w:p>
      <w:pPr>
        <w:pStyle w:val="P68B1DB1Normal113"/>
        <w:widowControl w:val="false"/>
        <w:spacing w:lineRule="auto" w:line="240" w:before="184" w:after="0"/>
        <w:ind w:left="0" w:right="0" w:hanging="0"/>
        <w:jc w:val="center"/>
        <w:rPr/>
      </w:pPr>
      <w:r>
        <w:rPr/>
        <w:t>“</w:t>
      </w:r>
      <w:r>
        <w:rPr/>
        <w:t xml:space="preserve">Fil-biċċa l-kbira taż-żmien, nisimgħu biss dwar l-UE f’każ ta’ kriżi. Huwa għal din ir-raġuni li s-sentiment lejn l-Ewropa jibqa’ negattiv.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Sib modi ġodda kif tisma’ liċ-ċittadini b’mod kontinwu </w:t>
      </w:r>
    </w:p>
    <w:p>
      <w:pPr>
        <w:pStyle w:val="P68B1DB1Normal104"/>
        <w:widowControl w:val="false"/>
        <w:spacing w:lineRule="auto" w:line="240"/>
        <w:ind w:left="0" w:right="0" w:hanging="0"/>
        <w:jc w:val="left"/>
        <w:rPr/>
      </w:pPr>
      <w:r>
        <w:rPr/>
        <w:t xml:space="preserve">51 % tal-Olandiżi jemmnu li l-UE mhix konxja biżżejjed ta’ x’qed jiġri fis-soċjetà. Biex ittejjeb din is-sitwazzjoni, l-UE għandha tinvolvi ruħha aktar ta’ spiss, u preferibbilment b’mod permanenti, fi djalogu maċ-ċittadini. Għalhekk, ħafna Netherlandiżi jemmnu li l-Konferenza dwar il-Futur tal-Ewropa hija inizjattiva tajba. Ir-referenda jistgħu jkunu wkoll għodda prezzjuża, iżda l-Olandiżi għandhom fehmiet differenti dwar dan. Għal ċerti suġġetti, xi kultant ikun meħtieġ ukoll li jkun hemm għarfien speċjalizzat. Fi kwalunkwe każ, id-diskors maċ-ċittadini m’għandux ikun sempliċi formalità. Aħna nemmnu li huwa importanti li nieħdu bis-serjetà.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Aktar trasparenza u ċarezza dwar id-deċiżjonijiet meħuda </w:t>
      </w:r>
    </w:p>
    <w:p>
      <w:pPr>
        <w:pStyle w:val="P68B1DB1Normal104"/>
        <w:widowControl w:val="false"/>
        <w:spacing w:lineRule="auto" w:line="240"/>
        <w:ind w:left="0" w:right="0" w:hanging="0"/>
        <w:jc w:val="left"/>
        <w:rPr/>
      </w:pPr>
      <w:r>
        <w:rPr/>
        <w:t xml:space="preserve">L-Olandiżi xi drabi jsibu l-Ewropa pjuttost ikkumplikata. Mhux kulħadd għandu l-istess livell ta’ għarfien bażiku. Jeħtieġ li l-UE tqis dan aktar. Irridu li l-UE ssir aktar trasparenti u tagħmilha aktar faċli li tinżamm aġġornata. L-awtoritajiet Olandiżi għandhom ukoll rwol x’jaqdu f’dan ir-rigward. Ħafna Netherlandiżi huma interessati fid-deċiżjonijiet Ewropej, iżda jħossu li l-kanali uffiċjali huma diffiċli wisq biex jinstabu jew huma kumplessi wisq. Barra minn hekk, kulħadd għandu interessi u ħtiġijiet differenti. Għalhekk ikun meħtieġ li wieħed ikun jista’ jagħżel is-suġġetti li dwarhom nixtiequ nitgħallmu aktar. Iż-żgħażagħ ta’ spiss ikunu interessati fl-Ewropa, iżda ma tantx jaraw informazzjoni dwar dan fuq in-netwerks soċjali tagħhom, pereżempju. </w:t>
      </w:r>
    </w:p>
    <w:p>
      <w:pPr>
        <w:pStyle w:val="P68B1DB1Normal113"/>
        <w:widowControl w:val="false"/>
        <w:spacing w:lineRule="auto" w:line="240" w:before="184" w:after="0"/>
        <w:ind w:left="0" w:right="0" w:hanging="0"/>
        <w:jc w:val="center"/>
        <w:rPr/>
      </w:pPr>
      <w:r>
        <w:rPr/>
        <w:t xml:space="preserve">Waqt li kont fuq btala fl-Ungerija, rajt sinjal kbir qrib pjantaġġun ġdid tal-foresti li jgħid: “Dan il-pjantaġġun kien possibbli bis-saħħa tal-UE.” Anke jekk jiena xettiku tal-Ewropa, xorta waħda ħassejtni kburija.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L-iżgurar li l-kwistjonijiet diffiċli jistgħu jiġu solvuti aktar malajr </w:t>
      </w:r>
    </w:p>
    <w:p>
      <w:pPr>
        <w:pStyle w:val="P68B1DB1Normal104"/>
        <w:widowControl w:val="false"/>
        <w:spacing w:lineRule="auto" w:line="240"/>
        <w:ind w:left="0" w:right="0" w:hanging="0"/>
        <w:jc w:val="left"/>
        <w:rPr/>
      </w:pPr>
      <w:r>
        <w:rPr/>
        <w:t>L-Olandiżi jsibuha diffiċli biex jifhmu kif taħdem id-demokrazija Ewropea, iżda jidhrilhom li t-teħid tad-deċiżjonijiet fl-UE ta’ spiss isir bil-mod ħafna. Fl-elezzjonijiet Ewropej, naraw fuq kollox l-alleanzi bejn il-</w:t>
      </w:r>
      <w:r>
        <w:rPr/>
        <w:commentReference w:id="23"/>
      </w:r>
      <w:r>
        <w:rPr/>
        <w:t xml:space="preserve"> partiti nazzjonali. Jista’ jkun hemm ukoll modi oħra biex jiġu indirizzati l-interessi Ewropej. Madwar terz tal-Olandiżi jemmnu li, fl-elezzjonijiet għall-Parlament Ewropew, għandu jkun possibbli li wieħed jivvota għal kandidati barranin. Għadd bejn wieħed u ieħor ugwali ta’ ċittadini jemmnu li dan m’għandux ikun possibbli. Dak li huwa l-aktar importanti huwa li l-interessi differenti inkwistjoni jitqiesu b’mod suffiċjenti. Fl-istess ħin, huwa possibbli li jissolvew kwistjonijiet diffiċli aktar malajr milli huwa l-każ illum. </w:t>
      </w:r>
    </w:p>
    <w:p>
      <w:pPr>
        <w:pStyle w:val="P68B1DB1Normal113"/>
        <w:widowControl w:val="false"/>
        <w:spacing w:lineRule="auto" w:line="240" w:before="201" w:after="0"/>
        <w:ind w:left="0" w:right="0" w:hanging="0"/>
        <w:jc w:val="center"/>
        <w:rPr/>
      </w:pPr>
      <w:r>
        <w:rPr/>
        <w:t xml:space="preserve">Fl-elezzjonijiet, nixtieq inkun nista’ nidentifika ma’ xi ħadd u nkun naf x’qed jiddefendi. Dan m’għandux neċessarjament ikun kompatrijott.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Diskussjonijiet u ideat online u fuq il-post </w:t>
      </w:r>
    </w:p>
    <w:p>
      <w:pPr>
        <w:pStyle w:val="P68B1DB1Normal118"/>
        <w:widowControl w:val="false"/>
        <w:spacing w:lineRule="auto" w:line="240" w:before="3" w:after="0"/>
        <w:ind w:left="0" w:right="0" w:hanging="0"/>
        <w:jc w:val="left"/>
        <w:rPr>
          <w:rFonts w:ascii="Calibri" w:hAnsi="Calibri"/>
          <w:i/>
          <w:i/>
          <w:color w:val="000000"/>
          <w:sz w:val="21"/>
        </w:rPr>
      </w:pPr>
      <w:r>
        <w:rPr/>
        <w:t xml:space="preserve">It-tneħħija tas-setgħa tal-veto tal-pajjiżi. Il-maġġoranza għandha tiddeċiedi. </w:t>
      </w:r>
    </w:p>
    <w:p>
      <w:pPr>
        <w:pStyle w:val="Normal"/>
        <w:widowControl w:val="false"/>
        <w:spacing w:lineRule="auto" w:line="240" w:before="85" w:after="0"/>
        <w:ind w:left="0" w:right="0" w:hanging="0"/>
        <w:jc w:val="left"/>
        <w:rPr/>
      </w:pPr>
      <w:r>
        <w:rPr>
          <w:rFonts w:ascii="Calibri" w:hAnsi="Calibri"/>
          <w:i/>
          <w:color w:val="000000"/>
          <w:sz w:val="21"/>
        </w:rPr>
        <w:t xml:space="preserve">Għal deċiżjonijiet importanti, twaqqaf gruppi ta’ diskussjoni </w:t>
      </w:r>
      <w:commentRangeStart w:id="24"/>
      <w:r>
        <w:rPr>
          <w:rFonts w:ascii="Calibri" w:hAnsi="Calibri"/>
          <w:i/>
          <w:color w:val="000000"/>
          <w:sz w:val="21"/>
        </w:rPr>
        <w:t xml:space="preserve">magħmula minn </w:t>
      </w:r>
      <w:r>
        <w:rPr>
          <w:rFonts w:ascii="Calibri" w:hAnsi="Calibri"/>
          <w:i/>
          <w:color w:val="000000"/>
          <w:sz w:val="21"/>
        </w:rPr>
      </w:r>
      <w:commentRangeEnd w:id="24"/>
      <w:r>
        <w:commentReference w:id="24"/>
      </w:r>
      <w:r>
        <w:rPr>
          <w:rFonts w:ascii="Calibri" w:hAnsi="Calibri"/>
          <w:i/>
          <w:color w:val="000000"/>
          <w:sz w:val="21"/>
        </w:rPr>
        <w:t>ċittadini, forsi fuq bażi (semi) obbligatorja, kif isir għall-ġuriji fl-Istati Uniti.</w:t>
      </w:r>
    </w:p>
    <w:p>
      <w:pPr>
        <w:pStyle w:val="P68B1DB1Normal118"/>
        <w:widowControl w:val="false"/>
        <w:spacing w:lineRule="auto" w:line="240" w:before="85" w:after="0"/>
        <w:ind w:left="0" w:right="0" w:hanging="0"/>
        <w:jc w:val="left"/>
        <w:rPr/>
      </w:pPr>
      <w:r>
        <w:rPr/>
        <w:t>“</w:t>
      </w:r>
      <w:r>
        <w:rPr/>
        <w:t xml:space="preserve">Jiżguraw li l-politiċi u l-uffiċjali tal-UE jżuru l-intern tal-pajjiż fuq bażi regolari” u li ma jibqgħux kompletament ikklerjati fil-bużżieqa tagħhom ta’ Brussell. </w:t>
      </w:r>
    </w:p>
    <w:p>
      <w:pPr>
        <w:pStyle w:val="P68B1DB1Normal118"/>
        <w:widowControl w:val="false"/>
        <w:spacing w:lineRule="auto" w:line="240" w:before="85" w:after="0"/>
        <w:ind w:left="0" w:right="0" w:hanging="0"/>
        <w:jc w:val="left"/>
        <w:rPr/>
      </w:pPr>
      <w:r>
        <w:rPr/>
        <w:t xml:space="preserve">IDEA: Fil-fatt, l-aħbarijiet televiżivi għandhom jiddedikaw ftit minuti lill-Ewropa f’kull edizzjoni tagħha. Jew nistgħu nvaraw gazzetta ta’ kuljum jew ta’ kull ġimgħa ddedikata għall-Ewropa. </w:t>
      </w:r>
    </w:p>
    <w:p>
      <w:pPr>
        <w:pStyle w:val="P68B1DB1Normal118"/>
        <w:widowControl w:val="false"/>
        <w:spacing w:lineRule="auto" w:line="240" w:before="85" w:after="0"/>
        <w:ind w:left="0" w:right="0" w:hanging="0"/>
        <w:jc w:val="left"/>
        <w:rPr/>
      </w:pPr>
      <w:r>
        <w:rPr/>
        <w:t xml:space="preserve">IDEA: Forsi l-politiċi Ewropej għandhom jipparteċipaw aktar ta’ spiss fil-programmi televiżivi. </w:t>
      </w:r>
    </w:p>
    <w:p>
      <w:pPr>
        <w:pStyle w:val="P68B1DB1Normal118"/>
        <w:widowControl w:val="false"/>
        <w:spacing w:lineRule="auto" w:line="240" w:before="85" w:after="0"/>
        <w:ind w:left="0" w:right="0" w:hanging="0"/>
        <w:jc w:val="left"/>
        <w:rPr/>
      </w:pPr>
      <w:r>
        <w:rPr/>
        <w:t xml:space="preserve">Bħala żagħżugħ, kważi qatt ma qrajt xejn dwar l-Ewropa. Madankollu, I am kurjużi li tkun taf aktar, iżda mingħajr ma jkollhom jagħmlu sforz wisq biex jiksbu informazzjoni. </w:t>
      </w:r>
    </w:p>
    <w:p>
      <w:pPr>
        <w:pStyle w:val="P68B1DB1Normal111"/>
        <w:widowControl w:val="false"/>
        <w:spacing w:lineRule="auto" w:line="240" w:before="84" w:after="0"/>
        <w:ind w:left="0" w:right="0" w:hanging="0"/>
        <w:jc w:val="left"/>
        <w:rPr>
          <w:rFonts w:ascii="Calibri" w:hAnsi="Calibri"/>
          <w:b/>
          <w:b/>
          <w:color w:val="000000"/>
          <w:sz w:val="22"/>
        </w:rPr>
      </w:pPr>
      <w:r>
        <w:rPr/>
        <w:t xml:space="preserve">Membri żgħażagħ ta’ Coalitie-Y f’Utrecht: diskussjoni dwar l-użu ta’ referenda </w:t>
      </w:r>
    </w:p>
    <w:p>
      <w:pPr>
        <w:pStyle w:val="P68B1DB1Normal104"/>
        <w:widowControl w:val="false"/>
        <w:spacing w:lineRule="auto" w:line="240"/>
        <w:ind w:left="0" w:right="0" w:hanging="0"/>
        <w:jc w:val="left"/>
        <w:rPr/>
      </w:pPr>
      <w:r>
        <w:rPr/>
        <w:t xml:space="preserve">Il-membri ta’ Coalitie-Y — kooperazzjoni bejn organizzazzjonijiet differenti taż-żgħażagħ — kellhom dibattitu vivaċi dwar l-użu ta’ referenda. Avversarji semmew ir-riskju li jkollhom dibattiti fejn kollox huwa iswed jew abjad, filwaqt li s-suġġetti huma spiss ħafna aktar kumplessi. Wieħed mill-parteċipanti kompla jgħid: Nistgħu nivvutaw għall-UE u noħorġu bħala kandidati. Ir-referenda fil-fatt jimminaw dan il-prinċipju." Il-partitarji tar-Referendum qalu li ħassewha utli għal dawk li jfasslu l-politika li jkunu jafu x’jaħsbu ċ-ċittadini dwar suġġett speċifiku: dan jista’ jgħin biex tingħata gwida. Ir-referenda jistgħu jgħinu wkoll biex titqajjem kuxjenza pubblika dwar l-UE kollha kemm hi: X’inhuma s-suġġetti fuq l-aġenda u x’inhuma l-għażliet li għandek tagħmel? </w:t>
      </w:r>
    </w:p>
    <w:p>
      <w:pPr>
        <w:pStyle w:val="P68B1DB1Normal111"/>
        <w:widowControl w:val="false"/>
        <w:spacing w:lineRule="auto" w:line="240" w:before="38" w:after="0"/>
        <w:ind w:left="0" w:right="0" w:hanging="0"/>
        <w:jc w:val="left"/>
        <w:rPr>
          <w:rFonts w:ascii="Calibri" w:hAnsi="Calibri"/>
          <w:b/>
          <w:b/>
          <w:color w:val="000000"/>
          <w:sz w:val="22"/>
        </w:rPr>
      </w:pPr>
      <w:r>
        <w:rPr/>
        <w:t xml:space="preserve">Voluntiera Soċjali: Jeħtieġ li jkun hemm fehim reċiproku aħjar bejn il-pajjiżi. </w:t>
      </w:r>
    </w:p>
    <w:p>
      <w:pPr>
        <w:pStyle w:val="Normal"/>
        <w:widowControl w:val="false"/>
        <w:spacing w:lineRule="auto" w:line="240"/>
        <w:ind w:left="0" w:right="0" w:hanging="0"/>
        <w:jc w:val="left"/>
        <w:rPr/>
      </w:pPr>
      <w:r>
        <w:rPr>
          <w:rFonts w:ascii="Calibri" w:hAnsi="Calibri"/>
          <w:color w:val="000000"/>
          <w:sz w:val="21"/>
        </w:rPr>
        <w:t xml:space="preserve">Il-Fondazzjoni Piëzo f’Zoetermeer hija magħmula minn voluntiera li huma attivi b’diversi modi fil-qasam tal-parteċipazzjoni soċjali. Il-parteċipanti fid-djalogu tematiku esprimew tħassib dwar id-distakk dejjem jikber fl-Ewropa. Dawn huma, pereżempju, il-fehmiet li l-pajjiżi għandhom rigward il-komunità LGBTIQ. Jekk il-pajjiżi ma jifhmux il-fehmiet rispettivi tagħhom, huwa diffiċli li tikkoopera. “Huwa għal din ir-raġuni li huwa essenzjali li jsiru jafu lil xulxin aħjar,” qal parteċipant wieħed. Illum, aħna biss ma jafux x’jaħsbu n-nies f’pajjiżi oħra. Ma nifhmux biżżejjed il-kultura u l-kuntest tal-pajjiżi rispettivi tagħna. Dan huwa essenzjali jekk irridu nieħdu deċiżjonijiet tajbin flimkien. </w:t>
      </w:r>
      <w:r>
        <w:br w:type="page"/>
      </w:r>
    </w:p>
    <w:p>
      <w:pPr>
        <w:pStyle w:val="P68B1DB1Normal117"/>
        <w:spacing w:lineRule="auto" w:line="240"/>
        <w:ind w:left="0" w:right="0" w:hanging="0"/>
        <w:rPr>
          <w:rFonts w:ascii="Calibri" w:hAnsi="Calibri"/>
          <w:b/>
          <w:b/>
          <w:i/>
          <w:i/>
          <w:color w:val="000000"/>
          <w:sz w:val="28"/>
        </w:rPr>
      </w:pPr>
      <w:r>
        <w:rPr/>
        <w:t xml:space="preserve">Trasformazzjoni diġitali </w:t>
      </w:r>
    </w:p>
    <w:p>
      <w:pPr>
        <w:pStyle w:val="P68B1DB1Normal104"/>
        <w:widowControl w:val="false"/>
        <w:spacing w:lineRule="auto" w:line="240" w:before="62" w:after="0"/>
        <w:ind w:left="0" w:right="0" w:hanging="0"/>
        <w:jc w:val="left"/>
        <w:rPr/>
      </w:pPr>
      <w:r>
        <w:rPr/>
        <w:t xml:space="preserve">Fid-dinja virtwali, ir-rekwiżiti għall-konnettività tal-internet, is-sigurtà u l-privatezza qed jiżdiedu. L-UE tħossha responsabbli f’dan ir-rigward u hija impenjata li tiżgura li ħadd ma jitħalla jibqa’ lura fis-soċjetà diġitali. Barra minn hekk, l-UE tinvesti f’soluzzjonijiet diġitali għall-isfidi tas-soċjetà. X’inhi l-viżjoni tal-Pajjiżi l-Baxxi għal dan?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Rakkomandazzjonijiet — Worldview virtwali tagħna </w:t>
      </w:r>
    </w:p>
    <w:p>
      <w:pPr>
        <w:pStyle w:val="P68B1DB1Normal69"/>
        <w:widowControl w:val="false"/>
        <w:spacing w:lineRule="auto" w:line="240" w:before="65" w:after="0"/>
        <w:ind w:left="0" w:right="0" w:hanging="0"/>
        <w:jc w:val="left"/>
        <w:rPr/>
      </w:pPr>
      <w:r>
        <w:rPr/>
        <w:t xml:space="preserve">45 % tal-Olandiżi jemmnu li d-dinja virtwali hija tema importanti u li l-UE għandha tintervjeni f’dan il-qasam.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L-iżgurar ta’ internet veloċi, sikur u stabbli kullimkien </w:t>
      </w:r>
    </w:p>
    <w:p>
      <w:pPr>
        <w:pStyle w:val="P68B1DB1Normal104"/>
        <w:widowControl w:val="false"/>
        <w:spacing w:lineRule="auto" w:line="240" w:before="49" w:after="0"/>
        <w:ind w:left="0" w:right="0" w:hanging="0"/>
        <w:jc w:val="left"/>
        <w:rPr/>
      </w:pPr>
      <w:r>
        <w:rPr/>
        <w:t xml:space="preserve">61 % tal-Olandiżi jemmnu li l-UE għandha tiżgura li kull persuna fl-Ewropa jkollha aċċess għal internet veloċi u stabbli. Kollha kemm aħna naraw li l-internet għandu rwol dejjem aktar importanti f’ħajjitna. It-tfal tagħna jikbru bl-edukazzjoni diġitali. U l-komunikazzjoni qed tgħaddi dejjem aktar mill-internet, kemm nazzjonalment kif ukoll internazzjonalment. Xi drabi aħna mħassba dwar id-dipendenza għolja fuq l-internet. Għalhekk ħafna Olandiżi jemmnu li l-UE tinsab fl-aħjar pożizzjoni biex tiddedika fondi għaliha, sakemm dawn jintużaw b’mod effettiv. Il-protezzjoni kontra l-kriminalità online hija, fil-fehma tagħna, l-aktar kwistjoni importanti li għandha tiġi indirizzata fil-livell Ewropew. Madankollu, għandha tingħata attenzjoni wkoll lill-ġlieda kontra l-kriminalità fuq l-Internet fil-livell nazzjonali. </w:t>
      </w:r>
    </w:p>
    <w:p>
      <w:pPr>
        <w:pStyle w:val="P68B1DB1Normal113"/>
        <w:widowControl w:val="false"/>
        <w:spacing w:lineRule="auto" w:line="240" w:before="54" w:after="0"/>
        <w:ind w:left="0" w:right="0" w:hanging="0"/>
        <w:jc w:val="center"/>
        <w:rPr/>
      </w:pPr>
      <w:r>
        <w:rPr/>
        <w:t xml:space="preserve">L-idea ta’ attakk ċibernetiku fuq is-sistema tal-protezzjoni tal-ilma tagħna tagħmelni nħossni vulnerabbli.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L-istabbiliment ta’ regoli u standards ċari għall-kumpaniji tal-internet </w:t>
      </w:r>
    </w:p>
    <w:p>
      <w:pPr>
        <w:pStyle w:val="P68B1DB1Normal104"/>
        <w:widowControl w:val="false"/>
        <w:spacing w:lineRule="auto" w:line="240" w:before="49" w:after="0"/>
        <w:ind w:left="0" w:right="0" w:hanging="0"/>
        <w:jc w:val="left"/>
        <w:rPr/>
      </w:pPr>
      <w:r>
        <w:rPr/>
        <w:t xml:space="preserve">75 % tal-Olandiżi jemmnu li l-UE għandha tiżgura li x-xiri online jista’ jsir bl-istess livell ta’ sigurtà fil-pajjiżi kollha tal-UE. Aħna lkoll qegħdin nixtru aktar u aktar barra mill-pajjiż u qed naqsmu data personali sensittiva b’dan il-mod. Dan xi kultant jidher perikoluż. Huwa diffiċli li jiġi ddeterminat liema websajts huma affidabbli. Huwa tajjeb li l-UE tiżviluppa regoli u standards Ewropej dwar il-privatezza li kulħadd jista’ jifhem. Is-setgħa tal-kumpaniji l-kbar tal-internet hija wkoll sors regolari ta’ tħassib għalina. Aħna nemmnu li hija r-responsabbiltà tagħna li neżerċitaw kawtela fl-użu tad-data tagħna. Iżda nemmnu wkoll li l-UE jista’ jkollha rwol f’dan ir-rigward. Il-pajjiżi tal-UE jeħtieġ li jaħdmu flimkien biex jiżguraw li kumpaniji bħal Google u Facebook ma jkollhomx wisq setgħa. </w:t>
      </w:r>
    </w:p>
    <w:p>
      <w:pPr>
        <w:pStyle w:val="P68B1DB1Normal113"/>
        <w:widowControl w:val="false"/>
        <w:spacing w:lineRule="auto" w:line="240" w:before="54" w:after="0"/>
        <w:ind w:left="0" w:right="0" w:hanging="0"/>
        <w:jc w:val="center"/>
        <w:rPr/>
      </w:pPr>
      <w:r>
        <w:rPr/>
        <w:t xml:space="preserve">Quddiem attur globali bħal Facebook, aħna relattivament fqar bħala pajjiż żgħir. </w:t>
      </w:r>
    </w:p>
    <w:p>
      <w:pPr>
        <w:pStyle w:val="P68B1DB1Normal111"/>
        <w:widowControl w:val="false"/>
        <w:spacing w:lineRule="auto" w:line="240" w:before="71" w:after="0"/>
        <w:ind w:left="0" w:right="0" w:hanging="0"/>
        <w:jc w:val="left"/>
        <w:rPr/>
      </w:pPr>
      <w:r>
        <w:rPr/>
        <w:t xml:space="preserve">3. Iż-żieda ta’ implimentazzjoni u spjegazzjonijiet prattiċi għar-regoli ta’ privatezza </w:t>
      </w:r>
    </w:p>
    <w:p>
      <w:pPr>
        <w:pStyle w:val="Normal"/>
        <w:widowControl w:val="false"/>
        <w:spacing w:lineRule="auto" w:line="240" w:before="49" w:after="0"/>
        <w:ind w:left="0" w:right="0" w:hanging="0"/>
        <w:jc w:val="left"/>
        <w:rPr/>
      </w:pPr>
      <w:r>
        <w:rPr>
          <w:rFonts w:ascii="Calibri" w:hAnsi="Calibri"/>
          <w:color w:val="000000"/>
          <w:sz w:val="21"/>
        </w:rPr>
        <w:t xml:space="preserve">Bl-introduzzjoni tar-Regolament Ġenerali dwar il-Protezzjoni tad-Data (GDPR), in-Netherlands jafu li l-pajjiżi kollha jridu jikkonformaw mal-istess liġijiet u regolamenti dwar il-privatezza. Aħna naħsbu li huwa tajjeb li jkunu jistgħu jistrieħu fuq dan, għaliex il-privatezza hija kwistjoni importanti. Madankollu, xi Olandiżi jqisu li r-regoli ta’ privatezza xi kultant ikunu esaġerati jew illoġiċi. Barra minn hekk, din il-leġiżlazzjoni tista’ tiġġenera ħafna xogħol għall-intraprendituri. Għalhekk nemmnu li għandha tingħata aktar attenzjoni lill-implimentazzjoni prattika tal-leġiżlazzjoni dwar il-privatezza: appoġġ u informazzjoni kemm għaċ-ċittadini kif ukoll għan-negozji. B’mod partikolari, aħna nemmnu li l-Istati Membri għandhom rwol x’jaqdu. Kwistjonijiet jew kwistjonijiet ta’ privatezza huma ġestiti bl-aħjar mod mill-awtoritajiet nazzjonali tagħna bil-lingwa tagħna stess. </w:t>
      </w:r>
      <w:r>
        <w:br w:type="page"/>
      </w:r>
    </w:p>
    <w:p>
      <w:pPr>
        <w:pStyle w:val="P68B1DB1Normal108"/>
        <w:spacing w:lineRule="auto" w:line="240"/>
        <w:ind w:left="0" w:right="0" w:hanging="0"/>
        <w:rPr>
          <w:rFonts w:ascii="Calibri" w:hAnsi="Calibri"/>
          <w:b/>
          <w:b/>
          <w:i/>
          <w:i/>
          <w:color w:val="000000"/>
          <w:sz w:val="24"/>
        </w:rPr>
      </w:pPr>
      <w:r>
        <w:rPr/>
        <w:t xml:space="preserve">Diskussjonijiet u ideat online u fuq il-post </w:t>
      </w:r>
    </w:p>
    <w:p>
      <w:pPr>
        <w:pStyle w:val="P68B1DB1Normal118"/>
        <w:widowControl w:val="false"/>
        <w:spacing w:lineRule="auto" w:line="240" w:before="120" w:after="0"/>
        <w:ind w:left="0" w:right="889" w:hanging="0"/>
        <w:jc w:val="left"/>
        <w:rPr/>
      </w:pPr>
      <w:r>
        <w:rPr/>
        <w:t xml:space="preserve">IDEA: Tistabbilixxi kriterji aktar stretti għall-programmaturi u n-negozji billi tipprojbixxi lingwi ta’ programmar perikolużi. </w:t>
      </w:r>
    </w:p>
    <w:p>
      <w:pPr>
        <w:pStyle w:val="P68B1DB1Normal118"/>
        <w:widowControl w:val="false"/>
        <w:spacing w:lineRule="auto" w:line="240" w:before="87" w:after="0"/>
        <w:ind w:left="0" w:right="0" w:hanging="0"/>
        <w:jc w:val="left"/>
        <w:rPr>
          <w:rFonts w:ascii="Calibri" w:hAnsi="Calibri"/>
          <w:i/>
          <w:i/>
          <w:color w:val="000000"/>
          <w:sz w:val="21"/>
        </w:rPr>
      </w:pPr>
      <w:r>
        <w:rPr/>
        <w:t xml:space="preserve">Tipproponi softwer Ewropew tal-antivirus b’xejn biex toħloq firewall Ewropew. </w:t>
      </w:r>
    </w:p>
    <w:p>
      <w:pPr>
        <w:pStyle w:val="P68B1DB1Normal118"/>
        <w:widowControl w:val="false"/>
        <w:spacing w:lineRule="auto" w:line="240" w:before="85" w:after="0"/>
        <w:ind w:left="0" w:right="42" w:hanging="0"/>
        <w:jc w:val="left"/>
        <w:rPr/>
      </w:pPr>
      <w:r>
        <w:rPr/>
        <w:t xml:space="preserve">Meta naqsam il-fruntiera lejn il-Ġermanja, f’daqqa waħda m’għadx għandi netwerk fuq il-mowbajl tiegħi. Dan m’għandux jiġri aktar, jekk dan? </w:t>
      </w:r>
    </w:p>
    <w:p>
      <w:pPr>
        <w:pStyle w:val="P68B1DB1Normal118"/>
        <w:widowControl w:val="false"/>
        <w:spacing w:lineRule="auto" w:line="240" w:before="85" w:after="0"/>
        <w:ind w:left="0" w:right="959" w:hanging="0"/>
        <w:jc w:val="left"/>
        <w:rPr/>
      </w:pPr>
      <w:r>
        <w:rPr/>
        <w:t xml:space="preserve">Ma iPhones tagħna, aħna jistgħu jittraċċaw il-vjaġġi kollha tagħna. Għandna wkoll is-sehem tagħna ta’ responsabbiltà. </w:t>
      </w:r>
    </w:p>
    <w:p>
      <w:pPr>
        <w:pStyle w:val="P68B1DB1Normal118"/>
        <w:widowControl w:val="false"/>
        <w:spacing w:lineRule="auto" w:line="240" w:before="83" w:after="0"/>
        <w:ind w:left="0" w:right="0" w:hanging="0"/>
        <w:jc w:val="left"/>
        <w:rPr/>
      </w:pPr>
      <w:r>
        <w:rPr/>
        <w:t xml:space="preserve">Mhuwiex konvenjenti li jkollok timla tip differenti ta’ formola ta’ privatezza f’kull pajjiż. </w:t>
      </w:r>
    </w:p>
    <w:p>
      <w:pPr>
        <w:pStyle w:val="P68B1DB1Normal118"/>
        <w:widowControl w:val="false"/>
        <w:spacing w:lineRule="auto" w:line="240" w:before="87" w:after="0"/>
        <w:ind w:left="0" w:right="0" w:hanging="0"/>
        <w:jc w:val="left"/>
        <w:rPr>
          <w:rFonts w:ascii="Calibri" w:hAnsi="Calibri"/>
          <w:i/>
          <w:i/>
          <w:color w:val="000000"/>
          <w:sz w:val="21"/>
        </w:rPr>
      </w:pPr>
      <w:r>
        <w:rPr/>
        <w:t xml:space="preserve">IDEA: Għandna nistabbilixxu pulizija ċibernetika Ewropea. Huwa ċar li din hija xi ħaġa għall-UE. </w:t>
      </w:r>
    </w:p>
    <w:p>
      <w:pPr>
        <w:pStyle w:val="P68B1DB1Normal111"/>
        <w:widowControl w:val="false"/>
        <w:spacing w:lineRule="auto" w:line="240" w:before="84" w:after="0"/>
        <w:ind w:left="0" w:right="823" w:hanging="0"/>
        <w:jc w:val="left"/>
        <w:rPr/>
      </w:pPr>
      <w:r>
        <w:rPr/>
        <w:t xml:space="preserve">Parteċipanti fid-djalogu online: Huwa wkoll fl-interess tagħna stess li jkollna aċċess għall-internet ta’ kwalità kullimkien. </w:t>
      </w:r>
    </w:p>
    <w:p>
      <w:pPr>
        <w:pStyle w:val="P68B1DB1Normal104"/>
        <w:widowControl w:val="false"/>
        <w:spacing w:lineRule="auto" w:line="240" w:before="97" w:after="0"/>
        <w:ind w:left="0" w:right="236" w:hanging="0"/>
        <w:jc w:val="left"/>
        <w:rPr/>
      </w:pPr>
      <w:r>
        <w:rPr/>
        <w:t xml:space="preserve">Matul wieħed mid-djalogi tematiċi online, inħoloq dibattitu interessanti dwar ir-rwol tal-UE fid-dinja virtwali. Il-parteċipanti kollha qablu li kien tajjeb u importanti li jkun hemm konnessjoni tal-internet tajba madwar l-Ewropa. Iżda huwa f’idejn l-UE li tittrattaha? Diversi parteċipanti indikaw li dan kien kompitu primarjament għall-Istati Membri individwali. Parteċipant ieħor enfasizza li internet stabbli u ta’ kwalità barra mill-pajjiż kien ukoll ta’ vantaġġ għall-Pajjiżi l-Baxxi: Qegħdin nagħmlu biljuni ta’ dollari mill-kummerċ ma’ pajjiżi oħra tal-UE. Għalhekk huwa fl-interess tagħna li dawn il-pajjiżi jiffunzjonaw tajjeb. </w:t>
      </w:r>
    </w:p>
    <w:p>
      <w:pPr>
        <w:pStyle w:val="P68B1DB1Normal111"/>
        <w:widowControl w:val="false"/>
        <w:spacing w:lineRule="auto" w:line="240" w:before="40" w:after="0"/>
        <w:ind w:left="0" w:right="0" w:hanging="0"/>
        <w:jc w:val="left"/>
        <w:rPr>
          <w:rFonts w:ascii="Calibri" w:hAnsi="Calibri"/>
          <w:b/>
          <w:b/>
          <w:color w:val="000000"/>
          <w:sz w:val="22"/>
        </w:rPr>
      </w:pPr>
      <w:r>
        <w:rPr/>
        <w:t xml:space="preserve">Studenti f’Helmond: Regoli u sanzjonijiet identiċi għaċ-ċiberkriminali </w:t>
      </w:r>
    </w:p>
    <w:p>
      <w:pPr>
        <w:pStyle w:val="Normal"/>
        <w:widowControl w:val="false"/>
        <w:spacing w:lineRule="auto" w:line="240" w:before="95" w:after="0"/>
        <w:ind w:left="0" w:right="32" w:hanging="0"/>
        <w:jc w:val="left"/>
        <w:rPr/>
      </w:pPr>
      <w:r>
        <w:rPr>
          <w:rFonts w:ascii="Calibri" w:hAnsi="Calibri"/>
          <w:color w:val="000000"/>
          <w:sz w:val="21"/>
        </w:rPr>
        <w:t xml:space="preserve">Fil Dr Knippenberg Kulleġġ fil Helmond, studenti ta ‘età 15 u 16 diskussi l-problema tal-kriminalità Internet. Huma jisimgħu l-aħbarijiet regolarment. Pereżempju, meta jkun hemm żvelar ta’ data f’kumpanija. Jew meta pajjiż bħar-Russja jew iċ-Ċina jipprova jisraq id-data. Peress li ċ-ċiberkriminali ta’ spiss jaħdmu bejn il-fruntieri, isibuha loġiku li l-pajjiżi Ewropej jikkooperaw. F’dan il-kuntest, huma jikkunsidraw l-iżvilupp ta’ regoli, iżda wkoll id-definizzjoni ta’ sanzjonijiet. Jekk iċ-ċiberpirati Russi jippruvaw jidħlu fi djarna, l-UE trid tieħu azzjoni b’saħħitha biex tipprevjenihom. </w:t>
      </w:r>
      <w:r>
        <w:br w:type="page"/>
      </w:r>
    </w:p>
    <w:p>
      <w:pPr>
        <w:pStyle w:val="P68B1DB1Normal117"/>
        <w:spacing w:lineRule="auto" w:line="240"/>
        <w:ind w:left="0" w:right="0" w:hanging="0"/>
        <w:rPr>
          <w:rFonts w:ascii="Calibri" w:hAnsi="Calibri"/>
          <w:b/>
          <w:b/>
          <w:i/>
          <w:i/>
          <w:color w:val="000000"/>
          <w:sz w:val="28"/>
        </w:rPr>
      </w:pPr>
      <w:r>
        <w:rPr/>
        <w:t xml:space="preserve">L-edukazzjoni, il-kultura, iż-żgħażagħ u l-isport </w:t>
      </w:r>
    </w:p>
    <w:p>
      <w:pPr>
        <w:pStyle w:val="P68B1DB1Normal104"/>
        <w:widowControl w:val="false"/>
        <w:spacing w:lineRule="auto" w:line="240" w:before="93" w:after="0"/>
        <w:ind w:left="0" w:right="0" w:hanging="0"/>
        <w:jc w:val="left"/>
        <w:rPr/>
      </w:pPr>
      <w:r>
        <w:rPr/>
        <w:t xml:space="preserve">Il-pajjiżi tal-UE huma direttament responsabbli għall-edukazzjoni, il-kultura, iż-żgħażagħ u l-isport. L-UE tista’ u tixtieq tgħinhom f’dan ir-rigward, pereżempju billi tippromwovi edukazzjoni ta’ kwalità, il-multilingwiżmu, il-protezzjoni tal-wirt kulturali u l-appoġġ għas-setturi kulturali u sportivi. X’inhi l-viżjoni tal-Pajjiżi l-Baxxi għal dan?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Rakkomandazzjonijiet — Il-viżjoni tagħna tal-edukazzjoni, il-kultura, iż-żgħażagħ u l-isport </w:t>
      </w:r>
    </w:p>
    <w:p>
      <w:pPr>
        <w:pStyle w:val="P68B1DB1Normal69"/>
        <w:widowControl w:val="false"/>
        <w:spacing w:lineRule="auto" w:line="240" w:before="123" w:after="0"/>
        <w:ind w:left="0" w:right="0" w:hanging="0"/>
        <w:jc w:val="left"/>
        <w:rPr/>
      </w:pPr>
      <w:r>
        <w:rPr/>
        <w:t xml:space="preserve">45 % tal-Olandiżi jemmnu li l-edukazzjoni hija kwistjoni importanti u li l-UE għandha tintervjeni f’dan il-qasam. Għaż-żgħażagħ, il-kultura u l-isport, din iċ-ċifra tammonta għal 39 %, 23 % u 19 % rispettivament.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L-inkoraġġiment tal-istudenti biex jistudjaw barra pajjiżhom b’mod intelliġenti </w:t>
      </w:r>
    </w:p>
    <w:p>
      <w:pPr>
        <w:pStyle w:val="P68B1DB1Normal104"/>
        <w:widowControl w:val="false"/>
        <w:spacing w:lineRule="auto" w:line="240"/>
        <w:ind w:left="0" w:right="0" w:hanging="0"/>
        <w:jc w:val="left"/>
        <w:rPr/>
      </w:pPr>
      <w:r>
        <w:rPr/>
        <w:t xml:space="preserve">Ħafna Olandiżi jemmnu li l-istudju barra mill-pajjiż għandu impatt pożittiv fuq iż-żgħażagħ. Dan jikkontribwixxi għall-iżvilupp personali. Barra minn hekk, l-istudju barra mill-pajjiż jista’ jgħin lill-Ewropej jifhmu aħjar lil xulxin. Tista’ tikkontribwixxi wkoll għal integrazzjoni aħjar. Għalhekk, ħafna Olandiżi jsibuha pożittiva li hemm programm Erasmus li jħeġġeġ l-istudju barra mill-pajjiż. Iżda nemmnu li l-UE għandha wkoll tkompli tindirizza din il-kwistjoni b’mod kritiku. Fil-prattika, pereżempju, jidher li l-istudenti internazzjonali l-aktar jibqgħu ma ‘xulxin u mhux dejjem jitgħallmu ħafna dwar il-pajjiż li jkunu fih. L-UE għandha wkoll tipprevjeni lill-pajjiżi b’livell aktar baxx ta’ għarfien milli “jbattlu” minħabba li t-talenti kollha se jistudjaw barra minn pajjiżhom. </w:t>
      </w:r>
    </w:p>
    <w:p>
      <w:pPr>
        <w:pStyle w:val="P68B1DB1Normal113"/>
        <w:widowControl w:val="false"/>
        <w:spacing w:lineRule="auto" w:line="240" w:before="167" w:after="0"/>
        <w:ind w:left="0" w:right="0" w:hanging="0"/>
        <w:jc w:val="center"/>
        <w:rPr/>
      </w:pPr>
      <w:r>
        <w:rPr/>
        <w:t>“</w:t>
      </w:r>
      <w:r>
        <w:rPr/>
        <w:t xml:space="preserve">L-iżvilupp ta’ programmi ta’ skambju fil-livell tal-edukazzjoni sekondarja vokazzjonali wkoll.” </w:t>
      </w:r>
    </w:p>
    <w:p>
      <w:pPr>
        <w:pStyle w:val="Normal"/>
        <w:widowControl w:val="false"/>
        <w:spacing w:lineRule="auto" w:line="240" w:before="136" w:after="0"/>
        <w:ind w:left="0" w:right="0" w:hanging="0"/>
        <w:jc w:val="left"/>
        <w:rPr/>
      </w:pPr>
      <w:r>
        <w:rPr>
          <w:rFonts w:ascii="Calibri" w:hAnsi="Calibri"/>
          <w:b/>
          <w:color w:val="000000"/>
        </w:rPr>
        <w:t>2. Tippermetti lill-Istati Membri jiffukaw fuq suġġetti bħall-kultura u l-isport</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tal-Olandiżi jemmnu li l-UE għandha tipproteġi aħjar il-wirt kulturali fl-Ewropa. Aħna naħsbu, pereżempju, ta ‘tempji fil-Greċja. Min-naħa l-oħra, insibu li l-kultura lokali hija primarjament ir-responsabbiltà tal-pajjiżi nfushom. L-istess japplika, pereżempju, għall-abbuż fl-isport. Aħna nqisu li din hija kwistjoni importanti, iżda mhux missjoni ewlenija tal-UE. L-Ewropa għandha neċessarjament tistabbilixxi l-prijoritajiet u hemm bżonn ta’ riżorsi finanzjarji sinifikanti għal kwistjonijiet oħra. Xi drabi nistgħu nagħmlu kontribuzzjoni finanzjarja, iżda xi drabi nistgħu nikkollaboraw ukoll flimkien b’modi oħra, pereżempju billi niskambjaw l-għarfien u l-ideat. </w:t>
      </w:r>
    </w:p>
    <w:p>
      <w:pPr>
        <w:pStyle w:val="P68B1DB1Normal113"/>
        <w:widowControl w:val="false"/>
        <w:spacing w:lineRule="auto" w:line="240" w:before="167" w:after="0"/>
        <w:ind w:left="0" w:right="0" w:hanging="0"/>
        <w:jc w:val="center"/>
        <w:rPr/>
      </w:pPr>
      <w:r>
        <w:rPr/>
        <w:t xml:space="preserve">Il-protezzjoni tal-kultura hija f’idejn il-pajjiżi nfushom. Iżda jekk il-Wirt Dinji jiġi ttraskurat, naħseb li l-UE għandha tintervjeni.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Niżguraw li l-Ewropej isiru jafu lil xulxin aħjar u jirrispettaw lil xulxin </w:t>
      </w:r>
    </w:p>
    <w:p>
      <w:pPr>
        <w:pStyle w:val="P68B1DB1Normal104"/>
        <w:widowControl w:val="false"/>
        <w:spacing w:lineRule="auto" w:line="240"/>
        <w:ind w:left="0" w:right="0" w:hanging="0"/>
        <w:jc w:val="left"/>
        <w:rPr/>
      </w:pPr>
      <w:r>
        <w:rPr/>
        <w:t xml:space="preserve">L-Olandiżi japprezzaw meta Ewropej oħra jitkellmu tajjeb bl-Ingliż. Tissimplifika l-affarijiet meta nkunu barra minn xtutna. U meta, pereżempju, irridu nikkomunikaw mal-ħaddiema migranti fil-Pajjiżi l-Baxxi. Fl-istess ħin, ħafna Olandiżi jqisu li huwa importanti ħafna li nkomplu nitkellmu u nivvalorizzaw il-lingwa tagħna stess. Għalhekk irridu wkoll li jiġu rispettati differenzi oħra fl-Ewropa. Kemm jekk huma l-kultura, l-edukazzjoni jew l-isport, kull persuna trid tħossok liberu u tkun kapaċi tkun hi stess. Id-differenzi xi kultant jistgħu jikkawżaw tensjonijiet, iżda wkoll jagħmlu l-kontinent Ewropew rikk. Ħafna Olandiżi jaħsbu li l-pajjiżi għandhom jingħataw iż-żmien biex jiffamiljarizzaw ruħhom mad-drawwiet u l-ideat rispettivi tagħhom. </w:t>
      </w:r>
    </w:p>
    <w:p>
      <w:pPr>
        <w:pStyle w:val="P68B1DB1Normal113"/>
        <w:widowControl w:val="false"/>
        <w:spacing w:lineRule="auto" w:line="240" w:before="167" w:after="0"/>
        <w:ind w:left="0" w:right="0" w:hanging="0"/>
        <w:jc w:val="center"/>
        <w:rPr/>
      </w:pPr>
      <w:r>
        <w:rPr/>
        <w:t xml:space="preserve">Għalija, l-UE hija bħal grupp ta’ ħbieb. Aħna nirrispettaw id-differenzi tagħna u nista ‘nistaqsi għall-għajnuna jekk għandi bżonnhom.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Diskussjonijiet u ideat online u fuq il-post </w:t>
      </w:r>
    </w:p>
    <w:p>
      <w:pPr>
        <w:pStyle w:val="P68B1DB1Normal118"/>
        <w:widowControl w:val="false"/>
        <w:spacing w:lineRule="auto" w:line="240" w:before="120" w:after="0"/>
        <w:ind w:left="0" w:right="0" w:hanging="0"/>
        <w:jc w:val="left"/>
        <w:rPr/>
      </w:pPr>
      <w:r>
        <w:rPr/>
        <w:t xml:space="preserve">IDEA: Minbarra l-kurrikulu lokali, għandu jiġi introdott kurrikulu komuni Ewropew fil-livelli kollha tal-edukazzjoni. </w:t>
      </w:r>
    </w:p>
    <w:p>
      <w:pPr>
        <w:pStyle w:val="P68B1DB1Normal118"/>
        <w:widowControl w:val="false"/>
        <w:spacing w:lineRule="auto" w:line="240" w:before="254" w:after="0"/>
        <w:ind w:left="0" w:right="0" w:hanging="0"/>
        <w:jc w:val="left"/>
        <w:rPr>
          <w:rFonts w:ascii="Calibri" w:hAnsi="Calibri"/>
          <w:i/>
          <w:i/>
          <w:color w:val="000000"/>
          <w:sz w:val="21"/>
        </w:rPr>
      </w:pPr>
      <w:r>
        <w:rPr/>
        <w:t xml:space="preserve">IDEA: Minbarra l-kapitali tal-kultura, għandek tagħżel ukoll kapital (jew pajjiż) kull sena fil-qasam tal-edukazzjoni, iż-żgħażagħ u l-isports. </w:t>
      </w:r>
    </w:p>
    <w:p>
      <w:pPr>
        <w:pStyle w:val="P68B1DB1Normal118"/>
        <w:widowControl w:val="false"/>
        <w:spacing w:lineRule="auto" w:line="240" w:before="85" w:after="0"/>
        <w:ind w:left="0" w:right="0" w:hanging="0"/>
        <w:jc w:val="left"/>
        <w:rPr/>
      </w:pPr>
      <w:r>
        <w:rPr/>
        <w:t xml:space="preserve">Dak li jgħaqqadna fl-UE huwa preċiżament il-fatt li lkoll għandna l-kultura nazzjonali tagħna stess. U għalhekk ma jkunux jistgħu jinġabru taħt il-banner ta ‘kultura waħda. </w:t>
      </w:r>
    </w:p>
    <w:p>
      <w:pPr>
        <w:pStyle w:val="P68B1DB1Normal118"/>
        <w:widowControl w:val="false"/>
        <w:spacing w:lineRule="auto" w:line="240" w:before="87" w:after="0"/>
        <w:ind w:left="0" w:right="0" w:hanging="0"/>
        <w:jc w:val="left"/>
        <w:rPr>
          <w:rFonts w:ascii="Calibri" w:hAnsi="Calibri"/>
          <w:i/>
          <w:i/>
          <w:color w:val="000000"/>
          <w:sz w:val="21"/>
        </w:rPr>
      </w:pPr>
      <w:r>
        <w:rPr/>
        <w:t xml:space="preserve">Minflok tenfasizza l-affarijiet negattivi, huwa aħjar li tipprova tippromwovi l-isport. </w:t>
      </w:r>
    </w:p>
    <w:p>
      <w:pPr>
        <w:pStyle w:val="P68B1DB1Normal118"/>
        <w:widowControl w:val="false"/>
        <w:spacing w:lineRule="auto" w:line="240" w:before="85" w:after="0"/>
        <w:ind w:left="0" w:right="0" w:hanging="0"/>
        <w:jc w:val="left"/>
        <w:rPr/>
      </w:pPr>
      <w:r>
        <w:rPr/>
        <w:t xml:space="preserve">Jiena integrat hawn, inħallas it-taxxi, imma jiena u nibqa’ l-Amerika Latina. I love ilsien tiegħi, mużika tiegħi u l-ikel tiegħi. Mhux dwar l-Ewropa. </w:t>
      </w:r>
    </w:p>
    <w:p>
      <w:pPr>
        <w:pStyle w:val="P68B1DB1Normal118"/>
        <w:widowControl w:val="false"/>
        <w:spacing w:lineRule="auto" w:line="240" w:before="87" w:after="0"/>
        <w:ind w:left="0" w:right="0" w:hanging="0"/>
        <w:jc w:val="left"/>
        <w:rPr>
          <w:rFonts w:ascii="Calibri" w:hAnsi="Calibri"/>
          <w:i/>
          <w:i/>
          <w:color w:val="000000"/>
          <w:sz w:val="21"/>
        </w:rPr>
      </w:pPr>
      <w:r>
        <w:rPr/>
        <w:t xml:space="preserve">Nitkellmu wisq dwar l-ekonomija fl-Ewropa. U ftit wisq benesseri. </w:t>
      </w:r>
    </w:p>
    <w:p>
      <w:pPr>
        <w:pStyle w:val="P68B1DB1Normal111"/>
        <w:widowControl w:val="false"/>
        <w:spacing w:lineRule="auto" w:line="240" w:before="84" w:after="0"/>
        <w:ind w:left="0" w:right="0" w:hanging="0"/>
        <w:jc w:val="left"/>
        <w:rPr>
          <w:rFonts w:ascii="Calibri" w:hAnsi="Calibri"/>
          <w:b/>
          <w:b/>
          <w:color w:val="000000"/>
          <w:sz w:val="22"/>
        </w:rPr>
      </w:pPr>
      <w:r>
        <w:rPr/>
        <w:t xml:space="preserve">Studenti mill-Università ta’ Leiden: Il-lingwa hija importanti, iżda għandha tibqa’ għażla ħielsa </w:t>
      </w:r>
    </w:p>
    <w:p>
      <w:pPr>
        <w:pStyle w:val="P68B1DB1Normal104"/>
        <w:widowControl w:val="false"/>
        <w:spacing w:lineRule="auto" w:line="240" w:before="100" w:after="0"/>
        <w:ind w:left="0" w:right="0" w:hanging="0"/>
        <w:jc w:val="left"/>
        <w:rPr/>
      </w:pPr>
      <w:r>
        <w:rPr/>
        <w:t xml:space="preserve">Fl-Università ta’ Leiden, l-istudenti tal-istorja tkellmu ma’ xulxin. Huma jħossu li huwa importanti li n-nies jitkellmu diversi lingwi. Huma jemmnu li l-ħakma ta’ diversi lingwi hija kbira għall-iżvilupp personali tagħha u hija tajba għar-relazzjonijiet kummerċjali u politiċi fi ħdan l-UE. Madankollu, huma jemmnu li l-lingwi għandhom jiġu offruti fl-iskola u mhux isiru obbligatorji. Huma jemmnu wkoll li t-tieni lingwa m’għandhiex neċessarjament tkun lingwa Ewropea. “Jekk tgħix fl-Ewropa tal-Lvant u tagħżel li titgħallem ir-Russu, dak id-dritt tiegħek,” qal wieħed mill-parteċipanti. </w:t>
      </w:r>
    </w:p>
    <w:p>
      <w:pPr>
        <w:pStyle w:val="P68B1DB1Normal110"/>
        <w:widowControl w:val="false"/>
        <w:spacing w:lineRule="auto" w:line="240" w:before="223" w:after="0"/>
        <w:ind w:left="0" w:right="0" w:hanging="0"/>
        <w:jc w:val="left"/>
        <w:rPr/>
      </w:pPr>
      <w:r>
        <w:rPr>
          <w:b/>
        </w:rPr>
        <w:t xml:space="preserve">Il-Komunità Torka ta’ Schiedam: </w:t>
      </w:r>
      <w:r>
        <w:rPr>
          <w:sz w:val="21"/>
        </w:rPr>
        <w:t xml:space="preserve">Fil-Fondazzjoni Hakder fi Schiedam, il-komunità lokali Torka ddiskutiet l-importanza ta’ opportunitajiet ta’ impjieg ġusti għal kulħadd. Il-parteċipanti kollha qablu li l-UE għandha tobbliga lill-kumpaniji joffru traineeships jew impjiegi liż-żgħażagħ bi prospetti limitati. Huma indikaw li l-migranti żgħażagħ, b’mod partikolari, isibuha diffiċli biex isibu internship jew impjieg. Huma kultant lanqas biss DARE li jmorru għall-GP għaliex jibżgħu li jkollhom iħallsu għaż-żjara huma stess. Biex ma nsemmux awdaċi li japplikaw għal internship jew impjieg," qal wieħed mill-parteċipanti. “In-negozji jeħtieġ li jkunu aktar attenti u l-UE tista’ tħeġġiġhom jagħmlu dan.”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Deskrizzjoni tal-metodoloġija użata fl-istħarriġ</w:t>
      </w:r>
      <w:r>
        <w:rPr>
          <w:color w:val="365F91"/>
        </w:rPr>
        <w:t xml:space="preserve"> </w:t>
      </w:r>
    </w:p>
    <w:p>
      <w:pPr>
        <w:pStyle w:val="P68B1DB1Normal104"/>
        <w:widowControl w:val="false"/>
        <w:spacing w:lineRule="auto" w:line="240" w:before="137" w:after="0"/>
        <w:ind w:left="0" w:right="0" w:hanging="0"/>
        <w:jc w:val="left"/>
        <w:rPr/>
      </w:pPr>
      <w:r>
        <w:rPr/>
        <w:t xml:space="preserve">L-istħarriġ “Viżjoni tal-Ewropa” jikkonsisti f’diversi forom ta’ djalogu relatat biex jinġabru l-fehmiet u l-ideat taċ-ċittadini Netherlandiżi dwar il-futur tal-Ewropa u l-UE. Dan il-kapitolu jiddeskrivi l-metodoloġija użata biex jiġi żgurat li l-forom relatati ta’ djalogu jkunu konformi mal-linji gwida għall-panels nazzjonali taċ-ċittadini fil-kuntest tal-Konferenza dwar il-Futur tal-Ewropa. </w:t>
      </w:r>
    </w:p>
    <w:p>
      <w:pPr>
        <w:pStyle w:val="P68B1DB1Normal110"/>
        <w:widowControl w:val="false"/>
        <w:spacing w:lineRule="auto" w:line="240" w:before="236" w:after="0"/>
        <w:ind w:left="0" w:right="0" w:hanging="0"/>
        <w:jc w:val="both"/>
        <w:rPr/>
      </w:pPr>
      <w:r>
        <w:rPr>
          <w:b/>
          <w:i/>
          <w:sz w:val="24"/>
        </w:rPr>
        <w:t xml:space="preserve">Disinn ta’ forom relatati ta’ djalogu </w:t>
      </w:r>
      <w:r>
        <w:rPr>
          <w:sz w:val="21"/>
        </w:rPr>
        <w:t xml:space="preserve">Il-forom ta’ djalogu li ġejjin huma użati: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Stħarriġ ta’ panel</w:t>
      </w:r>
    </w:p>
    <w:p>
      <w:pPr>
        <w:pStyle w:val="P68B1DB1Normal104"/>
        <w:widowControl w:val="false"/>
        <w:spacing w:lineRule="auto" w:line="240"/>
        <w:ind w:left="0" w:right="0" w:hanging="0"/>
        <w:jc w:val="left"/>
        <w:rPr>
          <w:rFonts w:ascii="Calibri" w:hAnsi="Calibri"/>
          <w:color w:val="000000"/>
          <w:sz w:val="21"/>
        </w:rPr>
      </w:pPr>
      <w:r>
        <w:rPr/>
        <w:t xml:space="preserve">Stħarriġ ta’ kampjun rappreżentattiv tal-popolazzjoni Olandiża.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Djalogi tematiċi online għall-approfondiment</w:t>
      </w:r>
    </w:p>
    <w:p>
      <w:pPr>
        <w:pStyle w:val="P68B1DB1Normal104"/>
        <w:widowControl w:val="false"/>
        <w:spacing w:lineRule="auto" w:line="240"/>
        <w:ind w:left="0" w:right="0" w:hanging="0"/>
        <w:jc w:val="left"/>
        <w:rPr/>
      </w:pPr>
      <w:r>
        <w:rPr/>
        <w:t xml:space="preserve">Id-djalogi organizzati kull darba ma’ grupp ta’ Netherlandiżi bil-għan li japprofondixxu l-konklużjonijiet tal-ewwel rapport interim “Il-Viżjoni Tagħna għall-Ewropa” (8 ta’ Ottubru 2021) li jagħti ħarsa ġenerali inizjali lejn ir-riżultati u l-mistoqsijiet komplementari.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Djalogi ma’ gruppi speċifiċi</w:t>
      </w:r>
    </w:p>
    <w:p>
      <w:pPr>
        <w:pStyle w:val="P68B1DB1Normal104"/>
        <w:widowControl w:val="false"/>
        <w:spacing w:lineRule="auto" w:line="240"/>
        <w:ind w:left="0" w:right="0" w:hanging="0"/>
        <w:jc w:val="left"/>
        <w:rPr>
          <w:rFonts w:ascii="Calibri" w:hAnsi="Calibri"/>
          <w:color w:val="000000"/>
          <w:sz w:val="21"/>
        </w:rPr>
      </w:pPr>
      <w:r>
        <w:rPr/>
        <w:t xml:space="preserve">Laqgħat mal-Olandiżi li mhumiex imdorrijin jipparteċipaw fi stħarriġ u panels (onlajn).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Djalogi maż-żgħażagħ</w:t>
      </w:r>
    </w:p>
    <w:p>
      <w:pPr>
        <w:pStyle w:val="P68B1DB1Normal104"/>
        <w:widowControl w:val="false"/>
        <w:spacing w:lineRule="auto" w:line="240"/>
        <w:ind w:left="0" w:right="0" w:hanging="0"/>
        <w:jc w:val="left"/>
        <w:rPr>
          <w:rFonts w:ascii="Calibri" w:hAnsi="Calibri"/>
          <w:color w:val="000000"/>
          <w:sz w:val="21"/>
        </w:rPr>
      </w:pPr>
      <w:r>
        <w:rPr/>
        <w:t xml:space="preserve">Laqgħat li jiffukaw fuq it-temi Ewropej l-aktar rilevanti għaż-żgħażagħ.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Stħarriġ pubbliku onlajn: Kwestjonarju u “Swipen naar de toekomst” (</w:t>
      </w:r>
      <w:commentRangeStart w:id="25"/>
      <w:r>
        <w:rPr>
          <w:rFonts w:ascii="Calibri" w:hAnsi="Calibri"/>
          <w:b/>
          <w:color w:val="000000"/>
          <w:sz w:val="21"/>
        </w:rPr>
        <w:t xml:space="preserve">Swiper </w:t>
      </w:r>
      <w:r>
        <w:rPr>
          <w:rFonts w:ascii="Calibri" w:hAnsi="Calibri"/>
          <w:b/>
          <w:color w:val="000000"/>
          <w:sz w:val="21"/>
        </w:rPr>
      </w:r>
      <w:commentRangeEnd w:id="25"/>
      <w:r>
        <w:commentReference w:id="25"/>
      </w:r>
      <w:r>
        <w:rPr>
          <w:rFonts w:ascii="Calibri" w:hAnsi="Calibri"/>
          <w:b/>
          <w:color w:val="000000"/>
          <w:sz w:val="21"/>
        </w:rPr>
        <w:t xml:space="preserve">għall-futur) </w:t>
      </w:r>
    </w:p>
    <w:p>
      <w:pPr>
        <w:pStyle w:val="P68B1DB1Normal104"/>
        <w:widowControl w:val="false"/>
        <w:spacing w:lineRule="auto" w:line="240"/>
        <w:ind w:left="0" w:right="0" w:hanging="0"/>
        <w:jc w:val="left"/>
        <w:rPr/>
      </w:pPr>
      <w:r>
        <w:rPr/>
        <w:t xml:space="preserve">Il-kwestjonarju tal-istħarriġ tal-bord jista’ jimtela wkoll mill-Olandiżi kollha, inklużi dawk li jgħixu barra mill-pajjiż. Dan il-kwestjonarju kien disponibbli mill-1 ta’ Settembru 2021 sal-14 ta’ Novembru 2021. Barra minn hekk, matul l-istess perjodu, kull Olandiż seta’ jipparteċipa fl-azzjoni “Swipen naar de toekomst” (Swipen naar de toekomst) (Swiper għall-futur), għodda online li tippreżenta 20 talba.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Stħarriġ ta’ panel </w:t>
      </w:r>
    </w:p>
    <w:p>
      <w:pPr>
        <w:pStyle w:val="P68B1DB1Normal104"/>
        <w:widowControl w:val="false"/>
        <w:spacing w:lineRule="auto" w:line="240" w:before="118" w:after="0"/>
        <w:ind w:left="0" w:right="0" w:hanging="0"/>
        <w:jc w:val="left"/>
        <w:rPr/>
      </w:pPr>
      <w:r>
        <w:rPr/>
        <w:t xml:space="preserve">Id-Djalogu taċ-Ċittadini Netherlandiż “Viżjoni tal-Ewropa” beda fl-1 ta’ Settembru bi stħarriġ f’panel. F’din id-deskrizzjoni tal-metodoloġija tal-istħarriġ, aħna nispjegaw fil-qosor it-tfassil u l-implimentazzjoni ta’ dan l-istħarriġ lil bord. </w:t>
      </w:r>
    </w:p>
    <w:p>
      <w:pPr>
        <w:pStyle w:val="P68B1DB1Normal107"/>
        <w:widowControl w:val="false"/>
        <w:spacing w:lineRule="auto" w:line="240" w:before="43" w:after="0"/>
        <w:ind w:left="0" w:right="0" w:hanging="0"/>
        <w:jc w:val="left"/>
        <w:rPr>
          <w:rFonts w:ascii="Calibri" w:hAnsi="Calibri"/>
          <w:i/>
          <w:i/>
          <w:color w:val="000000"/>
          <w:sz w:val="24"/>
        </w:rPr>
      </w:pPr>
      <w:r>
        <w:rPr/>
        <w:t xml:space="preserve">Popolazzjoni fil-mira u fil-mira </w:t>
      </w:r>
    </w:p>
    <w:p>
      <w:pPr>
        <w:pStyle w:val="Normal"/>
        <w:widowControl w:val="false"/>
        <w:spacing w:lineRule="auto" w:line="240" w:before="123" w:after="0"/>
        <w:ind w:left="0" w:right="0" w:hanging="0"/>
        <w:jc w:val="left"/>
        <w:rPr/>
      </w:pPr>
      <w:r>
        <w:rPr>
          <w:rFonts w:ascii="Calibri" w:hAnsi="Calibri"/>
          <w:color w:val="000000"/>
          <w:sz w:val="21"/>
        </w:rPr>
        <w:t>L-istħarriġ “Vision of Europe” beda bi kwestjonarju online dwar kif in-nies Netherlandiżi jaraw il-futur tal-Ewropa. Dan il-kwestjonarju ġie sottomess lil bord rappreżentattiv u huwa miftuħ ukoll għall-Olandiżi kollha (inklużi dawk li jgħixu barra mill-pajjiż). Barra minn hekk, kull persuna kienet kapaċi tipparteċipa fl-azzjoni “Swipen naar de toekomst” (Swipen naar de</w:t>
      </w:r>
      <w:commentRangeStart w:id="26"/>
      <w:r>
        <w:rPr>
          <w:rFonts w:ascii="Calibri" w:hAnsi="Calibri"/>
          <w:color w:val="000000"/>
          <w:sz w:val="21"/>
        </w:rPr>
        <w:t>toekomst</w:t>
      </w:r>
      <w:r>
        <w:rPr>
          <w:rFonts w:ascii="Calibri" w:hAnsi="Calibri"/>
          <w:color w:val="000000"/>
          <w:sz w:val="21"/>
        </w:rPr>
      </w:r>
      <w:commentRangeEnd w:id="26"/>
      <w:r>
        <w:commentReference w:id="26"/>
      </w:r>
      <w:r>
        <w:rPr>
          <w:rFonts w:ascii="Calibri" w:hAnsi="Calibri"/>
          <w:color w:val="000000"/>
          <w:sz w:val="21"/>
        </w:rPr>
        <w:t xml:space="preserve">) (Swiper għall-futur), għodda online li tippreżenta 20 talba. Ir-riżultati tal-istħarriġ tal-panel taw bosta djalogi tematiċi organizzati bħala segwitu għall-proċess ta’ djalogu taċ-ċittadini “Viżjoni tal-Ewropa”.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Il-popolazzjoni fil-mira tal-istħarriġ tal-panel tinkludi n-nies Olandiżi kollha ta’ 18-il sena jew aktar li kienu rreġistrati bħala residenti fir-reġistru tal-popolazzjoni fiż-żmien meta beda x-xogħol fuq il-post. Skont l-Uffiċċju Nazzjonali tal-Istatistika Netherlandiż (Centraal Bureau voor de Statistiek — CBS), dan il-grupp fil-mira kellu 14,190,874 persuna mill-1 ta’ Jannar 2021. Il-limitu l-aktar baxx ta’ 18-il sena jikkorrispondi għall-maġġoranza elettorali. Aħna nsejħulha l-popolazzjoni tal-istħarriġ tal-bord.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Xogħol fuq il-post </w:t>
      </w:r>
    </w:p>
    <w:p>
      <w:pPr>
        <w:pStyle w:val="P68B1DB1Normal104"/>
        <w:widowControl w:val="false"/>
        <w:spacing w:lineRule="auto" w:line="240" w:before="127" w:after="0"/>
        <w:ind w:left="0" w:right="0" w:hanging="0"/>
        <w:jc w:val="left"/>
        <w:rPr/>
      </w:pPr>
      <w:r>
        <w:rPr/>
        <w:t xml:space="preserve">Biex tinkiseb immaġni diġitali tal-“Medium Dutch” intuża panel ta’ aktar minn 100,000 parteċipant minn madwar il-pajjiż kollu (ISO ċċertifikat, Research Keurmerk groep, Nederlandse marktonderzoek Associatie). Dawn il-parteċipanti rreġistraw fil-bord tal-istħarriġ biex jipprovdu l-fehmiet tagħhom dwar firxa wiesgħa ta’ suġġetti fuq bażi regolari. Minbarra l-motivazzjoni intrinsika tagħhom biex jikkontribwixxu, dawn jitħallsu biex iwieġbu l-kwestjonarji. Diversi studji xjentifiċi juru li dawk li wieġbu li jirċievu kumpens għall-mili ta’ kwestjonarju ma jagħtux tweġibiet differenti b’mod sinifikanti (sors: L-użu ta’ inċentivi għall-istħarriġ jiddegradaw il-kwalità tad-data?Cole,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Ix-xogħol fuq il-post beda fil-11 ta’ Awwissu 2021 u ntemm fid-19 ta’ Settembru 2021. Għall-implimentazzjoni, intuża metodu wieħed biss ta’ ġbir ta’ data, jiġifieri l-istħarriġ fuq l-Internet. Il-membri tal-bord tal-istħarriġ irċevew email b’link personali għall-kwestjonarju online. Wara ġimagħtejn, il-parteċipanti tal-panel irċevew tfakkira. L-istediniet għall-parteċipazzjoni ntbagħtu f’lottijiet u ġew stratifikati (billi tiġi żgurata distribuzzjoni ugwali ta’ sottogruppi) sakemm jintlaħaq l-għadd meħtieġ ta’ rispondenti. </w:t>
      </w:r>
    </w:p>
    <w:p>
      <w:pPr>
        <w:pStyle w:val="P68B1DB1Normal107"/>
        <w:widowControl w:val="false"/>
        <w:spacing w:lineRule="auto" w:line="240" w:before="42" w:after="0"/>
        <w:ind w:left="0" w:right="0" w:hanging="0"/>
        <w:jc w:val="left"/>
        <w:rPr>
          <w:rFonts w:ascii="Calibri" w:hAnsi="Calibri"/>
          <w:i/>
          <w:i/>
          <w:color w:val="000000"/>
          <w:sz w:val="24"/>
        </w:rPr>
      </w:pPr>
      <w:r>
        <w:rPr/>
        <w:t xml:space="preserve">Teħid ta’ kampjuni u distribuzzjoni </w:t>
      </w:r>
    </w:p>
    <w:p>
      <w:pPr>
        <w:pStyle w:val="P68B1DB1Normal104"/>
        <w:widowControl w:val="false"/>
        <w:spacing w:lineRule="auto" w:line="240" w:before="123" w:after="0"/>
        <w:ind w:left="0" w:right="0" w:hanging="0"/>
        <w:jc w:val="left"/>
        <w:rPr/>
      </w:pPr>
      <w:r>
        <w:rPr/>
        <w:t xml:space="preserve">It-tfassil tal-istħarriġ huwa bbażat fuq il-prinċipju li minimu ta’ 3,600 persuna li wieġbu jridu jipparteċipaw fl-istħarriġ sabiex tiġi żgurata affidabbiltà statistika tajba. Barra minn hekk, dan in-numru jippermetti distribuzzjoni tajba bejn il-karatteristiċi ġenerali differenti tal-popolazzjoni. M’hemmx tip wieħed biss ta’ Olandiż. Għalhekk żgurajna minn qabel li l-kampjun jitqassam sew fuq numru ta’ karatteristiċi. Il-Pajjiżi l-Baxxi huma pajjiż relattivament żgħir, iżda l-opinjonijiet jistgħu jvarjaw skont ir-reġjun. Il-pożizzjoni u l-importanza mogħtija lit-temi jistgħu jkunu (parzjalment) determinati mir-reġjun li fih tgħix. Pereżempju, in-nies li jgħixu f’żoni rurali jistgħu jifhmu suġġett bħas-sigurtà b’mod differenti minn dawk f’żoni urbani. Ir-riċerka mill-Uffiċċju Olandiż tal-Ippjanar Soċjali u Kulturali turi wkoll li l-persuni b’livell ogħla ta’ studju ħafna drabi jappoġġjaw lill-UE minn dawk b’livell aktar baxx ta’ studju u li ż-żgħażagħ jappoġġaw aktar lill-UE milli lill-anzjani (sors: Wat willen Nederlanders van de Europese Unie?Uffiċċju Soċjali u Kulturali Olandiż, The Hague,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Din hija r-raġuni għaliex qabel allokajna t-tliet karatteristiċi li ġejjin b’mod proporzjonali sabiex niżguraw ir-rappreżentattività tal-kampjun: (1) residenza permezz tar-reġjuni COROP, (2) età u (3) livell ta’ edukazzjoni. Id-distribuzzjoni tal-kampjun ġiet ippreżentata wkoll skont il-karatteristiċi ġenerali li ġejjin: il-ġeneru, l-oriġini, l-okkupazzjoni prinċipali, l-orjentazzjoni politika.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Ir-reġjuni tal-COROP ġew żviluppati fuq il-bażi tal-prinċipju nodali (“qalb” b’żona ta’ attrazzjoni jew funzjoni reġjonali), abbażi tal-fluss ta’ persuni li jivvjaġġaw. Ġie aċċettat xi ksur tal-prinċipju nodali sabiex ir-reġjuni jsegwu l-konfini provinċjali. Wara r-riorganizzazzjoni tal-muniċipalitajiet lil hinn mil-limiti tal-COROP, id-distribuzzjoni ġiet aġġustata (sors: L-Uffiċċju Nazzjonali tal-Istatistika tal-Pajjiżi l-Baxxi). Fi ħdan ir-reġjuni COROP, aħna żgurajna distribuzzjoni tajba fost il-gruppi ta’ età, bit-tqassim li ġej: etajiet ta’ 18–34, 35–54, 55–75 sena u aktar minn 75 sena.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Fl-aħħar nett, aħna żgurajna distribuzzjoni rappreżentattiva tal-livelli edukattivi. Fil-kampjun, id-distribuzzjoni ta’ dawk li wieġbu tikkorrispondi għad-distribuzzjoni fil-livell nazzjonali tal-ogħla livell ta’ edukazzjoni, li huwa kif ġej: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L-ogħla livell ta’ edukazzjoni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Baxxa: l-edukazzjoni primarja, l-edukazzjoni vokazzjonali preparatorja, l-ewwel sat-tielet grad tal-edukazzjoni sekondarja superjuri/l-edukazzjoni preuniversitarja ġenerali, l-edukazzjoni vokazzjonali sekondarja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Sustanza intermedjarja: edukazzjoni sekondarja ġenerali/edukazzjoni preuniversitarja, edukazzjoni vokazzjonali sekondarja minn 2 sa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Għoli: edukazzjoni vokazzjonali ogħla jew edukazzjoni universitarja</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Mhux magħruf</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Rata ta’ rispons </w:t>
      </w:r>
    </w:p>
    <w:p>
      <w:pPr>
        <w:pStyle w:val="P68B1DB1Normal104"/>
        <w:widowControl w:val="false"/>
        <w:spacing w:lineRule="exact" w:line="283" w:before="87" w:after="0"/>
        <w:ind w:left="0" w:right="368" w:hanging="0"/>
        <w:jc w:val="left"/>
        <w:rPr/>
      </w:pPr>
      <w:r>
        <w:rPr/>
        <w:t xml:space="preserve">Total ta’ 4,086 persuna pparteċipaw fl-istħarriġ għal kull bord. L-għan ta’ 3 600 kwestjonarju mimli bis-sħiħ huwa għalhekk milħuq.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It-tweġibiet mir-reġjuni u l-età tal-COROP</w:t>
            </w:r>
          </w:p>
        </w:tc>
        <w:tc>
          <w:tcPr>
            <w:tcW w:w="1348" w:type="dxa"/>
            <w:tcBorders/>
            <w:shd w:fill="auto" w:val="clear"/>
            <w:vAlign w:val="bottom"/>
          </w:tcPr>
          <w:p>
            <w:pPr>
              <w:pStyle w:val="P68B1DB1Contenudetableau122"/>
              <w:spacing w:before="57" w:after="57"/>
              <w:jc w:val="left"/>
              <w:rPr>
                <w:b/>
                <w:b/>
                <w:color w:val="000000"/>
              </w:rPr>
            </w:pPr>
            <w:r>
              <w:rPr/>
              <w:t>Ta’ bejn it-18 u l-34 sena</w:t>
            </w:r>
          </w:p>
        </w:tc>
        <w:tc>
          <w:tcPr>
            <w:tcW w:w="1348" w:type="dxa"/>
            <w:tcBorders/>
            <w:shd w:fill="auto" w:val="clear"/>
            <w:vAlign w:val="bottom"/>
          </w:tcPr>
          <w:p>
            <w:pPr>
              <w:pStyle w:val="P68B1DB1Contenudetableau122"/>
              <w:spacing w:before="57" w:after="57"/>
              <w:jc w:val="left"/>
              <w:rPr>
                <w:b/>
                <w:b/>
                <w:color w:val="000000"/>
              </w:rPr>
            </w:pPr>
            <w:r>
              <w:rPr/>
              <w:t>Ta’ bejn 35 u 54 sena</w:t>
            </w:r>
          </w:p>
        </w:tc>
        <w:tc>
          <w:tcPr>
            <w:tcW w:w="1574" w:type="dxa"/>
            <w:tcBorders/>
            <w:shd w:fill="auto" w:val="clear"/>
            <w:vAlign w:val="bottom"/>
          </w:tcPr>
          <w:p>
            <w:pPr>
              <w:pStyle w:val="P68B1DB1Contenudetableau122"/>
              <w:spacing w:before="57" w:after="57"/>
              <w:jc w:val="left"/>
              <w:rPr>
                <w:b/>
                <w:b/>
                <w:color w:val="000000"/>
              </w:rPr>
            </w:pPr>
            <w:r>
              <w:rPr/>
              <w:t>Ta’ bejn 55 u 75 sena</w:t>
            </w:r>
          </w:p>
        </w:tc>
        <w:tc>
          <w:tcPr>
            <w:tcW w:w="1352" w:type="dxa"/>
            <w:tcBorders/>
            <w:shd w:fill="auto" w:val="clear"/>
            <w:vAlign w:val="bottom"/>
          </w:tcPr>
          <w:p>
            <w:pPr>
              <w:pStyle w:val="P68B1DB1Contenudetableau122"/>
              <w:spacing w:before="57" w:after="57"/>
              <w:jc w:val="left"/>
              <w:rPr>
                <w:b/>
                <w:b/>
                <w:color w:val="000000"/>
              </w:rPr>
            </w:pPr>
            <w:r>
              <w:rPr/>
              <w:t xml:space="preserve"> </w:t>
            </w:r>
            <w:r>
              <w:rPr/>
              <w:t>għandhom aktar minn 75 sena</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It-Tramuntana ta’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Ix-Xlokk ta’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Il-Lbiċ ta’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 tat-Tramuntana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Ix-Xlokk ta’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Il-Lbiċ ta’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Il-Lbiċ ta’ Gelderland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Il-Lvant ta’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Il-bqija ta’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Ċentrali ta’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It-Tramuntana ta’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In-Nofsinhar ta’ 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Ċentru ta’ Brabant ta’ Fuq</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It-tweġibiet mir-reġjuni u l-età tal-COROP </w:t>
            </w:r>
          </w:p>
        </w:tc>
        <w:tc>
          <w:tcPr>
            <w:tcW w:w="1393" w:type="dxa"/>
            <w:tcBorders/>
            <w:shd w:fill="auto" w:val="clear"/>
            <w:vAlign w:val="bottom"/>
          </w:tcPr>
          <w:p>
            <w:pPr>
              <w:pStyle w:val="P68B1DB1Contenudetableau122"/>
              <w:spacing w:before="57" w:after="57"/>
              <w:jc w:val="left"/>
              <w:rPr>
                <w:b/>
                <w:b/>
                <w:color w:val="000000"/>
              </w:rPr>
            </w:pPr>
            <w:r>
              <w:rPr/>
              <w:t>Ta’ bejn it-18 u l-34 sena</w:t>
            </w:r>
          </w:p>
        </w:tc>
        <w:tc>
          <w:tcPr>
            <w:tcW w:w="1393" w:type="dxa"/>
            <w:tcBorders/>
            <w:shd w:fill="auto" w:val="clear"/>
            <w:vAlign w:val="bottom"/>
          </w:tcPr>
          <w:p>
            <w:pPr>
              <w:pStyle w:val="P68B1DB1Contenudetableau122"/>
              <w:spacing w:before="57" w:after="57"/>
              <w:jc w:val="left"/>
              <w:rPr>
                <w:b/>
                <w:b/>
                <w:color w:val="000000"/>
              </w:rPr>
            </w:pPr>
            <w:r>
              <w:rPr/>
              <w:t>Ta’ bejn 35 u 54 sena</w:t>
            </w:r>
          </w:p>
        </w:tc>
        <w:tc>
          <w:tcPr>
            <w:tcW w:w="1370" w:type="dxa"/>
            <w:tcBorders/>
            <w:shd w:fill="auto" w:val="clear"/>
            <w:vAlign w:val="bottom"/>
          </w:tcPr>
          <w:p>
            <w:pPr>
              <w:pStyle w:val="P68B1DB1Contenudetableau122"/>
              <w:spacing w:before="57" w:after="57"/>
              <w:jc w:val="left"/>
              <w:rPr>
                <w:b/>
                <w:b/>
                <w:color w:val="000000"/>
              </w:rPr>
            </w:pPr>
            <w:r>
              <w:rPr/>
              <w:t>Ta’ bejn 55 u 75 sena</w:t>
            </w:r>
          </w:p>
        </w:tc>
        <w:tc>
          <w:tcPr>
            <w:tcW w:w="1376" w:type="dxa"/>
            <w:tcBorders/>
            <w:shd w:fill="auto" w:val="clear"/>
            <w:vAlign w:val="bottom"/>
          </w:tcPr>
          <w:p>
            <w:pPr>
              <w:pStyle w:val="P68B1DB1Contenudetableau122"/>
              <w:spacing w:before="57" w:after="57"/>
              <w:jc w:val="left"/>
              <w:rPr>
                <w:b/>
                <w:b/>
                <w:color w:val="000000"/>
              </w:rPr>
            </w:pPr>
            <w:r>
              <w:rPr/>
              <w:t>għandhom aktar minn 75 sena</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Il-Grigal tat-Tramuntana ta’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Fil-Punent tat-Tramuntana ta’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Ix-Xlokk tat-Tramuntana ta’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Agglomerazzjoni ta’ Haarlem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u l-inħawi tagħha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Il-Grand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Il-Goi u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Il-ponta tal-Olanda ta’ Fuq</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Reġjun ta’ Zaan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It-Tramuntana ta’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Il-Lbiċ ta’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Il-Bullettin tal-Hadd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Il-bqija ta’ Zeeland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Flanders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L-agglomerazzjoni ta’ Leiden u r-reġjun tal-bozoz</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Agglomerazzjoni ta’ The Hague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u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Il-Lvant tan-Nofsinhar tal-Olanda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Ix-Xlokk ta’ l-Olanda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Reazzjonijiet skont il-livell ta’ edukazzjoni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Baxxa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Intermedjarju</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Għoli</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Mhux magħruf</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Affidabbiltà u rappreżentanza </w:t>
      </w:r>
    </w:p>
    <w:p>
      <w:pPr>
        <w:pStyle w:val="P68B1DB1Normal104"/>
        <w:widowControl w:val="false"/>
        <w:spacing w:lineRule="auto" w:line="240" w:before="87" w:after="0"/>
        <w:ind w:left="0" w:right="0" w:hanging="0"/>
        <w:jc w:val="left"/>
        <w:rPr/>
      </w:pPr>
      <w:r>
        <w:rPr/>
        <w:t xml:space="preserve">L-għadd ta’ rispondenti ta’ 4,086 jagħmilha possibbli li jsiru osservazzjonijiet għall-popolazzjoni kollha kemm hi b’livell ta’ fiduċja ta’ 95 % u marġni ta’ żball ta’ 1.53 %. Il-livell ta’ kunfidenza u l-marġni ta’ żball tar-riżultati huma ddeterminati mid-daqs tal-kampjun. Aktar ma jkun kbir il-kampjun, aktar ikunu affidabbli u preċiżi r-riżultati jistgħu jiġu estrapolati għall-popolazzjoni kollha.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Il-livell ta’ kunfidenza huwa definit bħala 1 (100 %) nieqes il-livell tat-tifsira. Huwa komuni li tkun ibbażata fuq livell ta’ tifsira ta’ 5 %. Qed nitkellmu dwar livell ta’ fiduċja ta’ 95 %. Fi kliem ieħor, jekk l-istħarriġ jiġi ripetut bl-istess mod u taħt l-istess kundizzjonijiet, ir-riżultati jkunu l-istess f’95 % tal-każijiet. </w:t>
      </w:r>
    </w:p>
    <w:p>
      <w:pPr>
        <w:pStyle w:val="P68B1DB1Normal104"/>
        <w:widowControl w:val="false"/>
        <w:spacing w:lineRule="auto" w:line="240"/>
        <w:ind w:left="0" w:right="0" w:hanging="0"/>
        <w:jc w:val="left"/>
        <w:rPr/>
      </w:pPr>
      <w:r>
        <w:rPr/>
        <w:t xml:space="preserve">Il-preċiżjoni (espressa skont il-marġni ta’ żball) tindika l-firxa ta’ valuri li fihom jinsab il-valur reali fil-popolazzjoni. Fi kliem ieħor: X’inhi d-differenza massima bejn ir-riżultati tal-kampjun u r-riżultati li jinkisbu mill-popolazzjoni kollha kemm hi? Marġini ta’ żball ta’ 1.53 % ifisser li l-valur attwali fi ħdan il-popolazzjoni totali jista’ jkun 1.53 % ogħla jew inqas mill-valur tal-kampjun. Pereżempju, jekk stħarriġ ta’ kampjun ta’ persuni jindika li 50 % ta’ dawk li wieġbu jqisu li tema partikolari hija importanti, il-perċentwal attwali huwa 1.53 % ogħla jew inqas minn dak ta’ 50 %, jiġifieri bejn 48.47 u 51.53 %. Marġini massimu ta’ żball ta’ 5 % huwa komuni u ġeneralment aċċettat fi studji kwantitattivi (statistika). </w:t>
      </w:r>
    </w:p>
    <w:p>
      <w:pPr>
        <w:pStyle w:val="P68B1DB1Normal104"/>
        <w:widowControl w:val="false"/>
        <w:spacing w:lineRule="auto" w:line="240"/>
        <w:ind w:left="0" w:right="0" w:hanging="0"/>
        <w:jc w:val="left"/>
        <w:rPr/>
      </w:pPr>
      <w:r>
        <w:rPr/>
        <w:t xml:space="preserve">Minbarra l-affidabbiltà, ir-rappreżentattività tal-kampjun hija importanti. Peress li l-istediniet għall-parteċipazzjoni ntbagħtu f’lottijiet u ġew stratifikati, ir-riżultati huma rappreżentattivi f’termini tal-karatteristiċi tar-reġjun COROP u l-gruppi ta’ età skont ir-reġjun COROP. It-tweġibiet huma wkoll rappreżentattivi mill-perspettiva tal-livell ta’ edukazzjoni meta mqabbla mal-ogħla livell ta’ edukazzjoni miksub fil-livell nazzjonali. </w:t>
      </w:r>
    </w:p>
    <w:p>
      <w:pPr>
        <w:pStyle w:val="P68B1DB1Normal107"/>
        <w:widowControl w:val="false"/>
        <w:spacing w:lineRule="auto" w:line="240"/>
        <w:ind w:left="0" w:right="0" w:hanging="0"/>
        <w:jc w:val="left"/>
        <w:rPr>
          <w:rFonts w:ascii="Calibri" w:hAnsi="Calibri"/>
          <w:i/>
          <w:i/>
          <w:color w:val="000000"/>
          <w:sz w:val="24"/>
        </w:rPr>
      </w:pPr>
      <w:r>
        <w:rPr/>
        <w:t xml:space="preserve">Karatteristiċi ġenerali oħra </w:t>
      </w:r>
    </w:p>
    <w:p>
      <w:pPr>
        <w:pStyle w:val="P68B1DB1Normal104"/>
        <w:widowControl w:val="false"/>
        <w:spacing w:lineRule="auto" w:line="240" w:before="5" w:after="0"/>
        <w:ind w:left="0" w:right="0" w:hanging="0"/>
        <w:jc w:val="left"/>
        <w:rPr/>
      </w:pPr>
      <w:r>
        <w:rPr/>
        <w:t xml:space="preserve">Saru għadd ta’ mistoqsijiet kuntestwali addizzjonali biex il-parteċipanti jiġu mistħarrġa skont il-bord. Dawn jinkludu l-ġeneru, il-pożizzjoni tal-UE, l-oriġini, l-okkupazzjoni prinċipali u l-partit politiku li għalih il-persuna tivvota fil-każ ta’ elezzjonijiet. </w:t>
      </w:r>
    </w:p>
    <w:p>
      <w:pPr>
        <w:pStyle w:val="P68B1DB1Normal104"/>
        <w:widowControl w:val="false"/>
        <w:spacing w:lineRule="auto" w:line="240"/>
        <w:ind w:left="0" w:right="0" w:hanging="0"/>
        <w:jc w:val="left"/>
        <w:rPr/>
      </w:pPr>
      <w:r>
        <w:rPr/>
        <w:t xml:space="preserve">49 % ta’ dawk li wieġbu huma rġiel, 50 % huma nisa u 1 % jippreferu li ma jwieġbux din il-mistoqsija. </w:t>
      </w:r>
    </w:p>
    <w:p>
      <w:pPr>
        <w:pStyle w:val="Normal"/>
        <w:widowControl w:val="false"/>
        <w:spacing w:lineRule="auto" w:line="240"/>
        <w:ind w:left="0" w:right="0" w:hanging="0"/>
        <w:jc w:val="left"/>
        <w:rPr/>
      </w:pPr>
      <w:r>
        <w:rPr>
          <w:rFonts w:ascii="Calibri" w:hAnsi="Calibri"/>
          <w:color w:val="000000"/>
          <w:sz w:val="21"/>
        </w:rPr>
        <w:t xml:space="preserve">51 % ta’ dawk li wieġbu jemmnu li hija ħaġa tajba li l-Pajjiżi l-Baxxi jkunu membri tal-UE, 13 % jaħsbu li hija ħaġa ħażina u 36 % huma newtrali jew m’għandhom l-ebda opinjoni. </w:t>
      </w:r>
      <w:r>
        <w:br w:type="page"/>
      </w:r>
    </w:p>
    <w:p>
      <w:pPr>
        <w:pStyle w:val="P68B1DB1Normal104"/>
        <w:spacing w:lineRule="auto" w:line="240"/>
        <w:ind w:left="0" w:right="0" w:hanging="0"/>
        <w:rPr/>
      </w:pPr>
      <w:r>
        <w:rPr/>
        <w:t xml:space="preserve">95 % ta’ dawk li wieġbu twieldu fil-Pajjiżi l-Baxxi. 89 % ta’ dawk li wieġbu indikaw li ż-żewġ ġenituri twieldu fil-Pajjiżi l-Baxxi. 5 % twieldu lil żewġ ġenituri nfushom imwielda barra l-pajjiż.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Orjentazzjoni politika attwali ta’ dawk li wieġbu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Parti </w:t>
        <w:tab/>
        <w:tab/>
        <w:tab/>
        <w:tab/>
        <w:tab/>
        <w:tab/>
        <w:tab/>
        <w:tab/>
        <w:tab/>
        <w:tab/>
        <w:t>TA’</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(Partit tal-Poplu għal-Libertà u d-Demokrazija)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(Parti għal-Libertà)</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(Partit Soċjalista)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(Demokrati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(Sejħa Demokratika Kristjana)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(Parti tax-Xogħol)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(Parti tal-Annimali)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(Xellug Aħdar)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(Unjoni Kristjana)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(Moviment ta’ Ċittadin-Farmer)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(Forum għad-Demokrazija)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SĠP (Partit Politiku Riformat)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Ta’ 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Oħrajn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Votazzjoni bajda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Nippreferi li ma nwieġebx</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Jien ma nivvotax</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X’inhu bħalissa l-okkupazzjoni prinċipali tiegħek?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Xogħol </w:t>
            </w:r>
          </w:p>
        </w:tc>
        <w:tc>
          <w:tcPr>
            <w:tcW w:w="3514" w:type="dxa"/>
            <w:tcBorders/>
            <w:shd w:fill="auto" w:val="clear"/>
            <w:vAlign w:val="bottom"/>
          </w:tcPr>
          <w:p>
            <w:pPr>
              <w:pStyle w:val="P68B1DB1Contenudetableau122"/>
              <w:spacing w:before="57" w:after="57"/>
              <w:jc w:val="left"/>
              <w:rPr>
                <w:b/>
                <w:b/>
                <w:color w:val="000000"/>
              </w:rPr>
            </w:pPr>
            <w:r>
              <w:rPr/>
              <w:t>TA’</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Student/Student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Impjegat part-time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Impjegat full-time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Kuntrattur indipendenti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Il-persuna d-dar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Persuna li qed tfittex xogħol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Voluntier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Inkapaċità għax-xogħol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Irtirat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Oħrajn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Nippreferi li ma nwieġebx</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Kwestjonarju</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Il-kwestjonarju u dan ir-rapport tħejjew minn organizzazzjoni esterna indipendenti fuq talba tal-Ministeru tal-Affarijiet Barranin. Il-kwestjonarju jippreżenta struttura modulari u jinkludi l-blokok ta’ mistoqsijiet li ġejjin, f’konformità mat-temi identifikati għall-Konferenza dwar il-Ġejjieni tal-Ewropa: Temi importanti u r-rwol tal-Ewropa </w:t>
      </w:r>
    </w:p>
    <w:p>
      <w:pPr>
        <w:pStyle w:val="P68B1DB1Normal104"/>
        <w:widowControl w:val="false"/>
        <w:spacing w:lineRule="auto" w:line="240" w:before="1" w:after="0"/>
        <w:ind w:left="0" w:right="0" w:hanging="0"/>
        <w:jc w:val="left"/>
        <w:rPr>
          <w:rFonts w:ascii="Calibri" w:hAnsi="Calibri"/>
          <w:color w:val="000000"/>
          <w:sz w:val="21"/>
        </w:rPr>
      </w:pPr>
      <w:r>
        <w:rPr/>
        <w:t xml:space="preserve">It-tibdil fil-klima u l-ambjent </w:t>
      </w:r>
    </w:p>
    <w:p>
      <w:pPr>
        <w:pStyle w:val="P68B1DB1Normal104"/>
        <w:widowControl w:val="false"/>
        <w:spacing w:lineRule="auto" w:line="240"/>
        <w:ind w:left="0" w:right="0" w:hanging="0"/>
        <w:jc w:val="left"/>
        <w:rPr>
          <w:rFonts w:ascii="Calibri" w:hAnsi="Calibri"/>
          <w:color w:val="000000"/>
          <w:sz w:val="21"/>
        </w:rPr>
      </w:pPr>
      <w:r>
        <w:rPr/>
        <w:t xml:space="preserve">Saħħa </w:t>
      </w:r>
    </w:p>
    <w:p>
      <w:pPr>
        <w:pStyle w:val="P68B1DB1Normal104"/>
        <w:widowControl w:val="false"/>
        <w:spacing w:lineRule="auto" w:line="240" w:before="1" w:after="0"/>
        <w:ind w:left="0" w:right="0" w:hanging="0"/>
        <w:jc w:val="left"/>
        <w:rPr>
          <w:rFonts w:ascii="Calibri" w:hAnsi="Calibri"/>
          <w:color w:val="000000"/>
          <w:sz w:val="21"/>
        </w:rPr>
      </w:pPr>
      <w:r>
        <w:rPr/>
        <w:t xml:space="preserve">L-ekonomija u l-impjiegi </w:t>
      </w:r>
    </w:p>
    <w:p>
      <w:pPr>
        <w:pStyle w:val="P68B1DB1Normal104"/>
        <w:widowControl w:val="false"/>
        <w:spacing w:lineRule="auto" w:line="240"/>
        <w:ind w:left="0" w:right="0" w:hanging="0"/>
        <w:jc w:val="left"/>
        <w:rPr>
          <w:rFonts w:ascii="Calibri" w:hAnsi="Calibri"/>
          <w:color w:val="000000"/>
          <w:sz w:val="21"/>
        </w:rPr>
      </w:pPr>
      <w:r>
        <w:rPr/>
        <w:t xml:space="preserve">Ir-rwol tal-Unjoni Ewropea fid-dinja </w:t>
      </w:r>
    </w:p>
    <w:p>
      <w:pPr>
        <w:pStyle w:val="P68B1DB1Normal104"/>
        <w:widowControl w:val="false"/>
        <w:spacing w:lineRule="auto" w:line="240" w:before="1" w:after="0"/>
        <w:ind w:left="0" w:right="0" w:hanging="0"/>
        <w:jc w:val="left"/>
        <w:rPr>
          <w:rFonts w:ascii="Calibri" w:hAnsi="Calibri"/>
          <w:color w:val="000000"/>
          <w:sz w:val="21"/>
        </w:rPr>
      </w:pPr>
      <w:r>
        <w:rPr/>
        <w:t xml:space="preserve">Sigurtà u stat tad-dritt </w:t>
      </w:r>
    </w:p>
    <w:p>
      <w:pPr>
        <w:pStyle w:val="P68B1DB1Normal104"/>
        <w:widowControl w:val="false"/>
        <w:spacing w:lineRule="auto" w:line="240"/>
        <w:ind w:left="0" w:right="0" w:hanging="0"/>
        <w:jc w:val="left"/>
        <w:rPr>
          <w:rFonts w:ascii="Calibri" w:hAnsi="Calibri"/>
          <w:color w:val="000000"/>
          <w:sz w:val="21"/>
        </w:rPr>
      </w:pPr>
      <w:r>
        <w:rPr/>
        <w:t xml:space="preserve">Id-dinja virtwali </w:t>
      </w:r>
    </w:p>
    <w:p>
      <w:pPr>
        <w:pStyle w:val="P68B1DB1Normal104"/>
        <w:widowControl w:val="false"/>
        <w:spacing w:lineRule="auto" w:line="240" w:before="1" w:after="0"/>
        <w:ind w:left="0" w:right="0" w:hanging="0"/>
        <w:jc w:val="left"/>
        <w:rPr>
          <w:rFonts w:ascii="Calibri" w:hAnsi="Calibri"/>
          <w:color w:val="000000"/>
          <w:sz w:val="21"/>
        </w:rPr>
      </w:pPr>
      <w:r>
        <w:rPr/>
        <w:t xml:space="preserve">Id-demokrazija Ewropea </w:t>
      </w:r>
    </w:p>
    <w:p>
      <w:pPr>
        <w:pStyle w:val="P68B1DB1Normal104"/>
        <w:widowControl w:val="false"/>
        <w:spacing w:lineRule="auto" w:line="240"/>
        <w:ind w:left="0" w:right="0" w:hanging="0"/>
        <w:jc w:val="left"/>
        <w:rPr>
          <w:rFonts w:ascii="Calibri" w:hAnsi="Calibri"/>
          <w:color w:val="000000"/>
          <w:sz w:val="21"/>
        </w:rPr>
      </w:pPr>
      <w:r>
        <w:rPr/>
        <w:t xml:space="preserve">Migrazzjoni u refuġjati </w:t>
      </w:r>
    </w:p>
    <w:p>
      <w:pPr>
        <w:pStyle w:val="P68B1DB1Normal104"/>
        <w:widowControl w:val="false"/>
        <w:spacing w:lineRule="auto" w:line="240" w:before="1" w:after="0"/>
        <w:ind w:left="0" w:right="0" w:hanging="0"/>
        <w:jc w:val="left"/>
        <w:rPr>
          <w:rFonts w:ascii="Calibri" w:hAnsi="Calibri"/>
          <w:color w:val="000000"/>
          <w:sz w:val="21"/>
        </w:rPr>
      </w:pPr>
      <w:r>
        <w:rPr/>
        <w:t xml:space="preserve">Edukazzjoni/kultura/żgħażagħ/sport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Matul it-tħejjija tal-kwestjonarju, ingħatat attenzjoni kbira lill-kwalità, l-affidabbiltà u l-validità tal-mistoqsijiet. Għal din ir-raġuni, intalbet formulazzjoni newtrali u mhux iggwidata ta’ mistoqsijiet, dikjarazzjonijiet u għażliet ta’ rispons, u ġie vverifikat li l-mistoqsijiet ġew ifformulati f’lingwaġġ komprensibbli (livell B1).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Il-kwestjonarju kien soġġett għal testijiet tal-kwalità permezz ta’ intervisti wiċċ imb wiċċ mal-parteċipanti tat-test li jappartjenu għall-grupp fil-mira. Dan ippermettalna nistudjaw kif il-mistoqsijiet jinftiehmu minn tipi differenti ta’ rispondenti. Jekk mistoqsija tidher li tirrappreżenta tagħbija konjittiva kbira wisq (kumplessa wisq), kien xieraq. </w:t>
      </w:r>
      <w:r>
        <w:br w:type="page"/>
      </w:r>
    </w:p>
    <w:p>
      <w:pPr>
        <w:pStyle w:val="P68B1DB1Normal107"/>
        <w:spacing w:lineRule="auto" w:line="240"/>
        <w:ind w:left="0" w:right="0" w:hanging="0"/>
        <w:rPr>
          <w:rFonts w:ascii="Calibri" w:hAnsi="Calibri"/>
          <w:i/>
          <w:i/>
          <w:color w:val="000000"/>
          <w:sz w:val="24"/>
        </w:rPr>
      </w:pPr>
      <w:r>
        <w:rPr/>
        <w:t xml:space="preserve">Metodi ta’ analiżi </w:t>
      </w:r>
    </w:p>
    <w:p>
      <w:pPr>
        <w:pStyle w:val="P68B1DB1Normal104"/>
        <w:widowControl w:val="false"/>
        <w:spacing w:lineRule="auto" w:line="240" w:before="127" w:after="0"/>
        <w:ind w:left="0" w:right="0" w:hanging="0"/>
        <w:jc w:val="left"/>
        <w:rPr>
          <w:rFonts w:ascii="Calibri" w:hAnsi="Calibri"/>
          <w:color w:val="000000"/>
          <w:sz w:val="21"/>
        </w:rPr>
      </w:pPr>
      <w:r>
        <w:rPr/>
        <w:t xml:space="preserve">F’dan l-istħarriġ intużaw żewġ metodi ta’ analiżi: </w:t>
      </w:r>
    </w:p>
    <w:p>
      <w:pPr>
        <w:pStyle w:val="P68B1DB1Normal111"/>
        <w:widowControl w:val="false"/>
        <w:spacing w:lineRule="auto" w:line="240" w:before="38" w:after="0"/>
        <w:ind w:left="0" w:right="0" w:hanging="0"/>
        <w:jc w:val="left"/>
        <w:rPr>
          <w:rFonts w:ascii="Calibri" w:hAnsi="Calibri"/>
          <w:b/>
          <w:b/>
          <w:color w:val="000000"/>
          <w:sz w:val="22"/>
        </w:rPr>
      </w:pPr>
      <w:r>
        <w:rPr/>
        <w:t xml:space="preserve">Analiżi univariate </w:t>
      </w:r>
    </w:p>
    <w:p>
      <w:pPr>
        <w:pStyle w:val="P68B1DB1Normal104"/>
        <w:widowControl w:val="false"/>
        <w:spacing w:lineRule="auto" w:line="240" w:before="97" w:after="0"/>
        <w:ind w:left="0" w:right="0" w:hanging="0"/>
        <w:jc w:val="left"/>
        <w:rPr/>
      </w:pPr>
      <w:r>
        <w:rPr/>
        <w:t xml:space="preserve">L-istatistika deskrittiva tintuża biex tiddeskrivi l-varjabbli ta’ stħarriġ. F’dan l-istħarriġ jintużaw il-frekwenzi u l-medji. </w:t>
      </w:r>
    </w:p>
    <w:p>
      <w:pPr>
        <w:pStyle w:val="P68B1DB1Normal111"/>
        <w:widowControl w:val="false"/>
        <w:spacing w:lineRule="auto" w:line="240" w:before="41" w:after="0"/>
        <w:ind w:left="0" w:right="0" w:hanging="0"/>
        <w:jc w:val="left"/>
        <w:rPr>
          <w:rFonts w:ascii="Calibri" w:hAnsi="Calibri"/>
          <w:b/>
          <w:b/>
          <w:color w:val="000000"/>
          <w:sz w:val="22"/>
        </w:rPr>
      </w:pPr>
      <w:r>
        <w:rPr/>
        <w:t xml:space="preserve">Analiżi ta’ bivariate </w:t>
      </w:r>
    </w:p>
    <w:p>
      <w:pPr>
        <w:pStyle w:val="P68B1DB1Normal104"/>
        <w:widowControl w:val="false"/>
        <w:spacing w:lineRule="auto" w:line="240" w:before="95" w:after="0"/>
        <w:ind w:left="0" w:right="0" w:hanging="0"/>
        <w:jc w:val="left"/>
        <w:rPr/>
      </w:pPr>
      <w:r>
        <w:rPr/>
        <w:t xml:space="preserve">L-analiżi bivariate jagħmluha possibbli li tiġi eżaminata r-relazzjoni bejn żewġ varjabbli, f’dan il-każ ir-relazzjoni bejn l-importanza tat-temi differenti u l-kwistjoni dwar jekk l-UE għandhiex tintervjeni f’dan il-qasam u l-karatteristika ġenerali tal-età. Saret reviżjoni biex jiġi ddeterminat jekk gruppi ta’ etajiet differenti jagħtux importanza differenti lil suġġett u jekk hemmx fehmiet differenti dwar sa liema punt dawn huma kwistjonijiet li fihom l-UE għandha tkun involuta. </w:t>
      </w:r>
    </w:p>
    <w:p>
      <w:pPr>
        <w:pStyle w:val="P68B1DB1Normal107"/>
        <w:widowControl w:val="false"/>
        <w:spacing w:lineRule="auto" w:line="240" w:before="43" w:after="0"/>
        <w:ind w:left="0" w:right="0" w:hanging="0"/>
        <w:jc w:val="left"/>
        <w:rPr>
          <w:rFonts w:ascii="Calibri" w:hAnsi="Calibri"/>
          <w:i/>
          <w:i/>
          <w:color w:val="000000"/>
          <w:sz w:val="24"/>
        </w:rPr>
      </w:pPr>
      <w:r>
        <w:rPr/>
        <w:t xml:space="preserve">Pubblikazzjoni ta’ informazzjoni u kompletezza </w:t>
      </w:r>
    </w:p>
    <w:p>
      <w:pPr>
        <w:pStyle w:val="P68B1DB1Normal104"/>
        <w:widowControl w:val="false"/>
        <w:spacing w:lineRule="auto" w:line="240" w:before="123" w:after="0"/>
        <w:ind w:left="0" w:right="0" w:hanging="0"/>
        <w:jc w:val="left"/>
        <w:rPr/>
      </w:pPr>
      <w:r>
        <w:rPr/>
        <w:t xml:space="preserve">Dan ir-rapport jinkludi rappreżentazzjoni (viżwali) tar-riżultati tal-mistoqsijiet kollha li jsiru lil dawk li wieġbu mill-bord tal-istħarriġ. Għal xi mistoqsijiet, ir-rispondent ingħata l-opportunità li jipprovdi tweġibiet “miftuħa” (jiġifieri mhux predeterminati). It-tweġibiet miftuħa mbagħad ġew ikkategorizzati u inklużi fil-pubblikazzjoni. L-ideat kondiviżi minn dawk li wieġbu fil-kummenti bla ħlas jintużaw biex jikkontribwixxu għad-diversi djalogi tematiċi organizzati bħala segwitu għall-proċess tad-Djalogu taċ-Ċittadini “Viżjoni tal-Ewropa”.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Djalogi tematiċi online għall-approfondiment </w:t>
      </w:r>
    </w:p>
    <w:p>
      <w:pPr>
        <w:pStyle w:val="P68B1DB1Normal104"/>
        <w:widowControl w:val="false"/>
        <w:spacing w:lineRule="auto" w:line="240" w:before="17" w:after="0"/>
        <w:ind w:left="0" w:right="0" w:hanging="0"/>
        <w:jc w:val="left"/>
        <w:rPr/>
      </w:pPr>
      <w:r>
        <w:rPr/>
        <w:t xml:space="preserve">It-temi fil-qalba tal-Konferenza dwar il-Futur tal-Ewropa ġew approfonditi permezz ta’ tmien djalogi tematiċi online. L-għan ta’ dawn id-djalogi kien li jiġu skoperti r-raġunijiet għall-opinjonijiet espressi, kif ukoll il-motivazzjonijiet u s-sentimenti warajhom. X’inhuma t-tħassib u l-opportunitajiet perċepiti? Is-sessjonijiet ta’ diskussjoni ppermettew ukoll lill-parteċipanti jifformulaw suġġerimenti u ideat dwar dawn is-suġġetti, kif ukoll iqajmu kwistjonijiet li mhumiex parti mill-konferenza iżda jibqgħu importanti għalihom.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Id-djalogi tematiċi saru fit-12–14 ta’ Ottubru u fid-9–11 ta’ Novembru. F’Ottubru ġew organizzati erba’ djalogi tematiċi online dwar it-temi “Ekonomija” u “Demokrazija”. F’Novembru saru erba’ djalogi tematiċi online dwar it-temi “Klima” u “L-UE fid-dinja”. Bħala medja, 29 persuna pparteċipaw f’kull sessjoni ta’ diskussjoni (231 b’kollox). Il-parteċipanti ġew reklutati minn fost il-membri tal-bord (ara l-punt 1) u permezz tal-midja soċjali.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Djalogi ma’ gruppi speċifiċi </w:t>
      </w:r>
    </w:p>
    <w:p>
      <w:pPr>
        <w:pStyle w:val="P68B1DB1Normal104"/>
        <w:widowControl w:val="false"/>
        <w:spacing w:lineRule="auto" w:line="240" w:before="12" w:after="0"/>
        <w:ind w:left="0" w:right="0" w:hanging="0"/>
        <w:jc w:val="left"/>
        <w:rPr/>
      </w:pPr>
      <w:r>
        <w:rPr/>
        <w:t xml:space="preserve">Xi gruppi Olandiżi huma magħrufa li huma inqas imdorrijin jipparteċipaw fi stħarriġ u panels (onlajn). Sabiex tinkiseb immaġni rappreżentattiva tal-“vuċi tal-Pajjiżi l-Baxxi”, kien importanti li dawn iċ-ċittadini jkunu jistgħu jesprimu wkoll l-ideat u l-opinjonijiet tagħhom. Huwa għalhekk li organizzajna wkoll għadd ta’ djalogi fuq il-post għall-istħarriġ “Viżjoni tal-Ewropa”. L-opinjonijiet u l-ideat li stajna niġbru ntużaw bħala bażi (fost l-oħrajn) biex jifformulaw ir-rakkomandazzjonijiet.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Gruppi fil-mira </w:t>
      </w:r>
    </w:p>
    <w:p>
      <w:pPr>
        <w:pStyle w:val="P68B1DB1Normal110"/>
        <w:widowControl w:val="false"/>
        <w:spacing w:lineRule="auto" w:line="240" w:before="22" w:after="0"/>
        <w:ind w:left="0" w:right="0" w:hanging="0"/>
        <w:jc w:val="left"/>
        <w:rPr/>
      </w:pPr>
      <w:r>
        <w:rPr>
          <w:sz w:val="21"/>
        </w:rPr>
        <w:t xml:space="preserve">Il-gruppi fil-mira li diffiċli jintlaħqu ma jistgħux jiġu definiti b’mod mhux ambigwu. L-istudji u l-esperjenza jippermettulna nkunu nafu li l-Olandiżi b’oriġini </w:t>
      </w:r>
      <w:r>
        <w:rPr>
          <w:b/>
          <w:sz w:val="21"/>
        </w:rPr>
        <w:t>mhux tal-Punent</w:t>
      </w:r>
      <w:r>
        <w:rPr>
          <w:sz w:val="21"/>
        </w:rPr>
        <w:t>jipparteċipaw b’mod sinifikanti inqas minnhom infushom f’investigazzjonijiet u diskussjonijiet. Peress li dan jirrappreżenta grupp kbir (14 % tal-</w:t>
      </w:r>
      <w:r>
        <w:rPr>
          <w:position w:val="6"/>
          <w:sz w:val="14"/>
        </w:rPr>
        <w:t>1</w:t>
      </w:r>
      <w:r>
        <w:rPr>
          <w:sz w:val="21"/>
        </w:rPr>
        <w:t xml:space="preserve">Netherlandiż), dawn intgħażlu biex jipparteċipaw fid-djalogu Viżjoni tal-Ewropa. L-istess raġunament ġie segwit fir-rigward </w:t>
      </w:r>
      <w:r>
        <w:rPr>
          <w:b/>
          <w:sz w:val="21"/>
        </w:rPr>
        <w:t>ta’ persuni bi ftit edukazzjoni</w:t>
      </w:r>
      <w:r>
        <w:rPr>
          <w:sz w:val="21"/>
        </w:rPr>
        <w:t>. Huwa wkoll grupp kbir (2.5 miljun Olandiż</w:t>
      </w:r>
      <w:r>
        <w:rPr>
          <w:position w:val="6"/>
          <w:sz w:val="14"/>
        </w:rPr>
        <w:t>2</w:t>
      </w:r>
      <w:r>
        <w:rPr>
          <w:sz w:val="21"/>
        </w:rPr>
        <w:t xml:space="preserve">), li parzjalment jikkoinċidi mal-grupp tal-migranti (39 %). Fl-aħħar nett, sar djalogu ma’ grupp ta’ nies li rarament jinstabu fi stħarriġ u diskussjonijiet, </w:t>
      </w:r>
      <w:r>
        <w:rPr>
          <w:b/>
          <w:sz w:val="21"/>
        </w:rPr>
        <w:t>li huma kritiċi għall-Ewropa, iżda li għalihom l-Ewropa għandha rwol importanti fl-isfera professjonali.</w:t>
      </w:r>
      <w:r>
        <w:rPr>
          <w:sz w:val="21"/>
        </w:rPr>
        <w:t xml:space="preserve"> Intgħażlu intraprendituri mis-settur agrikolu.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Il-gruppi msemmija hawn fuq ġew avviċinati permezz ta’ organizzazzjonijiet li huma membri tagħhom, bħal organizzazzjonijiet tal-migranti, assoċjazzjonijiet ta’ promozzjoni u organizzazzjonijiet professjonali. Peress li llimitajna n-numru ta’ djalogi għal tmienja, ma stajniex inkunu kompletament “eżawrenti”. Dan jagħmel l-għażla tal-parteċipanti xi ftit arbitrarja. Biex nagħmlu din l-għażla, aħna ħadna wkoll l-entużjażmu biex nipparteċipaw u ngħinu biex nimmobilizzaw il-bażi tagħhom, kif ukoll kwistjonijiet prattiċi bħad-disponibbiltà skont id-dati u l-post.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Saru djalogi fuq il-post ma’ membri tal-organizzazzjonijiet li ġejjin: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Hakder Foundation, il-komunità Alevi, Schiedam </w:t>
      </w:r>
    </w:p>
    <w:p>
      <w:pPr>
        <w:pStyle w:val="P68B1DB1Normal105"/>
        <w:widowControl w:val="false"/>
        <w:spacing w:lineRule="auto" w:line="240"/>
        <w:ind w:left="0" w:right="0" w:hanging="0"/>
        <w:jc w:val="left"/>
        <w:rPr/>
      </w:pPr>
      <w:r>
        <w:rPr>
          <w:rFonts w:ascii="Verdana" w:hAnsi="Verdana"/>
        </w:rPr>
        <w:t xml:space="preserve">• </w:t>
      </w:r>
      <w:r>
        <w:rPr>
          <w:rFonts w:ascii="Verdana" w:hAnsi="Verdana"/>
        </w:rPr>
        <w:t>Il</w:t>
      </w:r>
      <w:r>
        <w:rPr/>
        <w:t xml:space="preserve"> - </w:t>
      </w:r>
      <w:r>
        <w:rPr>
          <w:rFonts w:ascii="Calibri" w:hAnsi="Calibri"/>
        </w:rPr>
        <w:t xml:space="preserve">Fondazzjoni Asha, il-komunità Hindu, Utrecht (żewġ sessjonijiet ta’ diskussjoni)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organizzazzjoni tas-soċjetà ċivili,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organizzazzjoni għal persuni b’edukazzjoni baxxa,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assoċjazzjoni ta’ gruppi agrikoli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il-komunità Marokkina,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Nisa għal-Libertà, organizzazzjoni ta’ promozzjoni għal nisa bi sfond ta’ migrazzjoni, The Hague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Total ta’ 110 persuna pparteċipaw f’dawn il-laqgħat ta’ diskussjoni.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Djalogi maż-żgħażagħ </w:t>
      </w:r>
    </w:p>
    <w:p>
      <w:pPr>
        <w:pStyle w:val="P68B1DB1Normal104"/>
        <w:widowControl w:val="false"/>
        <w:spacing w:lineRule="auto" w:line="240" w:before="118" w:after="0"/>
        <w:ind w:left="0" w:right="0" w:hanging="0"/>
        <w:jc w:val="both"/>
        <w:rPr/>
      </w:pPr>
      <w:r>
        <w:rPr/>
        <w:t xml:space="preserve">Iż-żgħażagħ huma grupp fil-mira ta’ prijorità tal-Konferenza dwar il-Futur tal-Ewropa. Sabiex titħeġġeġ b’mod attiv il-parteċipazzjoni tagħhom fid-Djalogu taċ-Ċittadini “Viżjoni tal-Ewropa” u biex l-opinjonijiet u l-ideat ta’ dan il-grupp jinstemgħu sew, ġew organizzati ħames laqgħat ta’ diskussjoni fiżika speċifikament għaż-żgħażagħ. Is-sitt laqgħa ppjanata maż-żgħażagħ ma setgħetx issir minħabba l-miżuri restrittivi relatati mal-coronavirus.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Il-laqgħat saru fl-istituzzjonijiet li ġejjin: </w:t>
      </w:r>
    </w:p>
    <w:p>
      <w:pPr>
        <w:pStyle w:val="P68B1DB1Normal104"/>
        <w:widowControl w:val="false"/>
        <w:spacing w:lineRule="auto" w:line="240"/>
        <w:ind w:left="0" w:right="0" w:hanging="0"/>
        <w:jc w:val="both"/>
        <w:rPr>
          <w:rFonts w:ascii="Calibri" w:hAnsi="Calibri"/>
          <w:color w:val="000000"/>
          <w:sz w:val="21"/>
        </w:rPr>
      </w:pPr>
      <w:r>
        <w:rPr/>
        <w:t xml:space="preserve">Assoċjazzjoni tal-Istudenti tal-Istorja, Università ta’ Leiden </w:t>
      </w:r>
    </w:p>
    <w:p>
      <w:pPr>
        <w:pStyle w:val="P68B1DB1Normal104"/>
        <w:widowControl w:val="false"/>
        <w:spacing w:lineRule="auto" w:line="240"/>
        <w:ind w:left="0" w:right="0" w:hanging="0"/>
        <w:jc w:val="both"/>
        <w:rPr>
          <w:rFonts w:ascii="Calibri" w:hAnsi="Calibri"/>
          <w:color w:val="000000"/>
          <w:sz w:val="21"/>
        </w:rPr>
      </w:pPr>
      <w:r>
        <w:rPr/>
        <w:t xml:space="preserve">Dr. Knippenberg Kulleġġ, Iskola Għolja, Helmond </w:t>
      </w:r>
    </w:p>
    <w:p>
      <w:pPr>
        <w:pStyle w:val="P68B1DB1Normal104"/>
        <w:widowControl w:val="false"/>
        <w:spacing w:lineRule="auto" w:line="240" w:before="1" w:after="0"/>
        <w:ind w:left="0" w:right="0" w:hanging="0"/>
        <w:jc w:val="left"/>
        <w:rPr>
          <w:rFonts w:ascii="Calibri" w:hAnsi="Calibri"/>
          <w:color w:val="000000"/>
          <w:sz w:val="21"/>
        </w:rPr>
      </w:pPr>
      <w:r>
        <w:rPr/>
        <w:t xml:space="preserve">Coalitie-Y, Pjattaforma taż-Żgħażagħ tal-Kunsill Ekonomiku u Soċjali </w:t>
      </w:r>
    </w:p>
    <w:p>
      <w:pPr>
        <w:pStyle w:val="P68B1DB1Normal104"/>
        <w:widowControl w:val="false"/>
        <w:spacing w:lineRule="auto" w:line="240"/>
        <w:ind w:left="0" w:right="0" w:hanging="0"/>
        <w:jc w:val="left"/>
        <w:rPr>
          <w:rFonts w:ascii="Calibri" w:hAnsi="Calibri"/>
          <w:color w:val="000000"/>
          <w:sz w:val="21"/>
        </w:rPr>
      </w:pPr>
      <w:r>
        <w:rPr/>
        <w:t xml:space="preserve">Kulleġġ ta’ Graafschap, Edukazzjoni Sekondarja Vokazzjonali,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edukazzjoni sekondarja li tiffoka fuq suġġetti teknoloġiċi,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Total ta’ 95 żagħżugħ ipparteċipaw fil-laqgħat ta’ diskussjoni. </w:t>
      </w:r>
      <w:r>
        <w:br w:type="page"/>
      </w:r>
    </w:p>
    <w:p>
      <w:pPr>
        <w:pStyle w:val="P68B1DB1Normal107"/>
        <w:spacing w:lineRule="auto" w:line="240"/>
        <w:ind w:left="0" w:right="0" w:hanging="0"/>
        <w:rPr>
          <w:rFonts w:ascii="Calibri" w:hAnsi="Calibri"/>
          <w:i/>
          <w:i/>
          <w:color w:val="000000"/>
          <w:sz w:val="24"/>
        </w:rPr>
      </w:pPr>
      <w:r>
        <w:rPr/>
        <w:t xml:space="preserve">Tekniki ta’ manutenzjoni użati </w:t>
      </w:r>
    </w:p>
    <w:p>
      <w:pPr>
        <w:pStyle w:val="P68B1DB1Normal104"/>
        <w:widowControl w:val="false"/>
        <w:spacing w:lineRule="auto" w:line="240" w:before="10" w:after="0"/>
        <w:ind w:left="0" w:right="0" w:hanging="0"/>
        <w:jc w:val="left"/>
        <w:rPr/>
      </w:pPr>
      <w:r>
        <w:rPr/>
        <w:t xml:space="preserve">Id-djalogi tematiċi online, id-djalogi ma’ gruppi speċifiċi u d-djalogi maż-żgħażagħ twettqu bl-użu tal-hekk imsejjaħ metodu ta’ intervista “sokratiku”. Dan il-metodu ilu jintuża għal ħafna snin f’Jum id-Djalogu, fejn in-nies fin-Netherlands jinteraġixxu dwar kwistjonijiet li jaffettwawhom. Fil-kuntest tal-metodu ta’ manutenzjoni Sokratika, il-moderatur għandu jqis il-prinċipji li ġejjin: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w:t>
      </w:r>
      <w:r>
        <w:rPr/>
        <w:t xml:space="preserve"> </w:t>
      </w:r>
      <w:r>
        <w:rPr/>
        <w:t xml:space="preserve">Ħalli l-oħra jirrakkontaw l-istorja tagħhom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M’</w:t>
      </w:r>
      <w:r>
        <w:rPr/>
        <w:t xml:space="preserve"> </w:t>
      </w:r>
      <w:r>
        <w:rPr>
          <w:rFonts w:ascii="Calibri" w:hAnsi="Calibri"/>
        </w:rPr>
        <w:t xml:space="preserve">għandekx tweġibha immedjatament bi storja oħra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Ittratta lilek innifsek b’rispett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Tkellem dwar il-fehma tiegħu stess (“I find” aktar milli “jgħidu”)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Itlob għal aktar spjegazzjonijiet jekk il-fehmiet espressi humiex limitati għall-ġeneralitajiet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Evita s-sentenzi u tanalizzahom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Agħti mumenti ta’ silenzju jekk in-nies ikollhom bżonn jaħsbu għal mument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Matul id-djalogi, għandu jintuża r-ritmu li ġej: diverġenza — konverġenza — diverġenza. Il-prinċipju huwa li l-ewwel trid tvarja (jesprimu direttament sentimenti u opinjonijiet individwali), qabel ma tkun tista’ tikkonverġi (titkellem toroq possibbli) u mbagħad finalment terġa’ titbiegħed (pereżempju, iġbor rakkomandazzjonijiet individwali). L-esperjenza u t-teorija juru li dan ir-ritmu jiżgura fluss ottimali ta’ djalogu.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Id-djalogi kollha saru minn faċilitaturi professjonali.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Stħarriġ pubbliku onlajn: Kwestjonarju u “Swipen naar de toekomst” (Swipen naar de toekomst (Swipen naar de toekomst) (Swipen naar de toekomst) (Swipen naar de toekomst) (Swipen</w:t>
      </w:r>
    </w:p>
    <w:p>
      <w:pPr>
        <w:pStyle w:val="P68B1DB1Normal104"/>
        <w:widowControl w:val="false"/>
        <w:spacing w:lineRule="auto" w:line="240" w:before="229" w:after="0"/>
        <w:ind w:left="0" w:right="0" w:hanging="0"/>
        <w:jc w:val="both"/>
        <w:rPr/>
      </w:pPr>
      <w:r>
        <w:rPr/>
        <w:t xml:space="preserve">Il-kwestjonarju tal-istħarriġ tal-bord kien miftuħ ukoll għall-Olandiżi kollha, inklużi dawk li jgħixu barra mill-pajjiż. Dan il-kwestjonarju kien disponibbli mill-1 ta’ Settembru 2021 sal-14 ta’ Novembru 2021. Barra minn hekk, matul l-istess perjodu, kull Olandiż seta’ jipparteċipa fl-azzjoni “Swipen naar de toekomst” (Swipen naar de toekomst) (Swiper għall-futur), għodda online li tippreżenta 20 talba. </w:t>
      </w:r>
    </w:p>
    <w:p>
      <w:pPr>
        <w:pStyle w:val="P68B1DB1Normal107"/>
        <w:widowControl w:val="false"/>
        <w:spacing w:lineRule="auto" w:line="240" w:before="41" w:after="0"/>
        <w:ind w:left="0" w:right="0" w:hanging="0"/>
        <w:jc w:val="left"/>
        <w:rPr>
          <w:rFonts w:ascii="Calibri" w:hAnsi="Calibri"/>
          <w:i/>
          <w:i/>
          <w:color w:val="000000"/>
          <w:sz w:val="24"/>
        </w:rPr>
      </w:pPr>
      <w:r>
        <w:rPr/>
        <w:t xml:space="preserve">Tweġibiet u użu </w:t>
      </w:r>
    </w:p>
    <w:p>
      <w:pPr>
        <w:pStyle w:val="P68B1DB1Normal104"/>
        <w:widowControl w:val="false"/>
        <w:spacing w:lineRule="auto" w:line="240" w:before="7" w:after="0"/>
        <w:ind w:left="0" w:right="0" w:hanging="0"/>
        <w:jc w:val="left"/>
        <w:rPr/>
      </w:pPr>
      <w:r>
        <w:rPr/>
        <w:t xml:space="preserve">Total ta’ 1,967 parteċipant lestew il-kwestjonarju u 6,968 kienu sal-aħħar tal-għodda tal-iskannjar tal-iskrin. Kemm il-kwestjonarju kif ukoll l-għodda tal-iskannjar tal-iskrin kienu miftuħa għal kulħadd: ma kien hemm l-ebda prerekwiżiti jew kriterji tal-għażla għall-parteċipazzjoni. Fil-kwestjonarju, kien possibbli li wieħed jgħaddi mistoqsijiet (ma kien hemm l-ebda mistoqsija obbligatorja) sabiex tiġi massimizzata r-rata ta’ rispons. Il-parteċipanti għażlu “Jien nippreferi li ma nweġibx” ħafna aktar milli fl-istħarriġ rappreżentattiv tal-bord. </w:t>
      </w:r>
    </w:p>
    <w:p>
      <w:pPr>
        <w:pStyle w:val="P68B1DB1Normal104"/>
        <w:widowControl w:val="false"/>
        <w:spacing w:lineRule="auto" w:line="240"/>
        <w:ind w:left="0" w:right="0" w:hanging="0"/>
        <w:jc w:val="left"/>
        <w:rPr/>
      </w:pPr>
      <w:r>
        <w:rPr/>
        <w:t xml:space="preserve">Il-karatteristiċi ġenerali tal-parteċipanti fil-kwestjonarju miftuħ u l-għodda tal-iskannjar tal-iskrin ivarjaw f’diversi aspetti minn dawk tal-parteċipanti fil-bord rappreżentattiv. Għall-kuntrarju tal-istħarriġ tal-bord, ir-riżultati tal-kwestjonarju miftuħ u l-għodda tal-iskannjar tal-iskrin mhumiex rappreżentattivi. Ir-riżultati tal-istħarriġ miftuħ onlajn intużaw biex jikkomplementaw l-istħarriġ tal-bord. Huma jagħtu ħarsa ġenerali lejn is-sentimenti u l-ideat li qed jiċċirkolaw fil-Pajjiżi l-Baxxi. Is-suġġerimenti għal titjib imsemmija fl-oqsma tal-input intużaw fit-taqsima “Diskussjonijiet u ideat online u fuq il-post”. L-għodda tal-iskannjar tal-iskrin intużat biex tifhem aħjar xi wħud mis-sentimenti li jiċċirkolaw fin-Netherlands. Dawn ir-riżultati tqiesu fit-tħejjija tar-rakkomandazzjonijiet. Minħabba r-rekwiżit ta’ rappreżentanza, ir-riżultati tal-investigazzjoni miftuħa online ġew ikkunsidrati b’mod limitat f’dan ir-rapport.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Dan ir-rapport huwa ppubblikat mill-Ministeru tal-Affarijiet Barranin. </w:t>
      </w:r>
      <w:hyperlink r:id="rId120">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7" descr=""/>
                    <pic:cNvPicPr>
                      <a:picLocks noChangeAspect="1" noChangeArrowheads="1"/>
                    </pic:cNvPicPr>
                  </pic:nvPicPr>
                  <pic:blipFill>
                    <a:blip r:embed="rId121"/>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Il-Gvern Nazzjonali tal-Pajjiżi l-Baxxi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Il-viżjoni tagħna tal-Ewropa </w:t>
      </w:r>
    </w:p>
    <w:p>
      <w:pPr>
        <w:pStyle w:val="Titre4"/>
        <w:numPr>
          <w:ilvl w:val="3"/>
          <w:numId w:val="2"/>
        </w:numPr>
        <w:rPr/>
      </w:pPr>
      <w:bookmarkStart w:id="237" w:name="__RefHeading___Toc298386_1346298689"/>
      <w:bookmarkEnd w:id="237"/>
      <w:r>
        <w:rPr/>
        <w:t>Rapport ta’ Jannar 2022</w:t>
      </w:r>
    </w:p>
    <w:p>
      <w:pPr>
        <w:pStyle w:val="P68B1DB1Normal20"/>
        <w:widowControl w:val="false"/>
        <w:spacing w:lineRule="auto" w:line="240" w:before="105" w:after="0"/>
        <w:ind w:left="0" w:right="0" w:hanging="0"/>
        <w:jc w:val="left"/>
        <w:rPr>
          <w:rFonts w:ascii="Calibri" w:hAnsi="Calibri"/>
          <w:color w:val="000000"/>
          <w:sz w:val="24"/>
        </w:rPr>
      </w:pPr>
      <w:r>
        <w:rPr/>
        <w:t xml:space="preserve">Opinjonijiet, ideat u rakkomandazzjonijiet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Temi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It-tibdil fil-klima u l-ambjent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Migrazzjoni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Saħħa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L-UE fid-dinja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ta’ Jannar 2022 </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Dan id-dokument huwa traduzzjoni tar-rapport bit-titolu "Elze kijk op Europa; Meningen, ideeën en Aanbevelingen“(”Il-viżjoni tagħna tal-Ewropa: opinjonijiet, ideat u rakkomandazzjonijiet"), li ġiet ippubblikata bin-Netherlandiż fl-14 ta’ Jannar 2022 fuq www.kijkopeuropa.nl. Din it-traduzzjoni hija verżjoni simplifikata tar-rapport li fih il-preżentazzjoni oriġinali (illustrazzjonijiet u elementi grafiċi oħra) ġiet modifikata għal skopijiet ta’ traduzzjoni.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Viżjoni tagħna ta’... </w:t>
      </w:r>
    </w:p>
    <w:p>
      <w:pPr>
        <w:pStyle w:val="P68B1DB1Normal126"/>
        <w:widowControl w:val="false"/>
        <w:spacing w:lineRule="auto" w:line="240" w:before="101" w:after="0"/>
        <w:ind w:left="0" w:right="0" w:hanging="0"/>
        <w:jc w:val="left"/>
        <w:rPr>
          <w:rFonts w:ascii="Calibri" w:hAnsi="Calibri"/>
          <w:color w:val="0070C0"/>
          <w:sz w:val="24"/>
        </w:rPr>
      </w:pPr>
      <w:r>
        <w:rPr/>
        <w:t xml:space="preserve">Sommarju tar-rapport: ir-rakkomandazzjonijiet kollha fil-qosor </w:t>
      </w:r>
    </w:p>
    <w:p>
      <w:pPr>
        <w:pStyle w:val="P68B1DB1Normal104"/>
        <w:widowControl w:val="false"/>
        <w:spacing w:lineRule="auto" w:line="240" w:before="109" w:after="0"/>
        <w:ind w:left="0" w:right="0" w:hanging="0"/>
        <w:jc w:val="both"/>
        <w:rPr/>
      </w:pPr>
      <w:r>
        <w:rPr/>
        <w:t xml:space="preserve">Permezz tad-Djalogu taċ-Ċittadini organizzat dwar it-tema “Viżjoni tal-Ewropa”, aħna ġbarna l-fehmiet u l-ideat taċ-ċittadini Netherlandiżi dwar il-futur tal-Ewropa. Dan irriżulta fir-rakkomandazzjonijiet li ġejjin lill-Unjoni Ewropea għall-aħħar erba’ temi (minn disa’ temi identifikati b’kollox). </w:t>
      </w:r>
    </w:p>
    <w:p>
      <w:pPr>
        <w:pStyle w:val="P68B1DB1Normal126"/>
        <w:widowControl w:val="false"/>
        <w:spacing w:lineRule="auto" w:line="240" w:before="108" w:after="0"/>
        <w:ind w:left="0" w:right="0" w:hanging="0"/>
        <w:jc w:val="left"/>
        <w:rPr>
          <w:rFonts w:ascii="Calibri" w:hAnsi="Calibri"/>
          <w:color w:val="0070C0"/>
          <w:sz w:val="24"/>
        </w:rPr>
      </w:pPr>
      <w:r>
        <w:rPr/>
        <w:t xml:space="preserve">It-tibdil fil-klima u l-ambjent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Agħżel direzzjoni ċara għall-approċċ Ewropew għat-tibdil fil-klima</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Jiżguraw li l-pajjiżi u n-negozji jikkooperaw aktar mill-qrib biex isibu soluzzjonijiet immirati 3.</w:t>
      </w:r>
      <w:r>
        <w:rPr/>
        <w:t xml:space="preserve"> </w:t>
      </w:r>
      <w:r>
        <w:rPr>
          <w:rFonts w:ascii="Calibri" w:hAnsi="Calibri"/>
        </w:rPr>
        <w:t>Il-ħolqien ta’ sistema tas-CO2 li tkun ġusta u fattibbli fil-prattika</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Komunikazzjoni b’mod aktar ċar u pożittiv dwar l-approċċ klimatiku</w:t>
      </w:r>
    </w:p>
    <w:p>
      <w:pPr>
        <w:pStyle w:val="P68B1DB1Normal104"/>
        <w:widowControl w:val="false"/>
        <w:spacing w:lineRule="auto" w:line="240" w:before="93" w:after="0"/>
        <w:ind w:left="0" w:right="0" w:hanging="0"/>
        <w:jc w:val="left"/>
        <w:rPr/>
      </w:pPr>
      <w:r>
        <w:rPr/>
        <w:t xml:space="preserve">L-Olandiżi jemmnu li l-UE għandu jkollha rwol ewlieni fil-ġlieda kontra t-tibdil fil-klima. L-Istati Membri għandhom ikunu jistgħu jagħmlu l-għażliet tagħhom stess, iżda xorta waħda għandhom jikkooperaw biex jiksbu l-istess għanijiet. Minflok ma jippuntaw lejn xulxin, il-pajjiżi tal-UE għandhom jiddedikaw aktar enerġija għall-iskambju tal-għarfien u s-sejbien ta’ soluzzjonijiet komuni. Sistema li tintaxxa l-emissjonijiet tas-CO2 tista’ tkun effettiva, iżda għandha tkun ġusta, prattika u ċara wkoll. Bħala regola ġenerali, l-Olandiżi jemmnu li l-UE għandha tikkomunika b’mod aktar effettiv u pożittiv dwar kwistjonijiet klimatiċi. </w:t>
      </w:r>
    </w:p>
    <w:p>
      <w:pPr>
        <w:pStyle w:val="P68B1DB1Normal126"/>
        <w:widowControl w:val="false"/>
        <w:spacing w:lineRule="auto" w:line="240" w:before="108" w:after="0"/>
        <w:ind w:left="0" w:right="0" w:hanging="0"/>
        <w:jc w:val="left"/>
        <w:rPr>
          <w:rFonts w:ascii="Calibri" w:hAnsi="Calibri"/>
          <w:color w:val="0070C0"/>
          <w:sz w:val="24"/>
        </w:rPr>
      </w:pPr>
      <w:r>
        <w:rPr/>
        <w:t xml:space="preserve">Migrazzjoni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Il-prevenzjoni ta’ dibattiti dwar il-kwistjoni tar-refuġjati milli jsiru inqas sfumati</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Definizzjoni ta’ x’inhi distribuzzjoni ġusta u prattika tar-refuġjati</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L-ingranaġġ tal-għarfien u l-esperjenza miksuba biex jiġu megħjuna r-reġjuni minn fejn jiġu r-refuġjati</w:t>
      </w:r>
    </w:p>
    <w:p>
      <w:pPr>
        <w:pStyle w:val="P68B1DB1Normal104"/>
        <w:widowControl w:val="false"/>
        <w:spacing w:lineRule="auto" w:line="240"/>
        <w:ind w:left="0" w:right="0" w:hanging="0"/>
        <w:jc w:val="left"/>
        <w:rPr/>
      </w:pPr>
      <w:r>
        <w:rPr/>
        <w:t xml:space="preserve">L-Olandiżi jemmnu li huwa importanti li ssir distinzjoni bejn in-nies li qed jaħarbu minn żoni perikolużi u r-refuġjati ekonomiċi. Id-dibattiti dwar il-migrazzjoni u l-integrazzjoni spiss ma jkollhomx sfumatura. Sabiex tinkiseb distribuzzjoni ġusta tar-refuġjati fl-Ewropa, jeħtieġ li jkun hemm qbil, fi ħdan l-UE, dwar kriterji ċari li jqisu kemm l-Istati Membri kif ukoll dawk li ħarbu. Fl-aħħar nett, l-Olandiżi jipproponu li l-UE tappoġġa r-reġjuni li minnhom ir-refuġjati jiġu mhux biss finanzjarjament, iżda wkoll permezz tal-għarfien. </w:t>
      </w:r>
    </w:p>
    <w:p>
      <w:pPr>
        <w:pStyle w:val="P68B1DB1Normal126"/>
        <w:widowControl w:val="false"/>
        <w:spacing w:lineRule="auto" w:line="240" w:before="108" w:after="0"/>
        <w:ind w:left="0" w:right="0" w:hanging="0"/>
        <w:jc w:val="left"/>
        <w:rPr>
          <w:rFonts w:ascii="Calibri" w:hAnsi="Calibri"/>
          <w:color w:val="0070C0"/>
          <w:sz w:val="24"/>
        </w:rPr>
      </w:pPr>
      <w:r>
        <w:rPr/>
        <w:t xml:space="preserve">Saħħa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Kontroll aħjar fuq il-ġestjoni ta’ pandemija</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L-iżgurar tad-disponibbiltà ta’ mediċini affordabbli u affidabbli għal kulħadd</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Il-pajjiżi għandhom jiffukaw fuq it-titjib tas-sistemi tas-saħħa tagħhom u jagħmluh aktar ekwu</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rFonts w:ascii="Calibri" w:hAnsi="Calibri"/>
          <w:color w:val="000000"/>
          <w:sz w:val="21"/>
        </w:rPr>
        <w:t xml:space="preserve">L-Olandiżi jemmnu li l-pajjiżi tal-UE jeħtieġ li jikkooperaw aktar biex jiġġieldu kontra pandemija. Il-mod kif tiġi ttrattata l-kriżi tal-coronavirus xi kultant joħloq konfużjoni. Ir-regoli għandhom ikunu aktar konsistenti ma’ xulxin, mingħajr ma jkollhom ikunu l-istess kullimkien. F’dak li għandu x’jaqsam mal-vaċċini jew il-mediċini, l-Olandiżi jridu li l-prezzijiet jibqgħu baxxi kemm jista’ jkun, iżda jridu jkunu jistgħu jiddependu fuq il-kwalità u l-produzzjoni responsabbli. Barra minn hekk, aħna nemmnu li huwa importanti li l-kumpaniji l-kbar ma jabbużawx mill-poter tagħhom, u nemmnu li l-kura tas-saħħa għandha tkompli tkun fil-livell nazzjonali. </w:t>
      </w:r>
      <w:r>
        <w:br w:type="page"/>
      </w:r>
    </w:p>
    <w:p>
      <w:pPr>
        <w:pStyle w:val="P68B1DB1Normal126"/>
        <w:widowControl w:val="false"/>
        <w:spacing w:lineRule="auto" w:line="240"/>
        <w:ind w:left="0" w:right="0" w:hanging="0"/>
        <w:jc w:val="left"/>
        <w:rPr>
          <w:rFonts w:ascii="Calibri" w:hAnsi="Calibri"/>
          <w:color w:val="0070C0"/>
          <w:sz w:val="24"/>
        </w:rPr>
      </w:pPr>
      <w:r>
        <w:rPr/>
        <w:t xml:space="preserve">Ir-rwol tal-UE fid-dinja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L-isfruttar tas-saħħa tal-UE f’temi internazzjonali ewlenin prinċipalment</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Fl-Ewropa u lil hinn minnha, agħżel il-kooperazzjoni aktar milli tiġġieled</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Offerta, b’mod maħsub, għajnuna fil-każ ta’ kunflitt</w:t>
      </w:r>
    </w:p>
    <w:p>
      <w:pPr>
        <w:pStyle w:val="P68B1DB1Normal104"/>
        <w:widowControl w:val="false"/>
        <w:spacing w:lineRule="auto" w:line="240" w:before="84" w:after="0"/>
        <w:ind w:left="0" w:right="0" w:hanging="0"/>
        <w:jc w:val="left"/>
        <w:rPr/>
      </w:pPr>
      <w:r>
        <w:rPr/>
        <w:t xml:space="preserve">L-Olandiżi jemmnu li l-kooperazzjoni Ewropea għandha tiffoka primarjament fuq l-interessi komuni ewlenin. Il-kooperazzjoni tal-UE ma’ pajjiżi terzi għandha tkun ukoll parti minn dan l-approċċ. Minbarra t-tibdil fil-klima u l-pandemija tal-coronavirus, dawn jinkludu, pereżempju, is-sigurtà internazzjonali u l-protezzjoni tal-ekonomija Ewropea minn prattiki kummerċjali inġusti. Ġewwa u barra l-Ewropa, l-Olandiżi jippreferu l-kooperazzjoni biex jitħabtu. F’dak li għandu x’jaqsam mal-approċċ għall-kunflitti, huwa dejjem preferibbli li dawn jiġu solvuti mingħajr ma wieħed jirrikorri għall-vjolenza. </w:t>
      </w:r>
    </w:p>
    <w:p>
      <w:pPr>
        <w:pStyle w:val="P68B1DB1Normal125"/>
        <w:widowControl w:val="false"/>
        <w:spacing w:lineRule="auto" w:line="240" w:before="96" w:after="0"/>
        <w:ind w:left="0" w:right="0" w:hanging="0"/>
        <w:jc w:val="left"/>
        <w:rPr>
          <w:rFonts w:ascii="Calibri" w:hAnsi="Calibri"/>
          <w:b/>
          <w:b/>
          <w:color w:val="0070C0"/>
          <w:sz w:val="32"/>
        </w:rPr>
      </w:pPr>
      <w:r>
        <w:rPr/>
        <w:t xml:space="preserve">Introduzzjoni </w:t>
      </w:r>
    </w:p>
    <w:p>
      <w:pPr>
        <w:pStyle w:val="P68B1DB1Normal104"/>
        <w:widowControl w:val="false"/>
        <w:spacing w:lineRule="auto" w:line="240" w:before="183" w:after="0"/>
        <w:ind w:left="0" w:right="0" w:hanging="0"/>
        <w:jc w:val="left"/>
        <w:rPr/>
      </w:pPr>
      <w:r>
        <w:rPr/>
        <w:t xml:space="preserve">Id-Djalogu taċ-Ċittadini “Viżjoni tal-Ewropa”, li sar mill-1 ta’ Settembru sa nofs Novembru, ippermetta lill-Olandiżi kollha jesprimu l-opinjonijiet u l-ideat tagħhom dwar il-futur tal-Ewropa. Il-Pajjiżi l-Baxxi għandhom jippreżentaw lill-Unjoni Ewropea (UE) ir-rakkomandazzjonijiet li d-djalogu mexxa fuqhom, kif ukoll l-ideat u l-fehmiet espressi. F’dan ir-rapport, aħna nindirizzaw l-aħħar erba’ temi (minn disa’ temi identifikati b’kollox). L-ewwel ħames suġġetti diġà ġew indirizzati fir-rapport ippubblikat fit-3 ta’ Diċembru 2021. </w:t>
      </w:r>
    </w:p>
    <w:p>
      <w:pPr>
        <w:pStyle w:val="P68B1DB1Normal126"/>
        <w:widowControl w:val="false"/>
        <w:spacing w:lineRule="auto" w:line="240" w:before="79" w:after="0"/>
        <w:ind w:left="0" w:right="0" w:hanging="0"/>
        <w:jc w:val="left"/>
        <w:rPr>
          <w:rFonts w:ascii="Calibri" w:hAnsi="Calibri"/>
          <w:color w:val="0070C0"/>
          <w:sz w:val="24"/>
        </w:rPr>
      </w:pPr>
      <w:r>
        <w:rPr/>
        <w:t xml:space="preserve">Dwar il-Viżjoni tal-Ewropa </w:t>
      </w:r>
    </w:p>
    <w:p>
      <w:pPr>
        <w:pStyle w:val="P68B1DB1Normal104"/>
        <w:widowControl w:val="false"/>
        <w:spacing w:lineRule="auto" w:line="240" w:before="78" w:after="0"/>
        <w:ind w:left="0" w:right="0" w:hanging="0"/>
        <w:jc w:val="left"/>
        <w:rPr/>
      </w:pPr>
      <w:r>
        <w:rPr/>
        <w:t xml:space="preserve">L-Unjoni Ewropea trid li ċ-ċittadini tagħha jaqsmu dak li jaħsbu dwar l-Ewropa. Huwa għalhekk li l-UE qed torganizza l-Konferenza dwar il-Futur tal-Ewropa. L-opinjonijiet u l-ideat taċ-ċittadini madwar l-Unjoni Ewropea mbagħad jikkontribwixxu għall-pjanijiet għall-futur tal-Ewropa. Bħala parti mill-konferenza, il-Pajjiżi l-Baxxi organizzaw id-Djalogu taċ-Ċittadini “Viżjoni tal-Ewropa” fil-livell nazzjonali. </w:t>
      </w:r>
    </w:p>
    <w:p>
      <w:pPr>
        <w:pStyle w:val="P68B1DB1Normal104"/>
        <w:widowControl w:val="false"/>
        <w:spacing w:lineRule="auto" w:line="240"/>
        <w:ind w:left="0" w:right="0" w:hanging="0"/>
        <w:jc w:val="left"/>
        <w:rPr/>
      </w:pPr>
      <w:r>
        <w:rPr/>
        <w:t xml:space="preserve">Id-djalogu Viżjoni tal-Ewropa beda fl-1 ta’ Settembru bil-ġabra onlajn ta’ opinjonijiet u ideat permezz ta’ stħarriġ ta’ panel rappreżentattiv. Sabiex napprofondixxu l-ewwel riżultati tal-istħarriġ tal-bord u biex nagħmlu rakkomandazzjonijiet konkreti, organizzajna djalogi tematiċi online. Kull min ried jipparteċipa jista ‘jipparteċipa. Ivvjaġġajna wkoll lill-pajjiż biex norganizzaw diskussjonijiet maż-żgħażagħ u ma’ gruppi oħra (diffiċli biex jintlaħqu).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Mit-tfal tal-iskola, it-tfal tal-iskola sekondarja vokazzjonali u l-istudenti sal-Ministru, il-bdiewa u l-migranti </w:t>
      </w:r>
    </w:p>
    <w:p>
      <w:pPr>
        <w:pStyle w:val="P68B1DB1Normal104"/>
        <w:widowControl w:val="false"/>
        <w:spacing w:lineRule="auto" w:line="240" w:before="91" w:after="0"/>
        <w:ind w:left="0" w:right="0" w:hanging="0"/>
        <w:jc w:val="both"/>
        <w:rPr/>
      </w:pPr>
      <w:r>
        <w:rPr/>
        <w:t xml:space="preserve">F’Ottubru u Novembru, saru total ta’ tmien djalogi tematiċi online, b’medja ta’ 30 parteċipant għal kull laqgħa. Organizzajna wkoll djalogu tematiku online u seba’ djalogi tematiċi fuq il-post ma’ gruppi differenti ta’ ċittadini Netherlandiżi. Tkellimna mal-komunità Torka fi Schiedam u konna mistiedna mill-voluntiera tal-Fondazzjoni Piëzo f’Zoetermeer. Fl-aħħar okkażjoni, il-Ministru tal-Affarijiet Barranin Ben Knapen kien preżenti wkoll fi tmiem id-djalogu. Il-Ministru kellu diskussjoni mal-parteċipanti dwar id-djalogu u l-fehmiet espressi dwar il-futur tal-Ewropa. Fl-aħħar nett, organizzajna sitt laqgħat ma’ gruppi differenti ta’ żgħażagħ. Pereżempju, konna milqugħa fi skola sekondarja f’Helmond, skola sekondarja vokazzjonali f’Doetinchem u l-Università ta’ Leiden. </w:t>
      </w:r>
    </w:p>
    <w:p>
      <w:pPr>
        <w:pStyle w:val="P68B1DB1Normal113"/>
        <w:widowControl w:val="false"/>
        <w:spacing w:lineRule="auto" w:line="240" w:before="160" w:after="0"/>
        <w:ind w:left="0" w:right="0" w:hanging="0"/>
        <w:jc w:val="center"/>
        <w:rPr/>
      </w:pPr>
      <w:r>
        <w:rPr/>
        <w:t xml:space="preserve">Dan huwa l-futur ta ‘tfal tagħna. C’est pourquoi naħseb li huwa importanti li jipparteċipaw. </w:t>
      </w:r>
    </w:p>
    <w:p>
      <w:pPr>
        <w:pStyle w:val="P68B1DB1Normal104"/>
        <w:widowControl w:val="false"/>
        <w:spacing w:lineRule="auto" w:line="240" w:before="127" w:after="0"/>
        <w:ind w:left="0" w:right="0" w:hanging="0"/>
        <w:jc w:val="left"/>
        <w:rPr>
          <w:rFonts w:ascii="Calibri" w:hAnsi="Calibri"/>
          <w:color w:val="000000"/>
          <w:sz w:val="21"/>
        </w:rPr>
      </w:pPr>
      <w:r>
        <w:rPr/>
        <w:t xml:space="preserve">Parteċipant fid-djalogu tematiku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Dwar dan ir-rapport </w:t>
      </w:r>
    </w:p>
    <w:p>
      <w:pPr>
        <w:pStyle w:val="P68B1DB1Normal104"/>
        <w:widowControl w:val="false"/>
        <w:spacing w:lineRule="auto" w:line="240" w:before="88" w:after="0"/>
        <w:ind w:left="0" w:right="0" w:hanging="0"/>
        <w:jc w:val="left"/>
        <w:rPr/>
      </w:pPr>
      <w:r>
        <w:rPr/>
        <w:t xml:space="preserve">Fuq il-bażi ta’ l-ideat u l-opinjonijiet li ġbarna f’dawn l-aħħar xhur, ħejjejna sensiela ta’ rakkomandazzjonijiet li ċ-ċittadini Olandiżi jagħmlu lill-Unjoni Ewropea. Matul id-diskussjonijiet bejn iċ-ċittadini Olandiżi, saru skambji interessanti ta’ fehmiet u saru ideat u suġġerimenti innovattivi. Xi wħud minn dawn l-ideat u suġġerimenti ġew inkorporati f’dan ir-rapport. Il-kontenut ta’ dan ir-rapport huwa għalhekk il-vuċi tal-Pajjiżi l-Baxxi: il-viżjoni tagħna tal-Ewropa.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Hekk kif hemm differenzi ta’ fehmiet bejn il-pajjiżi u ċ-ċittadini Ewropej, aħna wkoll mhux dejjem naqblu ma’ xulxin fl-Olanda. Dawn id-differenzi ta’ fehmiet, preċiżament, huma ta’ valur: dawn huma karatteristika importanti ta’ demokrazija. Ir-rakkomandazzjonijiet huma meħuda mill-ideat u l-opinjonijiet l-aktar espressi ta’ spiss tal-parteċipanti fl-istħarriġ Viżjoni tal-Ewropa. Aħna niddeskrivu wkoll tħassib, ideat u sentimenti li jistgħu jkunu inqas mifruxa, iżda li ġibdu l-attenzjoni tagħna matul id-djalogi u l-istħarriġ online. </w:t>
      </w:r>
    </w:p>
    <w:p>
      <w:pPr>
        <w:pStyle w:val="P68B1DB1Normal113"/>
        <w:widowControl w:val="false"/>
        <w:spacing w:lineRule="auto" w:line="240" w:before="181" w:after="0"/>
        <w:ind w:left="0" w:right="0" w:hanging="0"/>
        <w:jc w:val="center"/>
        <w:rPr/>
      </w:pPr>
      <w:r>
        <w:rPr/>
        <w:t xml:space="preserve">I jgawdu jkunu jistgħu jagħtu l-opinjoni tiegħi dwar suġġetti li naħseb huma importanti. U li kellhom l-sentiment li jinstemgħu. </w:t>
      </w:r>
    </w:p>
    <w:p>
      <w:pPr>
        <w:pStyle w:val="P68B1DB1Normal104"/>
        <w:widowControl w:val="false"/>
        <w:spacing w:lineRule="auto" w:line="240" w:before="300" w:after="0"/>
        <w:ind w:left="0" w:right="0" w:hanging="0"/>
        <w:jc w:val="left"/>
        <w:rPr>
          <w:rFonts w:ascii="Calibri" w:hAnsi="Calibri"/>
          <w:color w:val="000000"/>
          <w:sz w:val="21"/>
        </w:rPr>
      </w:pPr>
      <w:r>
        <w:rPr/>
        <w:t xml:space="preserve">Parteċipant fid-djalogu tematiku </w:t>
      </w:r>
    </w:p>
    <w:p>
      <w:pPr>
        <w:pStyle w:val="P68B1DB1Normal104"/>
        <w:widowControl w:val="false"/>
        <w:spacing w:lineRule="auto" w:line="240"/>
        <w:ind w:left="0" w:right="0" w:hanging="0"/>
        <w:jc w:val="left"/>
        <w:rPr/>
      </w:pPr>
      <w:r>
        <w:rPr/>
        <w:t xml:space="preserve">Ġew identifikati disa’ temi għall-Konferenza dwar il-Futur tal-Ewropa. Dawn it-temi huma wkoll fil-qalba tad-djalogu Viżjoni ta’ l-Ewropa maċ-ċittadini Olandiżi. F’Ottubru, aħna ppubblikajna rapport interim li jagħti ħarsa ġenerali inizjali lejn ir-riżultati u l-mistoqsijiet komplementari bbażati fuq l-istħarriġ tal-bord. Fil-bidu ta’ Diċembru, ġie ppubblikat rapport ġdid li jippreżenta opinjonijiet, ideat u rakkomandazzjonijiet dwar l-ewwel ħames temi. Dan ir-rapport jindirizza l-erba’ temi li fadal.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Rapport preċedenti — Diċembru 2021 </w:t>
      </w:r>
    </w:p>
    <w:p>
      <w:pPr>
        <w:pStyle w:val="P68B1DB1Normal104"/>
        <w:widowControl w:val="false"/>
        <w:spacing w:lineRule="auto" w:line="240"/>
        <w:ind w:left="0" w:right="0" w:hanging="0"/>
        <w:jc w:val="left"/>
        <w:rPr>
          <w:rFonts w:ascii="Calibri" w:hAnsi="Calibri"/>
          <w:color w:val="000000"/>
          <w:sz w:val="21"/>
        </w:rPr>
      </w:pPr>
      <w:r>
        <w:rPr/>
        <w:t xml:space="preserve">Il-valuri u d-drittijiet, l-istat tad-dritt u s-sigurtà </w:t>
      </w:r>
    </w:p>
    <w:p>
      <w:pPr>
        <w:pStyle w:val="P68B1DB1Normal104"/>
        <w:widowControl w:val="false"/>
        <w:spacing w:lineRule="auto" w:line="240"/>
        <w:ind w:left="0" w:right="0" w:hanging="0"/>
        <w:jc w:val="left"/>
        <w:rPr/>
      </w:pPr>
      <w:r>
        <w:rPr/>
        <w:t xml:space="preserve">Ekonomija aktar b’saħħitha, ġustizzja soċjali u impjiegi Demokrazija Ewropea </w:t>
      </w:r>
    </w:p>
    <w:p>
      <w:pPr>
        <w:pStyle w:val="P68B1DB1Normal104"/>
        <w:widowControl w:val="false"/>
        <w:spacing w:lineRule="auto" w:line="240"/>
        <w:ind w:left="0" w:right="0" w:hanging="0"/>
        <w:jc w:val="left"/>
        <w:rPr>
          <w:rFonts w:ascii="Calibri" w:hAnsi="Calibri"/>
          <w:color w:val="000000"/>
          <w:sz w:val="21"/>
        </w:rPr>
      </w:pPr>
      <w:r>
        <w:rPr/>
        <w:t xml:space="preserve">Trasformazzjoni diġitali </w:t>
      </w:r>
    </w:p>
    <w:p>
      <w:pPr>
        <w:pStyle w:val="P68B1DB1Normal104"/>
        <w:widowControl w:val="false"/>
        <w:spacing w:lineRule="auto" w:line="240"/>
        <w:ind w:left="0" w:right="0" w:hanging="0"/>
        <w:jc w:val="left"/>
        <w:rPr>
          <w:rFonts w:ascii="Calibri" w:hAnsi="Calibri"/>
          <w:color w:val="000000"/>
          <w:sz w:val="21"/>
        </w:rPr>
      </w:pPr>
      <w:r>
        <w:rPr/>
        <w:t xml:space="preserve">L-edukazzjoni, il-kultura, iż-żgħażagħ u l-isport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Rapport attwali — Jannar 2022</w:t>
      </w:r>
    </w:p>
    <w:p>
      <w:pPr>
        <w:pStyle w:val="P68B1DB1Normal104"/>
        <w:widowControl w:val="false"/>
        <w:spacing w:lineRule="auto" w:line="240"/>
        <w:ind w:left="0" w:right="0" w:hanging="0"/>
        <w:jc w:val="left"/>
        <w:rPr/>
      </w:pPr>
      <w:r>
        <w:rPr/>
        <w:t xml:space="preserve">It-tibdil fil-klima u l-ambjent </w:t>
      </w:r>
    </w:p>
    <w:p>
      <w:pPr>
        <w:pStyle w:val="P68B1DB1Normal104"/>
        <w:widowControl w:val="false"/>
        <w:spacing w:lineRule="auto" w:line="240"/>
        <w:ind w:left="0" w:right="0" w:hanging="0"/>
        <w:jc w:val="left"/>
        <w:rPr>
          <w:rFonts w:ascii="Calibri" w:hAnsi="Calibri"/>
          <w:color w:val="000000"/>
          <w:sz w:val="21"/>
        </w:rPr>
      </w:pPr>
      <w:r>
        <w:rPr/>
        <w:t xml:space="preserve">Migrazzjoni </w:t>
      </w:r>
    </w:p>
    <w:p>
      <w:pPr>
        <w:pStyle w:val="P68B1DB1Normal104"/>
        <w:widowControl w:val="false"/>
        <w:spacing w:lineRule="auto" w:line="240"/>
        <w:ind w:left="0" w:right="0" w:hanging="0"/>
        <w:jc w:val="left"/>
        <w:rPr>
          <w:rFonts w:ascii="Calibri" w:hAnsi="Calibri"/>
          <w:color w:val="000000"/>
          <w:sz w:val="21"/>
        </w:rPr>
      </w:pPr>
      <w:r>
        <w:rPr/>
        <w:t xml:space="preserve">Saħħa </w:t>
      </w:r>
    </w:p>
    <w:p>
      <w:pPr>
        <w:pStyle w:val="P68B1DB1Normal104"/>
        <w:widowControl w:val="false"/>
        <w:spacing w:lineRule="auto" w:line="240"/>
        <w:ind w:left="0" w:right="0" w:hanging="0"/>
        <w:jc w:val="left"/>
        <w:rPr>
          <w:rFonts w:ascii="Calibri" w:hAnsi="Calibri"/>
          <w:color w:val="000000"/>
          <w:sz w:val="21"/>
        </w:rPr>
      </w:pPr>
      <w:r>
        <w:rPr/>
        <w:t xml:space="preserve">L-UE fid-dinja </w:t>
      </w:r>
    </w:p>
    <w:p>
      <w:pPr>
        <w:pStyle w:val="P68B1DB1Normal126"/>
        <w:widowControl w:val="false"/>
        <w:spacing w:lineRule="auto" w:line="240" w:before="105" w:after="0"/>
        <w:ind w:left="0" w:right="0" w:hanging="0"/>
        <w:jc w:val="left"/>
        <w:rPr>
          <w:rFonts w:ascii="Calibri" w:hAnsi="Calibri"/>
          <w:color w:val="0070C0"/>
          <w:sz w:val="24"/>
        </w:rPr>
      </w:pPr>
      <w:r>
        <w:rPr/>
        <w:t xml:space="preserve">Il-passi li jmiss </w:t>
      </w:r>
    </w:p>
    <w:p>
      <w:pPr>
        <w:pStyle w:val="Normal"/>
        <w:widowControl w:val="false"/>
        <w:spacing w:lineRule="auto" w:line="240" w:before="107" w:after="0"/>
        <w:ind w:left="0" w:right="0" w:hanging="0"/>
        <w:jc w:val="left"/>
        <w:rPr/>
      </w:pPr>
      <w:r>
        <w:rPr>
          <w:rFonts w:ascii="Calibri" w:hAnsi="Calibri"/>
          <w:color w:val="000000"/>
          <w:sz w:val="21"/>
        </w:rPr>
        <w:t xml:space="preserve">Il-Konferenza dwar il-Futur tal-Ewropa tiġbor flimkien l-ideat, l-opinjonijiet u r-rakkomandazzjonijiet taċ-ċittadini kollha tal-UE. Il-laqgħat se jkunu ddedikati mhux biss għar-riżultati tad-djalogi kollha taċ-ċittadini fil-livell nazzjonali, iżda wkoll għar-riżultati ta’ inizjattivi oħra mnedija fil-kuntest tal-konferenza. Pereżempju, hemm ukoll panels ta’ ċittadini Ewropej, u ċ-ċittadini kollha tal-UE (inklużi ċ-ċittadini Netherlandiżi) jistgħu jaċċessaw pjattaforma diġitali Ewropea.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Nittama li l-mexxejja tal-UE jqisu l-fehma tiegħi. U li se tgħinhom jagħmlu l-għażliet it-tajba. </w:t>
      </w:r>
    </w:p>
    <w:p>
      <w:pPr>
        <w:pStyle w:val="P68B1DB1Normal104"/>
        <w:widowControl w:val="false"/>
        <w:spacing w:lineRule="auto" w:line="240" w:before="300" w:after="0"/>
        <w:ind w:left="0" w:right="0" w:hanging="0"/>
        <w:jc w:val="left"/>
        <w:rPr>
          <w:rFonts w:ascii="Calibri" w:hAnsi="Calibri"/>
          <w:color w:val="000000"/>
          <w:sz w:val="21"/>
        </w:rPr>
      </w:pPr>
      <w:r>
        <w:rPr/>
        <w:t xml:space="preserve">Parteċipant fid-djalogu tematiku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Il-konferenza se tintemm fir-rebbiegħa tal-2022. Il-Pajjiżi l-Baxxi mbagħad se jfasslu rapport finali dwar id-Djalogu taċ-Ċittadini: kompilazzjoni ta’ dan ir-rapport u r-rapport preċedenti, inklużi rakkomandazzjonijiet għad-disa’ temi kollha. Wara l-Konferenza, se jsiru rakkomandazzjonijiet lill-President tal-Konferenza: il-Presidenti tal-Parlament Ewropew, tal-Kunsill tal-Ministri u tal-Kummissjoni Ewropea. Huma impenjaw ruħhom li jesploraw modi u mezzi ta’ implimentazzjoni tar-rakkomandazzjonijiet. Għall-Gvern Olandiż, ir-riżultati huma wkoll kontribut siewi għall-iżvilupp tal-politiki Ewropej tal-Pajjiżi l-Baxxi.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Fil-qosor, il-proċess sar-rebbiegħa tal-2022 se jiġi organizzat kif ġej: </w:t>
      </w:r>
      <w:r>
        <w:br w:type="page"/>
      </w:r>
    </w:p>
    <w:p>
      <w:pPr>
        <w:pStyle w:val="P68B1DB1Normal127"/>
        <w:widowControl w:val="false"/>
        <w:spacing w:lineRule="auto" w:line="240" w:before="0" w:after="0"/>
        <w:ind w:left="0" w:right="0" w:hanging="0"/>
        <w:jc w:val="left"/>
        <w:rPr/>
      </w:pPr>
      <w:r>
        <w:rPr>
          <w:color w:val="0070C0"/>
          <w:sz w:val="24"/>
        </w:rPr>
        <w:t>Kronoloġija</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Viżjoni ta’ l-Ewropa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L-1 ta’ Settembru</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ta’ Ottubru</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22/23 ta’ Ottubru</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ta’ Novembru</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ta’ Diċembru</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ta’ Jannar</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21/22 ta’ Jannar</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Frar ta’ Frar</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18/19 ta’ Frar</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11–12 ta’ Marzu</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22/24 ta’ April</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Ġbir ta’ ideat online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Djalogi tematiċi</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Riżultati intermedji (rapport intermedju)</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Rapport interim dwar “Ekonomija” u “Demokrazija”</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Rapport interim dwar “Klima” u “L-UE fid-dinja”</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Rapport Finali “Il-Viżjoni Tagħna għall-Ewropa”</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L-EWWEL NETT,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L-EWWEL NETT,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L-EWWEL NETT,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L-EWWEL NETT,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L-EWWEL NETT,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Laqgħa tal-Konferenza</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Laqgħa tal-Konferenza</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Laqgħa ta’ </w:t>
              <w:br/>
              <w:t>il-konferenza</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laqgħa (possibilment) tal-konferenza</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Avveniment tal-għeluq tal-konferenza</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Rakkomandazzjonijiet għall-Presidenti </w:t>
            </w:r>
          </w:p>
          <w:p>
            <w:pPr>
              <w:pStyle w:val="P68B1DB1Contenudetableau128"/>
              <w:spacing w:before="57" w:after="57"/>
              <w:jc w:val="left"/>
              <w:rPr>
                <w:color w:val="000000"/>
                <w:sz w:val="14"/>
              </w:rPr>
            </w:pPr>
            <w:r>
              <w:rPr/>
              <w:t xml:space="preserve">• </w:t>
            </w:r>
            <w:r>
              <w:rPr/>
              <w:t xml:space="preserve">Il-Parlament Ewropew </w:t>
              <w:br/>
              <w:t xml:space="preserve">• Il-Kummissjoni Ewropea </w:t>
              <w:br/>
              <w:t>• Kunsill tal-Ministri</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Aktar opinjonijiet u ideat dwar il-futur tal-Ewropa:</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Djalogi maċ-ċittadini</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Il-Panels taċ-Ċittadini Ewropej</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Pjattaforma Diġitali Ewropea (anke għaċ-ċittadini Netherlandiżi)</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Spjegazzjonijiet biex jiġi ffaċilitat il-qari </w:t>
      </w:r>
    </w:p>
    <w:p>
      <w:pPr>
        <w:pStyle w:val="P68B1DB1Normal104"/>
        <w:widowControl w:val="false"/>
        <w:spacing w:lineRule="exact" w:line="281" w:before="116" w:after="0"/>
        <w:ind w:left="0" w:right="772" w:hanging="0"/>
        <w:jc w:val="left"/>
        <w:rPr/>
      </w:pPr>
      <w:r>
        <w:rPr/>
        <w:t xml:space="preserve">F’dan ir-rapport, iddiskutejna erba’ temi. Għal kull tema, aħna inklużi suċċessivament: </w:t>
      </w:r>
    </w:p>
    <w:p>
      <w:pPr>
        <w:pStyle w:val="P68B1DB1Normal104"/>
        <w:widowControl w:val="false"/>
        <w:spacing w:lineRule="exact" w:line="339" w:before="1" w:after="0"/>
        <w:ind w:left="0" w:right="0" w:hanging="0"/>
        <w:jc w:val="left"/>
        <w:rPr>
          <w:rFonts w:ascii="Calibri" w:hAnsi="Calibri"/>
          <w:color w:val="000000"/>
          <w:sz w:val="21"/>
        </w:rPr>
      </w:pPr>
      <w:r>
        <w:rPr/>
        <w:t xml:space="preserve">rakkomandazzjonijiet ibbażati fuq l-aspetti kollha tad-Djalogu taċ-Ċittadini; </w:t>
      </w:r>
    </w:p>
    <w:p>
      <w:pPr>
        <w:pStyle w:val="P68B1DB1Normal104"/>
        <w:widowControl w:val="false"/>
        <w:spacing w:lineRule="exact" w:line="283"/>
        <w:ind w:left="0" w:right="137" w:hanging="0"/>
        <w:jc w:val="left"/>
        <w:rPr/>
      </w:pPr>
      <w:r>
        <w:rPr/>
        <w:t xml:space="preserve">diskussjonijiet u ideat online u fuq il-post: ħarsa ġenerali lejn l-opinjonijiet, l-ideat u l-fehmiet skambjati (onlajn u bi preżenza fiżika) matul id-djalogi tematiċi.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Deskrizzjoni tal-metodoloġija użata fl-istħarriġ tista’ tinstab fl-aħħar ta’ dan ir-rapport.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It-tibdil fil-klima u l-ambjent </w:t>
      </w:r>
    </w:p>
    <w:p>
      <w:pPr>
        <w:pStyle w:val="P68B1DB1Normal126"/>
        <w:widowControl w:val="false"/>
        <w:spacing w:lineRule="auto" w:line="240" w:before="48" w:after="0"/>
        <w:ind w:left="0" w:right="0" w:hanging="0"/>
        <w:jc w:val="left"/>
        <w:rPr>
          <w:rFonts w:ascii="Calibri" w:hAnsi="Calibri"/>
          <w:color w:val="0070C0"/>
          <w:sz w:val="24"/>
        </w:rPr>
      </w:pPr>
      <w:r>
        <w:rPr/>
        <w:t xml:space="preserve">Rakkomandazzjonijiet — Il-viżjoni tagħna għat-tibdil fil-klima u l-ambjent </w:t>
      </w:r>
    </w:p>
    <w:p>
      <w:pPr>
        <w:pStyle w:val="P68B1DB1Normal120"/>
        <w:widowControl w:val="false"/>
        <w:spacing w:lineRule="auto" w:line="240" w:before="61" w:after="0"/>
        <w:ind w:left="0" w:right="0" w:hanging="0"/>
        <w:jc w:val="left"/>
        <w:rPr/>
      </w:pPr>
      <w:r>
        <w:rPr/>
        <w:t xml:space="preserve">71 % tal-Olandiżi jemmnu li t-tibdil fil-klima u l-ambjent huma kwistjoni importanti u li l-UE għandha tintervjeni f’dan il-qasam. </w:t>
      </w:r>
    </w:p>
    <w:p>
      <w:pPr>
        <w:pStyle w:val="P68B1DB1Normal110"/>
        <w:widowControl w:val="false"/>
        <w:spacing w:lineRule="auto" w:line="240" w:before="57" w:after="0"/>
        <w:ind w:left="0" w:right="0" w:hanging="0"/>
        <w:jc w:val="left"/>
        <w:rPr/>
      </w:pPr>
      <w:r>
        <w:rPr>
          <w:b/>
        </w:rPr>
        <w:t xml:space="preserve">1. L-għażla ta’ direzzjoni ċara għall-approċċ Ewropew għat-tibdil fil-klima </w:t>
      </w:r>
      <w:r>
        <w:rPr>
          <w:sz w:val="21"/>
        </w:rPr>
        <w:t xml:space="preserve">68 % tan-Netherlands jemmnu li l-UE għandu jkollha rwol ewlieni fil-ġlieda kontra t-tibdil fil-klima. It-tisħin globali hija problema u l-ebda pajjiż ma jista’ jsolvih waħdu. Anke jekk l-Olandiżi mhux kollha jaqblu dwar it-tibdil fil-klima, aħna nemmnu li l-UE għandu jkollha viżjoni aktar ċara tal-futur xorta waħda. Minkejja l-Patt Ekoloġiku, fil-preżent naraw li l-Istati Membri spiss ma jkunux allinjati. Filwaqt li l-pajjiżi għandhom ikunu jistgħu jkomplu jagħmlu l-għażliet tagħhom stess, huma għandhom madankollu jikkooperaw biex jiksbu l-istess għanijiet. Aħna nemmnu wkoll li, bħala ċittadini, għandna wkoll is-sehem tagħna ta’ responsabbiltà, pereżempju f’termini ta’ adattament tad-drawwiet tal-konsum tagħna. </w:t>
      </w:r>
    </w:p>
    <w:p>
      <w:pPr>
        <w:pStyle w:val="P68B1DB1Normal113"/>
        <w:widowControl w:val="false"/>
        <w:spacing w:lineRule="auto" w:line="240" w:before="135" w:after="0"/>
        <w:ind w:left="0" w:right="0" w:hanging="0"/>
        <w:jc w:val="center"/>
        <w:rPr/>
      </w:pPr>
      <w:r>
        <w:rPr/>
        <w:t xml:space="preserve">Il-Pajjiżi l-Baxxi jridu jabbandunaw il-gass naturali, filwaqt li fil-Ġermanja huma mħeġġa jużawh b’mod preċiż. Xi kultant huwa li ma jifhmu xejn. </w:t>
      </w:r>
    </w:p>
    <w:p>
      <w:pPr>
        <w:pStyle w:val="P68B1DB1Normal111"/>
        <w:widowControl w:val="false"/>
        <w:spacing w:lineRule="auto" w:line="240" w:before="109" w:after="0"/>
        <w:ind w:left="0" w:right="0" w:hanging="0"/>
        <w:jc w:val="left"/>
        <w:rPr/>
      </w:pPr>
      <w:r>
        <w:rPr/>
        <w:t xml:space="preserve">2. Jiġi żgurat li l-pajjiżi u n-negozji jikkooperaw aktar mill-qrib biex isibu soluzzjonijiet immirati </w:t>
      </w:r>
    </w:p>
    <w:p>
      <w:pPr>
        <w:pStyle w:val="P68B1DB1Normal104"/>
        <w:widowControl w:val="false"/>
        <w:spacing w:lineRule="auto" w:line="240"/>
        <w:ind w:left="0" w:right="0" w:hanging="0"/>
        <w:jc w:val="left"/>
        <w:rPr/>
      </w:pPr>
      <w:r>
        <w:rPr/>
        <w:t xml:space="preserve">F’dak li għandu x’jaqsam mat-tibdil fil-klima u l-ambjent, l-Olandiżi jsibu li l-pajjiżi spiss jippuntaw subgħajhom. L-enfasi hija ta’ spiss fuq id-differenzi, pereżempju bejn pajjiżi foqra u għonja fi ħdan l-UE. Jew bejn pajjiżi industrijalizzati ħafna jew industrijalizzati b’mod dgħajjef. Nippreferi nippruvaw nilħqu ftehim. Pereżempju, kumpaniji simili f’pajjiżi differenti jistgħu jiskambjaw l-għarfien u jaħsbu flimkien dwar is-soluzzjonijiet. Jekk dan isir, il-pajjiżi l-fqar jistgħu jkunu aktar involuti fl-approċċ lejn it-tibdil fil-klima. Huma jistgħu jipparteċipaw fir-riflessjoni u jistgħu wkoll jieħdu vantaġġ minn soluzzjonijiet komuni. </w:t>
      </w:r>
    </w:p>
    <w:p>
      <w:pPr>
        <w:pStyle w:val="P68B1DB1Normal113"/>
        <w:widowControl w:val="false"/>
        <w:spacing w:lineRule="auto" w:line="240" w:before="143" w:after="0"/>
        <w:ind w:left="0" w:right="0" w:hanging="0"/>
        <w:jc w:val="center"/>
        <w:rPr/>
      </w:pPr>
      <w:r>
        <w:rPr/>
        <w:t xml:space="preserve">L-approċċ lejn it-tibdil fil-klima m’għandux ikun tellieqa, iżda kooperazzjoni.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Il-ħolqien ta’ sistema tas-CO2 li tkun ġusta u fattibbli fil-prattika </w:t>
      </w:r>
    </w:p>
    <w:p>
      <w:pPr>
        <w:pStyle w:val="P68B1DB1Normal104"/>
        <w:widowControl w:val="false"/>
        <w:spacing w:lineRule="auto" w:line="240"/>
        <w:ind w:left="0" w:right="0" w:hanging="0"/>
        <w:jc w:val="left"/>
        <w:rPr/>
      </w:pPr>
      <w:r>
        <w:rPr/>
        <w:t xml:space="preserve">L-approċċ ta’ l-UE għat-tibdil fil-klima jagħti ħafna attenzjoni lit-tnaqqis ta’ l-emissjonijiet tas-CO2. L-Olandiżi jqisu li hemm bżonn ta’ sistema aħjar għal dan il-għan, li tippermetti kemm lill-produtturi kif ukoll lill-konsumaturi li jiġu ntaxxati b’mod ġust. L-Olandiżi huma maqsuma dwar jekk il-pajjiżi bl-akbar abitanti għandhomx id-dritt li jarmu aktar CO2. Xi pajjiżi, pereżempju, għandhom industrija li tniġġes ħafna. Min-naħa l-oħra, pajjiżi oħra għandhom ħafna opportunitajiet biex jipproduċu enerġija ekoloġika. Dawn id-differenzi għandhom jitqiesu. Mingħajr ma dan isir kumpless wisq, minħabba li s-sistema trid tkun tinftiehem minn kulħadd. </w:t>
      </w:r>
    </w:p>
    <w:p>
      <w:pPr>
        <w:pStyle w:val="P68B1DB1Normal129"/>
        <w:widowControl w:val="false"/>
        <w:spacing w:lineRule="auto" w:line="240" w:before="135" w:after="0"/>
        <w:ind w:left="0" w:right="0" w:hanging="0"/>
        <w:jc w:val="center"/>
        <w:rPr/>
      </w:pPr>
      <w:r>
        <w:rPr>
          <w:sz w:val="26"/>
        </w:rPr>
        <w:t>Pajjiżi industrijalizzati jesportaw ħafna. Għalhekk għandhom iġorru biss it-taxxa fuq is-</w:t>
      </w:r>
      <w:r>
        <w:rPr>
          <w:position w:val="0"/>
          <w:sz w:val="17"/>
        </w:rPr>
        <w:t>CO2</w:t>
      </w:r>
      <w:r>
        <w:rPr>
          <w:sz w:val="26"/>
        </w:rPr>
        <w:t xml:space="preserve">? Fil-fehma tiegħi, il-konsumatur għandu jħallas ukoll.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Jikkomunikaw b’mod aktar ċar u pożittiv dwar l-approċċ klimatiku </w:t>
      </w:r>
      <w:r>
        <w:rPr>
          <w:sz w:val="21"/>
        </w:rPr>
        <w:t xml:space="preserve">Il-poplu Netherlandiż jisma’ ħafna dwar it-tibdil fil-klima u jaqra ħafna dwaru. Madankollu, dan jibqa’ suġġett astratt u kumpless għal ħafna nies. Ħafna drabi jitqies bħala xi ħaġa li tiswa ħafna flus, filwaqt li l-approċċ għat-tibdil fil-klima joħloq ukoll opportunitajiet. Qed naħsbu, pereżempju, li nistimulaw il-produzzjoni lokali tal-ikel u niżviluppaw teknoloġiji ġodda u sostenibbli. L-UE tista’ tesponi dan l-aspett aktar ta’ spiss u b’mod aktar effettiv. Aħna nemmnu wkoll li l-Kapijiet ta’ Gvern tal-Istati Membri jistgħu huma stess jagħtu eżempju aħjar. L-ivvjaġġar inqas — pereżempju bejn Brussell u Strasburgu — u l-laqgħa aktar ta’ spiss online jistgħu, pereżempju, jikkontribwixxu għall-appoġġ tas-sostenibbiltà. </w:t>
      </w:r>
    </w:p>
    <w:p>
      <w:pPr>
        <w:pStyle w:val="P68B1DB1Normal113"/>
        <w:widowControl w:val="false"/>
        <w:spacing w:lineRule="auto" w:line="240" w:before="61" w:after="0"/>
        <w:ind w:left="0" w:right="0" w:hanging="0"/>
        <w:jc w:val="center"/>
        <w:rPr/>
      </w:pPr>
      <w:r>
        <w:rPr/>
        <w:t xml:space="preserve">Is-sostenibbiltà ta’ spiss għadha meqjusa bħala spiża. Għandha titqies bħala opportunità u mhux bħala theddida. </w:t>
      </w:r>
    </w:p>
    <w:p>
      <w:pPr>
        <w:pStyle w:val="P68B1DB1Normal126"/>
        <w:widowControl w:val="false"/>
        <w:spacing w:lineRule="auto" w:line="240" w:before="129" w:after="0"/>
        <w:ind w:left="0" w:right="0" w:hanging="0"/>
        <w:jc w:val="left"/>
        <w:rPr>
          <w:rFonts w:ascii="Calibri" w:hAnsi="Calibri"/>
          <w:color w:val="0070C0"/>
          <w:sz w:val="24"/>
        </w:rPr>
      </w:pPr>
      <w:r>
        <w:rPr/>
        <w:t xml:space="preserve">Diskussjonijiet u ideat online u fuq il-post </w:t>
      </w:r>
    </w:p>
    <w:p>
      <w:pPr>
        <w:pStyle w:val="P68B1DB1Normal129"/>
        <w:widowControl w:val="false"/>
        <w:spacing w:lineRule="auto" w:line="240" w:before="78" w:after="0"/>
        <w:ind w:left="0" w:right="0" w:hanging="0"/>
        <w:jc w:val="left"/>
        <w:rPr/>
      </w:pPr>
      <w:r>
        <w:rPr>
          <w:sz w:val="21"/>
        </w:rPr>
        <w:t>M’għandniex inqisu l-emissjonijiet tas-</w:t>
      </w:r>
      <w:r>
        <w:rPr>
          <w:position w:val="0"/>
          <w:sz w:val="14"/>
        </w:rPr>
        <w:t>CO2</w:t>
      </w:r>
      <w:r>
        <w:rPr>
          <w:sz w:val="21"/>
        </w:rPr>
        <w:t xml:space="preserve"> bħala dritt, iżda bħala korollarju stramb.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Għandi l-impressjoni li fl-Ewropa, inqattgħu aktar ħin nitkellmu dwar it-tibdil fil-klima milli nieħdu azzjoni reali biex nindirizzawha.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Fl-aħħar mill-aħħar, regoli aktar stretti dwar il-klima jistgħu wkoll ikunu ta’ benefiċċju għalina. Bħala kontinent involut fil-kummerċ, irridu nippruvaw naraw l-opportunitajiet hemmhekk.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Ma nistgħux nistennew għal kontinenti oħra. M’għandniex ħin biex nistennew.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IDEA:</w:t>
      </w:r>
      <w:r>
        <w:rPr>
          <w:i/>
        </w:rPr>
        <w:t xml:space="preserve"> Il-pajjiżi jiġu ppremjati finanzjarjament jekk juru li n-natura u l-bijodiversità tagħhom qed jiżdiedu.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IDEA:</w:t>
      </w:r>
      <w:r>
        <w:rPr>
          <w:i/>
        </w:rPr>
        <w:t xml:space="preserve"> “L-istimolu ta’ turiżmu favur in-natura f’reġjuni foqra tal-UE.”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Doetinchem Studenti tal-Iskola Sekondarja Vokazzjonali: Il-vjaġġi mill-bogħod għandhom jibqgħu aċċessibbli għal kulħadd.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It-teżi li t-titjiriet fl-UE għandhom isiru aktar għaljin ġiet ippreżentata lill-istudenti fil-Kulleġġ Graafschap f’Doetinchem. Xi studenti qablu li biljetti aktar għaljin jinkoraġġixxu lin-nies biex ifittxu alternattivi orħos. Barra minn hekk, ġie enfasizzat li l-UE għandha mbagħad tiżgura għażliet li ma jagħmlux ħsara lill-ambjent, bħal konnessjonijiet ferrovjarji aħjar. Parteċipanti oħra indikaw li ma kinux favur prezzijiet tal-ajru ogħla. “In-nies sinjuri huma dawk li jivvjaġġaw l-aktar illum u se jkunu jistgħu jħallsu għaliha faċilment,” qal parteċipant wieħed. Prezzijiet għoljin mhux se jwaqqfuhom milli jivvjaġġaw. Filwaqt li l-vaganzi bil-mixi mbagħad isiru impossibbli għaċ-ċittadini “ordinarji”. </w:t>
      </w:r>
    </w:p>
    <w:p>
      <w:pPr>
        <w:pStyle w:val="P68B1DB1Normal118"/>
        <w:widowControl w:val="false"/>
        <w:spacing w:lineRule="auto" w:line="240"/>
        <w:ind w:left="0" w:right="0" w:hanging="0"/>
        <w:jc w:val="left"/>
        <w:rPr/>
      </w:pPr>
      <w:r>
        <w:rPr/>
        <w:t xml:space="preserve">Bdiewa favur in-natura: “L-UE tista’ tikkontribwixxi għat-tixrid tal-għarfien dwar soluzzjonijiet sostenibbli.”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BoerenNatuur hija assoċjazzjoni ta’ gruppi ta’ bdiewa. Matul id-djalogu tematiku, il-konverżazzjoni ffukat fuq it-tibdil fil-klima u l-ambjent. </w:t>
      </w:r>
    </w:p>
    <w:p>
      <w:pPr>
        <w:pStyle w:val="Normal"/>
        <w:widowControl w:val="false"/>
        <w:spacing w:lineRule="auto" w:line="240"/>
        <w:ind w:left="0" w:right="0" w:hanging="0"/>
        <w:jc w:val="left"/>
        <w:rPr/>
      </w:pPr>
      <w:r>
        <w:rPr>
          <w:rFonts w:ascii="Calibri" w:hAnsi="Calibri"/>
          <w:color w:val="000000"/>
          <w:sz w:val="21"/>
        </w:rPr>
        <w:t>Dak li x’aktarx jitjieb skont il-parteċipanti huwa l-applikazzjoni tal-leġiżlazzjoni u r-regolamenti tal-UE minn pajjiżi differenti. Il-fajl dwar in-nitroġenu ġie ċċitat bħala eżempju. “Il-leġiżlazzjoni tal-UE tiddikjara biss li żona naturali “ma tistax tiddeterjora”. Iżda fin-Nofsinhar tal-Ewropa, dan il-kunċett huwa interpretat b’mod differenti milli fil-Pajjiżi l-Baxxi." Ħafna minn dawk preżenti jaqblu li l-Ewropa għandu jkollha rwol ewlieni fil-ġlieda kontra t-tibdil fil-klima. U m’għandniex inkunu kuntenti bid-diskors, irridu niksbu riżultati. Speċjalment permezz tal-iskambju tal-għarfien, il-bdiewa jemmnu. Fis-settur agrarju, qed naħdmu fuq soluzzjonijiet biex</w:t>
      </w:r>
      <w:r>
        <w:rPr>
          <w:rFonts w:ascii="Calibri" w:hAnsi="Calibri"/>
          <w:color w:val="000000"/>
          <w:sz w:val="21"/>
        </w:rPr>
        <w:commentReference w:id="27"/>
      </w:r>
      <w:r>
        <w:rPr>
          <w:rFonts w:ascii="Calibri" w:hAnsi="Calibri"/>
          <w:color w:val="000000"/>
          <w:sz w:val="21"/>
        </w:rPr>
        <w:t xml:space="preserve"> niksbu agrikoltura aktar nadifa. L-UE għandha tgħin biex ixxerred malajr l-għarfien f’dan il-qasam.” </w:t>
      </w:r>
      <w:r>
        <w:br w:type="page"/>
      </w:r>
    </w:p>
    <w:p>
      <w:pPr>
        <w:pStyle w:val="P68B1DB1Normal127"/>
        <w:widowControl w:val="false"/>
        <w:spacing w:lineRule="auto" w:line="240"/>
        <w:ind w:left="0" w:right="0" w:hanging="0"/>
        <w:jc w:val="left"/>
        <w:rPr/>
      </w:pPr>
      <w:r>
        <w:rPr>
          <w:b/>
          <w:color w:val="0070C0"/>
          <w:sz w:val="32"/>
        </w:rPr>
        <w:t>Migrazzjoni</w:t>
      </w:r>
      <w:r>
        <w:rPr>
          <w:color w:val="365F91"/>
          <w:sz w:val="28"/>
        </w:rPr>
        <w:t xml:space="preserve"> </w:t>
      </w:r>
      <w:r>
        <w:rPr>
          <w:color w:val="0070C0"/>
          <w:sz w:val="21"/>
        </w:rPr>
        <w:t xml:space="preserve">(Migrazzjoni u refuġjati)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Il-fruntieri bejn l-Istati Membri tal-UE huma miftuħa. Għalhekk qed titwettaq kooperazzjoni fi ħdan l-UE dwar, pereżempju, il-ġestjoni tal-fruntieri esterni u l-ġlieda kontra l-faċilitazzjoni ta’ dħul klandestin ta’ migranti. Qed tiġi diskussa wkoll distribuzzjoni ġusta tar-refuġjati bejn l-Istati Membri differenti tal-UE. X’inhi l-fehma tal-Pajjiżi l-Baxxi dwar dan? </w:t>
      </w:r>
    </w:p>
    <w:p>
      <w:pPr>
        <w:pStyle w:val="P68B1DB1Normal126"/>
        <w:widowControl w:val="false"/>
        <w:spacing w:lineRule="auto" w:line="240" w:before="93" w:after="0"/>
        <w:ind w:left="0" w:right="0" w:hanging="0"/>
        <w:jc w:val="left"/>
        <w:rPr>
          <w:rFonts w:ascii="Calibri" w:hAnsi="Calibri"/>
          <w:color w:val="0070C0"/>
          <w:sz w:val="24"/>
        </w:rPr>
      </w:pPr>
      <w:r>
        <w:rPr/>
        <w:t xml:space="preserve">Rakkomandazzjonijiet — Il-Viżjoni tagħna dwar il-Migrazzjoni u r-Refuġjati </w:t>
      </w:r>
    </w:p>
    <w:p>
      <w:pPr>
        <w:pStyle w:val="P68B1DB1Normal120"/>
        <w:widowControl w:val="false"/>
        <w:spacing w:lineRule="auto" w:line="240" w:before="90" w:after="0"/>
        <w:ind w:left="0" w:right="0" w:hanging="0"/>
        <w:jc w:val="left"/>
        <w:rPr/>
      </w:pPr>
      <w:r>
        <w:rPr/>
        <w:t xml:space="preserve">65 % tal-Olandiżi jemmnu li l-migrazzjoni u r-refuġjati huma kwistjoni importanti u li l-UE għandha tintervjeni f’dan il-qasam.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Evita li d-dibattiti dwar il-kwistjoni tar-refuġjati huma ftit wisq sfumati </w:t>
      </w:r>
    </w:p>
    <w:p>
      <w:pPr>
        <w:pStyle w:val="P68B1DB1Normal104"/>
        <w:widowControl w:val="false"/>
        <w:spacing w:lineRule="auto" w:line="240"/>
        <w:ind w:left="0" w:right="0" w:hanging="0"/>
        <w:jc w:val="left"/>
        <w:rPr/>
      </w:pPr>
      <w:r>
        <w:rPr/>
        <w:t xml:space="preserve">70 % tan-Netherlands iqisu li l-fruntieri esterni tal-Ewropa jeħtieġ li jiġu protetti aħjar. U minn dawn, 72 fil-mija jaħsbu wkoll li r-ritorn ta’ aktar refuġjati lejn pajjiżi mhux siguri. L-Olandiżi jemmnu li għandha tingħata aktar attenzjoni għar-raġunijiet li jwasslu biex in-nies jaħarbu minn pajjiż mhux sikur. Dawn ir-raġunijiet huma xi kultant marbuta mat-tibdil fil-klima, xi kultant mal-gwerer. Dawn il-kuntesti ta’ spiss jissemmew biss b’mod limitat fid-dibattitu dwar il-kwistjoni tar-refuġjati. Il-valur miżjud li dawn ir-refuġjati jġibu lejn pajjiż rari jiġi indirizzat ukoll. Fl-aħħar nett, aħna nemmnu li jeħtieġ li l-UE tagħmel distinzjoni aktar ċara bejn il-persuni minn reġjuni mhux siguri li jippreżentaw ruħhom fil-fruntieri u r-refuġjati ekonomiċi. Fil-qosor, insibu li d-dibattiti dwar il-migrazzjoni u r-refuġjati ġeneralment m’għandhomx kuntest u sfumaturi. Il-politiċi Ewropej jistgħu jirrimedjaw din is-sitwazzjoni billi jagħtu eżempju. </w:t>
      </w:r>
    </w:p>
    <w:p>
      <w:pPr>
        <w:pStyle w:val="P68B1DB1Normal113"/>
        <w:widowControl w:val="false"/>
        <w:spacing w:lineRule="auto" w:line="240" w:before="173" w:after="0"/>
        <w:ind w:left="0" w:right="0" w:hanging="0"/>
        <w:jc w:val="center"/>
        <w:rPr/>
      </w:pPr>
      <w:r>
        <w:rPr/>
        <w:t xml:space="preserve">Irridu nkomplu nqisu lir-refuġjati l-ewwel u qabel kollox bħala ċ-ċittadini sħabna. Għal kważi l-ebda wieħed se jabbandunaw persuna fil-periklu.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Definizzjoni ta’ x’inhi distribuzzjoni ekwa u prattika tar-refuġjati </w:t>
      </w:r>
    </w:p>
    <w:p>
      <w:pPr>
        <w:pStyle w:val="P68B1DB1Normal104"/>
        <w:widowControl w:val="false"/>
        <w:spacing w:lineRule="auto" w:line="240"/>
        <w:ind w:left="0" w:right="0" w:hanging="0"/>
        <w:jc w:val="both"/>
        <w:rPr/>
      </w:pPr>
      <w:r>
        <w:rPr/>
        <w:t xml:space="preserve">Servizz Ewropew tal-immigrazzjoni għandu jiżgura li r-refuġjati jitqassmu b’mod ġust fost l-Istati Membri tal-UE. L-Olandiżi jqisu wkoll li għandhom jiġu stabbiliti kriterji ċari biex jiddefinixxu x’inhi distribuzzjoni ġusta. Sistema soċjali tajba tista’, pereżempju, tagħmel pajjiż attraenti għar-refuġjati, iżda fatturi oħra huma importanti wkoll kemm għar-refuġjati kif ukoll għall-pajjiż ikkonċernat. Fin-Netherlands, qed niffaċċjaw nuqqas ta’ akkomodazzjoni, filwaqt li xi pajjiżi jew setturi sempliċiment jeħtieġu aktar ħaddiema migranti. Aħna nqisu li huwa importanti li l-UE tqis dan meta tqassam ir-refuġjati. Mekkaniżmi ċari mhux biss jiggarantixxu t-trasparenza, iżda wkoll inqas tilwim, li fl-aħħar mill-aħħar huwa fl-interess ta’ kulħadd. </w:t>
      </w:r>
    </w:p>
    <w:p>
      <w:pPr>
        <w:pStyle w:val="P68B1DB1Normal113"/>
        <w:widowControl w:val="false"/>
        <w:spacing w:lineRule="auto" w:line="240" w:before="173" w:after="0"/>
        <w:ind w:left="0" w:right="0" w:hanging="0"/>
        <w:jc w:val="center"/>
        <w:rPr/>
      </w:pPr>
      <w:r>
        <w:rPr/>
        <w:t xml:space="preserve">Ir-refuġjati għandhom ikunu jistgħu wkoll jesprimu t-talenti tagħhom f’pajjiż ta’ destinazzjoni.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Nibnu fuq l-għarfien u l-esperjenza miksuba biex ngħinu lir-reġjuni ta’ oriġini tar-refuġjati </w:t>
      </w:r>
    </w:p>
    <w:p>
      <w:pPr>
        <w:pStyle w:val="P68B1DB1Normal104"/>
        <w:widowControl w:val="false"/>
        <w:spacing w:lineRule="auto" w:line="240" w:before="86" w:after="0"/>
        <w:ind w:left="0" w:right="0" w:hanging="0"/>
        <w:jc w:val="left"/>
        <w:rPr/>
      </w:pPr>
      <w:r>
        <w:rPr/>
        <w:t xml:space="preserve">67 % tan-nies Netherlandiżi jemmnu li jeħtieġ li l-UE tkompli tgħin lir-reġjuni li mhumiex sikuri biex iwaqqfu l-flussi tar-refuġjati. Nirrealizzaw li r-refuġjati ma jħallux pajjiżhom b’għażla sempliċi. Għalhekk jeħtieġ li nħarsu lejn il-kawżi, bħat-tibdil fil-klima jew il-kunflitt, li jagħmlu r-reġjuni mhux sikuri jew inlivabbli. L-UE tista’ tgħin lir-reġjuni refuġjati mhux biss b’appoġġ finanzjarju, iżda wkoll permezz tal-għarfien. Fil-Pajjiżi l-Baxxi, pereżempju, għandna ħiliet b’saħħithom fl-agrikoltura. Permezz ta’ tekniki moderni tal-biedja, nistgħu ngħinu lil pajjiżi oħra jlaħħqu aħjar man-nixfiet u s-salinizzazzjoni. U n-nies li ħadu rifuġju fl-Ewropa jistgħu jattendu taħriġ f’pajjiż Ewropew u mbagħad jgħinu lill-pajjiż ta’ oriġini tagħhom huma stess.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Diskussjonijiet u ideat online u fuq il-post </w:t>
      </w:r>
    </w:p>
    <w:p>
      <w:pPr>
        <w:pStyle w:val="P68B1DB1Normal118"/>
        <w:widowControl w:val="false"/>
        <w:spacing w:lineRule="auto" w:line="240" w:before="85" w:after="0"/>
        <w:ind w:left="0" w:right="0" w:hanging="0"/>
        <w:jc w:val="left"/>
        <w:rPr/>
      </w:pPr>
      <w:r>
        <w:rPr/>
        <w:t>“</w:t>
      </w:r>
      <w:r>
        <w:rPr/>
        <w:t xml:space="preserve">Jeħtieġ li l-UE tistabbilixxi proċeduri tal-asil aktar rapidi. Allura se jkun hemm aktar spazju għall-persuni li verament bżonnha. </w:t>
      </w:r>
    </w:p>
    <w:p>
      <w:pPr>
        <w:pStyle w:val="P68B1DB1Normal118"/>
        <w:widowControl w:val="false"/>
        <w:spacing w:lineRule="auto" w:line="240"/>
        <w:ind w:left="0" w:right="0" w:hanging="0"/>
        <w:jc w:val="left"/>
        <w:rPr/>
      </w:pPr>
      <w:r>
        <w:rPr/>
        <w:t xml:space="preserve">Naf li ħafna żgħażagħ madwari li jixtiequ jixtru dar, iżda li ma jsibu xejn affordabbli, filwaqt li r-refuġjati jaraw lilhom infushom joffru akkomodazzjoni. Insibha diffiċli li naċċettaha. </w:t>
      </w:r>
    </w:p>
    <w:p>
      <w:pPr>
        <w:pStyle w:val="P68B1DB1Normal118"/>
        <w:widowControl w:val="false"/>
        <w:spacing w:lineRule="auto" w:line="240"/>
        <w:ind w:left="0" w:right="0" w:hanging="0"/>
        <w:jc w:val="left"/>
        <w:rPr/>
      </w:pPr>
      <w:r>
        <w:rPr/>
        <w:t xml:space="preserve">It-tibdil fil-klima se jkompli jwassal għal spostament tal-popolazzjoni xorta waħda. Ma nistgħux inwaqqfu dawn il-flussi, iżda probabbilment nistgħu nirregolawhom aħjar. </w:t>
      </w:r>
    </w:p>
    <w:p>
      <w:pPr>
        <w:pStyle w:val="P68B1DB1Normal118"/>
        <w:widowControl w:val="false"/>
        <w:spacing w:lineRule="auto" w:line="240"/>
        <w:ind w:left="0" w:right="0" w:hanging="0"/>
        <w:jc w:val="left"/>
        <w:rPr/>
      </w:pPr>
      <w:r>
        <w:rPr/>
        <w:t xml:space="preserve">I jgħixu fil Betuwe. Matul l-istaġun tal-lanġas u t-tuffieħ, għandna bżonn biss ħafna ħaddiema migranti. </w:t>
      </w:r>
    </w:p>
    <w:p>
      <w:pPr>
        <w:pStyle w:val="P68B1DB1Normal118"/>
        <w:widowControl w:val="false"/>
        <w:spacing w:lineRule="auto" w:line="240"/>
        <w:ind w:left="0" w:right="0" w:hanging="0"/>
        <w:jc w:val="left"/>
        <w:rPr/>
      </w:pPr>
      <w:r>
        <w:rPr/>
        <w:t xml:space="preserve">Ir-reġjuni b’nuqqas ta’ sigurtà mhumiex sikuri għal xejn, ħafna drabi l-awtoritajiet pubbliċi ma jkunux affidabbli. Kif nafu fejn sejrin l-għajnuna u l-flus tagħna? </w:t>
      </w:r>
    </w:p>
    <w:p>
      <w:pPr>
        <w:pStyle w:val="P68B1DB1Normal104"/>
        <w:widowControl w:val="false"/>
        <w:spacing w:lineRule="auto" w:line="240"/>
        <w:ind w:left="0" w:right="0" w:hanging="0"/>
        <w:jc w:val="left"/>
        <w:rPr/>
      </w:pPr>
      <w:r>
        <w:rPr/>
        <w:t xml:space="preserve">IDEA: </w:t>
      </w:r>
      <w:r>
        <w:rPr>
          <w:i/>
        </w:rPr>
        <w:t>Jiġu kkunsidrati wkoll strateġiji lokali, bħall-parteċipazzjoni taċ-ċittadini fl-akkoljenza lokali tar-refuġjati u l-finanzjament ta’ inizjattivi ta’ integrazzjoni lokali.</w:t>
      </w:r>
    </w:p>
    <w:p>
      <w:pPr>
        <w:pStyle w:val="P68B1DB1Normal104"/>
        <w:widowControl w:val="false"/>
        <w:spacing w:lineRule="auto" w:line="240"/>
        <w:ind w:left="0" w:right="0" w:hanging="0"/>
        <w:jc w:val="left"/>
        <w:rPr/>
      </w:pPr>
      <w:r>
        <w:rPr/>
        <w:t>IDEA:</w:t>
      </w:r>
      <w:r>
        <w:rPr>
          <w:i/>
        </w:rPr>
        <w:t xml:space="preserve"> Twaqqaf mini-djar fl-ibliet fejn ir-refuġjati jistgħu jgħixu mal-wasla. Dan inaqqas il-pressjoni fuq is-suq tad-djar u jżid l-appoġġ pubbliku għall-akkoljenza ta’ dawn in-nies. </w:t>
      </w:r>
    </w:p>
    <w:p>
      <w:pPr>
        <w:pStyle w:val="P68B1DB1Normal118"/>
        <w:widowControl w:val="false"/>
        <w:spacing w:lineRule="auto" w:line="240"/>
        <w:ind w:left="0" w:right="0" w:hanging="0"/>
        <w:jc w:val="left"/>
        <w:rPr/>
      </w:pPr>
      <w:r>
        <w:rPr/>
        <w:t xml:space="preserve">Voluntiera li kienu refuġjati huma stess: Fl-Ewropa, in-nies spiss jibqgħu ‘l bogħod minn xulxin.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Taal Doet Meer hija organizzazzjoni volontarja li tiżgura li l-abitanti l-ġodda tal-Allophone ta’ Utrecht jistgħu jipparteċipaw fis-soċjetà. Id-djalogu tematiku ma’ din l-organizzazzjoni ffoka mhux biss fuq il-migrazzjoni, iżda wkoll u fuq kollox fuq l-integrazzjoni. Diversi parteċipanti stess waslu fin-Netherlands bħala refuġjati, inkluż wieħed mis-Sirja. Wara seba’ snin, xorta ma nħossx l-Olandiż. I wkoll ma sabx impjieg, anki jekk sibt grad ta ‘kaptan. Ninnota li l-pajjiżi Ewropej huma primarjament imħassba dwarhom infushom u mhumiex miftuħa ħafna għal pajjiżi u kulturi oħra." Parteċipant ieħor innota li l-Ewropej spiss jibqgħu ‘l bogħod minn xulxin. Il-biċċa l-kbira tan-nies huma waħedhom; kulħadd jibqa ‘fil-kantuniera tagħhom. Insib, min-naħa tiegħi, li wieħed għandu jitkellem ma ‘xulxin u li wieħed jista’ jitgħallem minn xulxin.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Żgħażagħ mill-Kunsill Nazzjonali taż-Żgħażagħ: Għandek biss let nies fil jekk inti tista ‘tieħu kura ta’ minnhom. </w:t>
      </w:r>
    </w:p>
    <w:p>
      <w:pPr>
        <w:pStyle w:val="P68B1DB1Normal104"/>
        <w:widowControl w:val="false"/>
        <w:spacing w:lineRule="auto" w:line="240"/>
        <w:ind w:left="0" w:right="0" w:hanging="0"/>
        <w:jc w:val="both"/>
        <w:rPr/>
      </w:pPr>
      <w:r>
        <w:rPr/>
        <w:t xml:space="preserve">F’Utrecht, il-membri ta’ diversi gruppi ta’ ħidma tal-Kunsill Nazzjonali taż-Żgħażagħ (CNJ) kellhom dibattitu. Il-parteċipanti (ta’ bejn is-16 u t-23 sena) jemmnu li fid-distribuzzjoni tar-refuġjati fl-Ewropa, għandhom jitqiesu diversi aspetti, bħan-numru ta’ abitanti, id-daqs tal-pajjiż, il-prosperità u n-numru ta’ ċentri ta’ dawk li jfittxu l-ażil. “Ir-refuġjati għandhom jitħallew jidħlu fil-pajjiż biss jekk imbagħad ikunu jistgħu jieħdu ħsiebhom,” qal wieħed minnhom. </w:t>
      </w:r>
    </w:p>
    <w:p>
      <w:pPr>
        <w:pStyle w:val="Normal"/>
        <w:widowControl w:val="false"/>
        <w:spacing w:lineRule="auto" w:line="240"/>
        <w:ind w:left="0" w:right="0" w:hanging="0"/>
        <w:jc w:val="left"/>
        <w:rPr/>
      </w:pPr>
      <w:r>
        <w:rPr>
          <w:rFonts w:ascii="Calibri" w:hAnsi="Calibri"/>
          <w:color w:val="000000"/>
          <w:sz w:val="21"/>
        </w:rPr>
        <w:t xml:space="preserve">Iż-żgħażagħ iqisu wkoll li għandu jkun hemm konsegwenzi meta l-pajjiżi jonqsu milli jissodisfaw l-impenji tagħhom biex jospitaw ir-refuġjati. Dawn għandhom, pereżempju, jiġu mmultati. “U r-refuġjati wkoll jeħtieġ li jkollhom vuċi fejn dawn qed tmur biex imorru,” xi ħadd qal. Pereżempju, jekk diġà għandhom familja x’imkien, ma nistgħux nibagħtuhom x’imkien ieħor.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Saħħa </w:t>
      </w:r>
    </w:p>
    <w:p>
      <w:pPr>
        <w:pStyle w:val="P68B1DB1Normal130"/>
        <w:widowControl w:val="false"/>
        <w:spacing w:lineRule="auto" w:line="240"/>
        <w:ind w:left="0" w:right="0" w:hanging="0"/>
        <w:jc w:val="left"/>
        <w:rPr>
          <w:rFonts w:ascii="Calibri" w:hAnsi="Calibri"/>
          <w:color w:val="0070C0"/>
          <w:sz w:val="21"/>
        </w:rPr>
      </w:pPr>
      <w:r>
        <w:rPr/>
        <w:t xml:space="preserve">(Kura tas-saħħa) </w:t>
      </w:r>
    </w:p>
    <w:p>
      <w:pPr>
        <w:pStyle w:val="P68B1DB1Normal104"/>
        <w:widowControl w:val="false"/>
        <w:spacing w:lineRule="auto" w:line="240"/>
        <w:ind w:left="0" w:right="0" w:hanging="0"/>
        <w:jc w:val="left"/>
        <w:rPr/>
      </w:pPr>
      <w:r>
        <w:rPr/>
        <w:t xml:space="preserve">Għalkemm il-kura tas-saħħa hija primarjament ir-responsabbiltà tal-pajjiżi individwali, din tista’ tiġi appoġġata u msaħħa mill-politiki tal-UE, pereżempju b’rispons għall-pandemija tal-COVID-19 jew kriżijiet oħra tas-saħħa (futuri), jew fi sħubija ta’ riċerka dwar mard serju. X’inhi l-fehma tal-Pajjiżi l-Baxxi dwar dan? </w:t>
      </w:r>
    </w:p>
    <w:p>
      <w:pPr>
        <w:pStyle w:val="P68B1DB1Normal126"/>
        <w:widowControl w:val="false"/>
        <w:spacing w:lineRule="auto" w:line="240" w:before="14" w:after="0"/>
        <w:ind w:left="0" w:right="0" w:hanging="0"/>
        <w:jc w:val="left"/>
        <w:rPr>
          <w:rFonts w:ascii="Calibri" w:hAnsi="Calibri"/>
          <w:color w:val="0070C0"/>
          <w:sz w:val="24"/>
        </w:rPr>
      </w:pPr>
      <w:r>
        <w:rPr/>
        <w:t xml:space="preserve">Rakkomandazzjonijiet — Il-viżjoni tagħna tal-kura tas-saħħa </w:t>
      </w:r>
    </w:p>
    <w:p>
      <w:pPr>
        <w:pStyle w:val="P68B1DB1Normal120"/>
        <w:widowControl w:val="false"/>
        <w:spacing w:lineRule="auto" w:line="240"/>
        <w:ind w:left="0" w:right="0" w:hanging="0"/>
        <w:jc w:val="left"/>
        <w:rPr/>
      </w:pPr>
      <w:r>
        <w:rPr/>
        <w:t xml:space="preserve">64 % tal-Olandiżi jemmnu li l-kura tas-saħħa hija kwistjoni importanti u li l-UE għandha tintervjeni f’dan il-qasam. </w:t>
      </w:r>
    </w:p>
    <w:p>
      <w:pPr>
        <w:pStyle w:val="P68B1DB1Normal111"/>
        <w:widowControl w:val="false"/>
        <w:spacing w:lineRule="auto" w:line="240" w:before="2" w:after="0"/>
        <w:ind w:left="0" w:right="0" w:hanging="0"/>
        <w:jc w:val="left"/>
        <w:rPr>
          <w:rFonts w:ascii="Calibri" w:hAnsi="Calibri"/>
          <w:b/>
          <w:b/>
          <w:color w:val="000000"/>
          <w:sz w:val="22"/>
        </w:rPr>
      </w:pPr>
      <w:r>
        <w:rPr/>
        <w:t xml:space="preserve">1. Kontroll aħjar fuq il-ġestjoni ta’ pandemija </w:t>
      </w:r>
    </w:p>
    <w:p>
      <w:pPr>
        <w:pStyle w:val="P68B1DB1Normal104"/>
        <w:widowControl w:val="false"/>
        <w:spacing w:lineRule="auto" w:line="240"/>
        <w:ind w:left="0" w:right="0" w:hanging="0"/>
        <w:jc w:val="left"/>
        <w:rPr/>
      </w:pPr>
      <w:r>
        <w:rPr/>
        <w:t xml:space="preserve">83 % tal-Olandiżi jemmnu li l-pajjiżi tal-UE jeħtieġ li jaħdmu aktar flimkien biex jipprevjenu li marda li tittieħed tinfirex madwar id-dinja. Minħabba li virus m’għandux fruntieri. Nistgħu naraw dan matul il-pandemija attwali. Il-politiki fi ħdan l-UE xi kultant jiġu konfużi. Dan mhuwiex tajjeb għall-konformità mar-regoli. Aħna nemmnu li r-regoli għall-ġlieda kontra t-tixrid ta’ virus fl-Ewropa jeħtieġ li jkunu kkoordinati aħjar, mingħajr ma neċessarjament ikunu l-istess kullimkien. Għandu jkun hemm lok għal għażliet lokali. Mhux biss minħabba li l-għadd ta’ kontaminazzjonijiet jista’ jvarja, iżda wkoll minħabba li hemm kulturi differenti fl-Ewropa. Xi miżuri jaħdmu aħjar f’xi pajjiżi milli f’oħrajn. </w:t>
      </w:r>
    </w:p>
    <w:p>
      <w:pPr>
        <w:pStyle w:val="P68B1DB1Normal113"/>
        <w:widowControl w:val="false"/>
        <w:spacing w:lineRule="auto" w:line="240" w:before="164" w:after="0"/>
        <w:ind w:left="0" w:right="0" w:hanging="0"/>
        <w:jc w:val="center"/>
        <w:rPr/>
      </w:pPr>
      <w:r>
        <w:rPr/>
        <w:t xml:space="preserve">Ngħix fil-Pajjiżi l-Baxxi, fuq il-fruntiera mal-Ġermanja. Id-diversi miżuri adottati miż-żewġ pajjiżi fil-ġlieda kontra l-coronavirus qed iwassluni għal qalbi.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L-iżgurar tad-disponibbiltà ta’ mediċini affordabbli u affidabbli għal kulħadd</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 tal-Olandiżi jemmnu li l-UE trid tiżgura li neħtieġu inqas pajjiżi terzi għall-iżvilupp, il-produzzjoni u t-twassil tal-mediċini. Iżda jekk dan ifisser stennija itwal biex ikollhom mediċini, l-opinjonijiet huma maqsuma. L-Olandiżi jemmnu li l-produzzjoni u d-distribuzzjoni tal-mediċini hija kwistjoni kumplessa. Minn naħa, l-ispejjeż tal-kura tas-saħħa qed jiżdiedu drastikament fil-Pajjiżi l-Baxxi, għalhekk aħna nqisu li huwa importanti li dawn jinżammu fl-aktar livell baxx possibbli. Min-naħa l-oħra, irridu nkunu kapaċi nafdaw id-drogi, anke meta dawn jiġu mill-bogħod. Mhux biss għandhom ikunu ta’ kwalità, iżda għandhom jiġu prodotti wkoll b’mod sostenibbli u etikament responsabbli. B’mod ġenerali, aħna nemmnu li mediċini importanti għandhom ikunu aċċessibbli għal kulħadd, inkluż f’pajjiżi ifqar. </w:t>
      </w:r>
    </w:p>
    <w:p>
      <w:pPr>
        <w:pStyle w:val="P68B1DB1Normal113"/>
        <w:widowControl w:val="false"/>
        <w:spacing w:lineRule="auto" w:line="240" w:before="167" w:after="0"/>
        <w:ind w:left="0" w:right="0" w:hanging="0"/>
        <w:jc w:val="both"/>
        <w:rPr/>
      </w:pPr>
      <w:r>
        <w:rPr/>
        <w:t>L-ispejjeż tal-kura tas-saħħa diġà ma jistgħux jitħallsu. Għalhekk irridu wkoll nippruvaw nixtru d-drogi l-ġodda bl-irħas prezz possibbli.</w:t>
      </w:r>
      <w:r>
        <w:rPr>
          <w:b/>
        </w:rPr>
        <w:t xml:space="preserve"> </w:t>
      </w:r>
    </w:p>
    <w:p>
      <w:pPr>
        <w:pStyle w:val="P68B1DB1Normal111"/>
        <w:widowControl w:val="false"/>
        <w:spacing w:lineRule="auto" w:line="240" w:before="131" w:after="0"/>
        <w:ind w:left="0" w:right="0" w:hanging="0"/>
        <w:jc w:val="left"/>
        <w:rPr/>
      </w:pPr>
      <w:r>
        <w:rPr/>
        <w:t xml:space="preserve">3. Il-pajjiżi għandhom jiffukaw fuq it-titjib tas-sistemi tas-saħħa tagħhom u jagħmluh aktar ekwu </w:t>
      </w:r>
    </w:p>
    <w:p>
      <w:pPr>
        <w:pStyle w:val="P68B1DB1Normal104"/>
        <w:widowControl w:val="false"/>
        <w:spacing w:lineRule="auto" w:line="240" w:before="85" w:after="0"/>
        <w:ind w:left="0" w:right="0" w:hanging="0"/>
        <w:jc w:val="left"/>
        <w:rPr/>
      </w:pPr>
      <w:r>
        <w:rPr/>
        <w:t xml:space="preserve">In-Netherlands jimpurtahom ħafna mill-kura tas-saħħa, u dan it-tħassib imur lil hinn mill-impatt tal-pandemija tal-COVID-19. Aħna nafu, pereżempju, dwar problemi ta’ kapaċità strutturali fl-isptarijiet. Xi nies Olandiżi m’għandhomx fiduċja fl-effetti tal-forzi tas-suq fis-settur tal-kura tas-saħħa. Aħna nifhmu li l-kumpaniji farmaċewtiċi jeħtieġ li jirkupraw l-investimenti tagħhom u li l-fondi tal-assigurazzjoni tas-saħħa jridu kura tas-saħħa rħisa, iżda l-kumpaniji l-kbar m’għandhomx jabbużaw mis-setgħa tagħhom. L-UE għandha tadotta regoli f’dan ir-rigward. Aħna nemmnu wkoll li l-kura tas-saħħa hija primarjament kwistjoni nazzjonali. Il-pajjiżi jafu aħjar x’inhuma l-problemi u l-prijoritajiet fil-livell lokali. Madankollu, aħna nqisu li huwa importanti li l-pajjiżi Ewropej ikunu jistgħu jitgħallmu minn xulxin sabiex itejbu l-kura tas-saħħa.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Diskussjonijiet u ideat online u fuq il-post </w:t>
      </w:r>
    </w:p>
    <w:p>
      <w:pPr>
        <w:pStyle w:val="P68B1DB1Normal118"/>
        <w:widowControl w:val="false"/>
        <w:spacing w:lineRule="auto" w:line="240" w:before="95" w:after="0"/>
        <w:ind w:left="0" w:right="0" w:hanging="0"/>
        <w:jc w:val="left"/>
        <w:rPr/>
      </w:pPr>
      <w:r>
        <w:rPr/>
        <w:t xml:space="preserve">F’dak li għandu x’jaqsam mad-disponibbiltà tal-mediċini fl-Ewropa, nistgħu nkunu wkoll ftit aktar ekonomiċi. Illum qed narmu wisq minnu.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Huwa tajjeb ħafna li l-Ġermanja laqgħet lill-pazjenti min-Netherlands bil-COVID-19. Nixtieq nara aktar solidarjetà bħal din fl-Ewropa.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Kull fejn tgħix fl-UE u jekk int għani jew fqir, kulħadd għandu d-dritt għal kura ta’ kwalità.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Meta tixtri d-drogi, trid tikkunsidra mhux biss l-ispejjeż, iżda wkoll l-etika. Dan ifisser, pereżempju, li t-tħaddim tat-tfal m’għandux jintuża.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IDEA:</w:t>
      </w:r>
      <w:r>
        <w:rPr>
          <w:i/>
        </w:rPr>
        <w:t xml:space="preserve"> “It-titjib tas-saħħa tal-Ewropej billi jiġi żgurat li jkunu taħt inqas stress. Pereżempju, tnaqqas it-tul tal-ġimgħa tax-xogħol.”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IDEA:</w:t>
      </w:r>
      <w:r>
        <w:rPr>
          <w:i/>
        </w:rPr>
        <w:t xml:space="preserve"> Jippermettu liż-żgħażagħ biex jagħmlu għażliet b’saħħithom permezz ta ‘logħob serju realtà awmentata.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Tal-abitanti ta’ Utrecht ta’ oriġini Marokkina: Is-saħħa jista’ jkollha ċertu prezz.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Il-Fondazzjoni “Marokkaans Dialoog Overvecht” (MDO) (Djalogu Marokkin f’Ovecht) hija ddedikata għall-parteċipazzjoni tal-komunità Marokkina fid-distrett ta’ Overvecht ta’ Utrecht. Għal dan il-għan, iħeġġeġ id-djalogu fil-viċinat u b’hekk jiġġieled kontra l-inugwaljanzi. Il-parteċipanti fid-djalogu tematiku taħt il-Viżjoni tal-Ewropa jqisu li l-kooperazzjoni Ewropea hija utli ħafna. Madankollu, numru minnhom iqisu li l-Pajjiżi l-Baxxi xi drabi huma wisq dipendenti fuq pajjiżi oħra. Il-ġestjoni tal-kriżi tal-COVID-19 issemmiet bħala eżempju f’dan ir-rigward. Il-ħafna konsultazzjonijiet fl-Ewropa kellhom l-effett, skont il-parteċipanti, li n-Netherlands bdew it-tilqim kontra l-COVID-19 tard wisq. “Forsi se jiswa aktar jekk l-Olanda trid tiddeċiedi aktar waħedha,” qal xi ħadd. Iżda huwa dwar is-saħħa, jista ‘jqum ftit aktar.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Mill-istudenti ta’ Helmond: Huwa aħjar li jitgħallmu b’mod intelliġenti minn xulxin milli jieħdu l-istess approċċ.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Fil-Kulleġġ Dr. Knippenberg f’Helmond, l-istudenti ta’ madwar 16-il sena ddiskutew il-ġestjoni Ewropea tal-pandemija tal-COVID-19. Xi wħud jemmnu li l-Istati Membri tal-UE kellhom jiddefinixxu l-programm ta’ tilqim flimkien. Il-biċċa l-kbira tal-parteċipanti ħassew li l-pajjiżi nfushom kellhom idea aħjar ta’ x’inhu meħtieġ u x’jaħdem. Huma għalhekk aktar kapaċi, skonthom, li jiddeċiedu x’inhu tajjeb għall-popolazzjoni. Huma jafu aħjar, pereżempju, liema setturi jeħtieġu t-tilqim l-ewwel u liema minnhom jistgħu jistennew. “Huwa naturalment tajjeb ħafna għall-pajjiżi li jikkonsultaw lil xulxin,” qal wieħed mill-istudenti. Jekk ħafna pajjiżi għandhom l-approċċ tagħhom stess, huma jistgħu josservaw dak li l-oħrajn qed jagħmlu u jitgħallmu minn xulxin.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Ir-rwol tal-UE fid-dinja </w:t>
      </w:r>
    </w:p>
    <w:p>
      <w:pPr>
        <w:pStyle w:val="P68B1DB1Normal104"/>
        <w:widowControl w:val="false"/>
        <w:spacing w:lineRule="auto" w:line="240" w:before="126" w:after="0"/>
        <w:ind w:left="0" w:right="0" w:hanging="0"/>
        <w:jc w:val="left"/>
        <w:rPr/>
      </w:pPr>
      <w:r>
        <w:rPr/>
        <w:t xml:space="preserve">Id-dinja qed tiffaċċja sfidi kbar. L-UE hija konvinta li kwistjonijiet bħat-tibdil fil-klima u l-pandemiji jistgħu jiġu indirizzati biss permezz ta’ kooperazzjoni globali. L-UE trid issemma’ leħinha fix-xena dinjija f’dan ir-rigward, pereżempju, flimkien mal-Istati Uniti u ċ-Ċina. X’inhi l-fehma tal-Pajjiżi l-Baxxi dwar dan? </w:t>
      </w:r>
    </w:p>
    <w:p>
      <w:pPr>
        <w:pStyle w:val="P68B1DB1Normal126"/>
        <w:widowControl w:val="false"/>
        <w:spacing w:lineRule="auto" w:line="240" w:before="125" w:after="0"/>
        <w:ind w:left="0" w:right="0" w:hanging="0"/>
        <w:jc w:val="left"/>
        <w:rPr>
          <w:rFonts w:ascii="Calibri" w:hAnsi="Calibri"/>
          <w:color w:val="0070C0"/>
          <w:sz w:val="24"/>
        </w:rPr>
      </w:pPr>
      <w:r>
        <w:rPr/>
        <w:t xml:space="preserve">Rakkomandazzjonijiet — Il-viżjoni tagħna tar-rwol tal-UE fid-dinja </w:t>
      </w:r>
    </w:p>
    <w:p>
      <w:pPr>
        <w:pStyle w:val="P68B1DB1Normal120"/>
        <w:widowControl w:val="false"/>
        <w:spacing w:lineRule="auto" w:line="240" w:before="126" w:after="0"/>
        <w:ind w:left="0" w:right="0" w:hanging="0"/>
        <w:jc w:val="left"/>
        <w:rPr>
          <w:rFonts w:ascii="Calibri" w:hAnsi="Calibri"/>
          <w:b/>
          <w:b/>
          <w:color w:val="000000"/>
          <w:sz w:val="21"/>
        </w:rPr>
      </w:pPr>
      <w:r>
        <w:rPr/>
        <w:t xml:space="preserve">56 % tal-Olandiżi jemmnu li r-rwol tal-UE fid-dinja huwa tema importanti u li l-UE għandha tintervjeni f’dan il-qasam.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L-isfruttar tas-setgħa tal-UE prinċipalment fil-kuntest ta’ temi internazzjonali ewlenin </w:t>
      </w:r>
    </w:p>
    <w:p>
      <w:pPr>
        <w:pStyle w:val="P68B1DB1Normal104"/>
        <w:widowControl w:val="false"/>
        <w:spacing w:lineRule="auto" w:line="240"/>
        <w:ind w:left="0" w:right="0" w:hanging="0"/>
        <w:jc w:val="left"/>
        <w:rPr/>
      </w:pPr>
      <w:r>
        <w:rPr/>
        <w:t xml:space="preserve">Il-fatt li l-ħolqien tagħha kkontribwixxa għall-Ewropej li jgħixu fil-paċi għal aktar minn 75 sena huwa meqjus minn ħafna Olandiżi bħala l-valur miżjud ewlieni tal-UE. L-Olandiżi jemmnu wkoll li s-setgħa tal-UE tinsab fil-ġestjoni konġunta tal-isfidi internazzjonali ewlenin. Qed naħsbu, pereżempju, dwar it-tibdil fil-klima, il-pandemija tal-COVID-19 u l-kriżi tar-refuġjati. L-Istati Membri tal-UE jista’ jkollhom ukoll impatt akbar fuq pajjiżi terzi, billi jikkonkludu b’mod kollettiv ftehimiet internazzjonali tal-UE. Nemmnu li pajjiżna huwa żgħir wisq biex jagħmel differenza f’dawn l-oqsma biss. Minkejja dan, l-Olandiżi jridu li l-Pajjiżi l-Baxxi jkomplu jagħmlu l-għażliet tagħhom, ibbażati fuq il-kultura u l-interessi tagħhom stess. Il-kooperazzjoni fl-Ewropa għandha għalhekk tiżgura wkoll l-effiċjenza u s-setgħa politika fuq kollox. </w:t>
      </w:r>
    </w:p>
    <w:p>
      <w:pPr>
        <w:pStyle w:val="P68B1DB1Normal113"/>
        <w:widowControl w:val="false"/>
        <w:spacing w:lineRule="auto" w:line="240" w:before="200" w:after="0"/>
        <w:ind w:left="0" w:right="0" w:hanging="0"/>
        <w:jc w:val="center"/>
        <w:rPr/>
      </w:pPr>
      <w:r>
        <w:rPr/>
        <w:t xml:space="preserve">Huwa aktar faċli li jiġu konklużi ftehimiet ta’ kooperazzjoni fi ħdan l-UE milli bħala pajjiż iżolat.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Fl-Ewropa u lil hinn minnha, agħżel il-kooperazzjoni aktar milli tiġġieled </w:t>
      </w:r>
    </w:p>
    <w:p>
      <w:pPr>
        <w:pStyle w:val="P68B1DB1Normal104"/>
        <w:widowControl w:val="false"/>
        <w:spacing w:lineRule="auto" w:line="240" w:before="1" w:after="0"/>
        <w:ind w:left="0" w:right="0" w:hanging="0"/>
        <w:jc w:val="left"/>
        <w:rPr/>
      </w:pPr>
      <w:r>
        <w:rPr/>
        <w:t xml:space="preserve">66 % tal-Olandiżi jqisu li l-UE trid tifforma blokk aktar b’saħħtu kontra blokki internazzjonali oħra. Qegħdin naraw dgħufija fil-bilanċ fid-dinja. Pajjiżi bħaċ-Ċina u r-Russja qed jespandu kontinwament il-poter tagħhom f’oqsma differenti. Dan jinkwieta lilna ħafna. Għalhekk, l-UE għandha tagħti aktar attenzjoni, pereżempju, lis-sigurtà internazzjonali u lill-protezzjoni tal-ekonomija Ewropea minn prattiki kummerċjali inġusti. Aħna nqisu li huwa importanti, f’dan ir-rigward, li l-Istati Membri jikkoordinaw aħjar u aktar malajr. Dan se jippermettilna nsemmgħu leħinna b’mod aktar ċar. Il-fatt li aħna aktar b’saħħitna flimkien bħala pajjiżi Ewropej ma jfissirx li rridu mmorru f’kunflitt. Irridu wkoll, kemm jista’ jkun, kooperazzjoni tajba ma’ pajjiżi terzi. </w:t>
      </w:r>
    </w:p>
    <w:p>
      <w:pPr>
        <w:pStyle w:val="P68B1DB1Normal113"/>
        <w:widowControl w:val="false"/>
        <w:spacing w:lineRule="auto" w:line="240" w:before="200" w:after="0"/>
        <w:ind w:left="0" w:right="0" w:hanging="0"/>
        <w:jc w:val="center"/>
        <w:rPr/>
      </w:pPr>
      <w:r>
        <w:rPr/>
        <w:t>“</w:t>
      </w:r>
      <w:r>
        <w:rPr/>
        <w:t xml:space="preserve">It-tnaqqis ta’ tilwim u kunflitti interni ser iżid il-prestiġju u s-setgħa ta’ influwenza tal-UE fix-xena dinjija.”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Offerta, b’mod maħsub, għajnuna fil-każ ta’ kunflitt </w:t>
      </w:r>
    </w:p>
    <w:p>
      <w:pPr>
        <w:pStyle w:val="Normal"/>
        <w:widowControl w:val="false"/>
        <w:spacing w:lineRule="auto" w:line="240"/>
        <w:ind w:left="0" w:right="0" w:hanging="0"/>
        <w:jc w:val="left"/>
        <w:rPr/>
      </w:pPr>
      <w:r>
        <w:rPr>
          <w:rFonts w:ascii="Calibri" w:hAnsi="Calibri"/>
          <w:color w:val="000000"/>
          <w:sz w:val="21"/>
        </w:rPr>
        <w:t xml:space="preserve">Bħala parti mit-tisħiħ tar-rwol tal-UE fl-arena internazzjonali, 50 % tal-Olandiżi jemmnu li l-approċċ għall-kunflitti fid-dinja huwa tema importanti. L-aħjar mod biex nirreaġixxu għall-kunflitti huwa, skonthom, diffiċli li jiġi ddeterminat. Il-passat wera li l-intervent militari f’pajjiż mhux dejjem ikun ta’ benefiċċju. Dan jista’, pereżempju, iwassal għal spejjeż għoljin mhux previsti u joħloq flussi addizzjonali ta’ refuġjati. Fid-dawl ta’ dan l-impatt lokali, il-pajjiżi għandhom jiddeċiedu huma stess jekk jieħdux sehem fi gwerra. Aħna ġeneralment interessati f’kooperazzjoni akbar bejn l-armati Ewropej: aħna nqisu li huwa importanti li l-Ewropa tkun tista’ tiddefendi ruħha tajjeb. Iżda dejjem nippreferiw li nirriżolvu l-kunflitti mingħajr ma nirrikorru għall-vjolenza. </w:t>
      </w:r>
      <w:r>
        <w:br w:type="page"/>
      </w:r>
    </w:p>
    <w:p>
      <w:pPr>
        <w:pStyle w:val="P68B1DB1Normal113"/>
        <w:widowControl w:val="false"/>
        <w:spacing w:lineRule="auto" w:line="240"/>
        <w:ind w:left="0" w:right="0" w:hanging="0"/>
        <w:jc w:val="left"/>
        <w:rPr/>
      </w:pPr>
      <w:r>
        <w:rPr/>
        <w:t xml:space="preserve">Matul l-evakwazzjoni tal-Afganistan, kull pajjiż aġixxa fir-rokna tiegħu stess. Aħna xorta seta ‘għamilna aħjar, kieku aħna? </w:t>
      </w:r>
    </w:p>
    <w:p>
      <w:pPr>
        <w:pStyle w:val="P68B1DB1Normal126"/>
        <w:widowControl w:val="false"/>
        <w:spacing w:lineRule="auto" w:line="240" w:before="85" w:after="0"/>
        <w:ind w:left="0" w:right="0" w:hanging="0"/>
        <w:jc w:val="left"/>
        <w:rPr>
          <w:rFonts w:ascii="Calibri" w:hAnsi="Calibri"/>
          <w:color w:val="0070C0"/>
          <w:sz w:val="24"/>
        </w:rPr>
      </w:pPr>
      <w:r>
        <w:rPr/>
        <w:t xml:space="preserve">Diskussjonijiet u ideat online u fuq il-post </w:t>
      </w:r>
    </w:p>
    <w:p>
      <w:pPr>
        <w:pStyle w:val="P68B1DB1Normal118"/>
        <w:widowControl w:val="false"/>
        <w:spacing w:lineRule="auto" w:line="240" w:before="78" w:after="0"/>
        <w:ind w:left="0" w:right="0" w:hanging="0"/>
        <w:jc w:val="left"/>
        <w:rPr>
          <w:rFonts w:ascii="Calibri" w:hAnsi="Calibri"/>
          <w:i/>
          <w:i/>
          <w:color w:val="000000"/>
          <w:sz w:val="21"/>
        </w:rPr>
      </w:pPr>
      <w:r>
        <w:rPr/>
        <w:t xml:space="preserve">L-UE għandha l-ewwel tagħmel l-ordni fl-affarijiet tagħha stess qabel ma tikkonfronta lill-oħrajn.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Billi nixtru b’mod massiv prodotti Ċiniżi bħala Ewropej, aħna nappoġġaw liċ-Ċina nnifisha.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L-Istati Uniti għad għandhom rwol importanti ħafna fid-difiża tal-Ewropa.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Li tkun membru tal-UE jfisser ukoll li tkun bilqiegħda mal-mejda tan-negozjati. Dan jagħmilha possibbli li jiġu diskussi deċiżjonijiet importanti.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L-UE għandha tieqaf tara lilha nnifisha bħala entità iżolata, għaliex mhijiex. Hija assoċjazzjoni ta’ Stati Membri Ewropej u għandha taġixxi bħala tali.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IDEA:</w:t>
      </w:r>
      <w:r>
        <w:rPr>
          <w:i/>
        </w:rPr>
        <w:t xml:space="preserve"> Bħall-konferenza globali regolari dwar il-klima, għandha ssir ukoll konferenza dwar id-drittijiet tal-bniedem.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IDEA: </w:t>
      </w:r>
      <w:r>
        <w:rPr>
          <w:i/>
        </w:rPr>
        <w:t>“L-armati Ewropej isiru aktar effiċjenti, pereżempju billi jsir użu akbar mix-xiri kollettiv ta’ tagħmir.”</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Nisa Olandiżi-Marokkini: Il-promozzjoni tad-drittijiet tal-bniedem.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Nisa għal-</w:t>
      </w:r>
      <w:r>
        <w:rPr>
          <w:rFonts w:ascii="Calibri" w:hAnsi="Calibri"/>
          <w:color w:val="000000"/>
          <w:sz w:val="21"/>
        </w:rPr>
      </w:r>
      <w:commentRangeEnd w:id="28"/>
      <w:r>
        <w:commentReference w:id="28"/>
      </w:r>
      <w:r>
        <w:rPr>
          <w:rFonts w:ascii="Calibri" w:hAnsi="Calibri"/>
          <w:color w:val="000000"/>
          <w:sz w:val="21"/>
        </w:rPr>
        <w:t xml:space="preserve">Libertà” hija fondazzjoni Olandiża li tiġġieled iż-żwiġijiet furzati, l-oppressjoni sesswali u l-abbuż finanzjarju ta’ bniet u nisa bi sfondi bikulturali. B’kollaborazzjoni ma’ din il-fondazzjoni, ġiet organizzata laqgħa ma’ grupp ta’ nisa Olandiżi-Marokkini. Il-parteċipanti jemmnu li l-UE bħalissa hija dipendenti wisq fuq ir-Russja u ċ-Ċina. “Niskopru li l-UE ġeneralment ma tipproponi xejn, għax tibża’ mis-sanzjonijiet,” qal wieħed minnhom. Il-produzzjoni tad-droga, li ħafna drabi tista’ tkun ħafna irħas, ġiet ikkwotata bħala eżempju. “F’każ ta’ kunflitt, iċ-Ċina tista’ tagħlaq il-vit, u ma jkollna xejn,” qal parteċipant wieħed. Tqajmet ukoll il-kwistjoni tad-drittijiet tal-bniedem. “Aħna lkoll naġixxu bħallikieku nqisuha importanti ħafna, iżda nagħlqu għajnejna dwar dak li ċ-Ċina qed tagħmel lill-Uighurs,” xi ħadd exclaims.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Studenti mit-Technasium ta’ Alkmaar: Nru armata komuni.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Fid-djalogu tematiku tagħhom, l-istudenti minn Technasium Jan Arentz f’Alkmaar iddiskutew il-vantaġġi u l-iżvantaġġi ta’ armata Ewropea komuni. Il-parteċipanti indikaw li ma kinux favur dan. Meta pajjiż tal-UE jikkumbatti ma’ pajjiż terz, għandna nkunu nistgħu nipparteċipaw awtomatikament fi gwerra. Naħseb li l-pajjiżi jeħtieġ li jkunu jistgħu jiddeċiedu waħedhom," qal xi ħadd. Ġiet diskussa wkoll il-possibbiltà tat-tielet gwerra dinjija. Din il-possibbiltà ma titqiesx bħala kbira ħafna mill-istudenti, iżda jaħsbu li jekk aħna ltqajna hemm, soluzzjoni tista ‘madankollu tinstab malajr. L-armati jistgħu wkoll jikkollaboraw tajjeb. Fil-fehma tiegħi, ma hemmx bżonn li jkun hemm armata Ewropea.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Metodoloġija użata fl-istħarriġ </w:t>
      </w:r>
    </w:p>
    <w:p>
      <w:pPr>
        <w:pStyle w:val="P68B1DB1Normal104"/>
        <w:widowControl w:val="false"/>
        <w:spacing w:lineRule="auto" w:line="240" w:before="150" w:after="0"/>
        <w:ind w:left="0" w:right="0" w:hanging="0"/>
        <w:jc w:val="left"/>
        <w:rPr/>
      </w:pPr>
      <w:r>
        <w:rPr/>
        <w:t xml:space="preserve">Il-viżjoni tal-Ewropa tikkonsisti f’forom differenti ta’ djalogi interkonnessi li jiġbru l-fehmiet u l-ideat taċ-ċittadini Netherlandiżi dwar il-futur tal-Ewropa u tal-UE. Dan il-kapitolu jiddeskrivi kif dawn id-djalogi relatati mill-qrib jitwettqu f’konformità mal-linji gwida applikabbli għall-bordijiet nazzjonali taċ-ċittadini fil-kuntest tal-Konferenza dwar il-Futur tal-Ewropa. </w:t>
      </w:r>
    </w:p>
    <w:p>
      <w:pPr>
        <w:pStyle w:val="P68B1DB1Normal126"/>
        <w:widowControl w:val="false"/>
        <w:spacing w:lineRule="auto" w:line="240" w:before="43" w:after="0"/>
        <w:ind w:left="0" w:right="0" w:hanging="0"/>
        <w:jc w:val="left"/>
        <w:rPr>
          <w:rFonts w:ascii="Calibri" w:hAnsi="Calibri"/>
          <w:color w:val="0070C0"/>
          <w:sz w:val="24"/>
        </w:rPr>
      </w:pPr>
      <w:r>
        <w:rPr/>
        <w:t xml:space="preserve">Struttura ta’ djalogi relatati mill-qrib </w:t>
      </w:r>
    </w:p>
    <w:p>
      <w:pPr>
        <w:pStyle w:val="P68B1DB1Normal104"/>
        <w:widowControl w:val="false"/>
        <w:spacing w:lineRule="auto" w:line="240" w:before="114" w:after="0"/>
        <w:ind w:left="0" w:right="0" w:hanging="0"/>
        <w:jc w:val="left"/>
        <w:rPr>
          <w:rFonts w:ascii="Calibri" w:hAnsi="Calibri"/>
          <w:color w:val="000000"/>
          <w:sz w:val="21"/>
        </w:rPr>
      </w:pPr>
      <w:r>
        <w:rPr/>
        <w:t xml:space="preserve">Jiġu organizzati l-forom ta’ djalogu li ġejjin: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Stħarriġ ta’ panel</w:t>
      </w:r>
    </w:p>
    <w:p>
      <w:pPr>
        <w:pStyle w:val="P68B1DB1Normal104"/>
        <w:widowControl w:val="false"/>
        <w:spacing w:lineRule="auto" w:line="240"/>
        <w:ind w:left="0" w:right="0" w:hanging="0"/>
        <w:jc w:val="left"/>
        <w:rPr>
          <w:rFonts w:ascii="Calibri" w:hAnsi="Calibri"/>
          <w:color w:val="000000"/>
          <w:sz w:val="21"/>
        </w:rPr>
      </w:pPr>
      <w:r>
        <w:rPr/>
        <w:t xml:space="preserve">Stħarriġ onlajn ta’ parti rappreżentattiva tal-popolazzjoni Olandiża.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Djalogi tematiċi online għall-approfondiment</w:t>
      </w:r>
    </w:p>
    <w:p>
      <w:pPr>
        <w:pStyle w:val="P68B1DB1Normal104"/>
        <w:widowControl w:val="false"/>
        <w:spacing w:lineRule="auto" w:line="240"/>
        <w:ind w:left="0" w:right="0" w:hanging="0"/>
        <w:jc w:val="left"/>
        <w:rPr/>
      </w:pPr>
      <w:r>
        <w:rPr/>
        <w:t xml:space="preserve">Djalogi li fihom ir-riżultati tal-ewwel rapport interim "Il-viżjoni tagħna għall-Ewropa: opinjonijiet, ideat u rakkomandazzjonijiet" (8 ta’ Ottubru 2021) huma diskussi fil-fond ma’ grupp ta’ Netherlandiżi.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Djalogi ma’ gruppi speċifiċi</w:t>
      </w:r>
    </w:p>
    <w:p>
      <w:pPr>
        <w:pStyle w:val="P68B1DB1Normal104"/>
        <w:widowControl w:val="false"/>
        <w:spacing w:lineRule="auto" w:line="240"/>
        <w:ind w:left="0" w:right="0" w:hanging="0"/>
        <w:jc w:val="left"/>
        <w:rPr>
          <w:rFonts w:ascii="Calibri" w:hAnsi="Calibri"/>
          <w:color w:val="000000"/>
          <w:sz w:val="21"/>
        </w:rPr>
      </w:pPr>
      <w:r>
        <w:rPr/>
        <w:t xml:space="preserve">Laqgħat ma’ persuni Olandiżi li ma jkunux imdorrijin jipparteċipaw fi stħarriġ jew panels (onlajn).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Djalogi maż-żgħażagħ</w:t>
      </w:r>
    </w:p>
    <w:p>
      <w:pPr>
        <w:pStyle w:val="P68B1DB1Normal104"/>
        <w:widowControl w:val="false"/>
        <w:spacing w:lineRule="auto" w:line="240"/>
        <w:ind w:left="0" w:right="0" w:hanging="0"/>
        <w:jc w:val="left"/>
        <w:rPr>
          <w:rFonts w:ascii="Calibri" w:hAnsi="Calibri"/>
          <w:color w:val="000000"/>
          <w:sz w:val="21"/>
        </w:rPr>
      </w:pPr>
      <w:r>
        <w:rPr/>
        <w:t xml:space="preserve">Laqgħat fejn jiġu diskussi t-temi Ewropej li huma l-aktar rilevanti għal dawn iż-żgħażagħ.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Stħarriġ pubbliku onlajn: Kwestjonarju u “Swipen naar de toekomst” (</w:t>
      </w:r>
      <w:commentRangeStart w:id="29"/>
      <w:r>
        <w:rPr>
          <w:rFonts w:ascii="Calibri" w:hAnsi="Calibri"/>
          <w:b/>
          <w:color w:val="000000"/>
          <w:sz w:val="21"/>
        </w:rPr>
        <w:t>Swiper</w:t>
      </w:r>
      <w:r>
        <w:rPr>
          <w:rFonts w:ascii="Calibri" w:hAnsi="Calibri"/>
          <w:b/>
          <w:color w:val="000000"/>
          <w:sz w:val="21"/>
        </w:rPr>
      </w:r>
      <w:commentRangeEnd w:id="29"/>
      <w:r>
        <w:commentReference w:id="29"/>
      </w:r>
      <w:r>
        <w:rPr>
          <w:rFonts w:ascii="Calibri" w:hAnsi="Calibri"/>
          <w:b/>
          <w:color w:val="000000"/>
          <w:sz w:val="21"/>
        </w:rPr>
        <w:t xml:space="preserve"> għall-futur) </w:t>
      </w:r>
    </w:p>
    <w:p>
      <w:pPr>
        <w:pStyle w:val="P68B1DB1Normal104"/>
        <w:widowControl w:val="false"/>
        <w:spacing w:lineRule="auto" w:line="240"/>
        <w:ind w:left="0" w:right="0" w:hanging="0"/>
        <w:jc w:val="left"/>
        <w:rPr/>
      </w:pPr>
      <w:r>
        <w:rPr/>
        <w:t xml:space="preserve">Il-kwestjonarju tal-istħarriġ tal-bord jista’ jimtela wkoll mill-Olandiżi kollha, inklużi dawk li jgħixu barra mill-pajjiż. Dan il-kwestjonarju kien disponibbli mill-1 ta’ Settembru 2021 sal-14 ta’ Novembru 2021. Barra minn hekk, matul l-istess perjodu, kull Olandiż seta’ jipparteċipa fl-azzjoni “Swipen naar de toekomst” (Swipen naar de toekomst) (Swiper għall-futur), għodda online li tippreżenta 20 talba.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Stħarriġ ta’ panel </w:t>
      </w:r>
    </w:p>
    <w:p>
      <w:pPr>
        <w:pStyle w:val="P68B1DB1Normal104"/>
        <w:widowControl w:val="false"/>
        <w:spacing w:lineRule="auto" w:line="240" w:before="150" w:after="0"/>
        <w:ind w:left="0" w:right="0" w:hanging="0"/>
        <w:jc w:val="left"/>
        <w:rPr/>
      </w:pPr>
      <w:r>
        <w:rPr/>
        <w:t xml:space="preserve">Id-Djalogu taċ-Ċittadini Netherlandiż “Viżjoni tal-Ewropa” beda fl-1 ta’ Settembru bi stħarriġ f’panel. F’din id-deskrizzjoni tal-metodoloġija tal-istħarriġ, aħna nispjegaw fil-qosor it-tfassil u l-implimentazzjoni ta’ dan l-istħarriġ lil bord. </w:t>
      </w:r>
    </w:p>
    <w:p>
      <w:pPr>
        <w:pStyle w:val="P68B1DB1Normal126"/>
        <w:widowControl w:val="false"/>
        <w:spacing w:lineRule="auto" w:line="240" w:before="43" w:after="0"/>
        <w:ind w:left="0" w:right="0" w:hanging="0"/>
        <w:jc w:val="left"/>
        <w:rPr>
          <w:rFonts w:ascii="Calibri" w:hAnsi="Calibri"/>
          <w:color w:val="0070C0"/>
          <w:sz w:val="24"/>
        </w:rPr>
      </w:pPr>
      <w:r>
        <w:rPr/>
        <w:t xml:space="preserve">Popolazzjoni fil-mira u fil-mira </w:t>
      </w:r>
    </w:p>
    <w:p>
      <w:pPr>
        <w:pStyle w:val="Normal"/>
        <w:widowControl w:val="false"/>
        <w:spacing w:lineRule="auto" w:line="240" w:before="114" w:after="0"/>
        <w:ind w:left="0" w:right="0" w:hanging="0"/>
        <w:jc w:val="left"/>
        <w:rPr/>
      </w:pPr>
      <w:r>
        <w:rPr>
          <w:rFonts w:ascii="Calibri" w:hAnsi="Calibri"/>
          <w:color w:val="000000"/>
          <w:sz w:val="21"/>
        </w:rPr>
        <w:t>L-istħarriġ “Vision of Europe” beda bi kwestjonarju online dwar kif in-nies Netherlandiżi jaraw il-futur tal-Ewropa. Dan il-kwestjonarju ġie sottomess lil bord rappreżentattiv u huwa miftuħ ukoll għall-Olandiżi kollha (inklużi dawk li jgħixu barra mill-pajjiż). Barra minn hekk, kull persuna kienet kapaċi tipparteċipa fl-azzjoni “Swipen naar de toekomst” (Swipen naar de</w:t>
      </w:r>
      <w:commentRangeStart w:id="30"/>
      <w:r>
        <w:rPr>
          <w:rFonts w:ascii="Calibri" w:hAnsi="Calibri"/>
          <w:color w:val="000000"/>
          <w:sz w:val="21"/>
        </w:rPr>
        <w:t>toekomst</w:t>
      </w:r>
      <w:r>
        <w:rPr>
          <w:rFonts w:ascii="Calibri" w:hAnsi="Calibri"/>
          <w:color w:val="000000"/>
          <w:sz w:val="21"/>
        </w:rPr>
      </w:r>
      <w:commentRangeEnd w:id="30"/>
      <w:r>
        <w:commentReference w:id="30"/>
      </w:r>
      <w:r>
        <w:rPr>
          <w:rFonts w:ascii="Calibri" w:hAnsi="Calibri"/>
          <w:color w:val="000000"/>
          <w:sz w:val="21"/>
        </w:rPr>
        <w:t xml:space="preserve">) (Swiper għall-futur), għodda online li tippreżenta 20 talba. Ir-riżultati tal-istħarriġ tal-panel taw bosta djalogi tematiċi organizzati bħala segwitu għall-proċess ta’ djalogu taċ-ċittadini “Viżjoni tal-Ewropa”.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Il-popolazzjoni fil-mira tal-istħarriġ tal-panel tinkludi n-nies Olandiżi kollha ta’ 18-il sena jew aktar li kienu rreġistrati bħala residenti fir-reġistru tal-popolazzjoni fiż-żmien meta beda x-xogħol fuq il-post. Skont l-Uffiċċju Nazzjonali tal-Istatistika Netherlandiż (Centraal Bureau voor de Statistiek — CBS), dan il-grupp fil-mira kellu 14,190,874 persuna mill-1 ta’ Jannar 2021. Il-limitu l-aktar baxx ta’ 18-il sena jikkorrispondi għall-maġġoranza elettorali. Aħna nsejħulha l-popolazzjoni tal-istħarriġ tal-bord.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Xogħol fuq il-post </w:t>
      </w:r>
    </w:p>
    <w:p>
      <w:pPr>
        <w:pStyle w:val="P68B1DB1Normal104"/>
        <w:widowControl w:val="false"/>
        <w:spacing w:lineRule="auto" w:line="240" w:before="116" w:after="0"/>
        <w:ind w:left="0" w:right="0" w:hanging="0"/>
        <w:jc w:val="left"/>
        <w:rPr/>
      </w:pPr>
      <w:r>
        <w:rPr/>
        <w:t xml:space="preserve">Biex tinkiseb immaġni diġitali tal-“Medium Dutch” intuża panel ta’ aktar minn 100,000 parteċipant minn madwar il-pajjiż kollu (ISO ċċertifikat, Research Keurmerk groep, Nederlandse marktonderzoek Associatie). Dawn il-parteċipanti rreġistraw fil-bord tal-istħarriġ biex jipprovdu l-fehmiet tagħhom dwar firxa wiesgħa ta’ suġġetti fuq bażi regolari. Minbarra l-motivazzjoni intrinsika tagħhom biex jikkontribwixxu, dawn jitħallsu biex iwieġbu l-kwestjonarji. Diversi studji xjentifiċi juru li dawk li wieġbu li jirċievu kumpens għall-mili ta’ kwestjonarju ma jagħtux tweġibiet differenti b’mod sinifikanti (sors: </w:t>
      </w:r>
      <w:r>
        <w:rPr>
          <w:i/>
        </w:rPr>
        <w:t>L-użu ta’ inċentivi għall-istħarriġ jiddegradaw il-kwalità tad-data?</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Ix-xogħol fuq il-post beda fil-11 ta’ Awwissu 2021 u ntemm fid-19 ta’ Settembru 2021. Għall-implimentazzjoni, intuża metodu wieħed biss ta’ ġbir ta’ data, jiġifieri l-istħarriġ fuq l-Internet. Il-membri tal-bord tal-istħarriġ irċevew email b’link personali għall-kwestjonarju online. Wara ġimagħtejn, il-parteċipanti tal-panel irċevew tfakkira. L-istediniet għall-parteċipazzjoni ntbagħtu f’lottijiet u ġew stratifikati (billi tiġi żgurata distribuzzjoni ugwali ta’ sottogruppi) sakemm jintlaħaq l-għadd meħtieġ ta’ rispondenti. </w:t>
      </w:r>
    </w:p>
    <w:p>
      <w:pPr>
        <w:pStyle w:val="P68B1DB1Normal126"/>
        <w:widowControl w:val="false"/>
        <w:spacing w:lineRule="auto" w:line="240" w:before="42" w:after="0"/>
        <w:ind w:left="0" w:right="0" w:hanging="0"/>
        <w:jc w:val="left"/>
        <w:rPr>
          <w:rFonts w:ascii="Calibri" w:hAnsi="Calibri"/>
          <w:color w:val="0070C0"/>
          <w:sz w:val="24"/>
        </w:rPr>
      </w:pPr>
      <w:r>
        <w:rPr/>
        <w:t xml:space="preserve">Teħid ta’ kampjuni u distribuzzjoni </w:t>
      </w:r>
    </w:p>
    <w:p>
      <w:pPr>
        <w:pStyle w:val="P68B1DB1Normal104"/>
        <w:widowControl w:val="false"/>
        <w:spacing w:lineRule="auto" w:line="240" w:before="114" w:after="0"/>
        <w:ind w:left="0" w:right="0" w:hanging="0"/>
        <w:jc w:val="left"/>
        <w:rPr/>
      </w:pPr>
      <w:r>
        <w:rPr/>
        <w:t xml:space="preserve">It-tfassil tal-istħarriġ huwa bbażat fuq il-prinċipju li minimu ta’ 3,600 persuna li wieġbu jridu jipparteċipaw fl-istħarriġ sabiex tiġi żgurata affidabbiltà statistika tajba. Barra minn hekk, dan in-numru jippermetti distribuzzjoni tajba bejn il-karatteristiċi ġenerali differenti tal-popolazzjoni. M’hemmx tip wieħed biss ta’ Olandiż. Għalhekk żgurajna minn qabel li l-kampjun jitqassam sew fuq numru ta’ karatteristiċi. Il-Pajjiżi l-Baxxi huma pajjiż relattivament żgħir, iżda l-opinjonijiet jistgħu jvarjaw skont ir-reġjun. Il-pożizzjoni u l-importanza mogħtija lit-temi jistgħu jkunu (parzjalment) determinati mir-reġjun li fih tgħix. Pereżempju, in-nies li jgħixu f’żoni rurali jistgħu jifhmu suġġett bħas-sigurtà b’mod differenti minn dawk f’żoni urbani. Ir-riċerka mill-Uffiċċju Olandiż tal-Ippjanar Soċjali u Kulturali turi wkoll li l-persuni b’livell ogħla ta’ studju ħafna drabi jappoġġjaw lill-UE minn dawk b’livell aktar baxx ta’ studju u li ż-żgħażagħ jappoġġaw aktar lill-UE milli lill-anzjani (sors: </w:t>
      </w:r>
      <w:r>
        <w:rPr>
          <w:i/>
        </w:rPr>
        <w:t>Wat willen Nederlanders van de Europese Unie?</w:t>
      </w:r>
      <w:r>
        <w:rPr/>
        <w:t xml:space="preserve">, l-Uffiċċju Netherlandiż għall-Ippjanar Soċjali u Kulturali, The Hague,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Din hija r-raġuni għaliex qabel allokajna t-tliet karatteristiċi li ġejjin b’mod proporzjonali sabiex niżguraw ir-rappreżentattività tal-kampjun: (1) residenza permezz tar-reġjuni COROP, (2) età u (3) livell ta’ edukazzjoni. Id-distribuzzjoni tal-kampjun ġiet ippreżentata wkoll skont il-karatteristiċi ġenerali li ġejjin: il-ġeneru, l-oriġini, l-okkupazzjoni prinċipali, l-orjentazzjoni politika.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Ir-reġjuni tal-COROP ġew żviluppati fuq il-bażi tal-prinċipju nodali (“qalb” b’żona ta’ attrazzjoni jew funzjoni reġjonali), abbażi tal-fluss ta’ persuni li jivvjaġġaw. Ġie aċċettat xi ksur tal-prinċipju nodali sabiex ir-reġjuni jsegwu l-konfini provinċjali. Wara r-riorganizzazzjoni tal-muniċipalitajiet lil hinn mil-limiti tal-COROP, id-distribuzzjoni ġiet aġġustata (sors: L-Uffiċċju Nazzjonali tal-Istatistika tal-Pajjiżi l-Baxxi). Fi ħdan ir-reġjuni COROP, aħna żgurajna distribuzzjoni tajba fost il-gruppi ta’ età, bit-tqassim li ġej: etajiet ta’ 18–34, 35–54, 55–75 sena u aktar minn 75 sena.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Fl-aħħar nett, aħna żgurajna distribuzzjoni rappreżentattiva tal-livelli edukattivi. Fil-kampjun, id-distribuzzjoni ta’ dawk li wieġbu tikkorrispondi għad-distribuzzjoni fil-livell nazzjonali tal-ogħla livell ta’ edukazzjoni, li huwa kif ġej: </w:t>
      </w:r>
      <w:r>
        <w:br w:type="page"/>
      </w:r>
    </w:p>
    <w:p>
      <w:pPr>
        <w:pStyle w:val="P68B1DB1Normal120"/>
        <w:spacing w:lineRule="auto" w:line="240"/>
        <w:ind w:left="0" w:right="0" w:hanging="0"/>
        <w:rPr>
          <w:rFonts w:ascii="Calibri" w:hAnsi="Calibri"/>
          <w:b/>
          <w:b/>
          <w:color w:val="000000"/>
          <w:sz w:val="21"/>
        </w:rPr>
      </w:pPr>
      <w:r>
        <w:rPr/>
        <w:t xml:space="preserve">L-ogħla livell ta’ edukazzjoni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Baxxa: l-edukazzjoni primarja, l-edukazzjoni vokazzjonali preparatorja, l-ewwel sat-tielet grad tal-edukazzjoni sekondarja superjuri/l-edukazzjoni preuniversitarja ġenerali, l-edukazzjoni vokazzjonali sekondarja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Sustanza intermedjarja: edukazzjoni sekondarja ġenerali/edukazzjoni preuniversitarja, edukazzjoni vokazzjonali sekondarja minn 2 sa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Għoli: edukazzjoni vokazzjonali ogħla jew edukazzjoni universitarja</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Mhux magħruf</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Rata ta’ rispons </w:t>
      </w:r>
    </w:p>
    <w:p>
      <w:pPr>
        <w:pStyle w:val="P68B1DB1Normal104"/>
        <w:widowControl w:val="false"/>
        <w:spacing w:lineRule="exact" w:line="386" w:before="116" w:after="0"/>
        <w:ind w:left="0" w:right="368" w:hanging="0"/>
        <w:jc w:val="left"/>
        <w:rPr/>
      </w:pPr>
      <w:r>
        <w:rPr/>
        <w:t xml:space="preserve">Total ta’ 4,086 persuna pparteċipaw fl-istħarriġ għal kull bord. L-għan ta’ 3 600 kwestjonarju mimli bis-sħiħ huwa għalhekk milħuq.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It-tweġibiet mir-reġjuni u l-età tal-COROP</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Ta’ bejn it-18 u l-34 sena</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Ta’ bejn 35 u 54 sena</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Ta’ bejn 55 u 75 sena</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għandhom aktar minn 75 sena</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It-Tramuntana ta’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Ix-Xlokk ta’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Il-Lbiċ ta’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 tat-Tramuntana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Ix-Xlokk ta’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Il-Lbiċ ta’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Il-Lbiċ ta’ Gelderland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Il-Lvant ta’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Il-bqija ta’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Ċentrali ta’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It-Tramuntana ta’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In-Nofsinhar ta’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Ċentru ta’ Brabant ta’ Fuq</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Il-Grigal tat-Tramuntana ta’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Fil-Punent tat-Tramuntana ta’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Ix-Xlokk tat-Tramuntana ta’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Agglomerazzjoni ta’ Haarlem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u l-inħawi tagħha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Il-Grand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Il-Goi u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Il-ponta tal-Olanda ta’ Fuq</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Reġjun ta’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It-Tramuntana ta’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Il-Lbiċ ta’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Il-Bullettin tal-Hadd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Il-bqija ta’ Zeeland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Flanders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L-agglomerazzjoni ta’ Leiden u r-reġjun tal-bozoz</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Agglomerazzjoni ta’ The Hague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u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Il-Lvant tan-Nofsinhar tal-Olanda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Ix-Xlokk ta’ l-Olanda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Reazzjonijiet skont il-livell ta’ edukazzjoni</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Baxxa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Intermedjarju</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Għoli</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Mhux magħruf</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Affidabbiltà u rappreżentanza </w:t>
      </w:r>
    </w:p>
    <w:p>
      <w:pPr>
        <w:pStyle w:val="P68B1DB1Normal104"/>
        <w:widowControl w:val="false"/>
        <w:spacing w:lineRule="auto" w:line="240" w:before="119" w:after="0"/>
        <w:ind w:left="0" w:right="0" w:hanging="0"/>
        <w:jc w:val="left"/>
        <w:rPr/>
      </w:pPr>
      <w:r>
        <w:rPr/>
        <w:t xml:space="preserve">L-għadd ta’ rispondenti ta’ 4,086 jagħmilha possibbli li jsiru osservazzjonijiet għall-popolazzjoni kollha kemm hi b’livell ta’ fiduċja ta’ 95 % u marġni ta’ żball ta’ 1.53 %. Il-livell ta’ kunfidenza u l-marġni ta’ żball tar-riżultati huma ddeterminati mid-daqs tal-kampjun. Aktar ma jkun kbir il-kampjun, aktar ikunu affidabbli u preċiżi r-riżultati jistgħu jiġu estrapolati għall-popolazzjoni kollha.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Il-livell ta’ kunfidenza huwa definit bħala 1 (100 %) nieqes il-livell tat-tifsira. Huwa komuni li tkun ibbażata fuq livell ta’ tifsira ta’ 5 %. Qed nitkellmu dwar livell ta’ fiduċja ta’ 95 %. Fi kliem ieħor, jekk l-istħarriġ jiġi ripetut bl-istess mod u taħt l-istess kundizzjonijiet, ir-riżultati jkunu l-istess f’95 % tal-każijiet. </w:t>
      </w:r>
    </w:p>
    <w:p>
      <w:pPr>
        <w:pStyle w:val="P68B1DB1Normal104"/>
        <w:widowControl w:val="false"/>
        <w:spacing w:lineRule="auto" w:line="240"/>
        <w:ind w:left="0" w:right="0" w:hanging="0"/>
        <w:jc w:val="left"/>
        <w:rPr/>
      </w:pPr>
      <w:r>
        <w:rPr/>
        <w:t xml:space="preserve">Il-preċiżjoni (espressa skont il-marġni ta’ żball) tindika l-firxa ta’ valuri li fihom jinsab il-valur reali fil-popolazzjoni. Fi kliem ieħor: X’inhi d-differenza massima bejn ir-riżultati tal-kampjun u r-riżultati li jinkisbu mill-popolazzjoni kollha kemm hi? Marġini ta’ żball ta’ 1.53 % ifisser li l-valur attwali fi ħdan il-popolazzjoni totali jista’ jkun 1.53 % ogħla jew inqas mill-valur tal-kampjun. Pereżempju, jekk stħarriġ ta’ kampjun ta’ persuni jindika li 50 % ta’ dawk li wieġbu jqisu li tema partikolari hija importanti, il-perċentwal attwali huwa 1.53 % ogħla jew inqas minn dak ta’ 50 %, jiġifieri bejn 48.47 u 51.53 %. Marġini massimu ta’ żball ta’ 5 % huwa komuni u ġeneralment aċċettat fi studji kwantitattivi (statistika).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Minbarra l-affidabbiltà, ir-rappreżentattività tal-kampjun hija importanti. Peress li l-istediniet għall-parteċipazzjoni ntbagħtu f’lottijiet u ġew stratifikati, ir-riżultati huma rappreżentattivi f’termini tal-karatteristiċi tar-reġjun COROP u l-gruppi ta’ età skont ir-reġjun COROP. It-tweġibiet huma wkoll rappreżentattivi mill-perspettiva tal-livell ta’ edukazzjoni meta mqabbla mal-ogħla livell ta’ edukazzjoni miksub fil-livell nazzjonali.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Karatteristiċi ġenerali oħra </w:t>
      </w:r>
    </w:p>
    <w:p>
      <w:pPr>
        <w:pStyle w:val="P68B1DB1Normal104"/>
        <w:widowControl w:val="false"/>
        <w:spacing w:lineRule="auto" w:line="240"/>
        <w:ind w:left="0" w:right="0" w:hanging="0"/>
        <w:jc w:val="left"/>
        <w:rPr/>
      </w:pPr>
      <w:r>
        <w:rPr/>
        <w:t xml:space="preserve">Saru għadd ta’ mistoqsijiet kuntestwali addizzjonali biex il-parteċipanti jiġu mistħarrġa skont il-bord. Dawn jinkludu l-ġeneru, il-pożizzjoni tal-UE, l-oriġini, l-okkupazzjoni prinċipali u l-partit politiku li għalih il-persuna tivvota fil-każ ta’ elezzjonijiet.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49 % ta’ dawk li wieġbu huma rġiel, 50 % huma nisa u 1 % jippreferu li ma jwieġbux din il-mistoqsija.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51 % ta’ dawk li wieġbu jemmnu li hija ħaġa tajba li l-Pajjiżi l-Baxxi jkunu membri tal-UE, 13 % jaħsbu li hija ħaġa ħażina u 36 % huma newtrali jew m’għandhom l-ebda opinjoni.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95 % ta’ dawk li wieġbu twieldu fil-Pajjiżi l-Baxxi. 89 % ta’ dawk li wieġbu indikaw li ż-żewġ ġenituri twieldu fil-Pajjiżi l-Baxxi. 5 % twieldu lil żewġ ġenituri nfushom imwielda barra l-pajjiż.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Orjentazzjoni politika attwali ta’ dawk li wieġbu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TA’</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(Partit tal-Poplu għal-Libertà u d-Demokrazija)</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(Parti għal-Libertà)</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(Partit Soċjalista)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(Demokrati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(Sejħa Demokratika Kristjana)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(Parti tax-Xogħol)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(Parti tal-Annimali)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(Xellug Aħdar)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(Unjoni Kristjana)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(Moviment ta’ Ċittadin-Farmer)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(Forum għad-Demokrazija)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SĠP (Partit Politiku Riformat)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Ta’ 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Oħrajn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Votazzjoni bajda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Nippreferi li ma nwieġebx</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Jien ma nivvotax</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X’inhu bħalissa l-okkupazzjoni prinċipali tiegħek?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Xogħol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TA’</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Student/Student</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Impjegat part-time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Impjegat full-time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Kuntrattur indipendenti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Il-persuna d-dar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Persuna li qed tfittex xogħol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Voluntier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Inkapaċità għax-xogħol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Irtirat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Oħrajn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Nippreferi li ma nwieġebx</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Kwestjonarju </w:t>
      </w:r>
    </w:p>
    <w:p>
      <w:pPr>
        <w:pStyle w:val="P68B1DB1Normal104"/>
        <w:widowControl w:val="false"/>
        <w:spacing w:lineRule="exact" w:line="339" w:before="1" w:after="0"/>
        <w:ind w:left="0" w:right="0" w:hanging="0"/>
        <w:jc w:val="left"/>
        <w:rPr/>
      </w:pPr>
      <w:r>
        <w:rPr/>
        <w:t xml:space="preserve">Il-kwestjonarju u dan ir-rapport tħejjew minn organizzazzjoni esterna indipendenti fuq talba tal-Ministeru tal-Affarijiet Barranin. Il-kwestjonarju jippreżenta struttura modulari u jinkludi l-blokok ta’ mistoqsijiet li ġejjin, f’konformità mat-temi identifikati għall-Konferenza dwar il-Ġejjieni tal-Ewropa: </w:t>
      </w:r>
    </w:p>
    <w:p>
      <w:pPr>
        <w:pStyle w:val="P68B1DB1Normal105"/>
        <w:widowControl w:val="false"/>
        <w:spacing w:lineRule="exact" w:line="349" w:before="0" w:after="0"/>
        <w:ind w:left="0" w:right="0" w:hanging="0"/>
        <w:jc w:val="left"/>
        <w:rPr/>
      </w:pPr>
      <w:r>
        <w:rPr>
          <w:rFonts w:ascii="Verdana" w:hAnsi="Verdana"/>
        </w:rPr>
        <w:t xml:space="preserve">• </w:t>
      </w:r>
      <w:r>
        <w:rPr>
          <w:rFonts w:ascii="Verdana" w:hAnsi="Verdana"/>
        </w:rPr>
        <w:t>Temi</w:t>
      </w:r>
      <w:r>
        <w:rPr/>
        <w:t xml:space="preserve"> </w:t>
      </w:r>
      <w:r>
        <w:rPr>
          <w:rFonts w:ascii="Calibri" w:hAnsi="Calibri"/>
        </w:rPr>
        <w:t xml:space="preserve">importanti u r-rwol ta’ l-Ewropa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It-tibdil fil-klima u l-ambjent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Saħħa </w:t>
      </w:r>
    </w:p>
    <w:p>
      <w:pPr>
        <w:pStyle w:val="P68B1DB1Normal105"/>
        <w:widowControl w:val="false"/>
        <w:spacing w:lineRule="exact" w:line="349"/>
        <w:ind w:left="0" w:right="0" w:hanging="0"/>
        <w:jc w:val="left"/>
        <w:rPr/>
      </w:pPr>
      <w:r>
        <w:rPr>
          <w:rFonts w:ascii="Verdana" w:hAnsi="Verdana"/>
        </w:rPr>
        <w:t xml:space="preserve">• </w:t>
      </w:r>
      <w:r>
        <w:rPr>
          <w:rFonts w:ascii="Verdana" w:hAnsi="Verdana"/>
        </w:rPr>
        <w:t>L</w:t>
      </w:r>
      <w:r>
        <w:rPr/>
        <w:t xml:space="preserve"> - </w:t>
      </w:r>
      <w:r>
        <w:rPr>
          <w:rFonts w:ascii="Calibri" w:hAnsi="Calibri"/>
        </w:rPr>
        <w:t xml:space="preserve">ekonomija u l-impjiegi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Ir-rwol tal-Unjoni Ewropea fid-dinja </w:t>
      </w:r>
    </w:p>
    <w:p>
      <w:pPr>
        <w:pStyle w:val="P68B1DB1Normal105"/>
        <w:widowControl w:val="false"/>
        <w:spacing w:lineRule="exact" w:line="349"/>
        <w:ind w:left="0" w:right="0" w:hanging="0"/>
        <w:jc w:val="left"/>
        <w:rPr/>
      </w:pPr>
      <w:r>
        <w:rPr>
          <w:rFonts w:ascii="Verdana" w:hAnsi="Verdana"/>
        </w:rPr>
        <w:t xml:space="preserve">• </w:t>
      </w:r>
      <w:r>
        <w:rPr>
          <w:rFonts w:ascii="Verdana" w:hAnsi="Verdana"/>
        </w:rPr>
        <w:t>Is</w:t>
      </w:r>
      <w:r>
        <w:rPr/>
        <w:t xml:space="preserve"> </w:t>
      </w:r>
      <w:r>
        <w:rPr>
          <w:rFonts w:ascii="Calibri" w:hAnsi="Calibri"/>
        </w:rPr>
        <w:t xml:space="preserve">-sigurtà u l-istat tad-dritt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Id-dinja virtwali </w:t>
      </w:r>
    </w:p>
    <w:p>
      <w:pPr>
        <w:pStyle w:val="P68B1DB1Normal105"/>
        <w:widowControl w:val="false"/>
        <w:spacing w:lineRule="exact" w:line="349"/>
        <w:ind w:left="0" w:right="0" w:hanging="0"/>
        <w:jc w:val="left"/>
        <w:rPr/>
      </w:pPr>
      <w:r>
        <w:rPr>
          <w:rFonts w:ascii="Verdana" w:hAnsi="Verdana"/>
        </w:rPr>
        <w:t xml:space="preserve">• </w:t>
      </w:r>
      <w:r>
        <w:rPr>
          <w:rFonts w:ascii="Verdana" w:hAnsi="Verdana"/>
        </w:rPr>
        <w:t>Id</w:t>
      </w:r>
      <w:r>
        <w:rPr/>
        <w:t xml:space="preserve"> </w:t>
      </w:r>
      <w:r>
        <w:rPr>
          <w:rFonts w:ascii="Calibri" w:hAnsi="Calibri"/>
        </w:rPr>
        <w:t xml:space="preserve">-demokrazija Ewropea </w:t>
      </w:r>
    </w:p>
    <w:p>
      <w:pPr>
        <w:pStyle w:val="P68B1DB1Normal105"/>
        <w:widowControl w:val="false"/>
        <w:spacing w:lineRule="exact" w:line="349"/>
        <w:ind w:left="0" w:right="0" w:hanging="0"/>
        <w:jc w:val="left"/>
        <w:rPr/>
      </w:pPr>
      <w:r>
        <w:rPr>
          <w:rFonts w:ascii="Verdana" w:hAnsi="Verdana"/>
        </w:rPr>
        <w:t xml:space="preserve">• </w:t>
      </w:r>
      <w:r>
        <w:rPr>
          <w:rFonts w:ascii="Verdana" w:hAnsi="Verdana"/>
        </w:rPr>
        <w:t>Il</w:t>
      </w:r>
      <w:r>
        <w:rPr/>
        <w:t xml:space="preserve"> </w:t>
      </w:r>
      <w:r>
        <w:rPr>
          <w:rFonts w:ascii="Calibri" w:hAnsi="Calibri"/>
        </w:rPr>
        <w:t xml:space="preserve">-migrazzjoni u r-refuġjati </w:t>
      </w:r>
    </w:p>
    <w:p>
      <w:pPr>
        <w:pStyle w:val="P68B1DB1Normal105"/>
        <w:widowControl w:val="false"/>
        <w:spacing w:lineRule="exact" w:line="349"/>
        <w:ind w:left="0" w:right="0" w:hanging="0"/>
        <w:jc w:val="left"/>
        <w:rPr/>
      </w:pPr>
      <w:r>
        <w:rPr>
          <w:rFonts w:ascii="Verdana" w:hAnsi="Verdana"/>
        </w:rPr>
        <w:t xml:space="preserve">• </w:t>
      </w:r>
      <w:r>
        <w:rPr>
          <w:rFonts w:ascii="Verdana" w:hAnsi="Verdana"/>
        </w:rPr>
        <w:t>L</w:t>
      </w:r>
      <w:r>
        <w:rPr/>
        <w:t xml:space="preserve"> </w:t>
      </w:r>
      <w:r>
        <w:rPr>
          <w:rFonts w:ascii="Calibri" w:hAnsi="Calibri"/>
        </w:rPr>
        <w:t xml:space="preserve">-edukazzjoni/il-kultura/iż-żgħażagħ/l-isport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Matul it-tħejjija tal-kwestjonarju, ingħatat attenzjoni kbira lill-kwalità, l-affidabbiltà u l-validità tal-mistoqsijiet. Għal din ir-raġuni, intalbet formulazzjoni newtrali u mhux iggwidata ta’ mistoqsijiet, dikjarazzjonijiet u għażliet ta’ rispons, u ġie vverifikat li l-mistoqsijiet ġew ifformulati f’lingwaġġ komprensibbli (livell B1).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Il-kwestjonarju kien soġġett għal testijiet tal-kwalità permezz ta’ intervisti wiċċ imb wiċċ mal-parteċipanti tat-test li jappartjenu għall-grupp fil-mira. Dan ippermettalna nistudjaw kif il-mistoqsijiet jinftiehmu minn tipi differenti ta’ rispondenti. Jekk mistoqsija tidher li tirrappreżenta tagħbija konjittiva kbira wisq (kumplessa wisq), kien xieraq. </w:t>
      </w:r>
    </w:p>
    <w:p>
      <w:pPr>
        <w:pStyle w:val="P68B1DB1Normal126"/>
        <w:widowControl w:val="false"/>
        <w:spacing w:lineRule="auto" w:line="240" w:before="333" w:after="0"/>
        <w:ind w:left="0" w:right="0" w:hanging="0"/>
        <w:jc w:val="left"/>
        <w:rPr>
          <w:rFonts w:ascii="Calibri" w:hAnsi="Calibri"/>
          <w:color w:val="0070C0"/>
          <w:sz w:val="24"/>
        </w:rPr>
      </w:pPr>
      <w:r>
        <w:rPr/>
        <w:t xml:space="preserve">Metodi ta’ analiżi </w:t>
      </w:r>
    </w:p>
    <w:p>
      <w:pPr>
        <w:pStyle w:val="P68B1DB1Normal104"/>
        <w:widowControl w:val="false"/>
        <w:spacing w:lineRule="auto" w:line="240" w:before="80" w:after="0"/>
        <w:ind w:left="0" w:right="0" w:hanging="0"/>
        <w:jc w:val="left"/>
        <w:rPr>
          <w:rFonts w:ascii="Calibri" w:hAnsi="Calibri"/>
          <w:color w:val="000000"/>
          <w:sz w:val="21"/>
        </w:rPr>
      </w:pPr>
      <w:r>
        <w:rPr/>
        <w:t xml:space="preserve">F’dan l-istħarriġ intużaw żewġ metodi ta’ analiżi: </w:t>
      </w:r>
    </w:p>
    <w:p>
      <w:pPr>
        <w:pStyle w:val="P68B1DB1Normal111"/>
        <w:widowControl w:val="false"/>
        <w:spacing w:lineRule="auto" w:line="240" w:before="48" w:after="0"/>
        <w:ind w:left="0" w:right="0" w:hanging="0"/>
        <w:jc w:val="left"/>
        <w:rPr>
          <w:rFonts w:ascii="Calibri" w:hAnsi="Calibri"/>
          <w:b/>
          <w:b/>
          <w:color w:val="000000"/>
          <w:sz w:val="22"/>
        </w:rPr>
      </w:pPr>
      <w:r>
        <w:rPr/>
        <w:t xml:space="preserve">Analiżi univariate </w:t>
      </w:r>
    </w:p>
    <w:p>
      <w:pPr>
        <w:pStyle w:val="P68B1DB1Normal104"/>
        <w:widowControl w:val="false"/>
        <w:spacing w:lineRule="auto" w:line="240" w:before="6" w:after="0"/>
        <w:ind w:left="0" w:right="0" w:hanging="0"/>
        <w:jc w:val="left"/>
        <w:rPr>
          <w:rFonts w:ascii="Calibri" w:hAnsi="Calibri"/>
          <w:color w:val="000000"/>
          <w:sz w:val="21"/>
        </w:rPr>
      </w:pPr>
      <w:r>
        <w:rPr/>
        <w:t xml:space="preserve">L-istatistika deskrittiva tintuża biex tiddeskrivi l-varjabbli ta’ stħarriġ. F’dan l-istħarriġ jintużaw il-frekwenzi u l-medji. </w:t>
      </w:r>
    </w:p>
    <w:p>
      <w:pPr>
        <w:pStyle w:val="P68B1DB1Normal111"/>
        <w:widowControl w:val="false"/>
        <w:spacing w:lineRule="auto" w:line="240" w:before="48" w:after="0"/>
        <w:ind w:left="0" w:right="0" w:hanging="0"/>
        <w:jc w:val="left"/>
        <w:rPr>
          <w:rFonts w:ascii="Calibri" w:hAnsi="Calibri"/>
          <w:b/>
          <w:b/>
          <w:color w:val="000000"/>
          <w:sz w:val="22"/>
        </w:rPr>
      </w:pPr>
      <w:r>
        <w:rPr/>
        <w:t xml:space="preserve">Analiżi ta’ bivariate </w:t>
      </w:r>
    </w:p>
    <w:p>
      <w:pPr>
        <w:pStyle w:val="P68B1DB1Normal104"/>
        <w:widowControl w:val="false"/>
        <w:spacing w:lineRule="auto" w:line="240" w:before="6" w:after="0"/>
        <w:ind w:left="0" w:right="0" w:hanging="0"/>
        <w:jc w:val="left"/>
        <w:rPr/>
      </w:pPr>
      <w:r>
        <w:rPr/>
        <w:t xml:space="preserve">L-analiżi bivariate jagħmluha possibbli li tiġi eżaminata r-relazzjoni bejn żewġ varjabbli, f’dan il-każ ir-relazzjoni bejn l-importanza tat-temi differenti u l-kwistjoni dwar jekk l-UE għandhiex tintervjeni f’dan il-qasam u l-karatteristika ġenerali tal-età. Saret reviżjoni biex jiġi ddeterminat jekk gruppi ta’ etajiet differenti jagħtux importanza differenti lil suġġett u jekk hemmx fehmiet differenti dwar sa liema punt dawn huma kwistjonijiet li fihom l-UE għandha tkun involuta.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Pubblikazzjoni ta’ informazzjoni u kompletezza </w:t>
      </w:r>
    </w:p>
    <w:p>
      <w:pPr>
        <w:pStyle w:val="P68B1DB1Normal76"/>
        <w:widowControl w:val="false"/>
        <w:spacing w:lineRule="auto" w:line="240" w:before="116" w:after="0"/>
        <w:ind w:left="0" w:right="0" w:hanging="0"/>
        <w:jc w:val="left"/>
        <w:rPr/>
      </w:pPr>
      <w:r>
        <w:rPr>
          <w:rFonts w:ascii="Calibri" w:hAnsi="Calibri"/>
          <w:sz w:val="21"/>
        </w:rPr>
        <w:t>Dan ir-rapport jinkorpora r-riżultati tal-mistoqsijiet kollha li saru lir-rispondenti tal-bord tal-istħarriġ. Għal xi mistoqsijiet, ir-rispondent ingħata l-opportunità li jipprovdi tweġibiet “miftuħa” (jiġifieri mhux predeterminati). It-tweġibiet miftuħa mbagħad ġew ikkategorizzati u inklużi fil-pubblikazzjoni. L-ideat kondiviżi minn dawk li wieġbu fil-kummenti bla ħlas jintużaw biex jikkontribwixxu għad-diversi djalogi tematiċi organizzati bħala segwitu għall-proċess tad-Djalogu taċ-Ċittadini “Viżjoni tal-Ewropa”.</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Djalogi tematiċi online għall-approfondiment </w:t>
      </w:r>
    </w:p>
    <w:p>
      <w:pPr>
        <w:pStyle w:val="P68B1DB1Normal104"/>
        <w:widowControl w:val="false"/>
        <w:spacing w:lineRule="auto" w:line="240"/>
        <w:ind w:left="0" w:right="0" w:hanging="0"/>
        <w:jc w:val="left"/>
        <w:rPr/>
      </w:pPr>
      <w:r>
        <w:rPr/>
        <w:t xml:space="preserve">It-temi fil-qalba tal-Konferenza dwar il-Futur tal-Ewropa ġew approfonditi permezz ta’ tmien djalogi tematiċi online. L-għan ta’ dawn id-djalogi kien li jiġu skoperti r- </w:t>
      </w:r>
      <w:r>
        <w:rPr>
          <w:i/>
        </w:rPr>
        <w:t>raġunijiet</w:t>
      </w:r>
      <w:r>
        <w:rPr/>
        <w:t xml:space="preserve"> għall-opinjonijiet espressi, kif ukoll il-motivazzjonijiet u s-sentimenti warajhom. X’inhuma t-tħassib u l-opportunitajiet perċepiti? Is-sessjonijiet ta’ diskussjoni ppermettew ukoll lill-parteċipanti jifformulaw suġġerimenti u ideat dwar dawn is-suġġetti, kif ukoll iqajmu kwistjonijiet li mhumiex parti mill-konferenza iżda jibqgħu importanti għalihom.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Id-djalogi tematiċi saru fit-12–14 ta’ Ottubru u fid-9–11 ta’ Novembru. F’Ottubru ġew organizzati erba’ djalogi tematiċi online dwar it-temi “Ekonomija” u “Demokrazija”. </w:t>
      </w:r>
    </w:p>
    <w:p>
      <w:pPr>
        <w:pStyle w:val="Normal"/>
        <w:widowControl w:val="false"/>
        <w:spacing w:lineRule="auto" w:line="240" w:before="10" w:after="0"/>
        <w:ind w:left="0" w:right="0" w:hanging="0"/>
        <w:jc w:val="left"/>
        <w:rPr/>
      </w:pPr>
      <w:r>
        <w:rPr>
          <w:rFonts w:ascii="Calibri" w:hAnsi="Calibri"/>
          <w:color w:val="000000"/>
          <w:sz w:val="21"/>
        </w:rPr>
        <w:t xml:space="preserve">F’Novembru saru erba’ djalogi tematiċi online dwar it-temi “Klima” u “L-UE fid-dinja”. Bħala medja, 29 persuna pparteċipaw f’kull sessjoni ta’ diskussjoni (231 b’kollox). Il-parteċipanti ġew reklutati minn fost il-membri tal-bord (ara l-punt 1) u permezz tal-midja soċjali. </w:t>
      </w:r>
      <w:r>
        <w:br w:type="page"/>
      </w:r>
    </w:p>
    <w:p>
      <w:pPr>
        <w:pStyle w:val="P68B1DB1Normal125"/>
        <w:spacing w:lineRule="auto" w:line="240"/>
        <w:ind w:left="0" w:right="0" w:hanging="0"/>
        <w:rPr>
          <w:rFonts w:ascii="Calibri" w:hAnsi="Calibri"/>
          <w:b/>
          <w:b/>
          <w:color w:val="0070C0"/>
          <w:sz w:val="32"/>
        </w:rPr>
      </w:pPr>
      <w:r>
        <w:rPr/>
        <w:t xml:space="preserve">3. Djalogi ma’ gruppi speċifiċi </w:t>
      </w:r>
    </w:p>
    <w:p>
      <w:pPr>
        <w:pStyle w:val="P68B1DB1Normal104"/>
        <w:widowControl w:val="false"/>
        <w:spacing w:lineRule="auto" w:line="240" w:before="73" w:after="0"/>
        <w:ind w:left="0" w:right="0" w:hanging="0"/>
        <w:jc w:val="left"/>
        <w:rPr/>
      </w:pPr>
      <w:r>
        <w:rPr/>
        <w:t xml:space="preserve">Xi gruppi Olandiżi huma magħrufa li huma inqas imdorrijin jipparteċipaw fi stħarriġ u panels (onlajn). Sabiex tinkiseb immaġni rappreżentattiva tal-“vuċi tal-Pajjiżi l-Baxxi”, kien importanti li dawn iċ-ċittadini jkunu jistgħu jesprimu wkoll l-ideat u l-opinjonijiet tagħhom. Huwa għalhekk li organizzajna wkoll għadd ta’ djalogi fuq il-post għall-istħarriġ “Viżjoni tal-Ewropa”. L-opinjonijiet u l-ideat li stajna niġbru ntużaw bħala bażi (fost l-oħrajn) biex jifformulaw ir-rakkomandazzjonijiet. </w:t>
      </w:r>
    </w:p>
    <w:p>
      <w:pPr>
        <w:pStyle w:val="P68B1DB1Normal126"/>
        <w:widowControl w:val="false"/>
        <w:spacing w:lineRule="auto" w:line="240" w:before="94" w:after="0"/>
        <w:ind w:left="0" w:right="0" w:hanging="0"/>
        <w:jc w:val="left"/>
        <w:rPr>
          <w:rFonts w:ascii="Calibri" w:hAnsi="Calibri"/>
          <w:color w:val="0070C0"/>
          <w:sz w:val="24"/>
        </w:rPr>
      </w:pPr>
      <w:r>
        <w:rPr/>
        <w:t xml:space="preserve">Gruppi fil-mira </w:t>
      </w:r>
    </w:p>
    <w:p>
      <w:pPr>
        <w:pStyle w:val="P68B1DB1Normal110"/>
        <w:widowControl w:val="false"/>
        <w:spacing w:lineRule="auto" w:line="240" w:before="88" w:after="0"/>
        <w:ind w:left="0" w:right="0" w:hanging="0"/>
        <w:jc w:val="left"/>
        <w:rPr/>
      </w:pPr>
      <w:r>
        <w:rPr>
          <w:sz w:val="21"/>
        </w:rPr>
        <w:t xml:space="preserve">Il-gruppi fil-mira li diffiċli jintlaħqu ma jistgħux jiġu definiti b’mod mhux ambigwu. L-istudji u l-esperjenza jippermettulna nkunu nafu li l-Olandiżi b’oriġini </w:t>
      </w:r>
      <w:r>
        <w:rPr>
          <w:b/>
          <w:sz w:val="21"/>
        </w:rPr>
        <w:t>mhux tal-Punent</w:t>
      </w:r>
      <w:r>
        <w:rPr>
          <w:sz w:val="21"/>
        </w:rPr>
        <w:t>jipparteċipaw b’mod sinifikanti inqas minnhom infushom f’investigazzjonijiet u diskussjonijiet. Peress li dan jirrappreżenta grupp kbir (14 % tal-</w:t>
      </w:r>
      <w:r>
        <w:rPr>
          <w:b/>
          <w:position w:val="6"/>
          <w:sz w:val="14"/>
        </w:rPr>
        <w:t>1</w:t>
      </w:r>
      <w:r>
        <w:rPr>
          <w:sz w:val="21"/>
        </w:rPr>
        <w:t xml:space="preserve">Netherlandiż), dawn intgħażlu biex jipparteċipaw fid-djalogu Viżjoni tal-Ewropa. L-istess raġunament ġie segwit fir-rigward </w:t>
      </w:r>
      <w:r>
        <w:rPr>
          <w:b/>
          <w:sz w:val="21"/>
        </w:rPr>
        <w:t>ta’ persuni bi ftit edukazzjoni</w:t>
      </w:r>
      <w:r>
        <w:rPr>
          <w:sz w:val="21"/>
        </w:rPr>
        <w:t>. Huwa wkoll grupp kbir (2.5 miljun Olandiż</w:t>
      </w:r>
      <w:r>
        <w:rPr>
          <w:position w:val="6"/>
          <w:sz w:val="14"/>
        </w:rPr>
        <w:t>2</w:t>
      </w:r>
      <w:r>
        <w:rPr>
          <w:sz w:val="21"/>
        </w:rPr>
        <w:t xml:space="preserve">), li parzjalment jikkoinċidi mal-grupp tal-migranti (39 %). Fl-aħħar nett, sar djalogu ma’ grupp ta’ nies li rarament jinstabu fi stħarriġ u diskussjonijiet, </w:t>
      </w:r>
      <w:r>
        <w:rPr>
          <w:b/>
          <w:sz w:val="21"/>
        </w:rPr>
        <w:t>li huma kritiċi għall-Ewropa, iżda li għalihom l-Ewropa għandha rwol importanti fl-isfera professjonali.</w:t>
      </w:r>
      <w:r>
        <w:rPr>
          <w:sz w:val="21"/>
        </w:rPr>
        <w:t xml:space="preserve"> Intgħażlu intraprendituri mis-settur agrikolu.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Il-gruppi msemmija hawn fuq ġew avviċinati permezz ta’ organizzazzjonijiet li huma membri tagħhom, bħal organizzazzjonijiet tal-migranti, assoċjazzjonijiet ta’ promozzjoni u organizzazzjonijiet professjonali. Peress li llimitajna n-numru ta’ djalogi għal tmienja, ma stajniex inkunu kompletament “eżawrenti”. Dan jagħmel l-għażla tal-parteċipanti xi ftit arbitrarja. Biex nagħmlu din l-għażla, aħna ħadna wkoll l-entużjażmu biex nipparteċipaw u ngħinu biex nimmobilizzaw il-bażi tagħhom, kif ukoll kwistjonijiet prattiċi bħad-disponibbiltà skont id-dati u l-post.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Saru djalogi fuq il-post ma’ membri tal-organizzazzjonijiet li ġejjin: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Hakder Foundation, il-komunità Alevi, Schiedam </w:t>
      </w:r>
    </w:p>
    <w:p>
      <w:pPr>
        <w:pStyle w:val="P68B1DB1Normal105"/>
        <w:widowControl w:val="false"/>
        <w:spacing w:lineRule="auto" w:line="240"/>
        <w:ind w:left="0" w:right="0" w:hanging="0"/>
        <w:jc w:val="left"/>
        <w:rPr/>
      </w:pPr>
      <w:r>
        <w:rPr>
          <w:rFonts w:ascii="Verdana" w:hAnsi="Verdana"/>
        </w:rPr>
        <w:t xml:space="preserve">• </w:t>
      </w:r>
      <w:r>
        <w:rPr>
          <w:rFonts w:ascii="Verdana" w:hAnsi="Verdana"/>
        </w:rPr>
        <w:t>Il</w:t>
      </w:r>
      <w:r>
        <w:rPr/>
        <w:t xml:space="preserve"> - </w:t>
      </w:r>
      <w:r>
        <w:rPr>
          <w:rFonts w:ascii="Calibri" w:hAnsi="Calibri"/>
        </w:rPr>
        <w:t xml:space="preserve">Fondazzjoni Asha, il-komunità Hindu, Utrecht (żewġ sessjonijiet ta’ diskussjoni)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organizzazzjoni tas-soċjetà ċivili,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organizzazzjoni għal persuni b’edukazzjoni baxxa,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assoċjazzjoni ta’ gruppi agrikoli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il-komunità Marokkina,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Nisa għal-Libertà, organizzazzjoni ta’ promozzjoni għal nisa bi sfond ta’ migrazzjoni, The Hague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Total ta’ 110 persuna pparteċipaw f’dawn il-laqgħat ta’ diskussjoni.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Djalogi maż-żgħażagħ </w:t>
      </w:r>
    </w:p>
    <w:p>
      <w:pPr>
        <w:pStyle w:val="P68B1DB1Normal104"/>
        <w:widowControl w:val="false"/>
        <w:spacing w:lineRule="auto" w:line="240" w:before="145" w:after="0"/>
        <w:ind w:left="0" w:right="0" w:hanging="0"/>
        <w:jc w:val="both"/>
        <w:rPr/>
      </w:pPr>
      <w:r>
        <w:rPr/>
        <w:t xml:space="preserve">Iż-żgħażagħ huma grupp fil-mira ta’ prijorità tal-Konferenza dwar il-Futur tal-Ewropa. Sabiex titħeġġeġ b’mod attiv il-parteċipazzjoni tagħhom fid-Djalogu taċ-Ċittadini “Viżjoni tal-Ewropa” u biex l-opinjonijiet u l-ideat ta’ dan il-grupp jinstemgħu sew, ġew organizzati sitt laqgħat ta’ diskussjoni fiżika speċifikament għaż-żgħażagħ.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Il-laqgħat saru fl-istituzzjonijiet li ġejjin: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Assoċjazzjoni tal-Istudenti tal-Istorja, Università ta’ Leiden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Kulleġġ, High School,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Coalitie-Y, Kunsill Ekonomiku u Soċjali Pjattaforma taż-Żgħażagħ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Kulleġġ Graafschap, edukazzjoni sekondarja vokazzjonali,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edukazzjoni sekondarja li tiffoka fuq suġġetti teknoloġiċi,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Kunsill Nazzjonali taż-Żgħażagħ (il-laqgħa saret barra mis-sit)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Total ta’ 110 żagħżugħ ipparteċipaw fil-laqgħat ta’ diskussjoni. </w:t>
      </w:r>
      <w:r>
        <w:br w:type="page"/>
      </w:r>
    </w:p>
    <w:p>
      <w:pPr>
        <w:pStyle w:val="P68B1DB1Normal126"/>
        <w:spacing w:lineRule="auto" w:line="240"/>
        <w:ind w:left="0" w:right="0" w:hanging="0"/>
        <w:rPr>
          <w:rFonts w:ascii="Calibri" w:hAnsi="Calibri"/>
          <w:color w:val="0070C0"/>
          <w:sz w:val="24"/>
        </w:rPr>
      </w:pPr>
      <w:r>
        <w:rPr/>
        <w:t xml:space="preserve">Tekniki ta’ manutenzjoni użati </w:t>
      </w:r>
    </w:p>
    <w:p>
      <w:pPr>
        <w:pStyle w:val="P68B1DB1Normal104"/>
        <w:widowControl w:val="false"/>
        <w:spacing w:lineRule="auto" w:line="240" w:before="92" w:after="0"/>
        <w:ind w:left="0" w:right="0" w:hanging="0"/>
        <w:jc w:val="left"/>
        <w:rPr/>
      </w:pPr>
      <w:r>
        <w:rPr/>
        <w:t xml:space="preserve">Id-djalogi tematiċi online, id-djalogi ma’ gruppi speċifiċi u d-djalogi maż-żgħażagħ twettqu bl-użu tal-hekk imsejjaħ metodu ta’ intervista “sokratiku”. Dan il-metodu ilu jintuża għal ħafna snin f’Jum id-Djalogu, fejn in-nies fin-Netherlands jinteraġixxu dwar kwistjonijiet li jaffettwawhom. Fil-kuntest tal-metodu ta’ manutenzjoni Sokratika, il-moderatur għandu jqis il-prinċipji li ġejjin: </w:t>
      </w:r>
    </w:p>
    <w:p>
      <w:pPr>
        <w:pStyle w:val="P68B1DB1Normal105"/>
        <w:widowControl w:val="false"/>
        <w:spacing w:lineRule="auto" w:line="240"/>
        <w:ind w:left="0" w:right="0" w:hanging="0"/>
        <w:jc w:val="left"/>
        <w:rPr/>
      </w:pPr>
      <w:r>
        <w:rPr>
          <w:rFonts w:ascii="Verdana" w:hAnsi="Verdana"/>
        </w:rPr>
        <w:t>•</w:t>
      </w:r>
      <w:r>
        <w:rPr/>
        <w:t xml:space="preserve"> </w:t>
      </w:r>
      <w:r>
        <w:rPr/>
        <w:t xml:space="preserve">Ħalli l-oħra jirrakkontaw l-istorja tagħhom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M’</w:t>
      </w:r>
      <w:r>
        <w:rPr/>
        <w:t xml:space="preserve"> </w:t>
      </w:r>
      <w:r>
        <w:rPr>
          <w:rFonts w:ascii="Calibri" w:hAnsi="Calibri"/>
        </w:rPr>
        <w:t xml:space="preserve">għandekx tweġibha immedjatament bi storja oħra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Ittratta lilek innifsek b’rispett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Tkellem dwar il-fehma tiegħu stess (“I find” aktar milli “jgħidu”)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Itlob għal aktar spjegazzjonijiet jekk il-fehmiet espressi humiex limitati għall-ġeneralitajiet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Evita s-sentenzi u tanalizzahom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Agħti mumenti ta’ silenzju jekk in-nies ikollhom bżonn jaħsbu għal mument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Matul id-djalogi, għandu jintuża r-ritmu li ġej: diverġenza — konverġenza — diverġenza. Il-prinċipju huwa li l-ewwel trid tvarja (jesprimu direttament sentimenti u opinjonijiet individwali), qabel ma tkun tista’ tikkonverġi (titkellem toroq possibbli) u mbagħad finalment terġa’ titbiegħed (pereżempju, iġbor rakkomandazzjonijiet individwali). L-esperjenza u t-teorija juru li dan ir-ritmu jiżgura fluss ottimali ta’ djalogu.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Id-djalogi kollha saru minn faċilitaturi professjonali. </w:t>
      </w:r>
    </w:p>
    <w:p>
      <w:pPr>
        <w:pStyle w:val="Normal"/>
        <w:widowControl w:val="false"/>
        <w:spacing w:lineRule="auto" w:line="240" w:before="197" w:after="0"/>
        <w:ind w:left="0" w:right="0" w:hanging="0"/>
        <w:jc w:val="left"/>
        <w:rPr/>
      </w:pPr>
      <w:r>
        <w:rPr>
          <w:rFonts w:ascii="Calibri" w:hAnsi="Calibri"/>
          <w:b/>
          <w:color w:val="0070C0"/>
          <w:sz w:val="32"/>
        </w:rPr>
        <w:t>5. Stħarriġ pubbliku onlajn: Kwestjonarju u “Swipen naar de toekomst” (</w:t>
      </w:r>
      <w:commentRangeStart w:id="31"/>
      <w:r>
        <w:rPr>
          <w:rFonts w:ascii="Calibri" w:hAnsi="Calibri"/>
          <w:b/>
          <w:color w:val="0070C0"/>
          <w:sz w:val="32"/>
        </w:rPr>
        <w:t>Swiper</w:t>
      </w:r>
      <w:r>
        <w:rPr>
          <w:rFonts w:ascii="Calibri" w:hAnsi="Calibri"/>
          <w:b/>
          <w:color w:val="0070C0"/>
          <w:sz w:val="32"/>
        </w:rPr>
      </w:r>
      <w:commentRangeEnd w:id="31"/>
      <w:r>
        <w:commentReference w:id="31"/>
      </w:r>
      <w:r>
        <w:rPr>
          <w:rFonts w:ascii="Calibri" w:hAnsi="Calibri"/>
          <w:b/>
          <w:color w:val="0070C0"/>
          <w:sz w:val="32"/>
        </w:rPr>
        <w:t xml:space="preserve"> għall-futur) </w:t>
      </w:r>
    </w:p>
    <w:p>
      <w:pPr>
        <w:pStyle w:val="P68B1DB1Normal110"/>
        <w:widowControl w:val="false"/>
        <w:spacing w:lineRule="auto" w:line="240"/>
        <w:ind w:left="0" w:right="0" w:hanging="0"/>
        <w:jc w:val="left"/>
        <w:rPr/>
      </w:pPr>
      <w:r>
        <w:rPr>
          <w:sz w:val="21"/>
        </w:rPr>
        <w:t>Il-kwestjonarju tal-istħarriġ tal-bord kien miftuħ ukoll għall-Olandiżi kollha, inklużi dawk li jgħixu barra mill-pajjiż. Dak il-kwestjonarju kien disponibbli mill-</w:t>
      </w:r>
      <w:r>
        <w:rPr>
          <w:position w:val="6"/>
          <w:sz w:val="14"/>
        </w:rPr>
        <w:t>1</w:t>
      </w:r>
      <w:r>
        <w:rPr>
          <w:sz w:val="21"/>
        </w:rPr>
        <w:t xml:space="preserve"> ta’ Settembru 2021 sal-14 ta’ Novembru 2021. Barra minn hekk, matul l-istess perjodu, kull Olandiż seta’ jipparteċipa fl-azzjoni “Swipen naar de toekomst” (Swipen naar de toekomst) (Swiper għall-futur), għodda online li tippreżenta 20 talba. </w:t>
      </w:r>
    </w:p>
    <w:p>
      <w:pPr>
        <w:pStyle w:val="P68B1DB1Normal126"/>
        <w:widowControl w:val="false"/>
        <w:spacing w:lineRule="auto" w:line="240" w:before="14" w:after="0"/>
        <w:ind w:left="0" w:right="0" w:hanging="0"/>
        <w:jc w:val="left"/>
        <w:rPr>
          <w:rFonts w:ascii="Calibri" w:hAnsi="Calibri"/>
          <w:color w:val="0070C0"/>
          <w:sz w:val="24"/>
        </w:rPr>
      </w:pPr>
      <w:r>
        <w:rPr/>
        <w:t xml:space="preserve">Tweġibiet u użu </w:t>
      </w:r>
    </w:p>
    <w:p>
      <w:pPr>
        <w:pStyle w:val="P68B1DB1Normal104"/>
        <w:widowControl w:val="false"/>
        <w:spacing w:lineRule="auto" w:line="240"/>
        <w:ind w:left="0" w:right="0" w:hanging="0"/>
        <w:jc w:val="left"/>
        <w:rPr/>
      </w:pPr>
      <w:r>
        <w:rPr/>
        <w:t xml:space="preserve">Total ta’ 1,967 parteċipant lestew il-kwestjonarju u 6,968 kienu sal-aħħar tal-għodda tal-iskannjar tal-iskrin. Kemm il-kwestjonarju kif ukoll l-għodda tal-iskannjar tal-iskrin kienu miftuħa għal kulħadd: ma kien hemm l-ebda prerekwiżiti jew kriterji tal-għażla għall-parteċipazzjoni. Fil-kwestjonarju, kien possibbli li wieħed jgħaddi mistoqsijiet (ma kien hemm l-ebda mistoqsija obbligatorja) sabiex tiġi massimizzata r-rata ta’ rispons. Il-parteċipanti għażlu “Jien nippreferi li ma nweġibx” ħafna aktar milli fl-istħarriġ rappreżentattiv tal-bord. </w:t>
      </w:r>
    </w:p>
    <w:p>
      <w:pPr>
        <w:pStyle w:val="P68B1DB1Normal104"/>
        <w:widowControl w:val="false"/>
        <w:spacing w:lineRule="auto" w:line="240"/>
        <w:ind w:left="0" w:right="0" w:hanging="0"/>
        <w:jc w:val="left"/>
        <w:rPr/>
      </w:pPr>
      <w:r>
        <w:rPr/>
        <w:t xml:space="preserve">Il-karatteristiċi ġenerali tal-parteċipanti fil-kwestjonarju miftuħ u l-għodda tal-iskannjar tal-iskrin ivarjaw f’diversi aspetti minn dawk tal-parteċipanti fil-bord rappreżentattiv. Għall-kuntrarju tal-istħarriġ tal-bord, ir-riżultati tal-kwestjonarju miftuħ u l-għodda tal-iskannjar tal-iskrin mhumiex rappreżentattivi. Ir-riżultati tal-istħarriġ miftuħ onlajn intużaw biex jikkomplementaw l-istħarriġ tal-bord. Huma jagħtu ħarsa ġenerali lejn is-sentimenti u l-ideat li qed jiċċirkolaw fil-Pajjiżi l-Baxxi. Is-suġġerimenti għal titjib imsemmija fl-oqsma tal-input intużaw fit-taqsima “Diskussjonijiet u ideat online u fuq il-post”. L-għodda tal-iskannjar tal-iskrin intużat biex tifhem aħjar xi wħud mis-sentimenti li jiċċirkolaw fin-Netherlands. Dawn ir-riżultati tqiesu fit-tħejjija tar-rakkomandazzjonijiet. Minħabba r-rekwiżit ta’ rappreżentanza, ir-riżultati tal-investigazzjoni miftuħa online ġew ikkunsidrati b’mod limitat f’dan ir-rapport.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Dan ir-rapport huwa ppubblikat mill-Ministeru tal-Affarijiet Barranin.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Referenzi għar-riżultati tal-avvenimenti nazzjonali </w:t>
      </w:r>
    </w:p>
    <w:p>
      <w:pPr>
        <w:pStyle w:val="Normal"/>
        <w:widowControl w:val="false"/>
        <w:spacing w:lineRule="auto" w:line="240"/>
        <w:ind w:left="360" w:right="6617" w:hanging="0"/>
        <w:jc w:val="both"/>
        <w:rPr/>
      </w:pPr>
      <w:r>
        <w:rPr>
          <w:rFonts w:ascii="Times New Roman" w:hAnsi="Times New Roman"/>
          <w:color w:val="000000"/>
        </w:rPr>
        <w:t xml:space="preserve">• </w:t>
      </w:r>
      <w:r>
        <w:rPr>
          <w:rFonts w:ascii="Times New Roman" w:hAnsi="Times New Roman"/>
          <w:color w:val="000000"/>
        </w:rPr>
        <w:t xml:space="preserve">Il- </w:t>
      </w:r>
      <w:hyperlink r:id="rId122">
        <w:r>
          <w:rPr>
            <w:rStyle w:val="LienInternet"/>
            <w:rFonts w:ascii="Times New Roman" w:hAnsi="Times New Roman"/>
            <w:b/>
            <w:color w:val="0000FF"/>
          </w:rPr>
          <w:t>Belġju</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r>
        <w:rPr>
          <w:rFonts w:ascii="Times New Roman" w:hAnsi="Times New Roman"/>
          <w:color w:val="000000"/>
        </w:rPr>
        <w:t xml:space="preserve">Il- </w:t>
      </w:r>
      <w:hyperlink r:id="rId123">
        <w:r>
          <w:rPr>
            <w:rStyle w:val="LienInternet"/>
            <w:rFonts w:ascii="Times New Roman" w:hAnsi="Times New Roman"/>
            <w:b/>
            <w:color w:val="0000FF"/>
          </w:rPr>
          <w:t>Bulgarija</w:t>
        </w:r>
      </w:hyperlink>
    </w:p>
    <w:p>
      <w:pPr>
        <w:pStyle w:val="Normal"/>
        <w:widowControl w:val="false"/>
        <w:spacing w:lineRule="auto" w:line="240"/>
        <w:ind w:left="360" w:right="6617" w:hanging="0"/>
        <w:jc w:val="both"/>
        <w:rPr/>
      </w:pPr>
      <w:r>
        <w:rPr>
          <w:rFonts w:ascii="Times New Roman" w:hAnsi="Times New Roman"/>
          <w:color w:val="000000"/>
        </w:rPr>
        <w:t xml:space="preserve">• </w:t>
      </w:r>
      <w:r>
        <w:rPr>
          <w:rFonts w:ascii="Times New Roman" w:hAnsi="Times New Roman"/>
          <w:color w:val="000000"/>
        </w:rPr>
        <w:t xml:space="preserve">Ir </w:t>
      </w:r>
      <w:hyperlink r:id="rId124">
        <w:r>
          <w:rPr>
            <w:rStyle w:val="LienInternet"/>
            <w:rFonts w:ascii="Times New Roman" w:hAnsi="Times New Roman"/>
            <w:b/>
            <w:color w:val="0000FF"/>
          </w:rPr>
          <w:t>-RepubblikaĊeka</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r>
        <w:rPr>
          <w:rFonts w:ascii="Times New Roman" w:hAnsi="Times New Roman"/>
          <w:color w:val="000000"/>
        </w:rPr>
        <w:t xml:space="preserve">Id- </w:t>
      </w:r>
      <w:hyperlink r:id="rId125">
        <w:r>
          <w:rPr>
            <w:rStyle w:val="LienInternet"/>
            <w:rFonts w:ascii="Times New Roman" w:hAnsi="Times New Roman"/>
            <w:b/>
            <w:color w:val="0000FF"/>
          </w:rPr>
          <w:t>Danimarka</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6">
        <w:r>
          <w:rPr>
            <w:rStyle w:val="LienInternet"/>
            <w:rFonts w:ascii="Times New Roman" w:hAnsi="Times New Roman"/>
            <w:b/>
            <w:color w:val="0000FF"/>
          </w:rPr>
          <w:t>F’</w:t>
        </w:r>
      </w:hyperlink>
      <w:hyperlink r:id="rId127">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r>
        <w:rPr>
          <w:rFonts w:ascii="Times New Roman" w:hAnsi="Times New Roman"/>
          <w:color w:val="000000"/>
        </w:rPr>
        <w:t xml:space="preserve">L- </w:t>
      </w:r>
      <w:hyperlink r:id="rId128">
        <w:r>
          <w:rPr>
            <w:rStyle w:val="LienInternet"/>
            <w:rFonts w:ascii="Times New Roman" w:hAnsi="Times New Roman"/>
            <w:b/>
            <w:color w:val="0000FF"/>
          </w:rPr>
          <w:t>Estonja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L- </w:t>
      </w:r>
      <w:hyperlink r:id="rId129">
        <w:r>
          <w:rPr>
            <w:rStyle w:val="LienInternet"/>
            <w:rFonts w:ascii="Times New Roman" w:hAnsi="Times New Roman"/>
            <w:b/>
            <w:color w:val="0000FF"/>
          </w:rPr>
          <w:t>Irlanda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Il- </w:t>
      </w:r>
      <w:hyperlink r:id="rId130">
        <w:r>
          <w:rPr>
            <w:rStyle w:val="LienInternet"/>
            <w:rFonts w:ascii="Times New Roman" w:hAnsi="Times New Roman"/>
            <w:b/>
            <w:color w:val="0000FF"/>
          </w:rPr>
          <w:t>Greċja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Spanja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Franza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Il- </w:t>
      </w:r>
      <w:hyperlink r:id="rId133">
        <w:r>
          <w:rPr>
            <w:rStyle w:val="LienInternet"/>
            <w:rFonts w:ascii="Times New Roman" w:hAnsi="Times New Roman"/>
            <w:b/>
            <w:color w:val="0000FF"/>
          </w:rPr>
          <w:t>Kroazja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L- </w:t>
      </w:r>
      <w:hyperlink r:id="rId134">
        <w:r>
          <w:rPr>
            <w:rStyle w:val="LienInternet"/>
            <w:rFonts w:ascii="Times New Roman" w:hAnsi="Times New Roman"/>
            <w:b/>
            <w:color w:val="0000FF"/>
          </w:rPr>
          <w:t>Italja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Ċipru</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Il </w:t>
      </w:r>
      <w:hyperlink r:id="rId136">
        <w:r>
          <w:rPr>
            <w:rStyle w:val="LienInternet"/>
            <w:rFonts w:ascii="Times New Roman" w:hAnsi="Times New Roman"/>
            <w:b/>
            <w:color w:val="0000FF"/>
          </w:rPr>
          <w:t>-Latvja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Il- </w:t>
      </w:r>
      <w:hyperlink r:id="rId137">
        <w:r>
          <w:rPr>
            <w:rStyle w:val="LienInternet"/>
            <w:rFonts w:ascii="Times New Roman" w:hAnsi="Times New Roman"/>
            <w:b/>
            <w:color w:val="0000FF"/>
          </w:rPr>
          <w:t>Litwanja</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r>
        <w:rPr>
          <w:rFonts w:ascii="Times New Roman" w:hAnsi="Times New Roman"/>
          <w:color w:val="000000"/>
        </w:rPr>
        <w:t xml:space="preserve">Il </w:t>
      </w:r>
      <w:hyperlink r:id="rId138">
        <w:r>
          <w:rPr>
            <w:rStyle w:val="LienInternet"/>
            <w:rFonts w:ascii="Times New Roman" w:hAnsi="Times New Roman"/>
            <w:b/>
            <w:color w:val="0000FF"/>
          </w:rPr>
          <w:t>-Lussemburgu</w:t>
        </w:r>
      </w:hyperlink>
    </w:p>
    <w:p>
      <w:pPr>
        <w:pStyle w:val="Normal"/>
        <w:widowControl w:val="false"/>
        <w:spacing w:lineRule="auto" w:line="240"/>
        <w:ind w:left="360" w:right="7457" w:hanging="0"/>
        <w:jc w:val="left"/>
        <w:rPr/>
      </w:pPr>
      <w:r>
        <w:rPr>
          <w:rFonts w:ascii="Times New Roman" w:hAnsi="Times New Roman"/>
          <w:color w:val="000000"/>
        </w:rPr>
        <w:t xml:space="preserve">• </w:t>
      </w:r>
      <w:r>
        <w:rPr>
          <w:rFonts w:ascii="Times New Roman" w:hAnsi="Times New Roman"/>
          <w:color w:val="000000"/>
        </w:rPr>
        <w:t xml:space="preserve">L- </w:t>
      </w:r>
      <w:hyperlink r:id="rId139">
        <w:r>
          <w:rPr>
            <w:rStyle w:val="LienInternet"/>
            <w:rFonts w:ascii="Times New Roman" w:hAnsi="Times New Roman"/>
            <w:b/>
            <w:color w:val="0000FF"/>
          </w:rPr>
          <w:t>Ungerija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Il- </w:t>
      </w:r>
      <w:hyperlink r:id="rId141">
        <w:r>
          <w:rPr>
            <w:rStyle w:val="LienInternet"/>
            <w:rFonts w:ascii="Times New Roman" w:hAnsi="Times New Roman"/>
            <w:b/>
            <w:color w:val="0000FF"/>
          </w:rPr>
          <w:t>Pajjiżi l-Baxxi</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L- </w:t>
      </w:r>
      <w:hyperlink r:id="rId142">
        <w:r>
          <w:rPr>
            <w:rStyle w:val="LienInternet"/>
            <w:rFonts w:ascii="Times New Roman" w:hAnsi="Times New Roman"/>
            <w:b/>
            <w:color w:val="0000FF"/>
          </w:rPr>
          <w:t>Awstrija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Il- </w:t>
      </w:r>
      <w:hyperlink r:id="rId143">
        <w:r>
          <w:rPr>
            <w:rStyle w:val="LienInternet"/>
            <w:rFonts w:ascii="Times New Roman" w:hAnsi="Times New Roman"/>
            <w:b/>
            <w:color w:val="0000FF"/>
          </w:rPr>
          <w:t>Polonja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Il- </w:t>
      </w:r>
      <w:hyperlink r:id="rId144">
        <w:r>
          <w:rPr>
            <w:rStyle w:val="LienInternet"/>
            <w:rFonts w:ascii="Times New Roman" w:hAnsi="Times New Roman"/>
            <w:b/>
            <w:color w:val="0000FF"/>
          </w:rPr>
          <w:t>Portugall</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Ir </w:t>
      </w:r>
      <w:hyperlink r:id="rId145">
        <w:r>
          <w:rPr>
            <w:rStyle w:val="LienInternet"/>
            <w:rFonts w:ascii="Times New Roman" w:hAnsi="Times New Roman"/>
            <w:b/>
            <w:color w:val="0000FF"/>
          </w:rPr>
          <w:t>-Rumanija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Is </w:t>
      </w:r>
      <w:hyperlink r:id="rId146">
        <w:r>
          <w:rPr>
            <w:rStyle w:val="LienInternet"/>
            <w:rFonts w:ascii="Times New Roman" w:hAnsi="Times New Roman"/>
            <w:b/>
            <w:color w:val="0000FF"/>
          </w:rPr>
          <w:t>-Slovenja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Is </w:t>
      </w:r>
      <w:hyperlink r:id="rId147">
        <w:r>
          <w:rPr>
            <w:rStyle w:val="LienInternet"/>
            <w:rFonts w:ascii="Times New Roman" w:hAnsi="Times New Roman"/>
            <w:b/>
            <w:color w:val="0000FF"/>
          </w:rPr>
          <w:t>-Slovakkja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Il- </w:t>
      </w:r>
      <w:hyperlink r:id="rId148">
        <w:r>
          <w:rPr>
            <w:rStyle w:val="LienInternet"/>
            <w:rFonts w:ascii="Times New Roman" w:hAnsi="Times New Roman"/>
            <w:b/>
            <w:color w:val="0000FF"/>
          </w:rPr>
          <w:t>Finlandja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9">
        <w:r>
          <w:rPr>
            <w:rStyle w:val="LienInternet"/>
            <w:rFonts w:ascii="Times New Roman" w:hAnsi="Times New Roman"/>
            <w:b/>
            <w:color w:val="0000FF"/>
          </w:rPr>
          <w:t>L-Isvezja</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Referenza għar-rapport tal-pjattaforma diġitali multilingwi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50">
        <w:r>
          <w:rPr>
            <w:rStyle w:val="LienInternet"/>
            <w:color w:val="0000FF"/>
            <w:sz w:val="24"/>
          </w:rPr>
          <w:t>NumeformmultilingwiPL</w:t>
        </w:r>
      </w:hyperlink>
      <w:hyperlink r:id="rId151">
        <w:r>
          <w:rPr>
            <w:rStyle w:val="LienInternet"/>
            <w:color w:val="0000FF"/>
            <w:sz w:val="24"/>
          </w:rPr>
          <w:t xml:space="preserve">tal-Konferenza dwar il-Futur tal-Ewropa — rapportta’ Frar 2022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48" descr=""/>
                    <pic:cNvPicPr>
                      <a:picLocks noChangeAspect="1" noChangeArrowheads="1"/>
                    </pic:cNvPicPr>
                  </pic:nvPicPr>
                  <pic:blipFill>
                    <a:blip r:embed="rId152"/>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Print ISBN 978–92–824–8729–7 doi:10.2860/533066 QC-05–22–131-EN-C</w:t>
      </w:r>
    </w:p>
    <w:p>
      <w:pPr>
        <w:pStyle w:val="P68B1DB1Normal132"/>
        <w:widowControl w:val="false"/>
        <w:spacing w:lineRule="exact" w:line="330" w:before="117" w:after="0"/>
        <w:ind w:left="1668" w:right="0" w:firstLine="2132"/>
        <w:jc w:val="right"/>
        <w:rPr/>
      </w:pPr>
      <w:r>
        <w:rPr/>
        <w:t>© L-Unjoni Ewropea, 2022 jippermetti l-użu mill-ġdid, dment li jiġi rikonoxxut is-sors.</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Dan it-terminu “inter-Ewropew” huwa konfuż.</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gruppi strambi</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gruppi strambi</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gruppi strambi</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bil-korsiv fir-rapport inizjali bil-Franċiż</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l-oriġinal kien “comrade”</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Żidt “s” (plural mogħti bit-taxxi)</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I miżjuda l-sing</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żid ittra kapitali</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Neħħejt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l-oriġinal kellu dashboard; Ma nafx x’inhi d-daxxbord; Għalhekk tlabt it-traduzzjoni tat-test Ingliż minn Google li indika “dashboard”, li tinftiehem bil-Franċiż. eTranslation tindika wkoll “dashboard”</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Poġġejt fuq ittra kapitali.</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Żidt il-“e”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Żidt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l-oriġinal kellu “referenda”; peress li f’postijiet oħra hemm “referendum” b’aċċenti, il-plural għandu jkun “referenda”, fl-użu tad-deklinazzjoni bil-Latin.</w:t>
      </w:r>
    </w:p>
    <w:p>
      <w:r>
        <w:rPr>
          <w:rFonts w:ascii="Times New Roman" w:hAnsi="Times New Roman" w:eastAsia="Segoe UI" w:cs="Tahoma"/>
          <w:color w:val="auto"/>
          <w:kern w:val="0"/>
          <w:sz w:val="24"/>
          <w:szCs w:val="24"/>
          <w:lang w:val="en-US" w:eastAsia="en-US" w:bidi="en-US"/>
        </w:rPr>
        <w:t xml:space="preserve">ara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hemm ukoll, kien hemm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L-oriġinal kellu “fuq il-listi ta’ mekkaniżmi tal-kexxun”? Ma nifhimx, so I tradotti mill-verżjoni bl-Ingliż.</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L-oriġinal bil-Franċiż kien “Is-sit web tal-Ombudsman huwa magħmul tajjeb iżda mhux bil-marka Ewropea”. It-terminu “bil-marka” ma jinftiehemx. Il-verżjoni Ingliża hija "Is-sit web tal-Ombudsman huwa magħmul tajjeb iżda m’għandux ‘immaġni’ Ewropea xierqa, għalhekk nissostitwiha bit-traduzzjoni diretta tal-Ingliż li tinftiehem aktar.</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l-oriġinal bil-Franċiż kien “pubbliku”, li ma ngħatax b’“konsultazzjoni”. Kienet konsultazzjoni pubblika jew konsultazzjoni pubblika?</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kien hemm “anġlas”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ittri kapitali miżjuda (ismijiet kummerċjali)</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mibdula “la” bi “il-”</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issostitwit “jieħu” bi “ħu”</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neħħiet is-“s”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żid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Ma nifhimx “wajper”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żid il-kliem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Titolu f’żewġ lingwi barranin: stramb</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Ir-rakkomandazzjonijiet taċ-ċittadini li fuqhom hija bbażata l-proposta: #3, #17, #18, #19</w:t>
      </w:r>
    </w:p>
  </w:endnote>
  <w:endnote w:id="3">
    <w:p>
      <w:pPr>
        <w:pStyle w:val="Notedefin"/>
        <w:suppressLineNumbers/>
        <w:spacing w:before="57" w:after="57"/>
        <w:ind w:left="339" w:right="0" w:hanging="339"/>
        <w:rPr/>
      </w:pPr>
      <w:r>
        <w:rPr>
          <w:rStyle w:val="Caractresdenotedefin"/>
        </w:rPr>
        <w:endnoteRef/>
      </w:r>
      <w:r>
        <w:rPr/>
        <w:tab/>
      </w:r>
      <w:r>
        <w:rPr/>
        <w:t># = rakkomandazzjoni tal-Panels taċ-Ċittadini Ewropej.</w:t>
      </w:r>
    </w:p>
  </w:endnote>
  <w:endnote w:id="4">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#39, #40, #41, #42, #43, NL1, NL2, #51</w:t>
      </w:r>
    </w:p>
  </w:endnote>
  <w:endnote w:id="5">
    <w:p>
      <w:pPr>
        <w:pStyle w:val="Notedefin"/>
        <w:suppressLineNumbers/>
        <w:spacing w:before="57" w:after="57"/>
        <w:ind w:left="339" w:right="0" w:hanging="339"/>
        <w:rPr/>
      </w:pPr>
      <w:r>
        <w:rPr>
          <w:rStyle w:val="Caractresdenotedefin"/>
        </w:rPr>
        <w:endnoteRef/>
      </w:r>
      <w:r>
        <w:rPr/>
        <w:tab/>
      </w:r>
      <w:r>
        <w:rPr/>
        <w:t>Rakkomandazzjoni ta’ Panel Nazzjonali taċ-Ċittadini</w:t>
      </w:r>
    </w:p>
  </w:endnote>
  <w:endnote w:id="6">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#44, #45, #46, #47, #50</w:t>
      </w:r>
    </w:p>
  </w:endnote>
  <w:endnote w:id="7">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#39, #40, #45, #48, #50, bidla8, FRswait11, #51</w:t>
      </w:r>
    </w:p>
  </w:endnote>
  <w:endnote w:id="8">
    <w:p>
      <w:pPr>
        <w:pStyle w:val="Notedefin"/>
        <w:suppressLineNumbers/>
        <w:spacing w:before="57" w:after="57"/>
        <w:ind w:left="339" w:right="0" w:hanging="339"/>
        <w:rPr/>
      </w:pPr>
      <w:r>
        <w:rPr>
          <w:rStyle w:val="Caractresdenotedefin"/>
        </w:rPr>
        <w:endnoteRef/>
      </w:r>
      <w:r>
        <w:rPr/>
        <w:tab/>
      </w:r>
      <w:r>
        <w:rPr/>
        <w:t>Ir-rakkomandazzjonijiet tal-Panel taċ-Ċittadini Olandiżi huma differenti mir-rakkomandazzjonijiet tal-Panel taċ-Ċittadini Ewropej: huwa jargumenta li s-saħħa u l-kura tas-saħħa għandhom ikunu primarjament responsabbiltà nazzjonali [NL3].</w:t>
      </w:r>
    </w:p>
  </w:endnote>
  <w:endnote w:id="9">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Panel taċ-Ċittadini Ewropej 1: 9, 10, 11, 12, 14; Il-Pajjiżi l-Baxxi: 1; L-Italja: 1.1; Il-Litwanja: 3, 8.</w:t>
      </w:r>
    </w:p>
  </w:endnote>
  <w:endnote w:id="10">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Panel taċ-Ċittadini Ewropej 1: 10, 11 &amp; 14; Il-Ġermanja: 2.1, 2.2; Il-Pajjiżi l-Baxxi: 1, 2; Franza: 3, 9; L-Italja: 1,2, 1.3, 1.4, 1.5, 2.1, 2.2, 2,4, 4.a.2, 6.1; Il-Litwanja: 1, 7.</w:t>
      </w:r>
    </w:p>
  </w:endnote>
  <w:endnote w:id="11">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Panel taċ-Ċittadini Ewropej 1: 1, 2, 7, 28, 30; Il-Ġermanja: 4.1, 4.2; Il-Pajjiżi l-Baxxi: 4; Franza: 6; L-Italja: 5.a.1, 5.a.4, 6.1, 6.2.</w:t>
      </w:r>
    </w:p>
  </w:endnote>
  <w:endnote w:id="12">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Panel taċ-Ċittadini Ewropej 1: 19, 20, 21, 25; L-Italja: 4.a.1.</w:t>
      </w:r>
    </w:p>
  </w:endnote>
  <w:endnote w:id="13">
    <w:p>
      <w:pPr>
        <w:pStyle w:val="Notedefin"/>
        <w:suppressLineNumbers/>
        <w:spacing w:before="57" w:after="57"/>
        <w:ind w:left="339" w:right="0" w:hanging="339"/>
        <w:rPr/>
      </w:pPr>
      <w:r>
        <w:rPr>
          <w:rStyle w:val="Caractresdenotedefin"/>
        </w:rPr>
        <w:endnoteRef/>
      </w:r>
      <w:r>
        <w:rPr/>
        <w:tab/>
        <w:t xml:space="preserve"> </w:t>
      </w:r>
      <w:r>
        <w:rPr/>
        <w:t>Ir-rakkomandazzjonijiet taċ-ċittadini li fuqhom hija bbażata l-proposta: Panel taċ-Ċittadini Ewropej 1: 21, 22, 23, 26, 27; L-Italja: 5.a.1.</w:t>
      </w:r>
    </w:p>
  </w:endnote>
  <w:endnote w:id="14">
    <w:p>
      <w:pPr>
        <w:pStyle w:val="Notedefin"/>
        <w:suppressLineNumbers/>
        <w:spacing w:before="57" w:after="57"/>
        <w:ind w:left="339" w:right="0" w:hanging="339"/>
        <w:rPr/>
      </w:pPr>
      <w:r>
        <w:rPr>
          <w:rStyle w:val="Caractresdenotedefin"/>
        </w:rPr>
        <w:endnoteRef/>
      </w:r>
      <w:r>
        <w:rPr/>
        <w:tab/>
        <w:t xml:space="preserve"> </w:t>
      </w:r>
      <w:r>
        <w:rPr/>
        <w:t>Ir-rakkomandazzjonijiet taċ-ċittadini li fuqhom hija bbażata l-proposta: Panel taċ-Ċittadini Ewropej 1: 13, 31; Il-Pajjiżi l-Baxxi: 2.3; L-Italja: 4.b.3, 4.b.6; Il-Litwanja: 9, 10.</w:t>
      </w:r>
    </w:p>
  </w:endnote>
  <w:endnote w:id="15">
    <w:p>
      <w:pPr>
        <w:pStyle w:val="Notedefin"/>
        <w:suppressLineNumbers/>
        <w:spacing w:before="57" w:after="57"/>
        <w:ind w:left="339" w:right="0" w:hanging="339"/>
        <w:rPr/>
      </w:pPr>
      <w:r>
        <w:rPr>
          <w:rStyle w:val="Caractresdenotedefin"/>
        </w:rPr>
        <w:endnoteRef/>
      </w:r>
      <w:r>
        <w:rPr/>
        <w:tab/>
      </w:r>
      <w:r>
        <w:rPr/>
        <w:t>Abbażi tad-diskussjonijiet tal-grupp ta’ ħidma u tas-sessjoni plenarja.</w:t>
      </w:r>
    </w:p>
  </w:endnote>
  <w:endnote w:id="16">
    <w:p>
      <w:pPr>
        <w:pStyle w:val="Notedefin"/>
        <w:suppressLineNumbers/>
        <w:spacing w:before="57" w:after="57"/>
        <w:ind w:left="339" w:right="0" w:hanging="339"/>
        <w:rPr/>
      </w:pPr>
      <w:r>
        <w:rPr>
          <w:rStyle w:val="Caractresdenotedefin"/>
        </w:rPr>
        <w:endnoteRef/>
      </w:r>
      <w:r>
        <w:rPr/>
        <w:tab/>
      </w:r>
      <w:r>
        <w:rPr/>
        <w:t>Ara r-Rakkomandazzjoni Nru 1 tal-ECP4, ir-Rakkomandazzjoni Nru 2 tal-NCP Ġermanja, Panel 1 “L-UE fid-dinja”, u tal-Grupp 2 tal-NCP tal-Italja, rec. 1, żviluppat fi ħdan il-Grupp ta’ Ħidma.</w:t>
      </w:r>
    </w:p>
  </w:endnote>
  <w:endnote w:id="17">
    <w:p>
      <w:pPr>
        <w:pStyle w:val="Notedefin"/>
        <w:suppressLineNumbers/>
        <w:spacing w:before="57" w:after="57"/>
        <w:ind w:left="339" w:right="0" w:hanging="339"/>
        <w:rPr/>
      </w:pPr>
      <w:r>
        <w:rPr>
          <w:rStyle w:val="Caractresdenotedefin"/>
        </w:rPr>
        <w:endnoteRef/>
      </w:r>
      <w:r>
        <w:rPr/>
        <w:tab/>
      </w:r>
      <w:r>
        <w:rPr/>
        <w:t>Ara r-Rakkomandazzjoni 4 tal-ECP4 u r-Rakkomandazzjonijiet 5 u 6 tal-NCP tal-Italja, Grupp 2, żviluppati fi ħdan il-Grupp ta’ Ħidma.</w:t>
      </w:r>
    </w:p>
  </w:endnote>
  <w:endnote w:id="18">
    <w:p>
      <w:pPr>
        <w:pStyle w:val="Notedefin"/>
        <w:suppressLineNumbers/>
        <w:spacing w:before="57" w:after="57"/>
        <w:ind w:left="339" w:right="0" w:hanging="339"/>
        <w:rPr/>
      </w:pPr>
      <w:r>
        <w:rPr>
          <w:rStyle w:val="Caractresdenotedefin"/>
        </w:rPr>
        <w:endnoteRef/>
      </w:r>
      <w:r>
        <w:rPr/>
        <w:tab/>
      </w:r>
      <w:r>
        <w:rPr/>
        <w:t xml:space="preserve">Ara l-pjattaforma diġitali u r-rakkomandazzjonijiet 2 u 3 tal-NCP tal-Italja, Grupp 2, żviluppati fi ħdan il-grupp ta’ ħidma,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Ara r-Rakkomandazzjoni 14 tal-ECP 4, żviluppata fil-Grupp ta’ Ħidma.</w:t>
      </w:r>
    </w:p>
  </w:endnote>
  <w:endnote w:id="20">
    <w:p>
      <w:pPr>
        <w:pStyle w:val="Notedefin"/>
        <w:suppressLineNumbers/>
        <w:spacing w:before="57" w:after="57"/>
        <w:ind w:left="339" w:right="0" w:hanging="339"/>
        <w:rPr/>
      </w:pPr>
      <w:r>
        <w:rPr>
          <w:rStyle w:val="Caractresdenotedefin"/>
        </w:rPr>
        <w:endnoteRef/>
      </w:r>
      <w:r>
        <w:rPr/>
        <w:tab/>
      </w:r>
      <w:r>
        <w:rPr/>
        <w:t>Ara r-Rakkomandazzjoni Nru 2 tal-ECP4 u r-Rakkomandazzjoni Nru 4 tal-NCP tal-Italja, Grupp 2, żviluppati fi ħdan il-Grupp ta’ Ħidma.</w:t>
      </w:r>
    </w:p>
  </w:endnote>
  <w:endnote w:id="21">
    <w:p>
      <w:pPr>
        <w:pStyle w:val="Notedefin"/>
        <w:suppressLineNumbers/>
        <w:spacing w:before="57" w:after="57"/>
        <w:ind w:left="339" w:right="0" w:hanging="339"/>
        <w:rPr/>
      </w:pPr>
      <w:r>
        <w:rPr>
          <w:rStyle w:val="Caractresdenotedefin"/>
        </w:rPr>
        <w:endnoteRef/>
      </w:r>
      <w:r>
        <w:rPr/>
        <w:tab/>
      </w:r>
      <w:r>
        <w:rPr/>
        <w:t>Ara r-Rakkomandazzjoni Nru 17 tal-ECP4 u r-Rakkomandazzjoni Nru 4 tal-NCP tal-Italja, Grupp 2, żviluppati fi ħdan il-Grupp ta’ Ħidma.</w:t>
      </w:r>
    </w:p>
  </w:endnote>
  <w:endnote w:id="22">
    <w:p>
      <w:pPr>
        <w:pStyle w:val="Notedefin"/>
        <w:suppressLineNumbers/>
        <w:spacing w:before="57" w:after="57"/>
        <w:ind w:left="339" w:right="0" w:hanging="339"/>
        <w:rPr/>
      </w:pPr>
      <w:r>
        <w:rPr>
          <w:rStyle w:val="Caractresdenotedefin"/>
        </w:rPr>
        <w:endnoteRef/>
      </w:r>
      <w:r>
        <w:rPr/>
        <w:tab/>
      </w:r>
      <w:r>
        <w:rPr/>
        <w:t>Ara r-rakkomandazzjoni 1 tal-NCP Ġermanja, panel 1 “L-UE fid-dinja”, żviluppata fil-grupp ta’ ħidma.</w:t>
      </w:r>
    </w:p>
  </w:endnote>
  <w:endnote w:id="23">
    <w:p>
      <w:pPr>
        <w:pStyle w:val="Notedefin"/>
        <w:suppressLineNumbers/>
        <w:spacing w:before="57" w:after="57"/>
        <w:ind w:left="339" w:right="0" w:hanging="339"/>
        <w:rPr/>
      </w:pPr>
      <w:r>
        <w:rPr>
          <w:rStyle w:val="Caractresdenotedefin"/>
        </w:rPr>
        <w:endnoteRef/>
      </w:r>
      <w:r>
        <w:rPr/>
        <w:tab/>
      </w:r>
      <w:r>
        <w:rPr/>
        <w:t>Ara r-Rakkomandazzjoni 3 tal-ECP 4, żviluppata fil-Grupp ta’ Ħidma.</w:t>
      </w:r>
    </w:p>
  </w:endnote>
  <w:endnote w:id="24">
    <w:p>
      <w:pPr>
        <w:pStyle w:val="Notedefin"/>
        <w:suppressLineNumbers/>
        <w:spacing w:before="57" w:after="57"/>
        <w:ind w:left="339" w:right="0" w:hanging="339"/>
        <w:rPr/>
      </w:pPr>
      <w:r>
        <w:rPr>
          <w:rStyle w:val="Caractresdenotedefin"/>
        </w:rPr>
        <w:endnoteRef/>
      </w:r>
      <w:r>
        <w:rPr/>
        <w:tab/>
      </w:r>
      <w:r>
        <w:rPr/>
        <w:t>Ara r-Rakkomandazzjoni 11 tal-ECP 4, żviluppata fil-Grupp ta’ Ħidma.</w:t>
      </w:r>
    </w:p>
  </w:endnote>
  <w:endnote w:id="25">
    <w:p>
      <w:pPr>
        <w:pStyle w:val="Notedefin"/>
        <w:suppressLineNumbers/>
        <w:spacing w:before="57" w:after="57"/>
        <w:ind w:left="339" w:right="0" w:hanging="339"/>
        <w:rPr/>
      </w:pPr>
      <w:r>
        <w:rPr>
          <w:rStyle w:val="Caractresdenotedefin"/>
        </w:rPr>
        <w:endnoteRef/>
      </w:r>
      <w:r>
        <w:rPr/>
        <w:tab/>
      </w:r>
      <w:r>
        <w:rPr/>
        <w:t>Ara r-Rakkomandazzjoni 13 tal-ECP 4, żviluppata fil-Grupp ta’ Ħidma.</w:t>
      </w:r>
    </w:p>
  </w:endnote>
  <w:endnote w:id="26">
    <w:p>
      <w:pPr>
        <w:pStyle w:val="Notedefin"/>
        <w:suppressLineNumbers/>
        <w:spacing w:before="57" w:after="57"/>
        <w:ind w:left="339" w:right="0" w:hanging="339"/>
        <w:rPr/>
      </w:pPr>
      <w:r>
        <w:rPr>
          <w:rStyle w:val="Caractresdenotedefin"/>
        </w:rPr>
        <w:endnoteRef/>
      </w:r>
      <w:r>
        <w:rPr/>
        <w:tab/>
      </w:r>
      <w:r>
        <w:rPr/>
        <w:t>Ara r-rakkomandazzjoni 15 tal-ECP 4, żviluppata fil-Grupp ta’ Ħidma.</w:t>
      </w:r>
    </w:p>
  </w:endnote>
  <w:endnote w:id="27">
    <w:p>
      <w:pPr>
        <w:pStyle w:val="Notedefin"/>
        <w:suppressLineNumbers/>
        <w:spacing w:before="57" w:after="57"/>
        <w:ind w:left="339" w:right="0" w:hanging="339"/>
        <w:rPr/>
      </w:pPr>
      <w:r>
        <w:rPr>
          <w:rStyle w:val="Caractresdenotedefin"/>
        </w:rPr>
        <w:endnoteRef/>
      </w:r>
      <w:r>
        <w:rPr/>
        <w:tab/>
      </w:r>
      <w:r>
        <w:rPr/>
        <w:t>Ara r-rakkomandazzjoni 16 tal-ECP 4, żviluppata fil-Grupp ta’ Ħidma.</w:t>
      </w:r>
    </w:p>
  </w:endnote>
  <w:endnote w:id="28">
    <w:p>
      <w:pPr>
        <w:pStyle w:val="Notedefin"/>
        <w:suppressLineNumbers/>
        <w:spacing w:before="57" w:after="57"/>
        <w:ind w:left="339" w:right="0" w:hanging="339"/>
        <w:rPr/>
      </w:pPr>
      <w:r>
        <w:rPr>
          <w:rStyle w:val="Caractresdenotedefin"/>
        </w:rPr>
        <w:endnoteRef/>
      </w:r>
      <w:r>
        <w:rPr/>
        <w:tab/>
      </w:r>
      <w:r>
        <w:rPr/>
        <w:t>Ara r-Rakkomandazzjoni 12 tal-ECP 4, żviluppata fil-Grupp ta’ Ħidma.</w:t>
      </w:r>
    </w:p>
  </w:endnote>
  <w:endnote w:id="29">
    <w:p>
      <w:pPr>
        <w:pStyle w:val="Notedefin"/>
        <w:suppressLineNumbers/>
        <w:spacing w:before="57" w:after="57"/>
        <w:ind w:left="339" w:right="0" w:hanging="339"/>
        <w:rPr/>
      </w:pPr>
      <w:r>
        <w:rPr>
          <w:rStyle w:val="Caractresdenotedefin"/>
        </w:rPr>
        <w:endnoteRef/>
      </w:r>
      <w:r>
        <w:rPr/>
        <w:tab/>
      </w:r>
      <w:r>
        <w:rPr/>
        <w:t>Ara r-Rakkomandazzjoni 21 tal-ECP 4, żviluppata fil-Grupp ta’ Ħidma.</w:t>
      </w:r>
    </w:p>
  </w:endnote>
  <w:endnote w:id="30">
    <w:p>
      <w:pPr>
        <w:pStyle w:val="Notedefin"/>
        <w:suppressLineNumbers/>
        <w:spacing w:before="57" w:after="57"/>
        <w:ind w:left="339" w:right="0" w:hanging="339"/>
        <w:rPr/>
      </w:pPr>
      <w:r>
        <w:rPr>
          <w:rStyle w:val="Caractresdenotedefin"/>
        </w:rPr>
        <w:endnoteRef/>
      </w:r>
      <w:r>
        <w:rPr/>
        <w:tab/>
      </w:r>
      <w:r>
        <w:rPr/>
        <w:t>Ara l-pjattaforma diġitali, żviluppata fi ħdan il-grupp ta’ ħidma.</w:t>
      </w:r>
    </w:p>
  </w:endnote>
  <w:endnote w:id="31">
    <w:p>
      <w:pPr>
        <w:pStyle w:val="Notedefin"/>
        <w:suppressLineNumbers/>
        <w:spacing w:before="57" w:after="57"/>
        <w:ind w:left="339" w:right="0" w:hanging="339"/>
        <w:rPr/>
      </w:pPr>
      <w:r>
        <w:rPr>
          <w:rStyle w:val="Caractresdenotedefin"/>
        </w:rPr>
        <w:endnoteRef/>
      </w:r>
      <w:r>
        <w:rPr/>
        <w:tab/>
      </w:r>
      <w:r>
        <w:rPr/>
        <w:t>Ara l-pjattaforma diġitali, żviluppata fi ħdan il-grupp ta’ ħidma.</w:t>
      </w:r>
    </w:p>
  </w:endnote>
  <w:endnote w:id="32">
    <w:p>
      <w:pPr>
        <w:pStyle w:val="Notedefin"/>
        <w:suppressLineNumbers/>
        <w:spacing w:before="57" w:after="57"/>
        <w:ind w:left="339" w:right="0" w:hanging="339"/>
        <w:rPr/>
      </w:pPr>
      <w:r>
        <w:rPr>
          <w:rStyle w:val="Caractresdenotedefin"/>
        </w:rPr>
        <w:endnoteRef/>
      </w:r>
      <w:r>
        <w:rPr/>
        <w:tab/>
      </w:r>
      <w:r>
        <w:rPr/>
        <w:t>Ara r-rakkomandazzjoni 26 tal-ECP 4, żviluppata fil-Grupp ta’ Ħidma.</w:t>
      </w:r>
    </w:p>
  </w:endnote>
  <w:endnote w:id="33">
    <w:p>
      <w:pPr>
        <w:pStyle w:val="Notedefin"/>
        <w:suppressLineNumbers/>
        <w:spacing w:before="57" w:after="57"/>
        <w:ind w:left="339" w:right="0" w:hanging="339"/>
        <w:rPr/>
      </w:pPr>
      <w:r>
        <w:rPr>
          <w:rStyle w:val="Caractresdenotedefin"/>
        </w:rPr>
        <w:endnoteRef/>
      </w:r>
      <w:r>
        <w:rPr/>
        <w:tab/>
      </w:r>
      <w:r>
        <w:rPr/>
        <w:t>Ara r-rakkomandazzjoni 18 tal-ECP 4, żviluppata fil-Grupp ta’ Ħidma.</w:t>
      </w:r>
    </w:p>
  </w:endnote>
  <w:endnote w:id="34">
    <w:p>
      <w:pPr>
        <w:pStyle w:val="Notedefin"/>
        <w:suppressLineNumbers/>
        <w:spacing w:before="57" w:after="57"/>
        <w:ind w:left="339" w:right="0" w:hanging="339"/>
        <w:rPr/>
      </w:pPr>
      <w:r>
        <w:rPr>
          <w:rStyle w:val="Caractresdenotedefin"/>
        </w:rPr>
        <w:endnoteRef/>
      </w:r>
      <w:r>
        <w:rPr/>
        <w:tab/>
      </w:r>
      <w:r>
        <w:rPr/>
        <w:t>Ara r-rakkomandazzjoni 19 tal-ECP 4, żviluppata fil-Grupp ta’ Ħidma.</w:t>
      </w:r>
    </w:p>
  </w:endnote>
  <w:endnote w:id="35">
    <w:p>
      <w:pPr>
        <w:pStyle w:val="Notedefin"/>
        <w:suppressLineNumbers/>
        <w:spacing w:before="57" w:after="57"/>
        <w:ind w:left="339" w:right="0" w:hanging="339"/>
        <w:rPr/>
      </w:pPr>
      <w:r>
        <w:rPr>
          <w:rStyle w:val="Caractresdenotedefin"/>
        </w:rPr>
        <w:endnoteRef/>
      </w:r>
      <w:r>
        <w:rPr/>
        <w:tab/>
      </w:r>
      <w:r>
        <w:rPr/>
        <w:t>Ara r-rakkomandazzjoni 19 tal-ECP 4, żviluppata fil-Grupp ta’ Ħidma.</w:t>
      </w:r>
    </w:p>
  </w:endnote>
  <w:endnote w:id="36">
    <w:p>
      <w:pPr>
        <w:pStyle w:val="Notedefin"/>
        <w:suppressLineNumbers/>
        <w:spacing w:before="57" w:after="57"/>
        <w:ind w:left="339" w:right="0" w:hanging="339"/>
        <w:rPr/>
      </w:pPr>
      <w:r>
        <w:rPr>
          <w:rStyle w:val="Caractresdenotedefin"/>
        </w:rPr>
        <w:endnoteRef/>
      </w:r>
      <w:r>
        <w:rPr/>
        <w:tab/>
      </w:r>
      <w:r>
        <w:rPr/>
        <w:t>Ara r-rakkomandazzjoni 25 tal-ECP 4.</w:t>
      </w:r>
    </w:p>
  </w:endnote>
  <w:endnote w:id="37">
    <w:p>
      <w:pPr>
        <w:pStyle w:val="Notedefin"/>
        <w:suppressLineNumbers/>
        <w:spacing w:before="57" w:after="57"/>
        <w:ind w:left="339" w:right="0" w:hanging="339"/>
        <w:rPr/>
      </w:pPr>
      <w:r>
        <w:rPr>
          <w:rStyle w:val="Caractresdenotedefin"/>
        </w:rPr>
        <w:endnoteRef/>
      </w:r>
      <w:r>
        <w:rPr/>
        <w:tab/>
      </w:r>
      <w:r>
        <w:rPr/>
        <w:t>Abbażi tad-diskussjonijiet tal-grupp ta’ ħidma u tas-sessjoni plenarja.</w:t>
      </w:r>
    </w:p>
  </w:endnote>
  <w:endnote w:id="38">
    <w:p>
      <w:pPr>
        <w:pStyle w:val="Notedefin"/>
        <w:suppressLineNumbers/>
        <w:spacing w:before="57" w:after="57"/>
        <w:ind w:left="339" w:right="0" w:hanging="339"/>
        <w:rPr/>
      </w:pPr>
      <w:r>
        <w:rPr>
          <w:rStyle w:val="Caractresdenotedefin"/>
        </w:rPr>
        <w:endnoteRef/>
      </w:r>
      <w:r>
        <w:rPr/>
        <w:tab/>
      </w:r>
      <w:r>
        <w:rPr/>
        <w:t>Ara l-bidla 2 tal-bord/avvenimenti nazzjonali Franċiżi.</w:t>
      </w:r>
    </w:p>
  </w:endnote>
  <w:endnote w:id="39">
    <w:p>
      <w:pPr>
        <w:pStyle w:val="Notedefin"/>
        <w:suppressLineNumbers/>
        <w:spacing w:before="57" w:after="57"/>
        <w:ind w:left="339" w:right="0" w:hanging="339"/>
        <w:rPr/>
      </w:pPr>
      <w:r>
        <w:rPr>
          <w:rStyle w:val="Caractresdenotedefin"/>
        </w:rPr>
        <w:endnoteRef/>
      </w:r>
      <w:r>
        <w:rPr/>
        <w:tab/>
      </w:r>
      <w:r>
        <w:rPr/>
        <w:t>Ara r-Rakkomandazzjoni 20 tal-ECP4 u r-Rakkomandazzjoni 7 tal-Italja, Grupp 2 NCP, żviluppati fi ħdan il-Grupp ta’ Ħidma.</w:t>
      </w:r>
    </w:p>
  </w:endnote>
  <w:endnote w:id="40">
    <w:p>
      <w:pPr>
        <w:pStyle w:val="Notedefin"/>
        <w:suppressLineNumbers/>
        <w:spacing w:before="57" w:after="57"/>
        <w:ind w:left="339" w:right="0" w:hanging="339"/>
        <w:rPr/>
      </w:pPr>
      <w:r>
        <w:rPr>
          <w:rStyle w:val="Caractresdenotedefin"/>
        </w:rPr>
        <w:endnoteRef/>
      </w:r>
      <w:r>
        <w:rPr/>
        <w:tab/>
      </w:r>
      <w:r>
        <w:rPr/>
        <w:t>Ara l-bidla 2 tal-bord taċ-ċittadini nazzjonali Franċiż.</w:t>
      </w:r>
    </w:p>
  </w:endnote>
  <w:endnote w:id="41">
    <w:p>
      <w:pPr>
        <w:pStyle w:val="Notedefin"/>
        <w:suppressLineNumbers/>
        <w:spacing w:before="57" w:after="57"/>
        <w:ind w:left="339" w:right="0" w:hanging="339"/>
        <w:rPr/>
      </w:pPr>
      <w:r>
        <w:rPr>
          <w:rStyle w:val="Caractresdenotedefin"/>
        </w:rPr>
        <w:endnoteRef/>
      </w:r>
      <w:r>
        <w:rPr/>
        <w:tab/>
      </w:r>
      <w:r>
        <w:rPr/>
        <w:t>Ara r-Rakkomandazzjoni 24 tal-ECP4 u r-Rakkomandazzjoni 7 tal-Italja, Grupp 2 NCP, żviluppati fi ħdan il-Grupp ta’ Ħidma.</w:t>
      </w:r>
    </w:p>
  </w:endnote>
  <w:endnote w:id="42">
    <w:p>
      <w:pPr>
        <w:pStyle w:val="Notedefin"/>
        <w:suppressLineNumbers/>
        <w:spacing w:before="57" w:after="57"/>
        <w:ind w:left="339" w:right="0" w:hanging="339"/>
        <w:rPr/>
      </w:pPr>
      <w:r>
        <w:rPr>
          <w:rStyle w:val="Caractresdenotedefin"/>
        </w:rPr>
        <w:endnoteRef/>
      </w:r>
      <w:r>
        <w:rPr/>
        <w:tab/>
      </w:r>
      <w:r>
        <w:rPr/>
        <w:t>Ara r-Rakkomandazzjoni 22 tal-ECP 4, żviluppata fil-Grupp ta’ Ħidma.</w:t>
      </w:r>
    </w:p>
  </w:endnote>
  <w:endnote w:id="43">
    <w:p>
      <w:pPr>
        <w:pStyle w:val="Notedefin"/>
        <w:suppressLineNumbers/>
        <w:spacing w:before="57" w:after="57"/>
        <w:ind w:left="339" w:right="0" w:hanging="339"/>
        <w:rPr/>
      </w:pPr>
      <w:r>
        <w:rPr>
          <w:rStyle w:val="Caractresdenotedefin"/>
        </w:rPr>
        <w:endnoteRef/>
      </w:r>
      <w:r>
        <w:rPr/>
        <w:tab/>
      </w:r>
      <w:r>
        <w:rPr/>
        <w:t>Ara r-Rakkomandazzjoni 1 dwar “L-UE fid-dinja” tal-Panel taċ-Ċittadini Nazzjonali Netherlandiż, żviluppata fil-Grupp ta’ Ħidma.</w:t>
      </w:r>
    </w:p>
  </w:endnote>
  <w:endnote w:id="44">
    <w:p>
      <w:pPr>
        <w:pStyle w:val="Notedefin"/>
        <w:suppressLineNumbers/>
        <w:spacing w:before="57" w:after="57"/>
        <w:ind w:left="339" w:right="0" w:hanging="339"/>
        <w:rPr/>
      </w:pPr>
      <w:r>
        <w:rPr>
          <w:rStyle w:val="Caractresdenotedefin"/>
        </w:rPr>
        <w:endnoteRef/>
      </w:r>
      <w:r>
        <w:rPr/>
        <w:tab/>
      </w:r>
      <w:r>
        <w:rPr/>
        <w:t>Ara l-pjattaforma diġitali u d-dibattiti plenarji, żviluppati fil-Grupp ta’ Ħidma.</w:t>
      </w:r>
    </w:p>
  </w:endnote>
  <w:endnote w:id="45">
    <w:p>
      <w:pPr>
        <w:pStyle w:val="Notedefin"/>
        <w:suppressLineNumbers/>
        <w:spacing w:before="57" w:after="57"/>
        <w:ind w:left="339" w:right="0" w:hanging="339"/>
        <w:rPr/>
      </w:pPr>
      <w:r>
        <w:rPr>
          <w:rStyle w:val="Caractresdenotedefin"/>
        </w:rPr>
        <w:endnoteRef/>
      </w:r>
      <w:r>
        <w:rPr/>
        <w:tab/>
      </w:r>
      <w:r>
        <w:rPr/>
        <w:t>Ara l-pjattaforma diġitali, żviluppata fi ħdan il-grupp ta’ ħidma.</w:t>
      </w:r>
    </w:p>
  </w:endnote>
  <w:endnote w:id="46">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Il-Panel taċ-Ċittadini Ewropej 2 (CEP 2) 10, 11, 14, 30; Il-Panel taċ-Ċittadini Nazzjonali Belġjan (NCP): 1.3.1, 1.4.2, 1.4.3; NCP Ġermaniż: 5.1, 5.2; NCP Olandiż: 1.2.</w:t>
      </w:r>
    </w:p>
  </w:endnote>
  <w:endnote w:id="47">
    <w:p>
      <w:pPr>
        <w:pStyle w:val="Notedefin"/>
        <w:suppressLineNumbers/>
        <w:spacing w:before="57" w:after="57"/>
        <w:ind w:left="339" w:right="0" w:hanging="339"/>
        <w:rPr/>
      </w:pPr>
      <w:r>
        <w:rPr>
          <w:rStyle w:val="Caractresdenotedefin"/>
        </w:rPr>
        <w:endnoteRef/>
      </w:r>
      <w:r>
        <w:rPr/>
        <w:tab/>
      </w:r>
      <w:r>
        <w:rPr/>
        <w:t>Rakkomandazzjoni 14 tal-ECP2. Ir-rakkomandazzjonijiet 1.3.1, 1.4.2 u 1.4.3 tal-NCP Belġjan u 1.2 tal-NCP Olandiż.</w:t>
      </w:r>
    </w:p>
  </w:endnote>
  <w:endnote w:id="48">
    <w:p>
      <w:pPr>
        <w:pStyle w:val="Notedefin"/>
        <w:suppressLineNumbers/>
        <w:spacing w:before="57" w:after="57"/>
        <w:ind w:left="339" w:right="0" w:hanging="339"/>
        <w:rPr/>
      </w:pPr>
      <w:r>
        <w:rPr>
          <w:rStyle w:val="Caractresdenotedefin"/>
        </w:rPr>
        <w:endnoteRef/>
      </w:r>
      <w:r>
        <w:rPr/>
        <w:tab/>
      </w:r>
      <w:r>
        <w:rPr/>
        <w:t>Ir-Rakkomandazzjoni tal-ECP Nru 112. Rakkomandazzjonijiet 5.1 u 5.2 tal-NCP Ġermaniż. Dibattitu fil-Grupp ta’ Ħidma.</w:t>
      </w:r>
    </w:p>
  </w:endnote>
  <w:endnote w:id="49">
    <w:p>
      <w:pPr>
        <w:pStyle w:val="Notedefin"/>
        <w:suppressLineNumbers/>
        <w:spacing w:before="57" w:after="57"/>
        <w:ind w:left="339" w:right="0" w:hanging="339"/>
        <w:rPr/>
      </w:pPr>
      <w:r>
        <w:rPr>
          <w:rStyle w:val="Caractresdenotedefin"/>
        </w:rPr>
        <w:endnoteRef/>
      </w:r>
      <w:r>
        <w:rPr/>
        <w:tab/>
      </w:r>
      <w:r>
        <w:rPr/>
        <w:t>Ir-Rakkomandazzjoni tal-ECP Nru 112. Dibattitu fil-Grupp ta’ Ħidma. Dibattitu fil-plenarja.</w:t>
      </w:r>
    </w:p>
  </w:endnote>
  <w:endnote w:id="50">
    <w:p>
      <w:pPr>
        <w:pStyle w:val="Notedefin"/>
        <w:suppressLineNumbers/>
        <w:spacing w:before="57" w:after="57"/>
        <w:ind w:left="339" w:right="0" w:hanging="339"/>
        <w:rPr/>
      </w:pPr>
      <w:r>
        <w:rPr>
          <w:rStyle w:val="Caractresdenotedefin"/>
        </w:rPr>
        <w:endnoteRef/>
      </w:r>
      <w:r>
        <w:rPr/>
        <w:tab/>
      </w:r>
      <w:r>
        <w:rPr/>
        <w:t>Rakkomandazzjoni 10 tal-ECP2.</w:t>
      </w:r>
    </w:p>
  </w:endnote>
  <w:endnote w:id="51">
    <w:p>
      <w:pPr>
        <w:pStyle w:val="Notedefin"/>
        <w:suppressLineNumbers/>
        <w:spacing w:before="57" w:after="57"/>
        <w:ind w:left="339" w:right="0" w:hanging="339"/>
        <w:rPr/>
      </w:pPr>
      <w:r>
        <w:rPr>
          <w:rStyle w:val="Caractresdenotedefin"/>
        </w:rPr>
        <w:endnoteRef/>
      </w:r>
      <w:r>
        <w:rPr/>
        <w:tab/>
      </w:r>
      <w:r>
        <w:rPr/>
        <w:t>Ir-Rakkomandazzjoni tal-ECP Nru 302.</w:t>
      </w:r>
    </w:p>
  </w:endnote>
  <w:endnote w:id="52">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PCE2: 7, 8, 9; NCP Olandiż: 1.3, 4.3.</w:t>
      </w:r>
    </w:p>
  </w:endnote>
  <w:endnote w:id="53">
    <w:p>
      <w:pPr>
        <w:pStyle w:val="Notedefin"/>
        <w:suppressLineNumbers/>
        <w:spacing w:before="57" w:after="57"/>
        <w:ind w:left="339" w:right="0" w:hanging="339"/>
        <w:rPr/>
      </w:pPr>
      <w:r>
        <w:rPr>
          <w:rStyle w:val="Caractresdenotedefin"/>
        </w:rPr>
        <w:endnoteRef/>
      </w:r>
      <w:r>
        <w:rPr/>
        <w:tab/>
      </w:r>
      <w:r>
        <w:rPr/>
        <w:t>Rakkomandazzjoni 7 tal-ECP2. Dibattitu fil-Grupp ta’ Ħidma.</w:t>
      </w:r>
    </w:p>
  </w:endnote>
  <w:endnote w:id="54">
    <w:p>
      <w:pPr>
        <w:pStyle w:val="Notedefin"/>
        <w:suppressLineNumbers/>
        <w:spacing w:before="57" w:after="57"/>
        <w:ind w:left="339" w:right="0" w:hanging="339"/>
        <w:rPr/>
      </w:pPr>
      <w:r>
        <w:rPr>
          <w:rStyle w:val="Caractresdenotedefin"/>
        </w:rPr>
        <w:endnoteRef/>
      </w:r>
      <w:r>
        <w:rPr/>
        <w:tab/>
      </w:r>
      <w:r>
        <w:rPr/>
        <w:t>Kwistjoni diskussa wkoll mill-Grupp ta’ Ħidma dwar it-Trasformazzjoni Diġitali.</w:t>
      </w:r>
    </w:p>
  </w:endnote>
  <w:endnote w:id="55">
    <w:p>
      <w:pPr>
        <w:pStyle w:val="Notedefin"/>
        <w:suppressLineNumbers/>
        <w:spacing w:before="57" w:after="57"/>
        <w:ind w:left="339" w:right="0" w:hanging="339"/>
        <w:rPr/>
      </w:pPr>
      <w:r>
        <w:rPr>
          <w:rStyle w:val="Caractresdenotedefin"/>
        </w:rPr>
        <w:endnoteRef/>
      </w:r>
      <w:r>
        <w:rPr/>
        <w:tab/>
      </w:r>
      <w:r>
        <w:rPr/>
        <w:t>Rakkomandazzjoni 9 tal-ECP2.</w:t>
      </w:r>
    </w:p>
  </w:endnote>
  <w:endnote w:id="56">
    <w:p>
      <w:pPr>
        <w:pStyle w:val="Notedefin"/>
        <w:suppressLineNumbers/>
        <w:spacing w:before="57" w:after="57"/>
        <w:ind w:left="339" w:right="0" w:hanging="339"/>
        <w:rPr/>
      </w:pPr>
      <w:r>
        <w:rPr>
          <w:rStyle w:val="Caractresdenotedefin"/>
        </w:rPr>
        <w:endnoteRef/>
      </w:r>
      <w:r>
        <w:rPr/>
        <w:tab/>
      </w:r>
      <w:r>
        <w:rPr/>
        <w:t>Kwistjoni diskussa wkoll mill-Grupp ta’ Ħidma dwar it-Trasformazzjoni Diġitali.</w:t>
      </w:r>
    </w:p>
  </w:endnote>
  <w:endnote w:id="57">
    <w:p>
      <w:pPr>
        <w:pStyle w:val="Notedefin"/>
        <w:suppressLineNumbers/>
        <w:spacing w:before="57" w:after="57"/>
        <w:ind w:left="339" w:right="0" w:hanging="339"/>
        <w:rPr/>
      </w:pPr>
      <w:r>
        <w:rPr>
          <w:rStyle w:val="Caractresdenotedefin"/>
        </w:rPr>
        <w:endnoteRef/>
      </w:r>
      <w:r>
        <w:rPr/>
        <w:tab/>
      </w:r>
      <w:r>
        <w:rPr/>
        <w:t>Rakkomandazzjoni 8 tal-ECP2. Rakkomandazzjonijiet 1.3 u 4.3 tal-NCP Olandiż.</w:t>
      </w:r>
    </w:p>
  </w:endnote>
  <w:endnote w:id="58">
    <w:p>
      <w:pPr>
        <w:pStyle w:val="Notedefin"/>
        <w:suppressLineNumbers/>
        <w:spacing w:before="57" w:after="57"/>
        <w:ind w:left="339" w:right="0" w:hanging="339"/>
        <w:rPr/>
      </w:pPr>
      <w:r>
        <w:rPr>
          <w:rStyle w:val="Caractresdenotedefin"/>
        </w:rPr>
        <w:endnoteRef/>
      </w:r>
      <w:r>
        <w:rPr/>
        <w:tab/>
      </w:r>
      <w:r>
        <w:rPr/>
        <w:t>Rakkomandazzjonijiet Nri 7 u 8 tal-ECP2.</w:t>
      </w:r>
    </w:p>
  </w:endnote>
  <w:endnote w:id="59">
    <w:p>
      <w:pPr>
        <w:pStyle w:val="Notedefin"/>
        <w:suppressLineNumbers/>
        <w:spacing w:before="57" w:after="57"/>
        <w:ind w:left="339" w:right="0" w:hanging="339"/>
        <w:rPr/>
      </w:pPr>
      <w:r>
        <w:rPr>
          <w:rStyle w:val="Caractresdenotedefin"/>
        </w:rPr>
        <w:endnoteRef/>
      </w:r>
      <w:r>
        <w:rPr/>
        <w:tab/>
      </w:r>
      <w:r>
        <w:rPr/>
        <w:t>Kwistjoni diskussa wkoll mill-Grupp ta’ Ħidma dwar it-Trasformazzjoni Diġitali.</w:t>
      </w:r>
    </w:p>
  </w:endnote>
  <w:endnote w:id="60">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PCE2: 5, 12, 13, 17, 28; NCP Belġjan: 1.5.1, 2.1.1 sa 2.4.3; NCP Olandiż: 3.1.</w:t>
      </w:r>
    </w:p>
  </w:endnote>
  <w:endnote w:id="61">
    <w:p>
      <w:pPr>
        <w:pStyle w:val="Notedefin"/>
        <w:suppressLineNumbers/>
        <w:spacing w:before="57" w:after="57"/>
        <w:ind w:left="339" w:right="0" w:hanging="339"/>
        <w:rPr/>
      </w:pPr>
      <w:r>
        <w:rPr>
          <w:rStyle w:val="Caractresdenotedefin"/>
        </w:rPr>
        <w:endnoteRef/>
      </w:r>
      <w:r>
        <w:rPr/>
        <w:tab/>
      </w:r>
      <w:r>
        <w:rPr/>
        <w:t>Rakkomandazzjoni 5 tal-ECP2. Rakkomandazzjoni 2.1.1 tal-NCP Belġjan. Rakkomandazzjoni 3.1 tal-NCP Netherlandiż.</w:t>
      </w:r>
    </w:p>
  </w:endnote>
  <w:endnote w:id="62">
    <w:p>
      <w:pPr>
        <w:pStyle w:val="Notedefin"/>
        <w:suppressLineNumbers/>
        <w:spacing w:before="57" w:after="57"/>
        <w:ind w:left="339" w:right="0" w:hanging="339"/>
        <w:rPr/>
      </w:pPr>
      <w:r>
        <w:rPr>
          <w:rStyle w:val="Caractresdenotedefin"/>
        </w:rPr>
        <w:endnoteRef/>
      </w:r>
      <w:r>
        <w:rPr/>
        <w:tab/>
      </w:r>
      <w:r>
        <w:rPr/>
        <w:t>Ir-Rakkomandazzjoni tal-ECP Nru 122. Rakkomandazzjoni 2.1.4 tal-NCP Belġjan.</w:t>
      </w:r>
    </w:p>
  </w:endnote>
  <w:endnote w:id="63">
    <w:p>
      <w:pPr>
        <w:pStyle w:val="Notedefin"/>
        <w:suppressLineNumbers/>
        <w:spacing w:before="57" w:after="57"/>
        <w:ind w:left="339" w:right="0" w:hanging="339"/>
        <w:rPr/>
      </w:pPr>
      <w:r>
        <w:rPr>
          <w:rStyle w:val="Caractresdenotedefin"/>
        </w:rPr>
        <w:endnoteRef/>
      </w:r>
      <w:r>
        <w:rPr/>
        <w:tab/>
      </w:r>
      <w:r>
        <w:rPr/>
        <w:t>Ir-Rakkomandazzjonijiet PCE2 Nri 17 u 28. Rakkomandazzjonijiet 1.5.1, 2.1.3, 2.2.1 u 2.2.2 tal-NCP Belġjan.</w:t>
      </w:r>
    </w:p>
  </w:endnote>
  <w:endnote w:id="64">
    <w:p>
      <w:pPr>
        <w:pStyle w:val="Notedefin"/>
        <w:suppressLineNumbers/>
        <w:spacing w:before="57" w:after="57"/>
        <w:ind w:left="339" w:right="0" w:hanging="339"/>
        <w:rPr/>
      </w:pPr>
      <w:r>
        <w:rPr>
          <w:rStyle w:val="Caractresdenotedefin"/>
        </w:rPr>
        <w:endnoteRef/>
      </w:r>
      <w:r>
        <w:rPr/>
        <w:tab/>
      </w:r>
      <w:r>
        <w:rPr/>
        <w:t>Kwistjoni diskussa wkoll mill-Grupp ta’ Ħidma dwar it-Trasformazzjoni Diġitali.</w:t>
      </w:r>
    </w:p>
  </w:endnote>
  <w:endnote w:id="65">
    <w:p>
      <w:pPr>
        <w:pStyle w:val="Notedefin"/>
        <w:suppressLineNumbers/>
        <w:spacing w:before="57" w:after="57"/>
        <w:ind w:left="339" w:right="0" w:hanging="339"/>
        <w:rPr/>
      </w:pPr>
      <w:r>
        <w:rPr>
          <w:rStyle w:val="Caractresdenotedefin"/>
        </w:rPr>
        <w:endnoteRef/>
      </w:r>
      <w:r>
        <w:rPr/>
        <w:tab/>
      </w:r>
      <w:r>
        <w:rPr/>
        <w:t>Ir-Rakkomandazzjonijiet PCE2 Nri 5 u 28. Rakkomandazzjonijiet 2.3.2 u 2.3.3 tal-NCP Belġjan.</w:t>
      </w:r>
    </w:p>
  </w:endnote>
  <w:endnote w:id="66">
    <w:p>
      <w:pPr>
        <w:pStyle w:val="Notedefin"/>
        <w:suppressLineNumbers/>
        <w:spacing w:before="57" w:after="57"/>
        <w:ind w:left="339" w:right="0" w:hanging="339"/>
        <w:rPr/>
      </w:pPr>
      <w:r>
        <w:rPr>
          <w:rStyle w:val="Caractresdenotedefin"/>
        </w:rPr>
        <w:endnoteRef/>
      </w:r>
      <w:r>
        <w:rPr/>
        <w:tab/>
      </w:r>
      <w:r>
        <w:rPr/>
        <w:t>Ir-Rakkomandazzjoni Nru 282 tal-ECP. Rakkomandazzjonijiet 2.3.1, 2.4.1 u 2.4.2 tal-NCP Belġjan.</w:t>
      </w:r>
    </w:p>
  </w:endnote>
  <w:endnote w:id="67">
    <w:p>
      <w:pPr>
        <w:pStyle w:val="Notedefin"/>
        <w:suppressLineNumbers/>
        <w:spacing w:before="57" w:after="57"/>
        <w:ind w:left="339" w:right="0" w:hanging="339"/>
        <w:rPr/>
      </w:pPr>
      <w:r>
        <w:rPr>
          <w:rStyle w:val="Caractresdenotedefin"/>
        </w:rPr>
        <w:endnoteRef/>
      </w:r>
      <w:r>
        <w:rPr/>
        <w:tab/>
      </w:r>
      <w:r>
        <w:rPr/>
        <w:t>Kwistjoni diskussa wkoll mill-Grupp ta’ Ħidma dwar it-Trasformazzjoni Diġitali.</w:t>
      </w:r>
    </w:p>
  </w:endnote>
  <w:endnote w:id="68">
    <w:p>
      <w:pPr>
        <w:pStyle w:val="Notedefin"/>
        <w:suppressLineNumbers/>
        <w:spacing w:before="57" w:after="57"/>
        <w:ind w:left="339" w:right="0" w:hanging="339"/>
        <w:rPr/>
      </w:pPr>
      <w:r>
        <w:rPr>
          <w:rStyle w:val="Caractresdenotedefin"/>
        </w:rPr>
        <w:endnoteRef/>
      </w:r>
      <w:r>
        <w:rPr/>
        <w:tab/>
      </w:r>
      <w:r>
        <w:rPr/>
        <w:t>Ir-Rakkomandazzjoni Nru 132 tal-ECP.</w:t>
      </w:r>
    </w:p>
  </w:endnote>
  <w:endnote w:id="69">
    <w:p>
      <w:pPr>
        <w:pStyle w:val="Notedefin"/>
        <w:suppressLineNumbers/>
        <w:spacing w:before="57" w:after="57"/>
        <w:ind w:left="339" w:right="0" w:hanging="339"/>
        <w:rPr/>
      </w:pPr>
      <w:r>
        <w:rPr>
          <w:rStyle w:val="Caractresdenotedefin"/>
        </w:rPr>
        <w:endnoteRef/>
      </w:r>
      <w:r>
        <w:rPr/>
        <w:tab/>
      </w:r>
      <w:r>
        <w:rPr/>
        <w:t>Kwistjoni diskussa wkoll mill-Grupp ta’ Ħidma dwar it-Trasformazzjoni Diġitali.</w:t>
      </w:r>
    </w:p>
  </w:endnote>
  <w:endnote w:id="70">
    <w:p>
      <w:pPr>
        <w:pStyle w:val="Notedefin"/>
        <w:suppressLineNumbers/>
        <w:spacing w:before="57" w:after="57"/>
        <w:ind w:left="339" w:right="0" w:hanging="339"/>
        <w:rPr/>
      </w:pPr>
      <w:r>
        <w:rPr>
          <w:rStyle w:val="Caractresdenotedefin"/>
        </w:rPr>
        <w:endnoteRef/>
      </w:r>
      <w:r>
        <w:rPr/>
        <w:tab/>
      </w:r>
      <w:r>
        <w:rPr/>
        <w:t>Ir-Rakkomandazzjoni Nru 132 tal-ECP.</w:t>
      </w:r>
    </w:p>
  </w:endnote>
  <w:endnote w:id="71">
    <w:p>
      <w:pPr>
        <w:pStyle w:val="Notedefin"/>
        <w:suppressLineNumbers/>
        <w:spacing w:before="57" w:after="57"/>
        <w:ind w:left="339" w:right="0" w:hanging="339"/>
        <w:rPr/>
      </w:pPr>
      <w:r>
        <w:rPr>
          <w:rStyle w:val="Caractresdenotedefin"/>
        </w:rPr>
        <w:endnoteRef/>
      </w:r>
      <w:r>
        <w:rPr/>
        <w:tab/>
      </w:r>
      <w:r>
        <w:rPr/>
        <w:t>Kwistjoni diskussa wkoll mill-Grupp ta’ Ħidma dwar it-Trasformazzjoni Diġitali.</w:t>
      </w:r>
    </w:p>
  </w:endnote>
  <w:endnote w:id="72">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PCE2: 1, 2, 21, 22, 23; NCP Olandiż: 1.1.</w:t>
      </w:r>
    </w:p>
  </w:endnote>
  <w:endnote w:id="73">
    <w:p>
      <w:pPr>
        <w:pStyle w:val="Notedefin"/>
        <w:suppressLineNumbers/>
        <w:spacing w:before="57" w:after="57"/>
        <w:ind w:left="339" w:right="0" w:hanging="339"/>
        <w:rPr/>
      </w:pPr>
      <w:r>
        <w:rPr>
          <w:rStyle w:val="Caractresdenotedefin"/>
        </w:rPr>
        <w:endnoteRef/>
      </w:r>
      <w:r>
        <w:rPr/>
        <w:tab/>
      </w:r>
      <w:r>
        <w:rPr/>
        <w:t>Ir-Rakkomandazzjoni tal-ECP Nru 222. Dibattitu fil-Grupp ta’ Ħidma.</w:t>
      </w:r>
    </w:p>
  </w:endnote>
  <w:endnote w:id="74">
    <w:p>
      <w:pPr>
        <w:pStyle w:val="Notedefin"/>
        <w:suppressLineNumbers/>
        <w:spacing w:before="57" w:after="57"/>
        <w:ind w:left="339" w:right="0" w:hanging="339"/>
        <w:rPr/>
      </w:pPr>
      <w:r>
        <w:rPr>
          <w:rStyle w:val="Caractresdenotedefin"/>
        </w:rPr>
        <w:endnoteRef/>
      </w:r>
      <w:r>
        <w:rPr/>
        <w:tab/>
      </w:r>
      <w:r>
        <w:rPr/>
        <w:t>Mistoqsija diskussa wkoll mill-Grupp ta’ Ħidma dwar Ekonomija Aktar b’Saħħitha, Ġustizzja Soċjali u Impjiegi.</w:t>
      </w:r>
    </w:p>
  </w:endnote>
  <w:endnote w:id="75">
    <w:p>
      <w:pPr>
        <w:pStyle w:val="Notedefin"/>
        <w:suppressLineNumbers/>
        <w:spacing w:before="57" w:after="57"/>
        <w:ind w:left="339" w:right="0" w:hanging="339"/>
        <w:rPr/>
      </w:pPr>
      <w:r>
        <w:rPr>
          <w:rStyle w:val="Caractresdenotedefin"/>
        </w:rPr>
        <w:endnoteRef/>
      </w:r>
      <w:r>
        <w:rPr/>
        <w:tab/>
      </w:r>
      <w:r>
        <w:rPr/>
        <w:t>Ir-Rakkomandazzjoni Nru 212 tal-ECP. Rakkomandazzjoni 1.1 tal-NCP Olandiż.</w:t>
      </w:r>
    </w:p>
  </w:endnote>
  <w:endnote w:id="76">
    <w:p>
      <w:pPr>
        <w:pStyle w:val="Notedefin"/>
        <w:suppressLineNumbers/>
        <w:spacing w:before="57" w:after="57"/>
        <w:ind w:left="339" w:right="0" w:hanging="339"/>
        <w:rPr/>
      </w:pPr>
      <w:r>
        <w:rPr>
          <w:rStyle w:val="Caractresdenotedefin"/>
        </w:rPr>
        <w:endnoteRef/>
      </w:r>
      <w:r>
        <w:rPr/>
        <w:tab/>
      </w:r>
      <w:r>
        <w:rPr/>
        <w:t>Ir-Rakkomandazzjoni tal-ECP Nru 232.</w:t>
      </w:r>
    </w:p>
  </w:endnote>
  <w:endnote w:id="77">
    <w:p>
      <w:pPr>
        <w:pStyle w:val="Notedefin"/>
        <w:suppressLineNumbers/>
        <w:spacing w:before="57" w:after="57"/>
        <w:ind w:left="339" w:right="0" w:hanging="339"/>
        <w:rPr/>
      </w:pPr>
      <w:r>
        <w:rPr>
          <w:rStyle w:val="Caractresdenotedefin"/>
        </w:rPr>
        <w:endnoteRef/>
      </w:r>
      <w:r>
        <w:rPr/>
        <w:tab/>
      </w:r>
      <w:r>
        <w:rPr/>
        <w:t>Mistoqsija diskussa wkoll mill-Grupp ta’ Ħidma dwar Ekonomija Aktar b’Saħħitha, Ġustizzja Soċjali u Impjiegi.</w:t>
      </w:r>
    </w:p>
  </w:endnote>
  <w:endnote w:id="78">
    <w:p>
      <w:pPr>
        <w:pStyle w:val="Notedefin"/>
        <w:suppressLineNumbers/>
        <w:spacing w:before="57" w:after="57"/>
        <w:ind w:left="339" w:right="0" w:hanging="339"/>
        <w:rPr/>
      </w:pPr>
      <w:r>
        <w:rPr>
          <w:rStyle w:val="Caractresdenotedefin"/>
        </w:rPr>
        <w:endnoteRef/>
      </w:r>
      <w:r>
        <w:rPr/>
        <w:tab/>
      </w:r>
      <w:r>
        <w:rPr/>
        <w:t>Rakkomandazzjoni 1 tal-ECP2. Dibattitu fil-Grupp ta’ Ħidma.</w:t>
      </w:r>
    </w:p>
  </w:endnote>
  <w:endnote w:id="79">
    <w:p>
      <w:pPr>
        <w:pStyle w:val="Notedefin"/>
        <w:suppressLineNumbers/>
        <w:spacing w:before="57" w:after="57"/>
        <w:ind w:left="339" w:right="0" w:hanging="339"/>
        <w:rPr/>
      </w:pPr>
      <w:r>
        <w:rPr>
          <w:rStyle w:val="Caractresdenotedefin"/>
        </w:rPr>
        <w:endnoteRef/>
      </w:r>
      <w:r>
        <w:rPr/>
        <w:tab/>
      </w:r>
      <w:r>
        <w:rPr/>
        <w:t>Rakkomandazzjoni 2 tal-ECP2. Dibattitu fil-Grupp ta’ Ħidma.</w:t>
      </w:r>
    </w:p>
  </w:endnote>
  <w:endnote w:id="80">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PCE2: 3, 4, 6.</w:t>
      </w:r>
    </w:p>
  </w:endnote>
  <w:endnote w:id="81">
    <w:p>
      <w:pPr>
        <w:pStyle w:val="Notedefin"/>
        <w:suppressLineNumbers/>
        <w:spacing w:before="57" w:after="57"/>
        <w:ind w:left="339" w:right="0" w:hanging="339"/>
        <w:rPr/>
      </w:pPr>
      <w:r>
        <w:rPr>
          <w:rStyle w:val="Caractresdenotedefin"/>
        </w:rPr>
        <w:endnoteRef/>
      </w:r>
      <w:r>
        <w:rPr/>
        <w:tab/>
      </w:r>
      <w:r>
        <w:rPr/>
        <w:t>Rakkomandazzjoni 3 tal-ECP2.</w:t>
      </w:r>
    </w:p>
  </w:endnote>
  <w:endnote w:id="82">
    <w:p>
      <w:pPr>
        <w:pStyle w:val="Notedefin"/>
        <w:suppressLineNumbers/>
        <w:spacing w:before="57" w:after="57"/>
        <w:ind w:left="339" w:right="0" w:hanging="339"/>
        <w:rPr/>
      </w:pPr>
      <w:r>
        <w:rPr>
          <w:rStyle w:val="Caractresdenotedefin"/>
        </w:rPr>
        <w:endnoteRef/>
      </w:r>
      <w:r>
        <w:rPr/>
        <w:tab/>
      </w:r>
      <w:r>
        <w:rPr/>
        <w:t>Kwistjoni diskussa wkoll mill-Grupp ta’ Ħidma dwar it-Tibdil fil-Klima u l-Ambjent.</w:t>
      </w:r>
    </w:p>
  </w:endnote>
  <w:endnote w:id="83">
    <w:p>
      <w:pPr>
        <w:pStyle w:val="Notedefin"/>
        <w:suppressLineNumbers/>
        <w:spacing w:before="57" w:after="57"/>
        <w:ind w:left="339" w:right="0" w:hanging="339"/>
        <w:rPr/>
      </w:pPr>
      <w:r>
        <w:rPr>
          <w:rStyle w:val="Caractresdenotedefin"/>
        </w:rPr>
        <w:endnoteRef/>
      </w:r>
      <w:r>
        <w:rPr/>
        <w:tab/>
      </w:r>
      <w:r>
        <w:rPr/>
        <w:t>Rakkomandazzjoni 4 tal-ECP2.</w:t>
      </w:r>
    </w:p>
  </w:endnote>
  <w:endnote w:id="84">
    <w:p>
      <w:pPr>
        <w:pStyle w:val="Notedefin"/>
        <w:suppressLineNumbers/>
        <w:spacing w:before="57" w:after="57"/>
        <w:ind w:left="339" w:right="0" w:hanging="339"/>
        <w:rPr/>
      </w:pPr>
      <w:r>
        <w:rPr>
          <w:rStyle w:val="Caractresdenotedefin"/>
        </w:rPr>
        <w:endnoteRef/>
      </w:r>
      <w:r>
        <w:rPr/>
        <w:tab/>
      </w:r>
      <w:r>
        <w:rPr/>
        <w:t>Rakkomandazzjoni 6 tal-ECP2.</w:t>
      </w:r>
    </w:p>
  </w:endnote>
  <w:endnote w:id="85">
    <w:p>
      <w:pPr>
        <w:pStyle w:val="Notedefin"/>
        <w:suppressLineNumbers/>
        <w:spacing w:before="57" w:after="57"/>
        <w:ind w:left="339" w:right="0" w:hanging="339"/>
        <w:rPr/>
      </w:pPr>
      <w:r>
        <w:rPr>
          <w:rStyle w:val="Caractresdenotedefin"/>
        </w:rPr>
        <w:endnoteRef/>
      </w:r>
      <w:r>
        <w:rPr/>
        <w:tab/>
      </w:r>
      <w:r>
        <w:rPr/>
        <w:t>Kwistjoni diskussa wkoll mill-Grupp ta’ Ħidma dwar it-Tibdil fil-Klima u l-Ambjent.</w:t>
      </w:r>
    </w:p>
  </w:endnote>
  <w:endnote w:id="86">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Il-Panel taċ-Ċittadini Ewropej 1 (ECP 1): 17, 40, 47; Il-Panel taċ-Ċittadini Nazzjonali Netherlandiż (NCP) Nru 1.</w:t>
      </w:r>
    </w:p>
  </w:endnote>
  <w:endnote w:id="87">
    <w:p>
      <w:pPr>
        <w:pStyle w:val="Notedefin"/>
        <w:suppressLineNumbers/>
        <w:spacing w:before="57" w:after="57"/>
        <w:ind w:left="339" w:right="0" w:hanging="339"/>
        <w:rPr/>
      </w:pPr>
      <w:r>
        <w:rPr>
          <w:rStyle w:val="Caractresdenotedefin"/>
        </w:rPr>
        <w:endnoteRef/>
      </w:r>
      <w:r>
        <w:rPr/>
        <w:tab/>
      </w:r>
      <w:r>
        <w:rPr/>
        <w:t>Ara l-link għar-Rakkomandazzjoni 38 tal-ECP 3 fir-rigward tal-infrastruttura għall-vetturi elettriċi.</w:t>
      </w:r>
    </w:p>
  </w:endnote>
  <w:endnote w:id="88">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Il-Panel taċ-Ċittadini Ewropej 1 (ECP 1): 8, 34 u 47; Il-Panel taċ-Ċittadini Nazzjonali Taljan (NCP) 5.2.</w:t>
      </w:r>
    </w:p>
  </w:endnote>
  <w:endnote w:id="89">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ir-Rakkomandazzjonijiet 39 u 46 tal-Panel taċ-Ċittadini Ewropej 1 (CEP 1) u r-rakkomandazzjonijiet 2.6 tal-Panel taċ-Ċittadini Nazzjonali Litwan (NCP) u l-NCP tan-Netherlands.</w:t>
      </w:r>
    </w:p>
  </w:endnote>
  <w:endnote w:id="90">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ir-Rakkomandazzjonijiet 42, 43, 44 u 45 tal-Panel taċ-Ċittadini Ewropej Nru 1 (PCE 1) u r-Rakkomandazzjoni Nru 2 tal-Panel taċ-Ċittadini Nazzjonali (NCP) tan-Netherlands.</w:t>
      </w:r>
    </w:p>
  </w:endnote>
  <w:endnote w:id="91">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Il-Panel taċ-Ċittadini Ewropej Nru 1 (PCE 1) Nri 7, 16 u 17 u l-Panels Nazzjonali taċ-Ċittadini (NCPs) tal-Ġermanja u l-Italja 1.3.</w:t>
      </w:r>
    </w:p>
  </w:endnote>
  <w:endnote w:id="92">
    <w:p>
      <w:pPr>
        <w:pStyle w:val="Notedefin"/>
        <w:suppressLineNumbers/>
        <w:spacing w:before="57" w:after="57"/>
        <w:ind w:left="339" w:right="0" w:hanging="339"/>
        <w:rPr/>
      </w:pPr>
      <w:r>
        <w:rPr>
          <w:rStyle w:val="Caractresdenotedefin"/>
        </w:rPr>
        <w:endnoteRef/>
      </w:r>
      <w:r>
        <w:rPr/>
        <w:tab/>
      </w:r>
      <w:r>
        <w:rPr/>
        <w:t>Għandu jiġi kkunsidrat b’rabta mal-proposti tal-Grupp ta’ Ħidma dwar Ekonomija Aktar b’Saħħitha.</w:t>
      </w:r>
    </w:p>
  </w:endnote>
  <w:endnote w:id="93">
    <w:p>
      <w:pPr>
        <w:pStyle w:val="Notedefin"/>
        <w:suppressLineNumbers/>
        <w:spacing w:before="57" w:after="57"/>
        <w:ind w:left="339" w:right="0" w:hanging="339"/>
        <w:rPr/>
      </w:pPr>
      <w:r>
        <w:rPr>
          <w:rStyle w:val="Caractresdenotedefin"/>
        </w:rPr>
        <w:endnoteRef/>
      </w:r>
      <w:r>
        <w:rPr/>
        <w:tab/>
      </w:r>
      <w:r>
        <w:rPr/>
        <w:t>Emendi Nri 3A u 3B tal-Grupp ta’ Ħidma (WG).</w:t>
      </w:r>
    </w:p>
  </w:endnote>
  <w:endnote w:id="94">
    <w:p>
      <w:pPr>
        <w:pStyle w:val="Notedefin"/>
        <w:suppressLineNumbers/>
        <w:spacing w:before="57" w:after="57"/>
        <w:ind w:left="339" w:right="0" w:hanging="339"/>
        <w:rPr/>
      </w:pPr>
      <w:r>
        <w:rPr>
          <w:rStyle w:val="Caractresdenotedefin"/>
        </w:rPr>
        <w:endnoteRef/>
      </w:r>
      <w:r>
        <w:rPr/>
        <w:tab/>
      </w:r>
      <w:r>
        <w:rPr/>
        <w:t>Rakkomandazzjonijiet 32 u 37 tal-Panel taċ-Ċittadini Ewropej 2 (PCE 2); panels nazzjonali BE, FR u NL.</w:t>
      </w:r>
    </w:p>
  </w:endnote>
  <w:endnote w:id="95">
    <w:p>
      <w:pPr>
        <w:pStyle w:val="Notedefin"/>
        <w:suppressLineNumbers/>
        <w:spacing w:before="57" w:after="57"/>
        <w:ind w:left="339" w:right="0" w:hanging="339"/>
        <w:rPr/>
      </w:pPr>
      <w:r>
        <w:rPr>
          <w:rStyle w:val="Caractresdenotedefin"/>
        </w:rPr>
        <w:endnoteRef/>
      </w:r>
      <w:r>
        <w:rPr/>
        <w:tab/>
      </w:r>
      <w:r>
        <w:rPr/>
        <w:t>Panel nazzjonali FR.</w:t>
      </w:r>
    </w:p>
  </w:endnote>
  <w:endnote w:id="96">
    <w:p>
      <w:pPr>
        <w:pStyle w:val="Notedefin"/>
        <w:suppressLineNumbers/>
        <w:spacing w:before="57" w:after="57"/>
        <w:ind w:left="339" w:right="0" w:hanging="339"/>
        <w:rPr/>
      </w:pPr>
      <w:r>
        <w:rPr>
          <w:rStyle w:val="Caractresdenotedefin"/>
        </w:rPr>
        <w:endnoteRef/>
      </w:r>
      <w:r>
        <w:rPr/>
        <w:tab/>
      </w:r>
      <w:r>
        <w:rPr/>
        <w:t>Emenda Nru 8 tal-Grupp ta’ Ħidma, kliem aktar konċiż.</w:t>
      </w:r>
    </w:p>
  </w:endnote>
  <w:endnote w:id="97">
    <w:p>
      <w:pPr>
        <w:pStyle w:val="Notedefin"/>
        <w:suppressLineNumbers/>
        <w:spacing w:before="57" w:after="57"/>
        <w:ind w:left="339" w:right="0" w:hanging="339"/>
        <w:rPr/>
      </w:pPr>
      <w:r>
        <w:rPr>
          <w:rStyle w:val="Caractresdenotedefin"/>
        </w:rPr>
        <w:endnoteRef/>
      </w:r>
      <w:r>
        <w:rPr/>
        <w:tab/>
      </w:r>
      <w:r>
        <w:rPr/>
        <w:t>Rakkomandazzjoni tal-ECP Nru 29 2.</w:t>
      </w:r>
    </w:p>
  </w:endnote>
  <w:endnote w:id="98">
    <w:p>
      <w:pPr>
        <w:pStyle w:val="Notedefin"/>
        <w:suppressLineNumbers/>
        <w:spacing w:before="57" w:after="57"/>
        <w:ind w:left="339" w:right="0" w:hanging="339"/>
        <w:rPr/>
      </w:pPr>
      <w:r>
        <w:rPr>
          <w:rStyle w:val="Caractresdenotedefin"/>
        </w:rPr>
        <w:endnoteRef/>
      </w:r>
      <w:r>
        <w:rPr/>
        <w:tab/>
      </w:r>
      <w:r>
        <w:rPr/>
        <w:t>Ir-Rakkomandazzjonijiet 19 u 32 tal-ECP 2; panils nazzjonali ta’ BE u FR u rappreżentattivi ta’ DK ta’ avvenimenti nazzjonali.</w:t>
      </w:r>
    </w:p>
  </w:endnote>
  <w:endnote w:id="99">
    <w:p>
      <w:pPr>
        <w:pStyle w:val="Notedefin"/>
        <w:suppressLineNumbers/>
        <w:spacing w:before="57" w:after="57"/>
        <w:ind w:left="339" w:right="0" w:hanging="339"/>
        <w:rPr/>
      </w:pPr>
      <w:r>
        <w:rPr>
          <w:rStyle w:val="Caractresdenotedefin"/>
        </w:rPr>
        <w:endnoteRef/>
      </w:r>
      <w:r>
        <w:rPr/>
        <w:tab/>
      </w:r>
      <w:r>
        <w:rPr/>
        <w:t>Panel nazzjonali BE.</w:t>
      </w:r>
    </w:p>
  </w:endnote>
  <w:endnote w:id="100">
    <w:p>
      <w:pPr>
        <w:pStyle w:val="Notedefin"/>
        <w:suppressLineNumbers/>
        <w:spacing w:before="57" w:after="57"/>
        <w:ind w:left="339" w:right="0" w:hanging="339"/>
        <w:rPr/>
      </w:pPr>
      <w:r>
        <w:rPr>
          <w:rStyle w:val="Caractresdenotedefin"/>
        </w:rPr>
        <w:endnoteRef/>
      </w:r>
      <w:r>
        <w:rPr/>
        <w:tab/>
      </w:r>
      <w:r>
        <w:rPr/>
        <w:t>Emenda Nru 7B tal-Grupp ta’ Ħidma.</w:t>
      </w:r>
    </w:p>
  </w:endnote>
  <w:endnote w:id="101">
    <w:p>
      <w:pPr>
        <w:pStyle w:val="Notedefin"/>
        <w:suppressLineNumbers/>
        <w:spacing w:before="57" w:after="57"/>
        <w:ind w:left="339" w:right="0" w:hanging="339"/>
        <w:rPr/>
      </w:pPr>
      <w:r>
        <w:rPr>
          <w:rStyle w:val="Caractresdenotedefin"/>
        </w:rPr>
        <w:endnoteRef/>
      </w:r>
      <w:r>
        <w:rPr/>
        <w:tab/>
      </w:r>
      <w:r>
        <w:rPr/>
        <w:t>Panel nazzjonali BE.</w:t>
      </w:r>
    </w:p>
  </w:endnote>
  <w:endnote w:id="102">
    <w:p>
      <w:pPr>
        <w:pStyle w:val="Notedefin"/>
        <w:suppressLineNumbers/>
        <w:spacing w:before="57" w:after="57"/>
        <w:ind w:left="339" w:right="0" w:hanging="339"/>
        <w:rPr/>
      </w:pPr>
      <w:r>
        <w:rPr>
          <w:rStyle w:val="Caractresdenotedefin"/>
        </w:rPr>
        <w:endnoteRef/>
      </w:r>
      <w:r>
        <w:rPr/>
        <w:tab/>
      </w:r>
      <w:r>
        <w:rPr/>
        <w:t>Ir-Rapport Finali ta’ Kantar, p. 85.</w:t>
      </w:r>
    </w:p>
  </w:endnote>
  <w:endnote w:id="103">
    <w:p>
      <w:pPr>
        <w:pStyle w:val="Notedefin"/>
        <w:suppressLineNumbers/>
        <w:spacing w:before="57" w:after="57"/>
        <w:ind w:left="339" w:right="0" w:hanging="339"/>
        <w:rPr/>
      </w:pPr>
      <w:r>
        <w:rPr>
          <w:rStyle w:val="Caractresdenotedefin"/>
        </w:rPr>
        <w:endnoteRef/>
      </w:r>
      <w:r>
        <w:rPr/>
        <w:tab/>
      </w:r>
      <w:r>
        <w:rPr/>
        <w:t>Ir-Rakkomandazzjoni 39 tal-ECP 2; panel nazzjonali numru 3 BE.</w:t>
      </w:r>
    </w:p>
  </w:endnote>
  <w:endnote w:id="104">
    <w:p>
      <w:pPr>
        <w:pStyle w:val="Notedefin"/>
        <w:suppressLineNumbers/>
        <w:spacing w:before="57" w:after="57"/>
        <w:ind w:left="339" w:right="0" w:hanging="339"/>
        <w:rPr/>
      </w:pPr>
      <w:r>
        <w:rPr>
          <w:rStyle w:val="Caractresdenotedefin"/>
        </w:rPr>
        <w:endnoteRef/>
      </w:r>
      <w:r>
        <w:rPr/>
        <w:tab/>
      </w:r>
      <w:r>
        <w:rPr/>
        <w:t>Emenda 10A tal-Grupp ta’ Ħidma, kliem aktar konċiż.</w:t>
      </w:r>
    </w:p>
  </w:endnote>
  <w:endnote w:id="105">
    <w:p>
      <w:pPr>
        <w:pStyle w:val="Notedefin"/>
        <w:suppressLineNumbers/>
        <w:spacing w:before="57" w:after="57"/>
        <w:ind w:left="339" w:right="0" w:hanging="339"/>
        <w:rPr/>
      </w:pPr>
      <w:r>
        <w:rPr>
          <w:rStyle w:val="Caractresdenotedefin"/>
        </w:rPr>
        <w:endnoteRef/>
      </w:r>
      <w:r>
        <w:rPr/>
        <w:tab/>
      </w:r>
      <w:r>
        <w:rPr/>
        <w:t>DK rappreżentant tal-avvenimenti nazzjonali.</w:t>
      </w:r>
    </w:p>
  </w:endnote>
  <w:endnote w:id="106">
    <w:p>
      <w:pPr>
        <w:pStyle w:val="Notedefin"/>
        <w:suppressLineNumbers/>
        <w:spacing w:before="57" w:after="57"/>
        <w:ind w:left="339" w:right="0" w:hanging="339"/>
        <w:rPr/>
      </w:pPr>
      <w:r>
        <w:rPr>
          <w:rStyle w:val="Caractresdenotedefin"/>
        </w:rPr>
        <w:endnoteRef/>
      </w:r>
      <w:r>
        <w:rPr/>
        <w:tab/>
      </w:r>
      <w:r>
        <w:rPr/>
        <w:t>Emenda Nru 54C tal-Grupp ta’ Ħidma.</w:t>
      </w:r>
    </w:p>
  </w:endnote>
  <w:endnote w:id="107">
    <w:p>
      <w:pPr>
        <w:pStyle w:val="Notedefin"/>
        <w:suppressLineNumbers/>
        <w:spacing w:before="57" w:after="57"/>
        <w:ind w:left="339" w:right="0" w:hanging="339"/>
        <w:rPr/>
      </w:pPr>
      <w:r>
        <w:rPr>
          <w:rStyle w:val="Caractresdenotedefin"/>
        </w:rPr>
        <w:endnoteRef/>
      </w:r>
      <w:r>
        <w:rPr/>
        <w:tab/>
      </w:r>
      <w:r>
        <w:rPr/>
        <w:t>DK rappreżentant tal-avvenimenti nazzjonali.</w:t>
      </w:r>
    </w:p>
  </w:endnote>
  <w:endnote w:id="108">
    <w:p>
      <w:pPr>
        <w:pStyle w:val="Notedefin"/>
        <w:suppressLineNumbers/>
        <w:spacing w:before="57" w:after="57"/>
        <w:ind w:left="339" w:right="0" w:hanging="339"/>
        <w:rPr/>
      </w:pPr>
      <w:r>
        <w:rPr>
          <w:rStyle w:val="Caractresdenotedefin"/>
        </w:rPr>
        <w:endnoteRef/>
      </w:r>
      <w:r>
        <w:rPr/>
        <w:tab/>
      </w:r>
      <w:r>
        <w:rPr/>
        <w:t>DK rappreżentant tal-avvenimenti nazzjonali.</w:t>
      </w:r>
    </w:p>
  </w:endnote>
  <w:endnote w:id="109">
    <w:p>
      <w:pPr>
        <w:pStyle w:val="Notedefin"/>
        <w:suppressLineNumbers/>
        <w:spacing w:before="57" w:after="57"/>
        <w:ind w:left="339" w:right="0" w:hanging="339"/>
        <w:rPr/>
      </w:pPr>
      <w:r>
        <w:rPr>
          <w:rStyle w:val="Caractresdenotedefin"/>
        </w:rPr>
        <w:endnoteRef/>
      </w:r>
      <w:r>
        <w:rPr/>
        <w:tab/>
      </w:r>
      <w:r>
        <w:rPr/>
        <w:t>Emenda Nru 15A tal-Grupp ta’ Ħidma, kliem ta’ kompromess.</w:t>
      </w:r>
    </w:p>
  </w:endnote>
  <w:endnote w:id="110">
    <w:p>
      <w:pPr>
        <w:pStyle w:val="Notedefin"/>
        <w:suppressLineNumbers/>
        <w:spacing w:before="57" w:after="57"/>
        <w:ind w:left="339" w:right="0" w:hanging="339"/>
        <w:rPr/>
      </w:pPr>
      <w:r>
        <w:rPr>
          <w:rStyle w:val="Caractresdenotedefin"/>
        </w:rPr>
        <w:endnoteRef/>
      </w:r>
      <w:r>
        <w:rPr/>
        <w:tab/>
      </w:r>
      <w:r>
        <w:rPr/>
        <w:t>PCE 2 Rakkomandazzjonijiet 24, 36 u 38; panel nazzjonali BE.</w:t>
      </w:r>
    </w:p>
  </w:endnote>
  <w:endnote w:id="111">
    <w:p>
      <w:pPr>
        <w:pStyle w:val="Notedefin"/>
        <w:suppressLineNumbers/>
        <w:spacing w:before="57" w:after="57"/>
        <w:ind w:left="339" w:right="0" w:hanging="339"/>
        <w:rPr/>
      </w:pPr>
      <w:r>
        <w:rPr>
          <w:rStyle w:val="Caractresdenotedefin"/>
        </w:rPr>
        <w:endnoteRef/>
      </w:r>
      <w:r>
        <w:rPr/>
        <w:tab/>
      </w:r>
      <w:r>
        <w:rPr/>
        <w:t>Emenda Nru 16C tal-Grupp ta’ Ħidma.</w:t>
      </w:r>
    </w:p>
  </w:endnote>
  <w:endnote w:id="112">
    <w:p>
      <w:pPr>
        <w:pStyle w:val="Notedefin"/>
        <w:suppressLineNumbers/>
        <w:spacing w:before="57" w:after="57"/>
        <w:ind w:left="339" w:right="0" w:hanging="339"/>
        <w:rPr/>
      </w:pPr>
      <w:r>
        <w:rPr>
          <w:rStyle w:val="Caractresdenotedefin"/>
        </w:rPr>
        <w:endnoteRef/>
      </w:r>
      <w:r>
        <w:rPr/>
        <w:tab/>
      </w:r>
      <w:r>
        <w:rPr/>
        <w:t>Ir-Rakkomandazzjoni 33 tal-ECP 2; panels nazzjonali BE, FR u NL.</w:t>
      </w:r>
    </w:p>
  </w:endnote>
  <w:endnote w:id="113">
    <w:p>
      <w:pPr>
        <w:pStyle w:val="Notedefin"/>
        <w:suppressLineNumbers/>
        <w:spacing w:before="57" w:after="57"/>
        <w:ind w:left="339" w:right="0" w:hanging="339"/>
        <w:rPr/>
      </w:pPr>
      <w:r>
        <w:rPr>
          <w:rStyle w:val="Caractresdenotedefin"/>
        </w:rPr>
        <w:endnoteRef/>
      </w:r>
      <w:r>
        <w:rPr/>
        <w:tab/>
      </w:r>
      <w:r>
        <w:rPr/>
        <w:t>Rakkomandazzjoni tal-ECP Nru 26 2.</w:t>
      </w:r>
    </w:p>
  </w:endnote>
  <w:endnote w:id="114">
    <w:p>
      <w:pPr>
        <w:pStyle w:val="Notedefin"/>
        <w:suppressLineNumbers/>
        <w:spacing w:before="57" w:after="57"/>
        <w:ind w:left="339" w:right="0" w:hanging="339"/>
        <w:rPr/>
      </w:pPr>
      <w:r>
        <w:rPr>
          <w:rStyle w:val="Caractresdenotedefin"/>
        </w:rPr>
        <w:endnoteRef/>
      </w:r>
      <w:r>
        <w:rPr/>
        <w:tab/>
      </w:r>
      <w:r>
        <w:rPr/>
        <w:t>Emenda Nru 17 tal-Grupp ta’ Ħidma.</w:t>
      </w:r>
    </w:p>
  </w:endnote>
  <w:endnote w:id="115">
    <w:p>
      <w:pPr>
        <w:pStyle w:val="Notedefin"/>
        <w:suppressLineNumbers/>
        <w:spacing w:before="57" w:after="57"/>
        <w:ind w:left="339" w:right="0" w:hanging="339"/>
        <w:rPr/>
      </w:pPr>
      <w:r>
        <w:rPr>
          <w:rStyle w:val="Caractresdenotedefin"/>
        </w:rPr>
        <w:endnoteRef/>
      </w:r>
      <w:r>
        <w:rPr/>
        <w:tab/>
      </w:r>
      <w:r>
        <w:rPr/>
        <w:t>Panel nazzjonali BE.</w:t>
      </w:r>
    </w:p>
  </w:endnote>
  <w:endnote w:id="116">
    <w:p>
      <w:pPr>
        <w:pStyle w:val="Notedefin"/>
        <w:suppressLineNumbers/>
        <w:spacing w:before="57" w:after="57"/>
        <w:ind w:left="339" w:right="0" w:hanging="339"/>
        <w:rPr/>
      </w:pPr>
      <w:r>
        <w:rPr>
          <w:rStyle w:val="Caractresdenotedefin"/>
        </w:rPr>
        <w:endnoteRef/>
      </w:r>
      <w:r>
        <w:rPr/>
        <w:tab/>
      </w:r>
      <w:r>
        <w:rPr/>
        <w:t>Emenda tal-Grupp ta’ Ħidma Nru 18A.</w:t>
      </w:r>
    </w:p>
  </w:endnote>
  <w:endnote w:id="117">
    <w:p>
      <w:pPr>
        <w:pStyle w:val="Notedefin"/>
        <w:suppressLineNumbers/>
        <w:spacing w:before="57" w:after="57"/>
        <w:ind w:left="339" w:right="0" w:hanging="339"/>
        <w:rPr/>
      </w:pPr>
      <w:r>
        <w:rPr>
          <w:rStyle w:val="Caractresdenotedefin"/>
        </w:rPr>
        <w:endnoteRef/>
      </w:r>
      <w:r>
        <w:rPr/>
        <w:tab/>
      </w:r>
      <w:r>
        <w:rPr/>
        <w:t>Ir-Rakkomandazzjoni Nru 252 tal-ECP.</w:t>
      </w:r>
    </w:p>
  </w:endnote>
  <w:endnote w:id="118">
    <w:p>
      <w:pPr>
        <w:pStyle w:val="Notedefin"/>
        <w:suppressLineNumbers/>
        <w:spacing w:before="57" w:after="57"/>
        <w:ind w:left="339" w:right="0" w:hanging="339"/>
        <w:rPr/>
      </w:pPr>
      <w:r>
        <w:rPr>
          <w:rStyle w:val="Caractresdenotedefin"/>
        </w:rPr>
        <w:endnoteRef/>
      </w:r>
      <w:r>
        <w:rPr/>
        <w:tab/>
      </w:r>
      <w:r>
        <w:rPr/>
        <w:t>Emenda Nru 18B tal-Grupp ta’ Ħidma.</w:t>
      </w:r>
    </w:p>
  </w:endnote>
  <w:endnote w:id="119">
    <w:p>
      <w:pPr>
        <w:pStyle w:val="Notedefin"/>
        <w:suppressLineNumbers/>
        <w:spacing w:before="57" w:after="57"/>
        <w:ind w:left="339" w:right="0" w:hanging="339"/>
        <w:rPr/>
      </w:pPr>
      <w:r>
        <w:rPr>
          <w:rStyle w:val="Caractresdenotedefin"/>
        </w:rPr>
        <w:endnoteRef/>
      </w:r>
      <w:r>
        <w:rPr/>
        <w:tab/>
      </w:r>
      <w:r>
        <w:rPr/>
        <w:t>Ir-Rakkomandazzjoni 31 tal-ECP 2; panels nazzjonali BE u NL.</w:t>
      </w:r>
    </w:p>
  </w:endnote>
  <w:endnote w:id="120">
    <w:p>
      <w:pPr>
        <w:pStyle w:val="Notedefin"/>
        <w:suppressLineNumbers/>
        <w:spacing w:before="57" w:after="57"/>
        <w:ind w:left="339" w:right="0" w:hanging="339"/>
        <w:rPr/>
      </w:pPr>
      <w:r>
        <w:rPr>
          <w:rStyle w:val="Caractresdenotedefin"/>
        </w:rPr>
        <w:endnoteRef/>
      </w:r>
      <w:r>
        <w:rPr/>
        <w:tab/>
      </w:r>
      <w:r>
        <w:rPr/>
        <w:t>Emendi Nru 19A tal-Grupp ta’ Ħidma, abbozzar mill-ġdid biex jiġi prodott test aktar adegwat.</w:t>
      </w:r>
    </w:p>
  </w:endnote>
  <w:endnote w:id="121">
    <w:p>
      <w:pPr>
        <w:pStyle w:val="Notedefin"/>
        <w:suppressLineNumbers/>
        <w:spacing w:before="57" w:after="57"/>
        <w:ind w:left="339" w:right="0" w:hanging="339"/>
        <w:rPr/>
      </w:pPr>
      <w:r>
        <w:rPr>
          <w:rStyle w:val="Caractresdenotedefin"/>
        </w:rPr>
        <w:endnoteRef/>
      </w:r>
      <w:r>
        <w:rPr/>
        <w:tab/>
      </w:r>
      <w:r>
        <w:rPr/>
        <w:t>Emenda Nru 21 tal-Grupp ta’ Ħidma, kompromess.</w:t>
      </w:r>
    </w:p>
  </w:endnote>
  <w:endnote w:id="122">
    <w:p>
      <w:pPr>
        <w:pStyle w:val="Notedefin"/>
        <w:suppressLineNumbers/>
        <w:spacing w:before="57" w:after="57"/>
        <w:ind w:left="339" w:right="0" w:hanging="339"/>
        <w:rPr/>
      </w:pPr>
      <w:r>
        <w:rPr>
          <w:rStyle w:val="Caractresdenotedefin"/>
        </w:rPr>
        <w:endnoteRef/>
      </w:r>
      <w:r>
        <w:rPr/>
        <w:tab/>
      </w:r>
      <w:r>
        <w:rPr/>
        <w:t>Panels nazzjonali BE u FR.</w:t>
      </w:r>
    </w:p>
  </w:endnote>
  <w:endnote w:id="123">
    <w:p>
      <w:pPr>
        <w:pStyle w:val="Notedefin"/>
        <w:suppressLineNumbers/>
        <w:spacing w:before="57" w:after="57"/>
        <w:ind w:left="339" w:right="0" w:hanging="339"/>
        <w:rPr/>
      </w:pPr>
      <w:r>
        <w:rPr>
          <w:rStyle w:val="Caractresdenotedefin"/>
        </w:rPr>
        <w:endnoteRef/>
      </w:r>
      <w:r>
        <w:rPr/>
        <w:tab/>
      </w:r>
      <w:r>
        <w:rPr/>
        <w:t>Emenda Nru 23B tal-Grupp ta’ Ħidma.</w:t>
      </w:r>
    </w:p>
  </w:endnote>
  <w:endnote w:id="124">
    <w:p>
      <w:pPr>
        <w:pStyle w:val="Notedefin"/>
        <w:suppressLineNumbers/>
        <w:spacing w:before="57" w:after="57"/>
        <w:ind w:left="339" w:right="0" w:hanging="339"/>
        <w:rPr/>
      </w:pPr>
      <w:r>
        <w:rPr>
          <w:rStyle w:val="Caractresdenotedefin"/>
        </w:rPr>
        <w:endnoteRef/>
      </w:r>
      <w:r>
        <w:rPr/>
        <w:tab/>
      </w:r>
      <w:r>
        <w:rPr/>
        <w:t>Ir-Rakkomandazzjoni 27 tal-ECP 2; panel nazzjonali BE.</w:t>
      </w:r>
    </w:p>
  </w:endnote>
  <w:endnote w:id="125">
    <w:p>
      <w:pPr>
        <w:pStyle w:val="Notedefin"/>
        <w:suppressLineNumbers/>
        <w:spacing w:before="57" w:after="57"/>
        <w:ind w:left="339" w:right="0" w:hanging="339"/>
        <w:rPr/>
      </w:pPr>
      <w:r>
        <w:rPr>
          <w:rStyle w:val="Caractresdenotedefin"/>
        </w:rPr>
        <w:endnoteRef/>
      </w:r>
      <w:r>
        <w:rPr/>
        <w:tab/>
      </w:r>
      <w:r>
        <w:rPr/>
        <w:t>Emenda Nru 25C tal-Grupp ta’ Ħidma.</w:t>
      </w:r>
    </w:p>
  </w:endnote>
  <w:endnote w:id="126">
    <w:p>
      <w:pPr>
        <w:pStyle w:val="Notedefin"/>
        <w:suppressLineNumbers/>
        <w:spacing w:before="57" w:after="57"/>
        <w:ind w:left="339" w:right="0" w:hanging="339"/>
        <w:rPr/>
      </w:pPr>
      <w:r>
        <w:rPr>
          <w:rStyle w:val="Caractresdenotedefin"/>
        </w:rPr>
        <w:endnoteRef/>
      </w:r>
      <w:r>
        <w:rPr/>
        <w:tab/>
      </w:r>
      <w:r>
        <w:rPr/>
        <w:t>Rakkomandazzjoni 14 tal-ECP.</w:t>
      </w:r>
    </w:p>
  </w:endnote>
  <w:endnote w:id="127">
    <w:p>
      <w:pPr>
        <w:pStyle w:val="Notedefin"/>
        <w:suppressLineNumbers/>
        <w:spacing w:before="57" w:after="57"/>
        <w:ind w:left="339" w:right="0" w:hanging="339"/>
        <w:rPr/>
      </w:pPr>
      <w:r>
        <w:rPr>
          <w:rStyle w:val="Caractresdenotedefin"/>
        </w:rPr>
        <w:endnoteRef/>
      </w:r>
      <w:r>
        <w:rPr/>
        <w:tab/>
      </w:r>
      <w:r>
        <w:rPr/>
        <w:t>Ir-Rakkomandazzjoni Nru 18 tal-ECP. NB: Ir-rappreżentanti taċ-ċittadini spjegaw li dan il-mekkaniżmu għandu jitfassal u jintuża b’kawtela.</w:t>
      </w:r>
    </w:p>
  </w:endnote>
  <w:endnote w:id="128">
    <w:p>
      <w:pPr>
        <w:pStyle w:val="Notedefin"/>
        <w:suppressLineNumbers/>
        <w:spacing w:before="57" w:after="57"/>
        <w:ind w:left="339" w:right="0" w:hanging="339"/>
        <w:rPr/>
      </w:pPr>
      <w:r>
        <w:rPr>
          <w:rStyle w:val="Caractresdenotedefin"/>
        </w:rPr>
        <w:endnoteRef/>
      </w:r>
      <w:r>
        <w:rPr/>
        <w:tab/>
      </w:r>
      <w:r>
        <w:rPr/>
        <w:t>Emendi Nri 28E, 28G u 28H tal-Grupp ta’ Ħidma.</w:t>
      </w:r>
    </w:p>
  </w:endnote>
  <w:endnote w:id="129">
    <w:p>
      <w:pPr>
        <w:pStyle w:val="Notedefin"/>
        <w:suppressLineNumbers/>
        <w:spacing w:before="57" w:after="57"/>
        <w:ind w:left="339" w:right="0" w:hanging="339"/>
        <w:rPr/>
      </w:pPr>
      <w:r>
        <w:rPr>
          <w:rStyle w:val="Caractresdenotedefin"/>
        </w:rPr>
        <w:endnoteRef/>
      </w:r>
      <w:r>
        <w:rPr/>
        <w:tab/>
      </w:r>
      <w:r>
        <w:rPr/>
        <w:t>Ir-Rakkomandazzjoni 16 tal-ECP 2; NL Il-Bord Nazzjonali Nru 20, maqsum fuq listi transnazzjonali.</w:t>
      </w:r>
    </w:p>
  </w:endnote>
  <w:endnote w:id="130">
    <w:p>
      <w:pPr>
        <w:pStyle w:val="Notedefin"/>
        <w:suppressLineNumbers/>
        <w:spacing w:before="57" w:after="57"/>
        <w:ind w:left="339" w:right="0" w:hanging="339"/>
        <w:rPr/>
      </w:pPr>
      <w:r>
        <w:rPr>
          <w:rStyle w:val="Caractresdenotedefin"/>
        </w:rPr>
        <w:endnoteRef/>
      </w:r>
      <w:r>
        <w:rPr/>
        <w:tab/>
      </w:r>
      <w:r>
        <w:rPr/>
        <w:t>Abbażi tar-Rakkomandazzjoni 16 tal-ECP 2; diskussjoni f’GT.</w:t>
      </w:r>
    </w:p>
  </w:endnote>
  <w:endnote w:id="131">
    <w:p>
      <w:pPr>
        <w:pStyle w:val="Notedefin"/>
        <w:suppressLineNumbers/>
        <w:spacing w:before="57" w:after="57"/>
        <w:ind w:left="339" w:right="0" w:hanging="339"/>
        <w:rPr/>
      </w:pPr>
      <w:r>
        <w:rPr>
          <w:rStyle w:val="Caractresdenotedefin"/>
        </w:rPr>
        <w:endnoteRef/>
      </w:r>
      <w:r>
        <w:rPr/>
        <w:tab/>
      </w:r>
      <w:r>
        <w:rPr/>
        <w:t>Ir-Rakkomandazzjoni 19 tal-ECP 2 u l-Pjattaforma Diġitali Multilingwi (MNP).</w:t>
      </w:r>
    </w:p>
  </w:endnote>
  <w:endnote w:id="132">
    <w:p>
      <w:pPr>
        <w:pStyle w:val="Notedefin"/>
        <w:suppressLineNumbers/>
        <w:spacing w:before="57" w:after="57"/>
        <w:ind w:left="339" w:right="0" w:hanging="339"/>
        <w:rPr/>
      </w:pPr>
      <w:r>
        <w:rPr>
          <w:rStyle w:val="Caractresdenotedefin"/>
        </w:rPr>
        <w:endnoteRef/>
      </w:r>
      <w:r>
        <w:rPr/>
        <w:tab/>
      </w:r>
      <w:r>
        <w:rPr/>
        <w:t>KESE.</w:t>
      </w:r>
    </w:p>
  </w:endnote>
  <w:endnote w:id="133">
    <w:p>
      <w:pPr>
        <w:pStyle w:val="Notedefin"/>
        <w:suppressLineNumbers/>
        <w:spacing w:before="57" w:after="57"/>
        <w:ind w:left="339" w:right="0" w:hanging="339"/>
        <w:rPr/>
      </w:pPr>
      <w:r>
        <w:rPr>
          <w:rStyle w:val="Caractresdenotedefin"/>
        </w:rPr>
        <w:endnoteRef/>
      </w:r>
      <w:r>
        <w:rPr/>
        <w:tab/>
      </w:r>
      <w:r>
        <w:rPr/>
        <w:t>Emenda Nru 32B tal-Grupp ta’ Ħidma.</w:t>
      </w:r>
    </w:p>
  </w:endnote>
  <w:endnote w:id="134">
    <w:p>
      <w:pPr>
        <w:pStyle w:val="Notedefin"/>
        <w:suppressLineNumbers/>
        <w:spacing w:before="57" w:after="57"/>
        <w:ind w:left="339" w:right="0" w:hanging="339"/>
        <w:rPr/>
      </w:pPr>
      <w:r>
        <w:rPr>
          <w:rStyle w:val="Caractresdenotedefin"/>
        </w:rPr>
        <w:endnoteRef/>
      </w:r>
      <w:r>
        <w:rPr/>
        <w:tab/>
      </w:r>
      <w:r>
        <w:rPr/>
        <w:t>Ir-Rakkomandazzjoni 36 tal-ECP 2; panels nazzjonali BE u FR.</w:t>
      </w:r>
    </w:p>
  </w:endnote>
  <w:endnote w:id="135">
    <w:p>
      <w:pPr>
        <w:pStyle w:val="Notedefin"/>
        <w:suppressLineNumbers/>
        <w:spacing w:before="57" w:after="57"/>
        <w:ind w:left="339" w:right="0" w:hanging="339"/>
        <w:rPr/>
      </w:pPr>
      <w:r>
        <w:rPr>
          <w:rStyle w:val="Caractresdenotedefin"/>
        </w:rPr>
        <w:endnoteRef/>
      </w:r>
      <w:r>
        <w:rPr/>
        <w:tab/>
      </w:r>
      <w:r>
        <w:rPr/>
        <w:t>Panel nazzjonali FR (“elezzjoni tal-President tal-Kummissjoni Ewropea b’vot universali”); PNM (Rapport Finali ta’ Kantar: grupp ta’ kontribuzzjonijiet jikkonċerna l-elezzjoni diretta tal-President tal-Kummissjoni miċ-ċittadini).</w:t>
      </w:r>
    </w:p>
  </w:endnote>
  <w:endnote w:id="136">
    <w:p>
      <w:pPr>
        <w:pStyle w:val="Notedefin"/>
        <w:suppressLineNumbers/>
        <w:spacing w:before="57" w:after="57"/>
        <w:ind w:left="339" w:right="0" w:hanging="339"/>
        <w:rPr/>
      </w:pPr>
      <w:r>
        <w:rPr>
          <w:rStyle w:val="Caractresdenotedefin"/>
        </w:rPr>
        <w:endnoteRef/>
      </w:r>
      <w:r>
        <w:rPr/>
        <w:tab/>
      </w:r>
      <w:r>
        <w:rPr/>
        <w:t>Emenda Nru 34C tal-Grupp ta’ Ħidma.</w:t>
      </w:r>
    </w:p>
  </w:endnote>
  <w:endnote w:id="137">
    <w:p>
      <w:pPr>
        <w:pStyle w:val="Notedefin"/>
        <w:suppressLineNumbers/>
        <w:spacing w:before="57" w:after="57"/>
        <w:ind w:left="339" w:right="0" w:hanging="339"/>
        <w:rPr/>
      </w:pPr>
      <w:r>
        <w:rPr>
          <w:rStyle w:val="Caractresdenotedefin"/>
        </w:rPr>
        <w:endnoteRef/>
      </w:r>
      <w:r>
        <w:rPr/>
        <w:tab/>
      </w:r>
      <w:r>
        <w:rPr/>
        <w:t>Panel nazzjonali BE (3.2), panel nazzjonali FR (11) PNM (rapport finali Kantar: “Sa fejn huwa kkonċernat il-Parlament Ewropew, il-kontributuri ħafna drabi jitolbu li jingħata setgħa reali ta’ inizjattiva leġislattiva”).</w:t>
      </w:r>
    </w:p>
  </w:endnote>
  <w:endnote w:id="138">
    <w:p>
      <w:pPr>
        <w:pStyle w:val="Notedefin"/>
        <w:suppressLineNumbers/>
        <w:spacing w:before="57" w:after="57"/>
        <w:ind w:left="339" w:right="0" w:hanging="339"/>
        <w:rPr/>
      </w:pPr>
      <w:r>
        <w:rPr>
          <w:rStyle w:val="Caractresdenotedefin"/>
        </w:rPr>
        <w:endnoteRef/>
      </w:r>
      <w:r>
        <w:rPr/>
        <w:tab/>
      </w:r>
      <w:r>
        <w:rPr/>
        <w:t>PNM (Rapport Finali ta’ Kantar: “Fir-rigward tal-Parlament Ewropew, (...) hemm ukoll talbiet biex jingħatawlu setgħat baġitarji”).</w:t>
      </w:r>
    </w:p>
  </w:endnote>
  <w:endnote w:id="139">
    <w:p>
      <w:pPr>
        <w:pStyle w:val="Notedefin"/>
        <w:suppressLineNumbers/>
        <w:spacing w:before="57" w:after="57"/>
        <w:ind w:left="339" w:right="0" w:hanging="339"/>
        <w:rPr/>
      </w:pPr>
      <w:r>
        <w:rPr>
          <w:rStyle w:val="Caractresdenotedefin"/>
        </w:rPr>
        <w:endnoteRef/>
      </w:r>
      <w:r>
        <w:rPr/>
        <w:tab/>
      </w:r>
      <w:r>
        <w:rPr/>
        <w:t>PNM (Rapport Finali ta’ Kantar: Skont kontribut ieħor, il-partijiet għandhom isiru aktar aċċessibbli għal persuni minn sfondi kulturali jew soċjoekonomiċi differenti.</w:t>
      </w:r>
    </w:p>
  </w:endnote>
  <w:endnote w:id="140">
    <w:p>
      <w:pPr>
        <w:pStyle w:val="Notedefin"/>
        <w:suppressLineNumbers/>
        <w:spacing w:before="57" w:after="57"/>
        <w:ind w:left="339" w:right="0" w:hanging="339"/>
        <w:rPr/>
      </w:pPr>
      <w:r>
        <w:rPr>
          <w:rStyle w:val="Caractresdenotedefin"/>
        </w:rPr>
        <w:endnoteRef/>
      </w:r>
      <w:r>
        <w:rPr/>
        <w:tab/>
      </w:r>
      <w:r>
        <w:rPr/>
        <w:t>Il-KtR fil-Grupp ta’ Ħidma.</w:t>
      </w:r>
    </w:p>
  </w:endnote>
  <w:endnote w:id="141">
    <w:p>
      <w:pPr>
        <w:pStyle w:val="Notedefin"/>
        <w:suppressLineNumbers/>
        <w:spacing w:before="57" w:after="57"/>
        <w:ind w:left="339" w:right="0" w:hanging="339"/>
        <w:rPr/>
      </w:pPr>
      <w:r>
        <w:rPr>
          <w:rStyle w:val="Caractresdenotedefin"/>
        </w:rPr>
        <w:endnoteRef/>
      </w:r>
      <w:r>
        <w:rPr/>
        <w:tab/>
      </w:r>
      <w:r>
        <w:rPr/>
        <w:t>Emenda 38 tal-Grupp ta’ Ħidma, formulazzjoni ta’ kompromess.</w:t>
      </w:r>
    </w:p>
  </w:endnote>
  <w:endnote w:id="142">
    <w:p>
      <w:pPr>
        <w:pStyle w:val="Notedefin"/>
        <w:suppressLineNumbers/>
        <w:spacing w:before="57" w:after="57"/>
        <w:ind w:left="339" w:right="0" w:hanging="339"/>
        <w:rPr/>
      </w:pPr>
      <w:r>
        <w:rPr>
          <w:rStyle w:val="Caractresdenotedefin"/>
        </w:rPr>
        <w:endnoteRef/>
      </w:r>
      <w:r>
        <w:rPr/>
        <w:tab/>
      </w:r>
      <w:r>
        <w:rPr/>
        <w:t>Rakkomandazzjoni tal-ECP Nru 20 2.</w:t>
      </w:r>
    </w:p>
  </w:endnote>
  <w:endnote w:id="143">
    <w:p>
      <w:pPr>
        <w:pStyle w:val="Notedefin"/>
        <w:suppressLineNumbers/>
        <w:spacing w:before="57" w:after="57"/>
        <w:ind w:left="339" w:right="0" w:hanging="339"/>
        <w:rPr/>
      </w:pPr>
      <w:r>
        <w:rPr>
          <w:rStyle w:val="Caractresdenotedefin"/>
        </w:rPr>
        <w:endnoteRef/>
      </w:r>
      <w:r>
        <w:rPr/>
        <w:tab/>
      </w:r>
      <w:r>
        <w:rPr/>
        <w:t>Ir-Rakkomandazzjoni Nru 21 4 tal-ECP.</w:t>
      </w:r>
    </w:p>
  </w:endnote>
  <w:endnote w:id="144">
    <w:p>
      <w:pPr>
        <w:pStyle w:val="Notedefin"/>
        <w:suppressLineNumbers/>
        <w:spacing w:before="57" w:after="57"/>
        <w:ind w:left="339" w:right="0" w:hanging="339"/>
        <w:rPr/>
      </w:pPr>
      <w:r>
        <w:rPr>
          <w:rStyle w:val="Caractresdenotedefin"/>
        </w:rPr>
        <w:endnoteRef/>
      </w:r>
      <w:r>
        <w:rPr/>
        <w:tab/>
      </w:r>
      <w:r>
        <w:rPr/>
        <w:t>Emenda Nru 43 tal-Grupp ta’ Ħidma.</w:t>
      </w:r>
    </w:p>
  </w:endnote>
  <w:endnote w:id="145">
    <w:p>
      <w:pPr>
        <w:pStyle w:val="Notedefin"/>
        <w:suppressLineNumbers/>
        <w:spacing w:before="57" w:after="57"/>
        <w:ind w:left="339" w:right="0" w:hanging="339"/>
        <w:rPr/>
      </w:pPr>
      <w:r>
        <w:rPr>
          <w:rStyle w:val="Caractresdenotedefin"/>
        </w:rPr>
        <w:endnoteRef/>
      </w:r>
      <w:r>
        <w:rPr/>
        <w:tab/>
      </w:r>
      <w:r>
        <w:rPr/>
        <w:t>Ir-Rakkomandazzjoni 34 tal-ECP 2; Bord Nazzjonali NL.</w:t>
      </w:r>
    </w:p>
  </w:endnote>
  <w:endnote w:id="146">
    <w:p>
      <w:pPr>
        <w:pStyle w:val="Notedefin"/>
        <w:suppressLineNumbers/>
        <w:spacing w:before="57" w:after="57"/>
        <w:ind w:left="339" w:right="0" w:hanging="339"/>
        <w:rPr/>
      </w:pPr>
      <w:r>
        <w:rPr>
          <w:rStyle w:val="Caractresdenotedefin"/>
        </w:rPr>
        <w:endnoteRef/>
      </w:r>
      <w:r>
        <w:rPr/>
        <w:tab/>
      </w:r>
      <w:r>
        <w:rPr/>
        <w:t>Dibattitu tal-Grupp ta’ Ħidma bbażat fuq ir-rakkomandazzjoni 34 tal-ECP 2; panel nazzjonali NL; PNM (Rapport Finali ta’ Kantar: “Iż-żieda fit-trasparenza u parteċipazzjoni akbar taċ-ċittadini fil-proċess tat-teħid tad-deċiżjonijiet tal-UE huma appoġġati wkoll”.</w:t>
      </w:r>
    </w:p>
  </w:endnote>
  <w:endnote w:id="147">
    <w:p>
      <w:pPr>
        <w:pStyle w:val="Notedefin"/>
        <w:suppressLineNumbers/>
        <w:spacing w:before="57" w:after="57"/>
        <w:ind w:left="339" w:right="0" w:hanging="339"/>
        <w:rPr/>
      </w:pPr>
      <w:r>
        <w:rPr>
          <w:rStyle w:val="Caractresdenotedefin"/>
        </w:rPr>
        <w:endnoteRef/>
      </w:r>
      <w:r>
        <w:rPr/>
        <w:tab/>
      </w:r>
      <w:r>
        <w:rPr/>
        <w:t>Emenda Nru 44A tal-Grupp ta’ Ħidma.</w:t>
      </w:r>
    </w:p>
  </w:endnote>
  <w:endnote w:id="148">
    <w:p>
      <w:pPr>
        <w:pStyle w:val="Notedefin"/>
        <w:suppressLineNumbers/>
        <w:spacing w:before="57" w:after="57"/>
        <w:ind w:left="339" w:right="0" w:hanging="339"/>
        <w:rPr/>
      </w:pPr>
      <w:r>
        <w:rPr>
          <w:rStyle w:val="Caractresdenotedefin"/>
        </w:rPr>
        <w:endnoteRef/>
      </w:r>
      <w:r>
        <w:rPr/>
        <w:tab/>
      </w:r>
      <w:r>
        <w:rPr/>
        <w:t>Dibattitu tal-Grupp ta’ Ħidma (preżentazzjoni mill-parlamenti nazzjonali u l-KtR).</w:t>
      </w:r>
    </w:p>
  </w:endnote>
  <w:endnote w:id="149">
    <w:p>
      <w:pPr>
        <w:pStyle w:val="Notedefin"/>
        <w:suppressLineNumbers/>
        <w:spacing w:before="57" w:after="57"/>
        <w:ind w:left="339" w:right="0" w:hanging="339"/>
        <w:rPr/>
      </w:pPr>
      <w:r>
        <w:rPr>
          <w:rStyle w:val="Caractresdenotedefin"/>
        </w:rPr>
        <w:endnoteRef/>
      </w:r>
      <w:r>
        <w:rPr/>
        <w:tab/>
      </w:r>
      <w:r>
        <w:rPr/>
        <w:t>Emenda Nru 45C tal-Grupp ta’ Ħidma.</w:t>
      </w:r>
    </w:p>
  </w:endnote>
  <w:endnote w:id="150">
    <w:p>
      <w:pPr>
        <w:pStyle w:val="Notedefin"/>
        <w:suppressLineNumbers/>
        <w:spacing w:before="57" w:after="57"/>
        <w:ind w:left="339" w:right="0" w:hanging="339"/>
        <w:rPr/>
      </w:pPr>
      <w:r>
        <w:rPr>
          <w:rStyle w:val="Caractresdenotedefin"/>
        </w:rPr>
        <w:endnoteRef/>
      </w:r>
      <w:r>
        <w:rPr/>
        <w:tab/>
      </w:r>
      <w:r>
        <w:rPr/>
        <w:t>Emenda Nru 46B tal-Grupp ta’ Ħidma.</w:t>
      </w:r>
    </w:p>
  </w:endnote>
  <w:endnote w:id="151">
    <w:p>
      <w:pPr>
        <w:pStyle w:val="Notedefin"/>
        <w:suppressLineNumbers/>
        <w:spacing w:before="57" w:after="57"/>
        <w:ind w:left="339" w:right="0" w:hanging="339"/>
        <w:rPr/>
      </w:pPr>
      <w:r>
        <w:rPr>
          <w:rStyle w:val="Caractresdenotedefin"/>
        </w:rPr>
        <w:endnoteRef/>
      </w:r>
      <w:r>
        <w:rPr/>
        <w:tab/>
      </w:r>
      <w:r>
        <w:rPr/>
        <w:t>Rakkomandazzjoni tal-ECP Nru 15 2.</w:t>
      </w:r>
    </w:p>
  </w:endnote>
  <w:endnote w:id="152">
    <w:p>
      <w:pPr>
        <w:pStyle w:val="Notedefin"/>
        <w:suppressLineNumbers/>
        <w:spacing w:before="57" w:after="57"/>
        <w:ind w:left="339" w:right="0" w:hanging="339"/>
        <w:rPr/>
      </w:pPr>
      <w:r>
        <w:rPr>
          <w:rStyle w:val="Caractresdenotedefin"/>
        </w:rPr>
        <w:endnoteRef/>
      </w:r>
      <w:r>
        <w:rPr/>
        <w:tab/>
      </w:r>
      <w:r>
        <w:rPr/>
        <w:t>Dibattitu tal-Grupp ta’ Ħidma bbażat fuq il-ħtieġa espressa fir-Rakkomandazzjoni 15 tal-ECP 2 biex “jiġu ċċarati l-funzjonijiet tal-istituzzjonijiet Ewropej”; PNM (Rapport Finali ta’ Kantar: “Hemm ukoll suġġerimenti biex tiġi approfondita s-setgħa leġiżlattiva bikamerali fl-UE.”)</w:t>
      </w:r>
    </w:p>
  </w:endnote>
  <w:endnote w:id="153">
    <w:p>
      <w:pPr>
        <w:pStyle w:val="Notedefin"/>
        <w:suppressLineNumbers/>
        <w:spacing w:before="57" w:after="57"/>
        <w:ind w:left="339" w:right="0" w:hanging="339"/>
        <w:rPr/>
      </w:pPr>
      <w:r>
        <w:rPr>
          <w:rStyle w:val="Caractresdenotedefin"/>
        </w:rPr>
        <w:endnoteRef/>
      </w:r>
      <w:r>
        <w:rPr/>
        <w:tab/>
      </w:r>
      <w:r>
        <w:rPr/>
        <w:t>Emenda Nru 48B tal-Grupp ta’ Ħidma.</w:t>
      </w:r>
    </w:p>
  </w:endnote>
  <w:endnote w:id="154">
    <w:p>
      <w:pPr>
        <w:pStyle w:val="Notedefin"/>
        <w:suppressLineNumbers/>
        <w:spacing w:before="57" w:after="57"/>
        <w:ind w:left="339" w:right="0" w:hanging="339"/>
        <w:rPr/>
      </w:pPr>
      <w:r>
        <w:rPr>
          <w:rStyle w:val="Caractresdenotedefin"/>
        </w:rPr>
        <w:endnoteRef/>
      </w:r>
      <w:r>
        <w:rPr/>
        <w:tab/>
      </w:r>
      <w:r>
        <w:rPr/>
        <w:t>Rakkomandazzjoni tal-ECP Nru 15 2.</w:t>
      </w:r>
    </w:p>
  </w:endnote>
  <w:endnote w:id="155">
    <w:p>
      <w:pPr>
        <w:pStyle w:val="Notedefin"/>
        <w:suppressLineNumbers/>
        <w:spacing w:before="57" w:after="57"/>
        <w:ind w:left="339" w:right="0" w:hanging="339"/>
        <w:rPr/>
      </w:pPr>
      <w:r>
        <w:rPr>
          <w:rStyle w:val="Caractresdenotedefin"/>
        </w:rPr>
        <w:endnoteRef/>
      </w:r>
      <w:r>
        <w:rPr/>
        <w:tab/>
      </w:r>
      <w:r>
        <w:rPr/>
        <w:t>Diskussjonijiet fil-Grupp ta’ Ħidma.</w:t>
      </w:r>
    </w:p>
  </w:endnote>
  <w:endnote w:id="156">
    <w:p>
      <w:pPr>
        <w:pStyle w:val="Notedefin"/>
        <w:suppressLineNumbers/>
        <w:spacing w:before="57" w:after="57"/>
        <w:ind w:left="339" w:right="0" w:hanging="339"/>
        <w:rPr/>
      </w:pPr>
      <w:r>
        <w:rPr>
          <w:rStyle w:val="Caractresdenotedefin"/>
        </w:rPr>
        <w:endnoteRef/>
      </w:r>
      <w:r>
        <w:rPr/>
        <w:tab/>
      </w:r>
      <w:r>
        <w:rPr/>
        <w:t>Emenda Nru 52A tal-Grupp ta’ Ħidma.</w:t>
      </w:r>
    </w:p>
  </w:endnote>
  <w:endnote w:id="157">
    <w:p>
      <w:pPr>
        <w:pStyle w:val="Notedefin"/>
        <w:suppressLineNumbers/>
        <w:spacing w:before="57" w:after="57"/>
        <w:ind w:left="339" w:right="0" w:hanging="339"/>
        <w:rPr/>
      </w:pPr>
      <w:r>
        <w:rPr>
          <w:rStyle w:val="Caractresdenotedefin"/>
        </w:rPr>
        <w:endnoteRef/>
      </w:r>
      <w:r>
        <w:rPr/>
        <w:tab/>
      </w:r>
      <w:r>
        <w:rPr/>
        <w:t>KESE, formulazzjoni ta’ kompromess.</w:t>
      </w:r>
    </w:p>
  </w:endnote>
  <w:endnote w:id="158">
    <w:p>
      <w:pPr>
        <w:pStyle w:val="Notedefin"/>
        <w:suppressLineNumbers/>
        <w:spacing w:before="57" w:after="57"/>
        <w:ind w:left="339" w:right="0" w:hanging="339"/>
        <w:rPr/>
      </w:pPr>
      <w:r>
        <w:rPr>
          <w:rStyle w:val="Caractresdenotedefin"/>
        </w:rPr>
        <w:endnoteRef/>
      </w:r>
      <w:r>
        <w:rPr/>
        <w:tab/>
      </w:r>
      <w:r>
        <w:rPr/>
        <w:t>Ir-Rakkomandazzjoni 35 tal-ECP, il-Bord Nazzjonali FR u l-emendi kkombinati tal-WG 51C u 51D.</w:t>
      </w:r>
    </w:p>
  </w:endnote>
  <w:endnote w:id="159">
    <w:p>
      <w:pPr>
        <w:pStyle w:val="Notedefin"/>
        <w:suppressLineNumbers/>
        <w:spacing w:before="57" w:after="57"/>
        <w:ind w:left="339" w:right="0" w:hanging="339"/>
        <w:rPr/>
      </w:pPr>
      <w:r>
        <w:rPr>
          <w:rStyle w:val="Caractresdenotedefin"/>
        </w:rPr>
        <w:endnoteRef/>
      </w:r>
      <w:r>
        <w:rPr/>
        <w:tab/>
      </w:r>
      <w:r>
        <w:rPr/>
        <w:t>Emenda Nru 53D tal-Grupp ta’ Ħidma.</w:t>
      </w:r>
    </w:p>
  </w:endnote>
  <w:endnote w:id="160">
    <w:p>
      <w:pPr>
        <w:pStyle w:val="Notedefin"/>
        <w:suppressLineNumbers/>
        <w:spacing w:before="57" w:after="57"/>
        <w:ind w:left="339" w:right="0" w:hanging="339"/>
        <w:rPr/>
      </w:pPr>
      <w:r>
        <w:rPr>
          <w:rStyle w:val="Caractresdenotedefin"/>
        </w:rPr>
        <w:endnoteRef/>
      </w:r>
      <w:r>
        <w:rPr/>
        <w:tab/>
      </w:r>
      <w:r>
        <w:rPr/>
        <w:t>Diskussjoni fil-Grupp ta’ Ħidma; il-Parlamenti Nazzjonali.</w:t>
      </w:r>
    </w:p>
  </w:endnote>
  <w:endnote w:id="161">
    <w:p>
      <w:pPr>
        <w:pStyle w:val="Notedefin"/>
        <w:spacing w:before="57" w:after="57"/>
        <w:rPr/>
      </w:pPr>
      <w:r>
        <w:rPr>
          <w:rStyle w:val="Caractresdenotedefin"/>
        </w:rPr>
        <w:endnoteRef/>
      </w:r>
      <w:r>
        <w:rPr/>
        <w:tab/>
      </w:r>
      <w:r>
        <w:rPr/>
        <w:t>Diskussjoni fil-Grupp ta’ Ħidma; Il-KtR u l-KESE; Ir-Rapport Finali ta’ Kantar, p. 85.</w:t>
      </w:r>
    </w:p>
  </w:endnote>
  <w:endnote w:id="162">
    <w:p>
      <w:pPr>
        <w:pStyle w:val="Notedefin"/>
        <w:suppressLineNumbers/>
        <w:spacing w:before="57" w:after="57"/>
        <w:ind w:left="339" w:right="0" w:hanging="339"/>
        <w:rPr/>
      </w:pPr>
      <w:r>
        <w:rPr>
          <w:rStyle w:val="Caractresdenotedefin"/>
        </w:rPr>
        <w:endnoteRef/>
      </w:r>
      <w:r>
        <w:rPr/>
        <w:tab/>
      </w:r>
      <w:r>
        <w:rPr/>
        <w:t>Emenda Nru 58B tal-Grupp ta’ Ħidma.</w:t>
      </w:r>
    </w:p>
  </w:endnote>
  <w:endnote w:id="163">
    <w:p>
      <w:pPr>
        <w:pStyle w:val="Notedefin"/>
        <w:suppressLineNumbers/>
        <w:spacing w:before="57" w:after="57"/>
        <w:ind w:left="339" w:right="0" w:hanging="339"/>
        <w:rPr/>
      </w:pPr>
      <w:r>
        <w:rPr>
          <w:rStyle w:val="Caractresdenotedefin"/>
        </w:rPr>
        <w:endnoteRef/>
      </w:r>
      <w:r>
        <w:rPr/>
        <w:tab/>
      </w:r>
      <w:r>
        <w:rPr/>
        <w:t>Emenda Nru 59B tal-Grupp ta’ Ħidma.</w:t>
      </w:r>
    </w:p>
  </w:endnote>
  <w:endnote w:id="164">
    <w:p>
      <w:pPr>
        <w:pStyle w:val="Notedefin"/>
        <w:suppressLineNumbers/>
        <w:spacing w:before="57" w:after="57"/>
        <w:ind w:left="339" w:right="0" w:hanging="339"/>
        <w:rPr/>
      </w:pPr>
      <w:r>
        <w:rPr>
          <w:rStyle w:val="Caractresdenotedefin"/>
        </w:rPr>
        <w:endnoteRef/>
      </w:r>
      <w:r>
        <w:rPr/>
        <w:tab/>
      </w:r>
      <w:r>
        <w:rPr/>
        <w:t>Diskussjoni fil-Grupp ta’ Ħidma; l-imsieħba soċjali u membri oħra.</w:t>
      </w:r>
    </w:p>
  </w:endnote>
  <w:endnote w:id="165">
    <w:p>
      <w:pPr>
        <w:pStyle w:val="Notedefin"/>
        <w:suppressLineNumbers/>
        <w:spacing w:before="57" w:after="57"/>
        <w:ind w:left="339" w:right="0" w:hanging="339"/>
        <w:rPr/>
      </w:pPr>
      <w:r>
        <w:rPr>
          <w:rStyle w:val="Caractresdenotedefin"/>
        </w:rPr>
        <w:endnoteRef/>
      </w:r>
      <w:r>
        <w:rPr/>
        <w:tab/>
      </w:r>
      <w:r>
        <w:rPr/>
        <w:t>Emenda 63A tal-Grupp ta’ Ħidma, formulazzjoni ta’ kompromess.</w:t>
      </w:r>
    </w:p>
  </w:endnote>
  <w:endnote w:id="166">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Il-Panel taċ-Ċittadini Ewropej Nru 4 (ECP 4) Nru</w:t>
      </w:r>
      <w:r>
        <w:rPr>
          <w:vertAlign w:val="superscript"/>
        </w:rPr>
        <w:t>6</w:t>
      </w:r>
      <w:r>
        <w:rPr/>
        <w:t>, 7, 9, 28 u 30, il-Litwanja Nru 9.</w:t>
      </w:r>
    </w:p>
  </w:endnote>
  <w:endnote w:id="167">
    <w:p>
      <w:pPr>
        <w:pStyle w:val="Notedefin"/>
        <w:suppressLineNumbers/>
        <w:spacing w:before="57" w:after="57"/>
        <w:ind w:left="339" w:right="0" w:hanging="339"/>
        <w:rPr/>
      </w:pPr>
      <w:r>
        <w:rPr>
          <w:rStyle w:val="Caractresdenotedefin"/>
        </w:rPr>
        <w:endnoteRef/>
      </w:r>
      <w:r>
        <w:rPr/>
        <w:tab/>
      </w:r>
      <w:r>
        <w:rPr/>
        <w:t>Ir-rakkomandazzjonijiet taċ-ċittadini li fuqhom hija bbażata l-proposta: Il-Panel taċ-Ċittadini Ewropej Nru 4 (ECP 4)</w:t>
      </w:r>
      <w:r>
        <w:rPr>
          <w:vertAlign w:val="superscript"/>
        </w:rPr>
        <w:t>Nru</w:t>
      </w:r>
      <w:r>
        <w:rPr/>
        <w:t xml:space="preserve"> 8 u 27, il-Litwanja Nru 10, il-Pajjiżi l-Baxxi Nru 3.</w:t>
      </w:r>
    </w:p>
  </w:endnote>
  <w:endnote w:id="168">
    <w:p>
      <w:pPr>
        <w:pStyle w:val="Notedefin"/>
        <w:suppressLineNumbers/>
        <w:spacing w:before="57" w:after="57"/>
        <w:ind w:left="339" w:right="0" w:hanging="339"/>
        <w:rPr/>
      </w:pPr>
      <w:r>
        <w:rPr>
          <w:rStyle w:val="Caractresdenotedefin"/>
        </w:rPr>
        <w:endnoteRef/>
      </w:r>
      <w:r>
        <w:rPr/>
        <w:tab/>
        <w:t xml:space="preserve"> </w:t>
      </w:r>
      <w:r>
        <w:rPr/>
        <w:t>Ir-rakkomandazzjonijiet taċ-ċittadini li fuqhom hija bbażata l-proposta: Il-Panel taċ-Ċittadini Ewropej Nru 4 (PCE 4)</w:t>
      </w:r>
      <w:r>
        <w:rPr>
          <w:vertAlign w:val="superscript"/>
        </w:rPr>
        <w:t>Nru</w:t>
      </w:r>
      <w:r>
        <w:rPr/>
        <w:t xml:space="preserve"> 10, 35 u 38.</w:t>
      </w:r>
    </w:p>
  </w:endnote>
  <w:endnote w:id="169">
    <w:p>
      <w:pPr>
        <w:pStyle w:val="Notedefin"/>
        <w:suppressLineNumbers/>
        <w:spacing w:before="57" w:after="57"/>
        <w:ind w:left="339" w:right="0" w:hanging="339"/>
        <w:rPr/>
      </w:pPr>
      <w:r>
        <w:rPr>
          <w:rStyle w:val="Caractresdenotedefin"/>
        </w:rPr>
        <w:endnoteRef/>
      </w:r>
      <w:r>
        <w:rPr/>
        <w:tab/>
        <w:t xml:space="preserve"> </w:t>
      </w:r>
      <w:r>
        <w:rPr/>
        <w:t>Ir-rakkomandazzjonijiet taċ-ċittadini li fuqhom hija bbażata l-proposta: Il-Panel taċ-Ċittadini Ewropej Nru 4 (ECP 4) Nru</w:t>
      </w:r>
      <w:r>
        <w:rPr>
          <w:vertAlign w:val="superscript"/>
        </w:rPr>
        <w:t>29</w:t>
      </w:r>
      <w:r>
        <w:rPr/>
        <w:t>, 31, 33, 36, 37, 38, 39 u 40, l-Italja</w:t>
      </w:r>
      <w:r>
        <w:rPr>
          <w:vertAlign w:val="superscript"/>
        </w:rPr>
        <w:t>Nri</w:t>
      </w:r>
      <w:r>
        <w:rPr/>
        <w:t xml:space="preserve"> 3.8, 4.4 (p. 15) u 5.6 (p. 11), Litwanja</w:t>
      </w:r>
      <w:r>
        <w:rPr>
          <w:vertAlign w:val="superscript"/>
        </w:rPr>
        <w:t>Nri 2 u 3, Nri</w:t>
      </w:r>
      <w:r>
        <w:rPr/>
        <w:t xml:space="preserve"> 1 u 2 tal-Pajjiżi l-Baxxi.</w:t>
      </w:r>
    </w:p>
  </w:endnote>
  <w:endnote w:id="170">
    <w:p>
      <w:pPr>
        <w:pStyle w:val="Notedefin"/>
        <w:spacing w:before="57" w:after="57"/>
        <w:rPr/>
      </w:pPr>
      <w:r>
        <w:rPr>
          <w:rStyle w:val="Caractresdenotedefin"/>
        </w:rPr>
        <w:endnoteRef/>
      </w:r>
      <w:r>
        <w:rPr/>
        <w:tab/>
        <w:t xml:space="preserve"> </w:t>
      </w:r>
      <w:r>
        <w:rPr/>
        <w:t>Ir-rakkomandazzjonijiet taċ-ċittadini li fuqhom hija bbażata l-proposta: Il-Panel taċ-Ċittadini Ewropej Nru 4 (PCE 4)</w:t>
      </w:r>
      <w:r>
        <w:rPr>
          <w:vertAlign w:val="superscript"/>
        </w:rPr>
        <w:t>Nru</w:t>
      </w:r>
      <w:r>
        <w:rPr/>
        <w:t xml:space="preserve"> 7 u 32, Franza Nru 13.</w:t>
      </w:r>
    </w:p>
  </w:endnote>
  <w:endnote w:id="171">
    <w:p>
      <w:pPr>
        <w:pStyle w:val="Notedefin"/>
        <w:suppressLineNumbers/>
        <w:spacing w:before="57" w:after="57"/>
        <w:ind w:left="339" w:right="0" w:hanging="339"/>
        <w:rPr/>
      </w:pPr>
      <w:r>
        <w:rPr>
          <w:rStyle w:val="Caractresdenotedefin"/>
        </w:rPr>
        <w:endnoteRef/>
      </w:r>
      <w:r>
        <w:rPr/>
        <w:tab/>
        <w:t xml:space="preserve"> </w:t>
      </w:r>
      <w:r>
        <w:rPr/>
        <w:t>PCN Franċiż, bidla 6.</w:t>
      </w:r>
    </w:p>
  </w:endnote>
  <w:endnote w:id="172">
    <w:p>
      <w:pPr>
        <w:pStyle w:val="Notedefin"/>
        <w:suppressLineNumbers/>
        <w:spacing w:before="57" w:after="57"/>
        <w:ind w:left="339" w:right="0" w:hanging="339"/>
        <w:rPr/>
      </w:pPr>
      <w:r>
        <w:rPr>
          <w:rStyle w:val="Caractresdenotedefin"/>
        </w:rPr>
        <w:endnoteRef/>
      </w:r>
      <w:r>
        <w:rPr/>
        <w:tab/>
      </w:r>
      <w:r>
        <w:rPr/>
        <w:t>Rakkomandazzjoni 37 1 tal-ECP.</w:t>
      </w:r>
    </w:p>
  </w:endnote>
  <w:endnote w:id="173">
    <w:p>
      <w:pPr>
        <w:pStyle w:val="Notedefin"/>
        <w:suppressLineNumbers/>
        <w:spacing w:before="57" w:after="57"/>
        <w:ind w:left="339" w:right="0" w:hanging="339"/>
        <w:rPr/>
      </w:pPr>
      <w:r>
        <w:rPr>
          <w:rStyle w:val="Caractresdenotedefin"/>
        </w:rPr>
        <w:endnoteRef/>
      </w:r>
      <w:r>
        <w:rPr/>
        <w:tab/>
      </w:r>
      <w:r>
        <w:rPr/>
        <w:t>Rakkomandazzjoni 3 tal-ECP. PCN Franċiż, bidla 6.</w:t>
      </w:r>
    </w:p>
  </w:endnote>
  <w:endnote w:id="174">
    <w:p>
      <w:pPr>
        <w:pStyle w:val="Notedefin"/>
        <w:suppressLineNumbers/>
        <w:spacing w:before="57" w:after="57"/>
        <w:ind w:left="339" w:right="0" w:hanging="339"/>
        <w:rPr/>
      </w:pPr>
      <w:r>
        <w:rPr>
          <w:rStyle w:val="Caractresdenotedefin"/>
        </w:rPr>
        <w:endnoteRef/>
      </w:r>
      <w:r>
        <w:rPr/>
        <w:tab/>
        <w:t xml:space="preserve"> </w:t>
      </w:r>
      <w:r>
        <w:rPr/>
        <w:t>Rakkomandazzjoni 41 1 tal-ECP.</w:t>
      </w:r>
    </w:p>
  </w:endnote>
  <w:endnote w:id="175">
    <w:p>
      <w:pPr>
        <w:pStyle w:val="Notedefin"/>
        <w:suppressLineNumbers/>
        <w:spacing w:before="57" w:after="57"/>
        <w:ind w:left="339" w:right="0" w:hanging="339"/>
        <w:rPr/>
      </w:pPr>
      <w:r>
        <w:rPr>
          <w:rStyle w:val="Caractresdenotedefin"/>
        </w:rPr>
        <w:endnoteRef/>
      </w:r>
      <w:r>
        <w:rPr/>
        <w:tab/>
        <w:t xml:space="preserve"> </w:t>
      </w:r>
      <w:r>
        <w:rPr/>
        <w:t>Dan huwa diskuss f’aktar dettall mill-Grupp ta’ Ħidma dwar id-Demokrazija Ewropea. Ara r-Rakkomandazzjoni Nru 24 tal-ECP 2, ir-Rakkomandazzjonijiet 1.1, 1.2 u 2.12 tal-NCP Belġjan u r-Rakkomandazzjoni Taljana tal-NCP dwar “Politiki ta’ Inklużjoni”.</w:t>
      </w:r>
    </w:p>
  </w:endnote>
  <w:endnote w:id="176">
    <w:p>
      <w:pPr>
        <w:pStyle w:val="Notedefin"/>
        <w:suppressLineNumbers/>
        <w:spacing w:before="57" w:after="57"/>
        <w:ind w:left="339" w:right="0" w:hanging="339"/>
        <w:rPr/>
      </w:pPr>
      <w:r>
        <w:rPr>
          <w:rStyle w:val="Caractresdenotedefin"/>
        </w:rPr>
        <w:endnoteRef/>
      </w:r>
      <w:r>
        <w:rPr/>
        <w:tab/>
      </w:r>
      <w:r>
        <w:rPr/>
        <w:t>Rakkomandazzjoni tal-NCP Taljan dwar “politiki ta’ inklużjoni”.</w:t>
      </w:r>
    </w:p>
  </w:endnote>
  <w:endnote w:id="177">
    <w:p>
      <w:pPr>
        <w:pStyle w:val="Notedefin"/>
        <w:suppressLineNumbers/>
        <w:spacing w:before="57" w:after="57"/>
        <w:ind w:left="339" w:right="0" w:hanging="339"/>
        <w:rPr/>
      </w:pPr>
      <w:r>
        <w:rPr>
          <w:rStyle w:val="Caractresdenotedefin"/>
        </w:rPr>
        <w:endnoteRef/>
      </w:r>
      <w:r>
        <w:rPr/>
        <w:tab/>
      </w:r>
      <w:r>
        <w:rPr/>
        <w:t>Dan huwa diskuss f’aktar dettall mill-Grupp ta’ Ħidma dwar it-Trasformazzjoni Diġitali. Ara r-Rakkomandazzjonijiet Nri 8 u 34 tal-ECP 1.</w:t>
      </w:r>
    </w:p>
  </w:endnote>
  <w:endnote w:id="178">
    <w:p>
      <w:pPr>
        <w:pStyle w:val="Notedefin"/>
        <w:suppressLineNumbers/>
        <w:spacing w:before="57" w:after="57"/>
        <w:ind w:left="339" w:right="0" w:hanging="339"/>
        <w:rPr/>
      </w:pPr>
      <w:r>
        <w:rPr>
          <w:rStyle w:val="Caractresdenotedefin"/>
        </w:rPr>
        <w:endnoteRef/>
      </w:r>
      <w:r>
        <w:rPr/>
        <w:tab/>
      </w:r>
      <w:r>
        <w:rPr/>
        <w:t>Rakkomandazzjoni tal-NCP Taljan “Inħeġġu liż-żgħażagħ jistudjaw suġġetti xjentifiċi”.</w:t>
      </w:r>
    </w:p>
  </w:endnote>
  <w:endnote w:id="179">
    <w:p>
      <w:pPr>
        <w:pStyle w:val="Notedefin"/>
        <w:suppressLineNumbers/>
        <w:spacing w:before="57" w:after="57"/>
        <w:ind w:left="339" w:right="0" w:hanging="339"/>
        <w:rPr/>
      </w:pPr>
      <w:r>
        <w:rPr>
          <w:rStyle w:val="Caractresdenotedefin"/>
        </w:rPr>
        <w:endnoteRef/>
      </w:r>
      <w:r>
        <w:rPr/>
        <w:tab/>
      </w:r>
      <w:r>
        <w:rPr/>
        <w:t>Rakkomandazzjonijiet 33 u 48 1 tal-PCE. Indirizzat ukoll mill-Grupp ta’ Ħidma dwar it-Trasformazzjoni Diġitali. Ara r-Rakkomandazzjoni 47 tal-ECP 1 dwar l-użu tajjeb tas-saħħa tal-Internet.</w:t>
      </w:r>
    </w:p>
  </w:endnote>
  <w:endnote w:id="180">
    <w:p>
      <w:pPr>
        <w:pStyle w:val="Notedefin"/>
        <w:suppressLineNumbers/>
        <w:spacing w:before="57" w:after="57"/>
        <w:ind w:left="339" w:right="0" w:hanging="339"/>
        <w:rPr/>
      </w:pPr>
      <w:r>
        <w:rPr>
          <w:rStyle w:val="Caractresdenotedefin"/>
        </w:rPr>
        <w:endnoteRef/>
      </w:r>
      <w:r>
        <w:rPr/>
        <w:tab/>
      </w:r>
      <w:r>
        <w:rPr/>
        <w:t>Rakkomandazzjoni 5 tal-ECP 1.</w:t>
      </w:r>
    </w:p>
  </w:endnote>
  <w:endnote w:id="181">
    <w:p>
      <w:pPr>
        <w:pStyle w:val="Notedefin"/>
        <w:suppressLineNumbers/>
        <w:spacing w:before="57" w:after="57"/>
        <w:ind w:left="339" w:right="0" w:hanging="339"/>
        <w:rPr/>
      </w:pPr>
      <w:r>
        <w:rPr>
          <w:rStyle w:val="Caractresdenotedefin"/>
        </w:rPr>
        <w:endnoteRef/>
      </w:r>
      <w:r>
        <w:rPr/>
        <w:tab/>
      </w:r>
      <w:r>
        <w:rPr/>
        <w:t>Rakkomandazzjonijiet Nri 15 u 18 tal-ECP 1.</w:t>
      </w:r>
    </w:p>
  </w:endnote>
  <w:endnote w:id="182">
    <w:p>
      <w:pPr>
        <w:pStyle w:val="Notedefin"/>
        <w:suppressLineNumbers/>
        <w:spacing w:before="57" w:after="57"/>
        <w:ind w:left="339" w:right="0" w:hanging="339"/>
        <w:rPr/>
      </w:pPr>
      <w:r>
        <w:rPr>
          <w:rStyle w:val="Caractresdenotedefin"/>
        </w:rPr>
        <w:endnoteRef/>
      </w:r>
      <w:r>
        <w:rPr/>
        <w:tab/>
        <w:t xml:space="preserve"> </w:t>
      </w:r>
      <w:r>
        <w:rPr/>
        <w:t>Rakkomandazzjoni tal-NCP Taljan dwar “L-Ewropa fid-dinja”</w:t>
      </w:r>
    </w:p>
  </w:endnote>
  <w:endnote w:id="183">
    <w:p>
      <w:pPr>
        <w:pStyle w:val="Notedefin"/>
        <w:suppressLineNumbers/>
        <w:spacing w:before="57" w:after="57"/>
        <w:ind w:left="339" w:right="0" w:hanging="339"/>
        <w:rPr/>
      </w:pPr>
      <w:r>
        <w:rPr>
          <w:rStyle w:val="Caractresdenotedefin"/>
        </w:rPr>
        <w:endnoteRef/>
      </w:r>
      <w:r>
        <w:rPr/>
        <w:tab/>
      </w:r>
      <w:r>
        <w:rPr/>
        <w:t>Rakkomandazzjonijiet Nri</w:t>
      </w:r>
      <w:r>
        <w:rPr>
          <w:vertAlign w:val="superscript"/>
        </w:rPr>
        <w:t>18</w:t>
      </w:r>
      <w:r>
        <w:rPr/>
        <w:t xml:space="preserve"> u 41 tal-ECP 1 u rakkomandazzjoni tal-NCP Taljan dwar “Ninvestu fit-taħriġ ta’ min iħarreġ”.</w:t>
      </w:r>
    </w:p>
  </w:endnote>
  <w:endnote w:id="184">
    <w:p>
      <w:pPr>
        <w:pStyle w:val="Notedefin"/>
        <w:suppressLineNumbers/>
        <w:spacing w:before="57" w:after="57"/>
        <w:ind w:left="339" w:right="0" w:hanging="339"/>
        <w:rPr/>
      </w:pPr>
      <w:r>
        <w:rPr>
          <w:rStyle w:val="Caractresdenotedefin"/>
        </w:rPr>
        <w:endnoteRef/>
      </w:r>
      <w:r>
        <w:rPr/>
        <w:tab/>
      </w:r>
      <w:r>
        <w:rPr/>
        <w:t>PCE 1 Rakkomandazzjoni Nru 17 indirizzata bis-sħiħ lill-Grupp ta’ Ħidma Diġitali.</w:t>
      </w:r>
    </w:p>
  </w:endnote>
  <w:endnote w:id="185">
    <w:p>
      <w:pPr>
        <w:pStyle w:val="Notedefin"/>
        <w:suppressLineNumbers/>
        <w:spacing w:before="57" w:after="57"/>
        <w:ind w:left="339" w:right="0" w:hanging="339"/>
        <w:rPr/>
      </w:pPr>
      <w:r>
        <w:rPr>
          <w:rStyle w:val="Caractresdenotedefin"/>
        </w:rPr>
        <w:endnoteRef/>
      </w:r>
      <w:r>
        <w:rPr/>
        <w:tab/>
        <w:t xml:space="preserve"> </w:t>
      </w:r>
      <w:r>
        <w:rPr/>
        <w:t>Rakkomandazzjoni tal-ECP Nru 15 1. Rakkomandazzjoni tal-NCP Ġermaniż dwar “pjattaforma ta’ informazzjoni għall-iskambju ta’ għarfien u esperjenza fil-livell tal-UE”.</w:t>
      </w:r>
    </w:p>
  </w:endnote>
  <w:endnote w:id="186">
    <w:p>
      <w:pPr>
        <w:pStyle w:val="Notedefin"/>
        <w:suppressLineNumbers/>
        <w:spacing w:before="57" w:after="57"/>
        <w:ind w:left="339" w:right="0" w:hanging="339"/>
        <w:rPr/>
      </w:pPr>
      <w:r>
        <w:rPr>
          <w:rStyle w:val="Caractresdenotedefin"/>
        </w:rPr>
        <w:endnoteRef/>
      </w:r>
      <w:r>
        <w:rPr/>
        <w:tab/>
      </w:r>
      <w:r>
        <w:rPr/>
        <w:t>Rakkomandazzjoni 6.1 tal-NCP Belġjan. PCN Franċiż, bidla 7.</w:t>
      </w:r>
    </w:p>
  </w:endnote>
  <w:endnote w:id="187">
    <w:p>
      <w:pPr>
        <w:pStyle w:val="Notedefin"/>
        <w:suppressLineNumbers/>
        <w:spacing w:before="57" w:after="57"/>
        <w:ind w:left="339" w:right="0" w:hanging="339"/>
        <w:rPr/>
      </w:pPr>
      <w:r>
        <w:rPr>
          <w:rStyle w:val="Caractresdenotedefin"/>
        </w:rPr>
        <w:endnoteRef/>
      </w:r>
      <w:r>
        <w:rPr/>
        <w:tab/>
        <w:t xml:space="preserve"> </w:t>
      </w:r>
      <w:r>
        <w:rPr/>
        <w:t>Rakkomandazzjoni 7.2 tal-NCP Belġjan.</w:t>
      </w:r>
    </w:p>
  </w:endnote>
  <w:endnote w:id="188">
    <w:p>
      <w:pPr>
        <w:pStyle w:val="Notedefin"/>
        <w:suppressLineNumbers/>
        <w:spacing w:before="57" w:after="57"/>
        <w:ind w:left="339" w:right="0" w:hanging="339"/>
        <w:rPr/>
      </w:pPr>
      <w:r>
        <w:rPr>
          <w:rStyle w:val="Caractresdenotedefin"/>
        </w:rPr>
        <w:endnoteRef/>
      </w:r>
      <w:r>
        <w:rPr/>
        <w:tab/>
      </w:r>
      <w:r>
        <w:rPr/>
        <w:t>Rakkomandazzjoni 4 tal-ECP 1.</w:t>
      </w:r>
    </w:p>
  </w:endnote>
  <w:endnote w:id="189">
    <w:p>
      <w:pPr>
        <w:pStyle w:val="Notedefin"/>
        <w:suppressLineNumbers/>
        <w:spacing w:before="57" w:after="57"/>
        <w:ind w:left="339" w:right="0" w:hanging="339"/>
        <w:rPr/>
      </w:pPr>
      <w:r>
        <w:rPr>
          <w:rStyle w:val="Caractresdenotedefin"/>
        </w:rPr>
        <w:endnoteRef/>
      </w:r>
      <w:r>
        <w:rPr/>
        <w:tab/>
      </w:r>
      <w:r>
        <w:rPr/>
        <w:t>Proposta biex tikkomplementa r-Rakkomandazzjonijiet</w:t>
      </w:r>
      <w:r>
        <w:rPr>
          <w:vertAlign w:val="superscript"/>
        </w:rPr>
        <w:t>Nri</w:t>
      </w:r>
      <w:r>
        <w:rPr/>
        <w:t xml:space="preserve"> 1 u 30 tal-ECP 1 koperti mill-Grupp ta’ Ħidma dwar Ekonomija Aktar b’Saħħitha, Ġustizzja Soċjali u Impjiegi.</w:t>
      </w:r>
    </w:p>
  </w:endnote>
  <w:endnote w:id="190">
    <w:p>
      <w:pPr>
        <w:pStyle w:val="Notedefin"/>
        <w:suppressLineNumbers/>
        <w:spacing w:before="57" w:after="57"/>
        <w:ind w:left="339" w:right="0" w:hanging="339"/>
        <w:rPr/>
      </w:pPr>
      <w:r>
        <w:rPr>
          <w:rStyle w:val="Caractresdenotedefin"/>
        </w:rPr>
        <w:endnoteRef/>
      </w:r>
      <w:r>
        <w:rPr/>
        <w:tab/>
        <w:t xml:space="preserve"> </w:t>
      </w:r>
      <w:r>
        <w:rPr/>
        <w:t>Proposta biex tikkomplementa r-Rakkomandazzjoni 25 tal-ECP 1 koperta mill-Grupp ta’ Ħidma dwar Ekonomija Aktar b’Saħħitha, Ġustizzja Soċjali u Impjiegi.</w:t>
      </w:r>
    </w:p>
  </w:endnote>
  <w:endnote w:id="191">
    <w:p>
      <w:pPr>
        <w:pStyle w:val="Notedefin"/>
        <w:suppressLineNumbers/>
        <w:spacing w:before="57" w:after="57"/>
        <w:ind w:left="339" w:right="0" w:hanging="339"/>
        <w:rPr/>
      </w:pPr>
      <w:r>
        <w:rPr>
          <w:rStyle w:val="Caractresdenotedefin"/>
        </w:rPr>
        <w:endnoteRef/>
      </w:r>
      <w:r>
        <w:rPr/>
        <w:tab/>
        <w:t xml:space="preserve"> </w:t>
      </w:r>
      <w:r>
        <w:rPr/>
        <w:t>Ir-Rakkomandazzjoni tal-ECP Nru 28 4. NCP Olandiż (“Il-Viżjoni Tagħna għall-Kultura, iż-Żgħażagħ u l-Isport”), ir-Rakkomandazzjoni 1. PCN Franċiż, bidla 6.</w:t>
      </w:r>
    </w:p>
  </w:endnote>
  <w:endnote w:id="192">
    <w:p>
      <w:pPr>
        <w:pStyle w:val="Notedefin"/>
        <w:suppressLineNumbers/>
        <w:spacing w:before="57" w:after="57"/>
        <w:ind w:left="339" w:right="0" w:hanging="339"/>
        <w:rPr/>
      </w:pPr>
      <w:r>
        <w:rPr>
          <w:rStyle w:val="Caractresdenotedefin"/>
        </w:rPr>
        <w:endnoteRef/>
      </w:r>
      <w:r>
        <w:rPr/>
        <w:tab/>
        <w:t xml:space="preserve"> </w:t>
      </w:r>
      <w:r>
        <w:rPr/>
        <w:t>Rakkomandazzjoni 6 tal-ECP 1.</w:t>
      </w:r>
    </w:p>
  </w:endnote>
  <w:endnote w:id="193">
    <w:p>
      <w:pPr>
        <w:pStyle w:val="Notedefin"/>
        <w:suppressLineNumbers/>
        <w:spacing w:before="57" w:after="57"/>
        <w:ind w:left="339" w:right="0" w:hanging="339"/>
        <w:rPr/>
      </w:pPr>
      <w:r>
        <w:rPr>
          <w:rStyle w:val="Caractresdenotedefin"/>
        </w:rPr>
        <w:endnoteRef/>
      </w:r>
      <w:r>
        <w:rPr/>
        <w:tab/>
      </w:r>
      <w:r>
        <w:rPr/>
        <w:t>NCP Olandiż (“Il-Viżjoni Tagħna għall-Kultura, iż-Żgħażagħ u l-Isport”), ir-Rakkomandazzjoni Nru 2.</w:t>
      </w:r>
    </w:p>
  </w:endnote>
  <w:endnote w:id="194">
    <w:p>
      <w:pPr>
        <w:pStyle w:val="Notedefin"/>
        <w:suppressLineNumbers/>
        <w:spacing w:before="57" w:after="57"/>
        <w:ind w:left="339" w:right="0" w:hanging="339"/>
        <w:rPr/>
      </w:pPr>
      <w:r>
        <w:rPr>
          <w:rStyle w:val="Caractresdenotedefin"/>
        </w:rPr>
        <w:endnoteRef/>
      </w:r>
      <w:r>
        <w:rPr/>
        <w:tab/>
      </w:r>
      <w:r>
        <w:rPr/>
        <w:t>Rakkomandazzjoni 36 1 tal-ECP. PCN Franċiż, bidla 6. Rakkomandazzjonijiet Nri 2.10 u 2.11 tal-NCP Belġjan. NCP Ġermaniż, “Ħolqien ta’ aktar opportunitajiet ta’ skambju għall-istudenti fl-Ewropa”. NCP Olandiż (“Il-Viżjoni Tagħna għall-Kultura, iż-Żgħażagħ u l-Isport”), ir-Rakkomandazzjonijiet</w:t>
      </w:r>
      <w:r>
        <w:rPr>
          <w:vertAlign w:val="superscript"/>
        </w:rPr>
        <w:t>1</w:t>
      </w:r>
      <w:r>
        <w:rPr/>
        <w:t xml:space="preserve"> u 3. L-NCPs Taljani, rakkomandazzjoni li “jmexxu uffiċċju ta’ konfluwenza bejn il-Lvant u l-Punent, jippromwovu skambji kulturali u inizjattivi kulturali konġunti”.</w:t>
      </w:r>
    </w:p>
  </w:endnote>
  <w:endnote w:id="195">
    <w:p>
      <w:pPr>
        <w:pStyle w:val="Notedefin"/>
        <w:suppressLineNumbers/>
        <w:spacing w:before="57" w:after="57"/>
        <w:ind w:left="339" w:right="0" w:hanging="339"/>
        <w:rPr/>
      </w:pPr>
      <w:r>
        <w:rPr>
          <w:rStyle w:val="Caractresdenotedefin"/>
        </w:rPr>
        <w:endnoteRef/>
      </w:r>
      <w:r>
        <w:rPr/>
        <w:tab/>
        <w:t xml:space="preserve"> </w:t>
      </w:r>
      <w:r>
        <w:rPr>
          <w:vertAlign w:val="superscript"/>
        </w:rPr>
        <w:t>Rakkomandazzjonijiet</w:t>
      </w:r>
      <w:r>
        <w:rPr/>
        <w:t xml:space="preserve"> 32 u 38 tal-ECP 1. NCP Olandiż (“Il-Viżjoni Tagħna għall-Kultura, iż-Żgħażagħ u l-Isport”), ir-Rakkomandazzjoni 3.</w:t>
      </w:r>
    </w:p>
  </w:endnote>
  <w:endnote w:id="196">
    <w:p>
      <w:pPr>
        <w:pStyle w:val="Notedefin"/>
        <w:suppressLineNumbers/>
        <w:spacing w:before="57" w:after="57"/>
        <w:ind w:left="339" w:right="0" w:hanging="339"/>
        <w:rPr/>
      </w:pPr>
      <w:r>
        <w:rPr>
          <w:rStyle w:val="Caractresdenotedefin"/>
        </w:rPr>
        <w:endnoteRef/>
      </w:r>
      <w:r>
        <w:rPr/>
        <w:tab/>
      </w:r>
      <w:r>
        <w:rPr/>
        <w:t>Rakkomandazzjoni tal-NCP Taljan dwar “L-Ewropa fid-dinja”</w:t>
      </w:r>
    </w:p>
  </w:endnote>
  <w:endnote w:id="197">
    <w:p>
      <w:pPr>
        <w:pStyle w:val="Notedefin"/>
        <w:suppressLineNumbers/>
        <w:spacing w:before="57" w:after="57"/>
        <w:ind w:left="339" w:right="0" w:hanging="339"/>
        <w:rPr/>
      </w:pPr>
      <w:r>
        <w:rPr>
          <w:rStyle w:val="Caractresdenotedefin"/>
        </w:rPr>
        <w:endnoteRef/>
      </w:r>
      <w:r>
        <w:rPr/>
        <w:tab/>
      </w:r>
      <w:r>
        <w:rPr/>
        <w:t>PCN Franċiż, bidla 7. Rakkomandazzjonijiet</w:t>
      </w:r>
      <w:r>
        <w:rPr>
          <w:vertAlign w:val="superscript"/>
        </w:rPr>
        <w:t>2.5</w:t>
      </w:r>
      <w:r>
        <w:rPr/>
        <w:t>, 6.1 u 8.7 tal-NCP Belġjan. NCP Taljan, Rakkomandazzjoni dwar “It-tisħiħ tal-valuri u l-karatteristiċi kulturali Ewropej kif ukoll l-ispeċifiċitajiet reġjonali”.</w:t>
      </w:r>
    </w:p>
  </w:endnote>
  <w:endnote w:id="198">
    <w:p>
      <w:pPr>
        <w:pStyle w:val="Notedefin"/>
        <w:suppressLineNumbers/>
        <w:spacing w:before="57" w:after="57"/>
        <w:ind w:left="339" w:right="0" w:hanging="339"/>
        <w:rPr/>
      </w:pPr>
      <w:r>
        <w:rPr>
          <w:rStyle w:val="Caractresdenotedefin"/>
        </w:rPr>
        <w:endnoteRef/>
      </w:r>
      <w:r>
        <w:rPr/>
        <w:tab/>
      </w:r>
      <w:r>
        <w:rPr/>
        <w:t>NCP Olandiż (“Il-Viżjoni Tagħna għall-Kultura, iż-Żgħażagħ u l-Isport”), ir-Rakkomandazzjoni Nru 2.</w:t>
      </w:r>
    </w:p>
  </w:endnote>
  <w:endnote w:id="199">
    <w:p>
      <w:pPr>
        <w:pStyle w:val="Notedefin"/>
        <w:suppressLineNumbers/>
        <w:spacing w:before="57" w:after="57"/>
        <w:ind w:left="339" w:right="0" w:hanging="339"/>
        <w:rPr/>
      </w:pPr>
      <w:r>
        <w:rPr>
          <w:rStyle w:val="Caractresdenotedefin"/>
        </w:rPr>
        <w:endnoteRef/>
      </w:r>
      <w:r>
        <w:rPr/>
        <w:tab/>
        <w:t xml:space="preserve"> </w:t>
      </w:r>
      <w:r>
        <w:rPr/>
        <w:t>Rakkomandazzjoni tal-NCP Taljan biex “Jeċċeda l-mudell tal-produzzjoni tas-seklu li għadda”</w:t>
      </w:r>
    </w:p>
  </w:endnote>
  <w:endnote w:id="200">
    <w:p>
      <w:pPr>
        <w:pStyle w:val="Notedefin"/>
        <w:suppressLineNumbers/>
        <w:spacing w:before="57" w:after="57"/>
        <w:ind w:left="339" w:right="0" w:hanging="339"/>
        <w:rPr/>
      </w:pPr>
      <w:r>
        <w:rPr>
          <w:rStyle w:val="Caractresdenotedefin"/>
        </w:rPr>
        <w:endnoteRef/>
      </w:r>
      <w:r>
        <w:rPr/>
        <w:tab/>
      </w:r>
      <w:r>
        <w:rPr/>
        <w:t>Rakkomandazzjoni tal-ECP Nru 29 1.</w:t>
      </w:r>
    </w:p>
  </w:endnote>
  <w:endnote w:id="201">
    <w:p>
      <w:pPr>
        <w:pStyle w:val="Notedefin"/>
        <w:suppressLineNumbers/>
        <w:spacing w:before="57" w:after="57"/>
        <w:ind w:left="339" w:right="0" w:hanging="339"/>
        <w:rPr/>
      </w:pPr>
      <w:r>
        <w:rPr>
          <w:rStyle w:val="Caractresdenotedefin"/>
        </w:rPr>
        <w:endnoteRef/>
      </w:r>
      <w:r>
        <w:rPr/>
        <w:tab/>
      </w:r>
      <w:r>
        <w:rPr/>
        <w:t>Rakkomandazzjoni 36 1 tal-ECP.</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293</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 ta’ enerġija</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 ta’ enerġija</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III OECD, Parteċipazzjoni Innovattiva taċ-Ċittadini u Istituzzjonijiet Demokratiċi Ġodda,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 xml:space="preserve">OECD, Parteċipazzjoni Innovattiva taċ-Ċittadini u Istituzzjonijiet Demokratiċi Ġodda,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r>
      <w:r>
        <w:rPr/>
        <w:t>Żur il-pjattaforma diġitali multilingwi biex taċċessa l-informazzjoni kollha dwar dawn l-avvenimenti.</w:t>
      </w:r>
    </w:p>
  </w:footnote>
  <w:footnote w:id="7">
    <w:p>
      <w:pPr>
        <w:pStyle w:val="Notedebasdepage"/>
        <w:suppressLineNumbers/>
        <w:spacing w:before="57" w:after="57"/>
        <w:ind w:left="339" w:right="0" w:hanging="339"/>
        <w:rPr/>
      </w:pPr>
      <w:r>
        <w:rPr>
          <w:rStyle w:val="Caractresdenotedebasdepage"/>
        </w:rPr>
        <w:footnoteRef/>
      </w:r>
      <w:r>
        <w:rPr/>
        <w:tab/>
      </w:r>
      <w:r>
        <w:rPr/>
        <w:t>Kellu jintlaħaq kunsens bejn, tal-anqas, ir-rappreżentanti tal-Parlament Ewropew, il-Kunsill, il-Kummissjoni Ewropea, u r-rappreżentanti tal-parlamenti nazzjonali, fuq l-istess livell. Jekk il-pożizzjoni tar-rappreżentanti taċ-ċittadini ta’ avvenimenti nazzjonali u/jew ta’ panels taċ-ċittadini Ewropej jew nazzjonali kienet manifestament diverġenti, din il-pożizzjoni għandha tiġi inkluża f’dan ir-rapport.</w:t>
      </w:r>
    </w:p>
  </w:footnote>
  <w:footnote w:id="8">
    <w:p>
      <w:pPr>
        <w:pStyle w:val="Notedebasdepage"/>
        <w:suppressLineNumbers/>
        <w:spacing w:before="57" w:after="57"/>
        <w:ind w:left="339" w:right="0" w:hanging="339"/>
        <w:rPr/>
      </w:pPr>
      <w:r>
        <w:rPr>
          <w:rStyle w:val="Caractresdenotedebasdepage"/>
        </w:rPr>
        <w:footnoteRef/>
      </w:r>
      <w:r>
        <w:rPr/>
        <w:tab/>
      </w:r>
      <w:r>
        <w:rPr/>
        <w:t>Membri oħra tal-Kummissjoni Ewropea ġew mistiedna għall-plenarja, speċjalment meta ġew diskussi kwistjonijiet fil-portafolli tagħhom.</w:t>
      </w:r>
    </w:p>
  </w:footnote>
  <w:footnote w:id="9">
    <w:p>
      <w:pPr>
        <w:pStyle w:val="Notedebasdepage"/>
        <w:suppressLineNumbers/>
        <w:spacing w:before="57" w:after="57"/>
        <w:ind w:left="339" w:right="0" w:hanging="339"/>
        <w:rPr/>
      </w:pPr>
      <w:r>
        <w:rPr>
          <w:rStyle w:val="Caractresdenotedebasdepage"/>
        </w:rPr>
        <w:footnoteRef/>
      </w:r>
      <w:r>
        <w:rPr/>
        <w:tab/>
      </w:r>
      <w:r>
        <w:rPr/>
        <w:t>Wieħed għal kull Stat Membru.</w:t>
      </w:r>
    </w:p>
  </w:footnote>
  <w:footnote w:id="10">
    <w:p>
      <w:pPr>
        <w:pStyle w:val="Notedebasdepage"/>
        <w:suppressLineNumbers/>
        <w:spacing w:before="57" w:after="57"/>
        <w:ind w:left="339" w:right="0" w:hanging="339"/>
        <w:rPr/>
      </w:pPr>
      <w:r>
        <w:rPr>
          <w:rStyle w:val="Caractresdenotedebasdepage"/>
        </w:rPr>
        <w:footnoteRef/>
      </w:r>
      <w:r>
        <w:rPr/>
        <w:tab/>
      </w:r>
      <w:r>
        <w:rPr/>
        <w:t>L-ewwel avveniment iddedikat għaċ-ċittadini Ewropej sar fis-17 ta’ Ġunju 2021 f’Lisbona f’format ibridu, qabel il-plenarja inawgurali tad-19 ta’ Ġunju, sabiex titnieda l-parteċipazzjoni taċ-ċittadini fil-konferenza.</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Ir-rappreżentanti tal-Kummissjoni Ewropea spjegaw li jkun meħtieġ li jgħaddu minn perjodu tranżitorju sabiex jiġu evitati żviluppi f’daqqa wisq.</w:t>
      </w:r>
    </w:p>
  </w:footnote>
  <w:footnote w:id="12">
    <w:p>
      <w:pPr>
        <w:pStyle w:val="Notedebasdepage"/>
        <w:suppressLineNumbers/>
        <w:spacing w:before="57" w:after="57"/>
        <w:ind w:left="339" w:right="0" w:hanging="339"/>
        <w:rPr/>
      </w:pPr>
      <w:r>
        <w:rPr>
          <w:rStyle w:val="Caractresdenotedebasdepage"/>
        </w:rPr>
        <w:footnoteRef/>
      </w:r>
      <w:r>
        <w:rPr/>
        <w:tab/>
      </w:r>
      <w:r>
        <w:rPr/>
        <w:t xml:space="preserve">Il-pożizzjoni tal-Parlament: il-lista ewlenija tal-partit politiku Ewropew bl-ogħla numru ta’ voti fl-elezzjonijiet Ewropej u l-appoġġ tal-maġġoranza tal-Membri tal-PE għandhom jiġu eletti bħala President tal-Kummissjoni Ewropea. F’każ li ma toħroġ l-ebda maġġoranza bbażata fuq il-koalizzjoni, il-kariga għandha terġa’ lura għall-quċċata li jmiss tal-lista. Għal dan il-għan, il-partiti politiċi Ewropej jistgħu jinnominaw kandidati għall-presidenza tal-Kummissjoni. Paulo Rangel: sabiex jissaħħaħ il-proċess tal-kandidati ewlenin, ir-rwoli tal-Parlament Ewropew u tal-Kunsill Ewropew għandhom jitreġġgħu lura, li jimplika l-emendar tat-Trattati: il-President tal-Kummissjoni jkun propost mill-Parlament u approvat mill-Kunsill Ewropew. PNM (Rapport Finali ta’ Kantar: “grupp ta’ kontribuzzjonijiet għandu jkopri l-elezzjoni tal-President tal-Kummissjoni u l-ħatra tal-Kummissarji, inkluża s-sistema ta’ kandidati fl-ogħla lista.”) EYE, p. 23: Il-kandidati għall-kariga ta’ President tal-Kummissjoni m’għandhomx jiġu eletti f’negozjati wara l-kwinti bejn il-partijiet rebbieħa. Għandna napplikaw is-sistema tal-kandidat ewlieni, fejn kull partit iħabbar qabel il-kampanja elettorali l-kandidat li se jkun il-president tal-Kummissjoni jekk dak il-partit jirbaħ maġġoranza. Billi jipparteċipa b’mod attiv fil-kampanja u jinteraġixxi direttament maċ-ċittadini Ewropej, il-president futur jista’ jkun eqreb tagħhom.” diskussjoni f’GT. </w:t>
      </w:r>
    </w:p>
  </w:footnote>
  <w:footnote w:id="13">
    <w:p>
      <w:pPr>
        <w:pStyle w:val="Notedebasdepage"/>
        <w:suppressLineNumbers/>
        <w:spacing w:before="57" w:after="57"/>
        <w:ind w:left="339" w:right="0" w:hanging="339"/>
        <w:rPr/>
      </w:pPr>
      <w:r>
        <w:rPr>
          <w:rStyle w:val="Caractresdenotedebasdepage"/>
        </w:rPr>
        <w:footnoteRef/>
      </w:r>
      <w:r>
        <w:rPr/>
        <w:tab/>
      </w:r>
      <w:r>
        <w:rPr/>
        <w:t>Il-Kunsill iqis li din il-proposta mhijiex ibbażata fuq rakkomandazzjoni taċ-ċittadin. Għalhekk mhijiex konformi mal-metodoloġija miftiehma. Ara wkoll il-pożizzjoni tal-komponent taċ-ċittadin espressa fil-paġna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 ta’ enerġija</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Kampjun ta’ ċittadini li jirrappreżentaw Vilnius, Kaunas, Klaipėda, Šiauliai u Panevėžys u d-distretti (apskritis) Vilnius, Kaunas, Klaipėda, Šiauliai, Panevėžys, Alytus, Marijampolė, Tauragė, Telšiai u Utena, abbażi ta’ data mid-Dipartiment tal-Istatistika Litwan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Konferenza dwar il-Futur tal-Ewropa | RAPPORT dwar ir-RESULTS FINALI</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mt"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mt"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mt"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mt"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mt"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mt"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mt"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mt"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mt"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mt"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mt"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mt"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mt"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mt"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mt"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mt"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our-guides" TargetMode="External"/><Relationship Id="rId24" Type="http://schemas.openxmlformats.org/officeDocument/2006/relationships/hyperlink" Target="https://futureu.europa.eu/pages/information-material" TargetMode="External"/><Relationship Id="rId25" Type="http://schemas.openxmlformats.org/officeDocument/2006/relationships/hyperlink" Target="https://futureu.europa.eu/assemblies/citizens-panels" TargetMode="External"/><Relationship Id="rId26" Type="http://schemas.openxmlformats.org/officeDocument/2006/relationships/hyperlink" Target="https://futureu.europa.eu/pages/ms-section" TargetMode="External"/><Relationship Id="rId27" Type="http://schemas.openxmlformats.org/officeDocument/2006/relationships/hyperlink" Target="https://futureu.europa.eu/pages/executive-board" TargetMode="External"/><Relationship Id="rId28"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9"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30"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1" Type="http://schemas.openxmlformats.org/officeDocument/2006/relationships/image" Target="media/image6.png"/><Relationship Id="rId32" Type="http://schemas.openxmlformats.org/officeDocument/2006/relationships/hyperlink" Target="https://futureu.europa.eu/?locale=fr" TargetMode="External"/><Relationship Id="rId33" Type="http://schemas.openxmlformats.org/officeDocument/2006/relationships/hyperlink" Target="https://futureu.europa.eu/?locale=fr" TargetMode="External"/><Relationship Id="rId34" Type="http://schemas.openxmlformats.org/officeDocument/2006/relationships/hyperlink" Target="https://futureu.europa.eu/pages/charter" TargetMode="External"/><Relationship Id="rId35" Type="http://schemas.openxmlformats.org/officeDocument/2006/relationships/hyperlink" Target="https://futureu.europa.eu/pages/rules-of-participation" TargetMode="External"/><Relationship Id="rId36" Type="http://schemas.openxmlformats.org/officeDocument/2006/relationships/hyperlink" Target="https://futureu.europa.eu/pages/faq" TargetMode="External"/><Relationship Id="rId37" Type="http://schemas.openxmlformats.org/officeDocument/2006/relationships/image" Target="media/image7.png"/><Relationship Id="rId38" Type="http://schemas.openxmlformats.org/officeDocument/2006/relationships/image" Target="media/image8.png"/><Relationship Id="rId39" Type="http://schemas.openxmlformats.org/officeDocument/2006/relationships/image" Target="media/image9.png"/><Relationship Id="rId40" Type="http://schemas.openxmlformats.org/officeDocument/2006/relationships/image" Target="media/image10.png"/><Relationship Id="rId41" Type="http://schemas.openxmlformats.org/officeDocument/2006/relationships/image" Target="media/image11.png"/><Relationship Id="rId42" Type="http://schemas.openxmlformats.org/officeDocument/2006/relationships/image" Target="media/image12.png"/><Relationship Id="rId43" Type="http://schemas.openxmlformats.org/officeDocument/2006/relationships/image" Target="media/image13.png"/><Relationship Id="rId44" Type="http://schemas.openxmlformats.org/officeDocument/2006/relationships/image" Target="media/image14.png"/><Relationship Id="rId45" Type="http://schemas.openxmlformats.org/officeDocument/2006/relationships/image" Target="media/image15.png"/><Relationship Id="rId46" Type="http://schemas.openxmlformats.org/officeDocument/2006/relationships/image" Target="media/image16.png"/><Relationship Id="rId47" Type="http://schemas.openxmlformats.org/officeDocument/2006/relationships/image" Target="media/image17.png"/><Relationship Id="rId48" Type="http://schemas.openxmlformats.org/officeDocument/2006/relationships/hyperlink" Target="https://futureu.europa.eu/pages/ms-section" TargetMode="External"/><Relationship Id="rId49" Type="http://schemas.openxmlformats.org/officeDocument/2006/relationships/hyperlink" Target="https://futureu.europa.eu/pages/reporting" TargetMode="External"/><Relationship Id="rId50" Type="http://schemas.openxmlformats.org/officeDocument/2006/relationships/image" Target="media/image18.png"/><Relationship Id="rId51" Type="http://schemas.openxmlformats.org/officeDocument/2006/relationships/image" Target="media/image19.png"/><Relationship Id="rId52" Type="http://schemas.openxmlformats.org/officeDocument/2006/relationships/hyperlink" Target="http://www.eye2021.eu/" TargetMode="External"/><Relationship Id="rId53" Type="http://schemas.openxmlformats.org/officeDocument/2006/relationships/image" Target="media/image20.png"/><Relationship Id="rId54" Type="http://schemas.openxmlformats.org/officeDocument/2006/relationships/hyperlink" Target="https://european-youth-event.europarl.europa.eu/wp-content/uploads/2021/10/2021_EYE_Report-Booklet_A5_20-10-Accessible.pdf" TargetMode="External"/><Relationship Id="rId55" Type="http://schemas.openxmlformats.org/officeDocument/2006/relationships/hyperlink" Target="https://search.youthideas.eu/" TargetMode="External"/><Relationship Id="rId56" Type="http://schemas.openxmlformats.org/officeDocument/2006/relationships/hyperlink" Target="https://www.eesc.europa.eu/en/agenda/our-events/events/kickoff-event-conference-future-europe" TargetMode="External"/><Relationship Id="rId57" Type="http://schemas.openxmlformats.org/officeDocument/2006/relationships/hyperlink" Target="https://www.eesc.europa.eu/en/agenda/our-events/events/connecting-eu-2021" TargetMode="External"/><Relationship Id="rId58" Type="http://schemas.openxmlformats.org/officeDocument/2006/relationships/hyperlink" Target="https://www.eesc.europa.eu/en/agenda/our-events/events/shaping-europe-together" TargetMode="External"/><Relationship Id="rId59" Type="http://schemas.openxmlformats.org/officeDocument/2006/relationships/hyperlink" Target="https://cor.europa.eu/en/our-work/Pages/EURegionalBarometer-Survey-2021.aspx" TargetMode="External"/><Relationship Id="rId60" Type="http://schemas.openxmlformats.org/officeDocument/2006/relationships/hyperlink" Target="https://futureu.europa.eu/profiles/EU_COMMITTEE_REGIONS/activity" TargetMode="External"/><Relationship Id="rId61" Type="http://schemas.openxmlformats.org/officeDocument/2006/relationships/hyperlink" Target="https://cor.europa.eu/en/news/Pages/Report-of-the-High-Level-Group-on-European-Democracy.aspx" TargetMode="External"/><Relationship Id="rId62"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3" Type="http://schemas.openxmlformats.org/officeDocument/2006/relationships/hyperlink" Target="https://cor.europa.eu/en/summits/2022" TargetMode="External"/><Relationship Id="rId64" Type="http://schemas.openxmlformats.org/officeDocument/2006/relationships/hyperlink" Target="https://cor.europa.eu/en/engage/brochures/Documents/Citizens, local politicians and the future of Europe/4666-final report lowres FIN.pdf" TargetMode="External"/><Relationship Id="rId65"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6"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7"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8"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9" Type="http://schemas.openxmlformats.org/officeDocument/2006/relationships/hyperlink" Target="https://urldefense.com/v3/__https:/europeanmovement.eu/__;!!DOxrgLBm!USrgw0ykk4Rr_7OEucFYoNO-h98D1sH5xfD-7Qmm48-t_TKrps6LcRBXC7_VkAjjVVGY7-cLezPKmw$" TargetMode="External"/><Relationship Id="rId70"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1"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2"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3" Type="http://schemas.openxmlformats.org/officeDocument/2006/relationships/hyperlink" Target="https://urldefense.com/v3/__https:/europeanmovement.eu/conference-on-the-future-of-europe/__;!!DOxrgLBm!USrgw0ykk4Rr_7OEucFYoNO-h98D1sH5xfD-7Qmm48-t_TKrps6LcRBXC7_VkAjjVVGY7-coTvKNzA$" TargetMode="External"/><Relationship Id="rId74" Type="http://schemas.openxmlformats.org/officeDocument/2006/relationships/image" Target="media/image21.png"/><Relationship Id="rId75" Type="http://schemas.openxmlformats.org/officeDocument/2006/relationships/image" Target="media/image22.png"/><Relationship Id="rId76" Type="http://schemas.openxmlformats.org/officeDocument/2006/relationships/image" Target="media/image23.png"/><Relationship Id="rId77" Type="http://schemas.openxmlformats.org/officeDocument/2006/relationships/image" Target="media/image24.png"/><Relationship Id="rId78" Type="http://schemas.openxmlformats.org/officeDocument/2006/relationships/image" Target="media/image25.png"/><Relationship Id="rId79" Type="http://schemas.openxmlformats.org/officeDocument/2006/relationships/image" Target="media/image26.png"/><Relationship Id="rId80" Type="http://schemas.openxmlformats.org/officeDocument/2006/relationships/image" Target="media/image27.png"/><Relationship Id="rId81" Type="http://schemas.openxmlformats.org/officeDocument/2006/relationships/image" Target="media/image28.png"/><Relationship Id="rId82" Type="http://schemas.openxmlformats.org/officeDocument/2006/relationships/image" Target="media/image29.png"/><Relationship Id="rId83" Type="http://schemas.openxmlformats.org/officeDocument/2006/relationships/image" Target="media/image30.png"/><Relationship Id="rId84" Type="http://schemas.openxmlformats.org/officeDocument/2006/relationships/image" Target="media/image31.png"/><Relationship Id="rId85" Type="http://schemas.openxmlformats.org/officeDocument/2006/relationships/image" Target="media/image32.png"/><Relationship Id="rId86" Type="http://schemas.openxmlformats.org/officeDocument/2006/relationships/image" Target="media/image33.png"/><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hyperlink" Target="https://participation-citoyenne.gouv.fr/sites/default/files/2021-11/20211126 - COFE - Rapport final.pdf" TargetMode="External"/><Relationship Id="rId89" Type="http://schemas.openxmlformats.org/officeDocument/2006/relationships/image" Target="media/image34.png"/><Relationship Id="rId90" Type="http://schemas.openxmlformats.org/officeDocument/2006/relationships/image" Target="media/image35.png"/><Relationship Id="rId91" Type="http://schemas.openxmlformats.org/officeDocument/2006/relationships/image" Target="media/image36.png"/><Relationship Id="rId92" Type="http://schemas.openxmlformats.org/officeDocument/2006/relationships/image" Target="media/image37.png"/><Relationship Id="rId93" Type="http://schemas.openxmlformats.org/officeDocument/2006/relationships/image" Target="media/image38.png"/><Relationship Id="rId94" Type="http://schemas.openxmlformats.org/officeDocument/2006/relationships/image" Target="media/image39.png"/><Relationship Id="rId95" Type="http://schemas.openxmlformats.org/officeDocument/2006/relationships/image" Target="media/image40.png"/><Relationship Id="rId96" Type="http://schemas.openxmlformats.org/officeDocument/2006/relationships/image" Target="media/image41.png"/><Relationship Id="rId97" Type="http://schemas.openxmlformats.org/officeDocument/2006/relationships/image" Target="media/image42.png"/><Relationship Id="rId98" Type="http://schemas.openxmlformats.org/officeDocument/2006/relationships/image" Target="media/image43.png"/><Relationship Id="rId99" Type="http://schemas.openxmlformats.org/officeDocument/2006/relationships/image" Target="media/image44.png"/><Relationship Id="rId100" Type="http://schemas.openxmlformats.org/officeDocument/2006/relationships/image" Target="media/image45.wmf"/><Relationship Id="rId101" Type="http://schemas.openxmlformats.org/officeDocument/2006/relationships/image" Target="media/image46.png"/><Relationship Id="rId102" Type="http://schemas.openxmlformats.org/officeDocument/2006/relationships/image" Target="media/image47.png"/><Relationship Id="rId103" Type="http://schemas.openxmlformats.org/officeDocument/2006/relationships/image" Target="media/image48.png"/><Relationship Id="rId104" Type="http://schemas.openxmlformats.org/officeDocument/2006/relationships/image" Target="media/image49.png"/><Relationship Id="rId105" Type="http://schemas.openxmlformats.org/officeDocument/2006/relationships/image" Target="media/image50.png"/><Relationship Id="rId106" Type="http://schemas.openxmlformats.org/officeDocument/2006/relationships/image" Target="media/image51.png"/><Relationship Id="rId107" Type="http://schemas.openxmlformats.org/officeDocument/2006/relationships/image" Target="media/image52.png"/><Relationship Id="rId108" Type="http://schemas.openxmlformats.org/officeDocument/2006/relationships/image" Target="media/image53.png"/><Relationship Id="rId109" Type="http://schemas.openxmlformats.org/officeDocument/2006/relationships/image" Target="media/image54.png"/><Relationship Id="rId110" Type="http://schemas.openxmlformats.org/officeDocument/2006/relationships/image" Target="media/image55.png"/><Relationship Id="rId111" Type="http://schemas.openxmlformats.org/officeDocument/2006/relationships/image" Target="media/image56.png"/><Relationship Id="rId112" Type="http://schemas.openxmlformats.org/officeDocument/2006/relationships/image" Target="media/image57.png"/><Relationship Id="rId113" Type="http://schemas.openxmlformats.org/officeDocument/2006/relationships/image" Target="media/image58.png"/><Relationship Id="rId114" Type="http://schemas.openxmlformats.org/officeDocument/2006/relationships/image" Target="media/image59.png"/><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256" TargetMode="External"/><Relationship Id="rId117" Type="http://schemas.openxmlformats.org/officeDocument/2006/relationships/hyperlink" Target="https://europa.eu/eurobarometer/surveys/detail/2256" TargetMode="External"/><Relationship Id="rId118" Type="http://schemas.openxmlformats.org/officeDocument/2006/relationships/hyperlink" Target="https://europa.eu/eurobarometer/surveys/detail/2532" TargetMode="External"/><Relationship Id="rId119" Type="http://schemas.openxmlformats.org/officeDocument/2006/relationships/image" Target="media/image60.png"/><Relationship Id="rId120" Type="http://schemas.openxmlformats.org/officeDocument/2006/relationships/hyperlink" Target="http://www.kijkopeuropa.nl/" TargetMode="External"/><Relationship Id="rId121" Type="http://schemas.openxmlformats.org/officeDocument/2006/relationships/image" Target="media/image61.png"/><Relationship Id="rId122" Type="http://schemas.openxmlformats.org/officeDocument/2006/relationships/hyperlink" Target="https://futureu.europa.eu/pages/belgium" TargetMode="External"/><Relationship Id="rId123" Type="http://schemas.openxmlformats.org/officeDocument/2006/relationships/hyperlink" Target="https://futureu.europa.eu/pages/bulgaria" TargetMode="External"/><Relationship Id="rId124" Type="http://schemas.openxmlformats.org/officeDocument/2006/relationships/hyperlink" Target="https://futureu.europa.eu/pages/czechia" TargetMode="External"/><Relationship Id="rId125" Type="http://schemas.openxmlformats.org/officeDocument/2006/relationships/hyperlink" Target="https://futureu.europa.eu/pages/denmark"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germany" TargetMode="External"/><Relationship Id="rId128" Type="http://schemas.openxmlformats.org/officeDocument/2006/relationships/hyperlink" Target="https://futureu.europa.eu/pages/estonia" TargetMode="External"/><Relationship Id="rId129" Type="http://schemas.openxmlformats.org/officeDocument/2006/relationships/hyperlink" Target="https://futureu.europa.eu/pages/ireland" TargetMode="External"/><Relationship Id="rId130" Type="http://schemas.openxmlformats.org/officeDocument/2006/relationships/hyperlink" Target="https://futureu.europa.eu/pages/greece" TargetMode="External"/><Relationship Id="rId131" Type="http://schemas.openxmlformats.org/officeDocument/2006/relationships/hyperlink" Target="https://futureu.europa.eu/pages/spain" TargetMode="External"/><Relationship Id="rId132" Type="http://schemas.openxmlformats.org/officeDocument/2006/relationships/hyperlink" Target="https://futureu.europa.eu/pages/france" TargetMode="External"/><Relationship Id="rId133" Type="http://schemas.openxmlformats.org/officeDocument/2006/relationships/hyperlink" Target="https://futureu.europa.eu/pages/croatia" TargetMode="External"/><Relationship Id="rId134" Type="http://schemas.openxmlformats.org/officeDocument/2006/relationships/hyperlink" Target="https://futureu.europa.eu/pages/italy" TargetMode="External"/><Relationship Id="rId135" Type="http://schemas.openxmlformats.org/officeDocument/2006/relationships/hyperlink" Target="https://futureu.europa.eu/pages/cyprus" TargetMode="External"/><Relationship Id="rId136" Type="http://schemas.openxmlformats.org/officeDocument/2006/relationships/hyperlink" Target="https://futureu.europa.eu/pages/latvia" TargetMode="External"/><Relationship Id="rId137" Type="http://schemas.openxmlformats.org/officeDocument/2006/relationships/hyperlink" Target="https://futureu.europa.eu/pages/lithuania" TargetMode="External"/><Relationship Id="rId138" Type="http://schemas.openxmlformats.org/officeDocument/2006/relationships/hyperlink" Target="https://futureu.europa.eu/pages/luxembourg" TargetMode="External"/><Relationship Id="rId139" Type="http://schemas.openxmlformats.org/officeDocument/2006/relationships/hyperlink" Target="https://futureu.europa.eu/pages/hungary" TargetMode="External"/><Relationship Id="rId140" Type="http://schemas.openxmlformats.org/officeDocument/2006/relationships/hyperlink" Target="https://futureu.europa.eu/pages/malta" TargetMode="External"/><Relationship Id="rId141" Type="http://schemas.openxmlformats.org/officeDocument/2006/relationships/hyperlink" Target="https://futureu.europa.eu/pages/netherlands" TargetMode="External"/><Relationship Id="rId142" Type="http://schemas.openxmlformats.org/officeDocument/2006/relationships/hyperlink" Target="https://futureu.europa.eu/pages/austria" TargetMode="External"/><Relationship Id="rId143" Type="http://schemas.openxmlformats.org/officeDocument/2006/relationships/hyperlink" Target="https://futureu.europa.eu/pages/poland" TargetMode="External"/><Relationship Id="rId144" Type="http://schemas.openxmlformats.org/officeDocument/2006/relationships/hyperlink" Target="https://futureu.europa.eu/pages/portugal" TargetMode="External"/><Relationship Id="rId145" Type="http://schemas.openxmlformats.org/officeDocument/2006/relationships/hyperlink" Target="https://futureu.europa.eu/pages/romania" TargetMode="External"/><Relationship Id="rId146" Type="http://schemas.openxmlformats.org/officeDocument/2006/relationships/hyperlink" Target="https://futureu.europa.eu/pages/slovenia" TargetMode="External"/><Relationship Id="rId147" Type="http://schemas.openxmlformats.org/officeDocument/2006/relationships/hyperlink" Target="https://futureu.europa.eu/pages/slovakia" TargetMode="External"/><Relationship Id="rId148" Type="http://schemas.openxmlformats.org/officeDocument/2006/relationships/hyperlink" Target="https://futureu.europa.eu/pages/finland" TargetMode="External"/><Relationship Id="rId149" Type="http://schemas.openxmlformats.org/officeDocument/2006/relationships/hyperlink" Target="https://futureu.europa.eu/pages/sweden"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image" Target="media/image62.png"/><Relationship Id="rId153" Type="http://schemas.openxmlformats.org/officeDocument/2006/relationships/footnotes" Target="footnotes.xml"/><Relationship Id="rId154" Type="http://schemas.openxmlformats.org/officeDocument/2006/relationships/endnotes" Target="endnotes.xml"/><Relationship Id="rId155" Type="http://schemas.openxmlformats.org/officeDocument/2006/relationships/comments" Target="comments.xml"/><Relationship Id="rId156" Type="http://schemas.openxmlformats.org/officeDocument/2006/relationships/numbering" Target="numbering.xml"/><Relationship Id="rId157" Type="http://schemas.openxmlformats.org/officeDocument/2006/relationships/fontTable" Target="fontTable.xml"/><Relationship Id="rId158"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299</Pages>
  <Words>94537</Words>
  <Characters>678514</Characters>
  <CharactersWithSpaces>769922</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2022-09-01T15:57:47Z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