
<file path=[Content_Types].xml><?xml version="1.0" encoding="utf-8"?>
<Types xmlns="http://schemas.openxmlformats.org/package/2006/content-types">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footer1.xml" ContentType="application/vnd.openxmlformats-officedocument.wordprocessingml.footer+xml"/>
  <Override PartName="/word/document.xml" ContentType="application/vnd.openxmlformats-officedocument.wordprocessingml.document.main+xml"/>
  <Override PartName="/word/styles.xml" ContentType="application/vnd.openxmlformats-officedocument.wordprocessingml.styles+xml"/>
  <Override PartName="/word/footnotes.xml" ContentType="application/vnd.openxmlformats-officedocument.wordprocessingml.footnotes+xml"/>
  <Override PartName="/word/comments.xml" ContentType="application/vnd.openxmlformats-officedocument.wordprocessingml.comments+xml"/>
  <Override PartName="/word/header2.xml" ContentType="application/vnd.openxmlformats-officedocument.wordprocessingml.header+xml"/>
  <Override PartName="/word/media/image9.png" ContentType="image/png"/>
  <Override PartName="/word/media/image57.png" ContentType="image/png"/>
  <Override PartName="/word/media/image1.png" ContentType="image/png"/>
  <Override PartName="/word/media/image58.png" ContentType="image/png"/>
  <Override PartName="/word/media/image2.png" ContentType="image/png"/>
  <Override PartName="/word/media/image59.png" ContentType="image/png"/>
  <Override PartName="/word/media/image3.png" ContentType="image/png"/>
  <Override PartName="/word/media/image4.png" ContentType="image/png"/>
  <Override PartName="/word/media/image5.png" ContentType="image/png"/>
  <Override PartName="/word/media/image6.png" ContentType="image/png"/>
  <Override PartName="/word/media/image7.png" ContentType="image/png"/>
  <Override PartName="/word/media/image8.png" ContentType="image/png"/>
  <Override PartName="/word/media/image10.png" ContentType="image/png"/>
  <Override PartName="/word/media/image11.png" ContentType="image/png"/>
  <Override PartName="/word/media/image12.png" ContentType="image/png"/>
  <Override PartName="/word/media/image13.png" ContentType="image/png"/>
  <Override PartName="/word/media/image14.png" ContentType="image/png"/>
  <Override PartName="/word/media/image15.png" ContentType="image/png"/>
  <Override PartName="/word/media/image16.png" ContentType="image/png"/>
  <Override PartName="/word/media/image17.png" ContentType="image/png"/>
  <Override PartName="/word/media/image18.png" ContentType="image/png"/>
  <Override PartName="/word/media/image19.png" ContentType="image/png"/>
  <Override PartName="/word/media/image20.png" ContentType="image/png"/>
  <Override PartName="/word/media/image21.png" ContentType="image/png"/>
  <Override PartName="/word/media/image22.png" ContentType="image/png"/>
  <Override PartName="/word/media/image23.png" ContentType="image/png"/>
  <Override PartName="/word/media/image24.png" ContentType="image/png"/>
  <Override PartName="/word/media/image25.png" ContentType="image/png"/>
  <Override PartName="/word/media/image26.png" ContentType="image/png"/>
  <Override PartName="/word/media/image27.png" ContentType="image/png"/>
  <Override PartName="/word/media/image28.png" ContentType="image/png"/>
  <Override PartName="/word/media/image29.png" ContentType="image/png"/>
  <Override PartName="/word/media/image30.png" ContentType="image/png"/>
  <Override PartName="/word/media/image31.png" ContentType="image/png"/>
  <Override PartName="/word/media/image32.png" ContentType="image/png"/>
  <Override PartName="/word/media/image45.wmf" ContentType="image/x-wmf"/>
  <Override PartName="/word/media/image33.png" ContentType="image/png"/>
  <Override PartName="/word/media/image34.png" ContentType="image/png"/>
  <Override PartName="/word/media/image35.png" ContentType="image/png"/>
  <Override PartName="/word/media/image36.png" ContentType="image/png"/>
  <Override PartName="/word/media/image37.png" ContentType="image/png"/>
  <Override PartName="/word/media/image38.png" ContentType="image/png"/>
  <Override PartName="/word/media/image39.png" ContentType="image/png"/>
  <Override PartName="/word/media/image40.png" ContentType="image/png"/>
  <Override PartName="/word/media/image41.png" ContentType="image/png"/>
  <Override PartName="/word/media/image42.png" ContentType="image/png"/>
  <Override PartName="/word/media/image43.png" ContentType="image/png"/>
  <Override PartName="/word/media/image44.png" ContentType="image/png"/>
  <Override PartName="/word/media/image46.png" ContentType="image/png"/>
  <Override PartName="/word/media/image47.png" ContentType="image/png"/>
  <Override PartName="/word/media/image48.png" ContentType="image/png"/>
  <Override PartName="/word/media/image49.png" ContentType="image/png"/>
  <Override PartName="/word/media/image50.png" ContentType="image/png"/>
  <Override PartName="/word/media/image51.png" ContentType="image/png"/>
  <Override PartName="/word/media/image52.png" ContentType="image/png"/>
  <Override PartName="/word/media/image53.png" ContentType="image/png"/>
  <Override PartName="/word/media/image54.png" ContentType="image/png"/>
  <Override PartName="/word/media/image55.png" ContentType="image/png"/>
  <Override PartName="/word/media/image56.png" ContentType="image/png"/>
  <Override PartName="/word/media/image60.png" ContentType="image/png"/>
  <Override PartName="/word/media/image61.png" ContentType="image/png"/>
  <Override PartName="/word/media/image62.png" ContentType="image/png"/>
  <Override PartName="/word/header1.xml" ContentType="application/vnd.openxmlformats-officedocument.wordprocessingml.header+xml"/>
  <Override PartName="/word/footer2.xml" ContentType="application/vnd.openxmlformats-officedocument.wordprocessingml.footer+xml"/>
  <Override PartName="/word/endnotes.xml" ContentType="application/vnd.openxmlformats-officedocument.wordprocessingml.endnotes+xml"/>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Override PartName="/word/_rels/document.xml.rels" ContentType="application/vnd.openxmlformats-package.relationships+xml"/>
  <Override PartName="/word/_rels/footnotes.xml.rels" ContentType="application/vnd.openxmlformats-package.relationships+xml"/>
  <Override PartName="/word/_rels/endnotes.xml.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P68B1DB1Normal1"/>
        <w:widowControl w:val="false"/>
        <w:spacing w:lineRule="exact" w:line="860" w:before="57" w:after="57"/>
        <w:ind w:left="0" w:right="0" w:hanging="0"/>
        <w:jc w:val="left"/>
        <w:rPr>
          <w:rFonts w:ascii="Arial" w:hAnsi="Arial"/>
        </w:rPr>
      </w:pPr>
      <w:r>
        <w:rPr>
          <w:position w:val="6"/>
        </w:rPr>
        <w:t xml:space="preserve">Konferencia a következőről: </w:t>
      </w:r>
      <w:r>
        <w:rPr/>
        <w:br/>
        <w:t>Európa jövője</w:t>
      </w:r>
    </w:p>
    <w:p>
      <w:pPr>
        <w:pStyle w:val="P68B1DB1Normal2"/>
        <w:widowControl w:val="false"/>
        <w:spacing w:lineRule="exact" w:line="557"/>
        <w:ind w:left="56" w:right="1390" w:firstLine="8"/>
        <w:jc w:val="left"/>
        <w:rPr>
          <w:rFonts w:ascii="Arial" w:hAnsi="Arial"/>
          <w:color w:val="0000BE"/>
          <w:sz w:val="44"/>
        </w:rPr>
      </w:pPr>
      <w:r>
        <w:rPr/>
        <w:t xml:space="preserve">A VÉGSŐ EREDMÉNYEKRŐL SZÓLÓ JELENTÉS </w:t>
      </w:r>
    </w:p>
    <w:p>
      <w:pPr>
        <w:pStyle w:val="P68B1DB1Normal3"/>
        <w:widowControl w:val="false"/>
        <w:spacing w:lineRule="exact" w:line="557"/>
        <w:ind w:left="56" w:right="1390" w:hanging="0"/>
        <w:jc w:val="left"/>
        <w:rPr>
          <w:rFonts w:ascii="Roboto" w:hAnsi="Roboto"/>
          <w:color w:val="0000BE"/>
          <w:sz w:val="28"/>
        </w:rPr>
      </w:pPr>
      <w:r>
        <w:rPr/>
        <w:t>2022. május</w:t>
      </w:r>
      <w:r>
        <w:rPr>
          <w:rFonts w:ascii="Roboto" w:hAnsi="Roboto"/>
        </w:rPr>
        <w:t xml:space="preserve"> </w:t>
      </w:r>
    </w:p>
    <w:p>
      <w:pPr>
        <w:pStyle w:val="Normal"/>
        <w:rPr/>
      </w:pPr>
      <w:r>
        <w:rPr/>
        <w:drawing>
          <wp:anchor behindDoc="0" distT="0" distB="0" distL="0" distR="0" simplePos="0" locked="0" layoutInCell="1" allowOverlap="1" relativeHeight="65">
            <wp:simplePos x="0" y="0"/>
            <wp:positionH relativeFrom="column">
              <wp:posOffset>88265</wp:posOffset>
            </wp:positionH>
            <wp:positionV relativeFrom="paragraph">
              <wp:posOffset>52070</wp:posOffset>
            </wp:positionV>
            <wp:extent cx="5660390" cy="4556125"/>
            <wp:effectExtent l="0" t="0" r="0" b="0"/>
            <wp:wrapTopAndBottom/>
            <wp:docPr id="1" name="Kép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Kép 1" descr=""/>
                    <pic:cNvPicPr>
                      <a:picLocks noChangeAspect="1" noChangeArrowheads="1"/>
                    </pic:cNvPicPr>
                  </pic:nvPicPr>
                  <pic:blipFill>
                    <a:blip r:embed="rId2"/>
                    <a:stretch>
                      <a:fillRect/>
                    </a:stretch>
                  </pic:blipFill>
                  <pic:spPr bwMode="auto">
                    <a:xfrm>
                      <a:off x="0" y="0"/>
                      <a:ext cx="5660390" cy="4556125"/>
                    </a:xfrm>
                    <a:prstGeom prst="rect">
                      <a:avLst/>
                    </a:prstGeom>
                  </pic:spPr>
                </pic:pic>
              </a:graphicData>
            </a:graphic>
          </wp:anchor>
        </w:drawing>
      </w:r>
    </w:p>
    <w:p>
      <w:pPr>
        <w:pStyle w:val="Normal"/>
        <w:rPr/>
      </w:pPr>
      <w:r>
        <w:rPr/>
      </w:r>
    </w:p>
    <w:p>
      <w:pPr>
        <w:pStyle w:val="Normal"/>
        <w:widowControl w:val="false"/>
        <w:spacing w:lineRule="exact" w:line="576"/>
        <w:ind w:left="51" w:right="0" w:hanging="0"/>
        <w:jc w:val="left"/>
        <w:rPr>
          <w:rFonts w:ascii="Arial" w:hAnsi="Arial"/>
        </w:rPr>
      </w:pPr>
      <w:r>
        <mc:AlternateContent>
          <mc:Choice Requires="wps">
            <w:drawing>
              <wp:anchor behindDoc="0" distT="72390" distB="72390" distL="72390" distR="72390" simplePos="0" locked="0" layoutInCell="1" allowOverlap="1" relativeHeight="10">
                <wp:simplePos x="0" y="0"/>
                <wp:positionH relativeFrom="column">
                  <wp:posOffset>3199765</wp:posOffset>
                </wp:positionH>
                <wp:positionV relativeFrom="paragraph">
                  <wp:posOffset>219710</wp:posOffset>
                </wp:positionV>
                <wp:extent cx="2675890" cy="1109980"/>
                <wp:effectExtent l="0" t="0" r="0" b="0"/>
                <wp:wrapSquare wrapText="bothSides"/>
                <wp:docPr id="2" name="Keretrendszer1"/>
                <a:graphic xmlns:a="http://schemas.openxmlformats.org/drawingml/2006/main">
                  <a:graphicData uri="http://schemas.microsoft.com/office/word/2010/wordprocessingShape">
                    <wps:wsp>
                      <wps:cNvSpPr/>
                      <wps:spPr>
                        <a:xfrm>
                          <a:off x="0" y="0"/>
                          <a:ext cx="2675160" cy="1109520"/>
                        </a:xfrm>
                        <a:prstGeom prst="rect">
                          <a:avLst/>
                        </a:prstGeom>
                        <a:solidFill>
                          <a:srgbClr val="ffffff"/>
                        </a:solidFill>
                        <a:ln>
                          <a:noFill/>
                        </a:ln>
                      </wps:spPr>
                      <wps:style>
                        <a:lnRef idx="0"/>
                        <a:fillRef idx="0"/>
                        <a:effectRef idx="0"/>
                        <a:fontRef idx="minor"/>
                      </wps:style>
                      <wps:txbx>
                        <w:txbxContent>
                          <w:p>
                            <w:pPr>
                              <w:pStyle w:val="P68B1DB1Normal4"/>
                              <w:widowControl w:val="false"/>
                              <w:spacing w:lineRule="exact" w:line="370" w:before="57" w:after="57"/>
                              <w:ind w:left="113" w:right="113" w:hanging="0"/>
                              <w:jc w:val="left"/>
                              <w:rPr/>
                            </w:pPr>
                            <w:r>
                              <w:rPr/>
                              <w:drawing>
                                <wp:inline distT="0" distB="0" distL="0" distR="0">
                                  <wp:extent cx="1072515" cy="661670"/>
                                  <wp:effectExtent l="0" t="0" r="0" b="0"/>
                                  <wp:docPr id="4" name="Kép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Kép 2" descr=""/>
                                          <pic:cNvPicPr>
                                            <a:picLocks noChangeAspect="1" noChangeArrowheads="1"/>
                                          </pic:cNvPicPr>
                                        </pic:nvPicPr>
                                        <pic:blipFill>
                                          <a:blip r:embed="rId3"/>
                                          <a:stretch>
                                            <a:fillRect/>
                                          </a:stretch>
                                        </pic:blipFill>
                                        <pic:spPr bwMode="auto">
                                          <a:xfrm>
                                            <a:off x="0" y="0"/>
                                            <a:ext cx="1072515" cy="661670"/>
                                          </a:xfrm>
                                          <a:prstGeom prst="rect">
                                            <a:avLst/>
                                          </a:prstGeom>
                                        </pic:spPr>
                                      </pic:pic>
                                    </a:graphicData>
                                  </a:graphic>
                                </wp:inline>
                              </w:drawing>
                            </w:r>
                            <w:r>
                              <w:rPr/>
                              <w:t>Konferencia</w:t>
                            </w:r>
                            <w:r>
                              <w:rPr>
                                <w:b/>
                              </w:rPr>
                              <w:t>Európajövőjéről</w:t>
                            </w:r>
                          </w:p>
                        </w:txbxContent>
                      </wps:txbx>
                      <wps:bodyPr lIns="54000" rIns="54000" tIns="54000" bIns="54000">
                        <a:noAutofit/>
                      </wps:bodyPr>
                    </wps:wsp>
                  </a:graphicData>
                </a:graphic>
              </wp:anchor>
            </w:drawing>
          </mc:Choice>
          <mc:Fallback>
            <w:pict>
              <v:rect id="shape_0" ID="Keretrendszer1" fillcolor="white" stroked="f" style="position:absolute;margin-left:251.95pt;margin-top:17.3pt;width:210.6pt;height:87.3pt">
                <w10:wrap type="square"/>
                <v:fill o:detectmouseclick="t" type="solid" color2="black"/>
                <v:stroke color="#3465a4" joinstyle="round" endcap="flat"/>
                <v:textbox>
                  <w:txbxContent>
                    <w:p>
                      <w:pPr>
                        <w:pStyle w:val="P68B1DB1Normal4"/>
                        <w:widowControl w:val="false"/>
                        <w:spacing w:lineRule="exact" w:line="370" w:before="57" w:after="57"/>
                        <w:ind w:left="113" w:right="113" w:hanging="0"/>
                        <w:jc w:val="left"/>
                        <w:rPr/>
                      </w:pPr>
                      <w:r>
                        <w:rPr/>
                        <w:drawing>
                          <wp:inline distT="0" distB="0" distL="0" distR="0">
                            <wp:extent cx="1072515" cy="661670"/>
                            <wp:effectExtent l="0" t="0" r="0" b="0"/>
                            <wp:docPr id="5" name="Kép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Kép 2" descr=""/>
                                    <pic:cNvPicPr>
                                      <a:picLocks noChangeAspect="1" noChangeArrowheads="1"/>
                                    </pic:cNvPicPr>
                                  </pic:nvPicPr>
                                  <pic:blipFill>
                                    <a:blip r:embed="rId3"/>
                                    <a:stretch>
                                      <a:fillRect/>
                                    </a:stretch>
                                  </pic:blipFill>
                                  <pic:spPr bwMode="auto">
                                    <a:xfrm>
                                      <a:off x="0" y="0"/>
                                      <a:ext cx="1072515" cy="661670"/>
                                    </a:xfrm>
                                    <a:prstGeom prst="rect">
                                      <a:avLst/>
                                    </a:prstGeom>
                                  </pic:spPr>
                                </pic:pic>
                              </a:graphicData>
                            </a:graphic>
                          </wp:inline>
                        </w:drawing>
                      </w:r>
                      <w:r>
                        <w:rPr/>
                        <w:t>Konferencia</w:t>
                      </w:r>
                      <w:r>
                        <w:rPr>
                          <w:b/>
                        </w:rPr>
                        <w:t>Európajövőjéről</w:t>
                      </w:r>
                    </w:p>
                  </w:txbxContent>
                </v:textbox>
              </v:rect>
            </w:pict>
          </mc:Fallback>
        </mc:AlternateContent>
      </w:r>
      <w:r>
        <w:rPr>
          <w:color w:val="0000BE"/>
          <w:sz w:val="48"/>
        </w:rPr>
        <w:t>A</w:t>
      </w:r>
      <w:r>
        <w:rPr>
          <w:b/>
          <w:color w:val="0000BE"/>
          <w:sz w:val="48"/>
        </w:rPr>
        <w:t>jövő</w:t>
      </w:r>
      <w:r>
        <w:rPr>
          <w:color w:val="0000BE"/>
          <w:sz w:val="48"/>
        </w:rPr>
        <w:t xml:space="preserve"> az</w:t>
      </w:r>
      <w:r>
        <w:rPr/>
        <w:t xml:space="preserve"> </w:t>
      </w:r>
    </w:p>
    <w:p>
      <w:pPr>
        <w:pStyle w:val="P68B1DB1Normal5"/>
        <w:widowControl w:val="false"/>
        <w:spacing w:lineRule="exact" w:line="576"/>
        <w:ind w:left="51" w:right="0" w:hanging="0"/>
        <w:jc w:val="left"/>
        <w:rPr>
          <w:rFonts w:ascii="Arial" w:hAnsi="Arial"/>
        </w:rPr>
      </w:pPr>
      <w:r>
        <w:rPr/>
        <w:t>a kezedben</w:t>
      </w:r>
    </w:p>
    <w:p>
      <w:pPr>
        <w:pStyle w:val="Normal"/>
        <w:rPr/>
      </w:pPr>
      <w:r>
        <w:rPr/>
      </w:r>
      <w:r>
        <w:br w:type="page"/>
      </w:r>
    </w:p>
    <w:p>
      <w:pPr>
        <w:pStyle w:val="Normal"/>
        <w:rPr/>
      </w:pPr>
      <w:r>
        <w:rPr/>
        <mc:AlternateContent>
          <mc:Choice Requires="wps">
            <w:drawing>
              <wp:anchor behindDoc="0" distT="72390" distB="72390" distL="72390" distR="72390" simplePos="0" locked="0" layoutInCell="1" allowOverlap="1" relativeHeight="63">
                <wp:simplePos x="0" y="0"/>
                <wp:positionH relativeFrom="column">
                  <wp:posOffset>4445</wp:posOffset>
                </wp:positionH>
                <wp:positionV relativeFrom="paragraph">
                  <wp:posOffset>85725</wp:posOffset>
                </wp:positionV>
                <wp:extent cx="6020435" cy="8688070"/>
                <wp:effectExtent l="0" t="0" r="0" b="0"/>
                <wp:wrapSquare wrapText="bothSides"/>
                <wp:docPr id="6" name="Keretrendszer16"/>
                <a:graphic xmlns:a="http://schemas.openxmlformats.org/drawingml/2006/main">
                  <a:graphicData uri="http://schemas.microsoft.com/office/word/2010/wordprocessingShape">
                    <wps:wsp>
                      <wps:cNvSpPr/>
                      <wps:spPr>
                        <a:xfrm>
                          <a:off x="0" y="0"/>
                          <a:ext cx="6019920" cy="8687520"/>
                        </a:xfrm>
                        <a:prstGeom prst="rect">
                          <a:avLst/>
                        </a:prstGeom>
                        <a:solidFill>
                          <a:srgbClr val="ffffff"/>
                        </a:solidFill>
                        <a:ln w="720">
                          <a:solidFill>
                            <a:srgbClr val="000000"/>
                          </a:solidFill>
                          <a:round/>
                        </a:ln>
                      </wps:spPr>
                      <wps:style>
                        <a:lnRef idx="0"/>
                        <a:fillRef idx="0"/>
                        <a:effectRef idx="0"/>
                        <a:fontRef idx="minor"/>
                      </wps:style>
                      <wps:txbx>
                        <w:txbxContent>
                          <w:p>
                            <w:pPr>
                              <w:pStyle w:val="P68B1DB1Normal6"/>
                              <w:spacing w:before="57" w:after="57"/>
                              <w:rPr>
                                <w:rFonts w:ascii="Times New Roman" w:hAnsi="Times New Roman"/>
                                <w:b/>
                                <w:b/>
                                <w:sz w:val="24"/>
                              </w:rPr>
                            </w:pPr>
                            <w:r>
                              <w:rPr>
                                <w:color w:val="auto"/>
                              </w:rPr>
                              <w:t>Pierre Dieumegard által készített dokumentum</w:t>
                            </w:r>
                            <w:r>
                              <w:rPr>
                                <w:color w:val="auto"/>
                              </w:rPr>
                              <w:drawing>
                                <wp:inline distT="0" distB="0" distL="0" distR="0">
                                  <wp:extent cx="2494280" cy="765175"/>
                                  <wp:effectExtent l="0" t="0" r="0" b="0"/>
                                  <wp:docPr id="8" name="Kép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Kép49" descr=""/>
                                          <pic:cNvPicPr>
                                            <a:picLocks noChangeAspect="1" noChangeArrowheads="1"/>
                                          </pic:cNvPicPr>
                                        </pic:nvPicPr>
                                        <pic:blipFill>
                                          <a:blip r:embed="rId4"/>
                                          <a:stretch>
                                            <a:fillRect/>
                                          </a:stretch>
                                        </pic:blipFill>
                                        <pic:spPr bwMode="auto">
                                          <a:xfrm>
                                            <a:off x="0" y="0"/>
                                            <a:ext cx="2494280" cy="765175"/>
                                          </a:xfrm>
                                          <a:prstGeom prst="rect">
                                            <a:avLst/>
                                          </a:prstGeom>
                                        </pic:spPr>
                                      </pic:pic>
                                    </a:graphicData>
                                  </a:graphic>
                                </wp:inline>
                              </w:drawing>
                            </w:r>
                          </w:p>
                          <w:p>
                            <w:pPr>
                              <w:pStyle w:val="P68B1DB1Normal6"/>
                              <w:rPr>
                                <w:rFonts w:ascii="Times New Roman" w:hAnsi="Times New Roman"/>
                                <w:b/>
                                <w:b/>
                                <w:sz w:val="24"/>
                              </w:rPr>
                            </w:pPr>
                            <w:r>
                              <w:rPr>
                                <w:color w:val="auto"/>
                              </w:rPr>
                              <w:t xml:space="preserve"> </w:t>
                            </w:r>
                            <w:r>
                              <w:rPr>
                                <w:color w:val="auto"/>
                              </w:rPr>
                              <w:t>Európa-demokrácia-Esperanto</w:t>
                            </w:r>
                          </w:p>
                          <w:p>
                            <w:pPr>
                              <w:pStyle w:val="P68B1DB1Normal7"/>
                              <w:rPr>
                                <w:rFonts w:ascii="Times New Roman" w:hAnsi="Times New Roman"/>
                                <w:sz w:val="24"/>
                              </w:rPr>
                            </w:pPr>
                            <w:r>
                              <w:rPr>
                                <w:color w:val="auto"/>
                              </w:rPr>
                              <w:t xml:space="preserve"> </w:t>
                            </w:r>
                          </w:p>
                          <w:p>
                            <w:pPr>
                              <w:pStyle w:val="Normal"/>
                              <w:rPr>
                                <w:rFonts w:ascii="Times New Roman" w:hAnsi="Times New Roman"/>
                                <w:color w:val="auto"/>
                                <w:sz w:val="24"/>
                              </w:rPr>
                            </w:pPr>
                            <w:r>
                              <w:rPr>
                                <w:rFonts w:ascii="Times New Roman" w:hAnsi="Times New Roman"/>
                                <w:color w:val="auto"/>
                                <w:sz w:val="24"/>
                              </w:rPr>
                            </w:r>
                          </w:p>
                          <w:p>
                            <w:pPr>
                              <w:pStyle w:val="Normal"/>
                              <w:rPr/>
                            </w:pPr>
                            <w:r>
                              <w:rPr>
                                <w:rFonts w:ascii="Times New Roman" w:hAnsi="Times New Roman"/>
                                <w:color w:val="auto"/>
                                <w:sz w:val="24"/>
                              </w:rPr>
                              <w:t xml:space="preserve">Ennek az „ideiglenes” dokumentumnak az a célja, hogy az Európai Unióban minél több ember megérthesse az Európai Unió számára készített (és hozzájárulásukból finanszírozott) dokumentumokat. Az </w:t>
                            </w:r>
                            <w:hyperlink r:id="rId5">
                              <w:r>
                                <w:rPr>
                                  <w:rStyle w:val="LienInternet"/>
                                  <w:rFonts w:ascii="Times New Roman" w:hAnsi="Times New Roman"/>
                                  <w:color w:val="auto"/>
                                  <w:sz w:val="24"/>
                                </w:rPr>
                                <w:t xml:space="preserve">eredetifrancia nyelvű dokumentum PDF formátumban </w:t>
                              </w:r>
                            </w:hyperlink>
                            <w:r>
                              <w:rPr>
                                <w:rFonts w:ascii="Times New Roman" w:hAnsi="Times New Roman"/>
                                <w:color w:val="auto"/>
                                <w:sz w:val="24"/>
                              </w:rPr>
                              <w:t xml:space="preserve">készült a Libre Office szoftver segítségével. A fordítás az Európai Unió valamennyi hivatalos nyelvére a https://webgate.ec.europa.eu/etranslation címen </w:t>
                            </w:r>
                            <w:hyperlink r:id="rId6">
                              <w:r>
                                <w:rPr>
                                  <w:rStyle w:val="LienInternet"/>
                                  <w:rFonts w:ascii="Times New Roman" w:hAnsi="Times New Roman"/>
                                  <w:color w:val="auto"/>
                                  <w:sz w:val="24"/>
                                </w:rPr>
                                <w:t>történik</w:t>
                              </w:r>
                            </w:hyperlink>
                            <w:r>
                              <w:rPr>
                                <w:rFonts w:ascii="Times New Roman" w:hAnsi="Times New Roman"/>
                                <w:color w:val="auto"/>
                                <w:sz w:val="24"/>
                              </w:rPr>
                              <w:t>.</w:t>
                            </w:r>
                          </w:p>
                          <w:p>
                            <w:pPr>
                              <w:pStyle w:val="P68B1DB1Normal7"/>
                              <w:rPr>
                                <w:rFonts w:ascii="Times New Roman" w:hAnsi="Times New Roman"/>
                                <w:sz w:val="24"/>
                              </w:rPr>
                            </w:pPr>
                            <w:r>
                              <w:rPr>
                                <w:color w:val="auto"/>
                              </w:rPr>
                              <w:t xml:space="preserve">Ezt a munkát azért végeztük, mert jobb többnyelvűségre van szükség az Európai Unióban: fordítás nélkül a lakosság nagy része ki van zárva a vitából. </w:t>
                            </w:r>
                            <w:r>
                              <w:rPr>
                                <w:b/>
                                <w:color w:val="auto"/>
                              </w:rPr>
                              <w:t>Kívánatos, hogy az Európai Unió közigazgatása átvegye a fontos dokumentumok fordítását, hogy minden európai megérthesse, miről van szó, és közösen megvitassák közös jövőjüket.</w:t>
                            </w:r>
                          </w:p>
                          <w:p>
                            <w:pPr>
                              <w:pStyle w:val="P68B1DB1Normal7"/>
                              <w:rPr>
                                <w:rFonts w:ascii="Times New Roman" w:hAnsi="Times New Roman"/>
                                <w:sz w:val="24"/>
                              </w:rPr>
                            </w:pPr>
                            <w:r>
                              <w:rPr>
                                <w:color w:val="auto"/>
                              </w:rPr>
                              <w:t xml:space="preserve"> </w:t>
                            </w:r>
                          </w:p>
                          <w:p>
                            <w:pPr>
                              <w:pStyle w:val="P68B1DB1Normal7"/>
                              <w:rPr>
                                <w:rFonts w:ascii="Times New Roman" w:hAnsi="Times New Roman"/>
                                <w:sz w:val="24"/>
                              </w:rPr>
                            </w:pPr>
                            <w:r>
                              <w:rPr>
                                <w:color w:val="auto"/>
                              </w:rPr>
                              <w:t xml:space="preserve">Az európai polgárok közötti jó közvetlen kommunikációhoz, a megbízható fordításokhoz a nemzetközi eszperantó nyelv nagyon hasznos lenne egyszerűsége, szabályszerűsége és pontossága miatt. </w:t>
                            </w:r>
                          </w:p>
                          <w:p>
                            <w:pPr>
                              <w:pStyle w:val="P68B1DB1Normal7"/>
                              <w:rPr>
                                <w:rFonts w:ascii="Times New Roman" w:hAnsi="Times New Roman"/>
                                <w:sz w:val="24"/>
                              </w:rPr>
                            </w:pPr>
                            <w:r>
                              <w:rPr>
                                <w:color w:val="auto"/>
                              </w:rPr>
                              <w:t xml:space="preserve"> </w:t>
                            </w:r>
                          </w:p>
                          <w:p>
                            <w:pPr>
                              <w:pStyle w:val="P68B1DB1Normal7"/>
                              <w:rPr>
                                <w:rFonts w:ascii="Times New Roman" w:hAnsi="Times New Roman"/>
                                <w:sz w:val="24"/>
                              </w:rPr>
                            </w:pPr>
                            <w:r>
                              <w:rPr>
                                <w:color w:val="auto"/>
                              </w:rPr>
                              <w:t xml:space="preserve"> </w:t>
                            </w:r>
                            <w:r>
                              <w:rPr>
                                <w:color w:val="auto"/>
                              </w:rPr>
                              <w:t xml:space="preserve">Az interneten: </w:t>
                            </w:r>
                          </w:p>
                          <w:p>
                            <w:pPr>
                              <w:pStyle w:val="Normal"/>
                              <w:rPr/>
                            </w:pPr>
                            <w:r>
                              <w:rPr>
                                <w:rFonts w:ascii="Times New Roman" w:hAnsi="Times New Roman"/>
                                <w:color w:val="auto"/>
                                <w:sz w:val="24"/>
                              </w:rPr>
                              <w:t xml:space="preserve"> </w:t>
                            </w:r>
                            <w:r>
                              <w:rPr>
                                <w:rFonts w:ascii="Times New Roman" w:hAnsi="Times New Roman"/>
                                <w:color w:val="auto"/>
                                <w:sz w:val="24"/>
                              </w:rPr>
                              <w:t>Szövetségi E</w:t>
                            </w:r>
                            <w:r>
                              <w:rPr>
                                <w:rFonts w:ascii="Times New Roman" w:hAnsi="Times New Roman"/>
                                <w:color w:val="auto"/>
                                <w:sz w:val="24"/>
                              </w:rPr>
                              <w:t>ŭ</w:t>
                            </w:r>
                            <w:r>
                              <w:rPr>
                                <w:rFonts w:ascii="Times New Roman" w:hAnsi="Times New Roman"/>
                                <w:color w:val="auto"/>
                                <w:sz w:val="24"/>
                              </w:rPr>
                              <w:t xml:space="preserve">ropo-Demokratio-Esperanto:   </w:t>
                            </w:r>
                            <w:hyperlink r:id="rId7">
                              <w:r>
                                <w:rPr>
                                  <w:rStyle w:val="LienInternet"/>
                                  <w:rFonts w:ascii="Times New Roman" w:hAnsi="Times New Roman"/>
                                  <w:color w:val="auto"/>
                                  <w:sz w:val="24"/>
                                </w:rPr>
                                <w:t>https://e-d-e.org/</w:t>
                              </w:r>
                            </w:hyperlink>
                            <w:r>
                              <w:rPr>
                                <w:rFonts w:ascii="Times New Roman" w:hAnsi="Times New Roman"/>
                                <w:color w:val="auto"/>
                                <w:sz w:val="24"/>
                              </w:rPr>
                              <w:t xml:space="preserve"> (vagy </w:t>
                            </w:r>
                            <w:hyperlink r:id="rId8">
                              <w:r>
                                <w:rPr>
                                  <w:rStyle w:val="LienInternet"/>
                                  <w:rFonts w:ascii="Times New Roman" w:hAnsi="Times New Roman"/>
                                  <w:color w:val="auto"/>
                                  <w:sz w:val="24"/>
                                </w:rPr>
                                <w:t>www.demokratio.eu</w:t>
                              </w:r>
                            </w:hyperlink>
                            <w:r>
                              <w:rPr>
                                <w:rFonts w:ascii="Times New Roman" w:hAnsi="Times New Roman"/>
                                <w:color w:val="auto"/>
                                <w:sz w:val="24"/>
                              </w:rPr>
                              <w:t>)</w:t>
                            </w:r>
                          </w:p>
                          <w:p>
                            <w:pPr>
                              <w:pStyle w:val="Normal"/>
                              <w:spacing w:before="62" w:after="62"/>
                              <w:rPr/>
                            </w:pPr>
                            <w:r>
                              <w:rPr>
                                <w:rFonts w:ascii="Times New Roman" w:hAnsi="Times New Roman"/>
                                <w:color w:val="auto"/>
                                <w:sz w:val="24"/>
                              </w:rPr>
                              <w:t xml:space="preserve">Association Europe-Democracy-Esperanto (Franciaország):   </w:t>
                            </w:r>
                            <w:hyperlink r:id="rId9">
                              <w:r>
                                <w:rPr>
                                  <w:rStyle w:val="LienInternet"/>
                                  <w:rFonts w:ascii="Times New Roman" w:hAnsi="Times New Roman"/>
                                  <w:color w:val="auto"/>
                                  <w:sz w:val="24"/>
                                </w:rPr>
                                <w:t>https://e-d-e.fr/</w:t>
                              </w:r>
                            </w:hyperlink>
                            <w:r>
                              <w:rPr>
                                <w:rFonts w:ascii="Times New Roman" w:hAnsi="Times New Roman"/>
                                <w:color w:val="auto"/>
                                <w:sz w:val="24"/>
                              </w:rPr>
                              <w:t xml:space="preserve"> </w:t>
                            </w:r>
                          </w:p>
                          <w:p>
                            <w:pPr>
                              <w:pStyle w:val="Normal"/>
                              <w:spacing w:before="62" w:after="62"/>
                              <w:rPr/>
                            </w:pPr>
                            <w:r>
                              <w:rPr>
                                <w:rFonts w:ascii="Times New Roman" w:hAnsi="Times New Roman"/>
                                <w:color w:val="auto"/>
                                <w:sz w:val="24"/>
                              </w:rPr>
                              <w:t xml:space="preserve">Európai dokumentumok valamennyi hivatalos nyelven: </w:t>
                            </w:r>
                            <w:hyperlink r:id="rId10">
                              <w:r>
                                <w:rPr>
                                  <w:rStyle w:val="LienInternet"/>
                                  <w:rFonts w:ascii="Times New Roman" w:hAnsi="Times New Roman"/>
                                  <w:color w:val="auto"/>
                                  <w:sz w:val="24"/>
                                </w:rPr>
                                <w:t>http://www.europokune.eu/</w:t>
                              </w:r>
                            </w:hyperlink>
                            <w:r>
                              <w:rPr>
                                <w:rFonts w:ascii="Times New Roman" w:hAnsi="Times New Roman"/>
                                <w:color w:val="auto"/>
                                <w:sz w:val="24"/>
                              </w:rPr>
                              <w:t xml:space="preserve"> </w:t>
                            </w:r>
                          </w:p>
                          <w:p>
                            <w:pPr>
                              <w:pStyle w:val="Normal"/>
                              <w:rPr>
                                <w:rFonts w:ascii="Times New Roman" w:hAnsi="Times New Roman"/>
                                <w:color w:val="auto"/>
                                <w:sz w:val="24"/>
                              </w:rPr>
                            </w:pPr>
                            <w:r>
                              <w:rPr>
                                <w:rFonts w:ascii="Times New Roman" w:hAnsi="Times New Roman"/>
                                <w:color w:val="auto"/>
                                <w:sz w:val="24"/>
                              </w:rPr>
                            </w:r>
                          </w:p>
                          <w:p>
                            <w:pPr>
                              <w:pStyle w:val="Normal"/>
                              <w:rPr>
                                <w:rFonts w:ascii="Times New Roman" w:hAnsi="Times New Roman"/>
                                <w:color w:val="auto"/>
                                <w:sz w:val="24"/>
                              </w:rPr>
                            </w:pPr>
                            <w:r>
                              <w:rPr>
                                <w:rFonts w:ascii="Times New Roman" w:hAnsi="Times New Roman"/>
                                <w:color w:val="auto"/>
                                <w:sz w:val="24"/>
                              </w:rPr>
                            </w:r>
                          </w:p>
                          <w:p>
                            <w:pPr>
                              <w:pStyle w:val="P68B1DB1Normal7"/>
                              <w:rPr>
                                <w:rFonts w:ascii="Times New Roman" w:hAnsi="Times New Roman"/>
                                <w:sz w:val="24"/>
                              </w:rPr>
                            </w:pPr>
                            <w:r>
                              <w:rPr>
                                <w:color w:val="auto"/>
                              </w:rPr>
                              <w:t xml:space="preserve">Az eredeti dokumentumhoz képest vannak változások (javítások?): </w:t>
                            </w:r>
                          </w:p>
                          <w:p>
                            <w:pPr>
                              <w:pStyle w:val="P68B1DB1Normal7"/>
                              <w:rPr>
                                <w:rFonts w:ascii="Times New Roman" w:hAnsi="Times New Roman"/>
                                <w:sz w:val="24"/>
                              </w:rPr>
                            </w:pPr>
                            <w:r>
                              <w:rPr>
                                <w:color w:val="auto"/>
                              </w:rPr>
                              <w:t>néhány helyesírási hibát kijavítottak. Lehet, hogy voltak más hibák is?</w:t>
                            </w:r>
                          </w:p>
                          <w:p>
                            <w:pPr>
                              <w:pStyle w:val="P68B1DB1Normal7"/>
                              <w:rPr>
                                <w:rFonts w:ascii="Times New Roman" w:hAnsi="Times New Roman"/>
                                <w:sz w:val="24"/>
                              </w:rPr>
                            </w:pPr>
                            <w:r>
                              <w:rPr>
                                <w:color w:val="auto"/>
                              </w:rPr>
                              <w:t xml:space="preserve">– </w:t>
                            </w:r>
                            <w:r>
                              <w:rPr>
                                <w:color w:val="auto"/>
                              </w:rPr>
                              <w:t>az elrendezés harmonizált, és minden oldal megfelelő számozással van ellátva (az eredeti dokumentum különálló pdf fájlok egymás mellé helyezése volt, független számozásokkal).</w:t>
                            </w:r>
                          </w:p>
                          <w:p>
                            <w:pPr>
                              <w:pStyle w:val="P68B1DB1Normal7"/>
                              <w:rPr>
                                <w:rFonts w:ascii="Times New Roman" w:hAnsi="Times New Roman"/>
                                <w:sz w:val="24"/>
                              </w:rPr>
                            </w:pPr>
                            <w:r>
                              <w:rPr>
                                <w:color w:val="auto"/>
                              </w:rPr>
                              <w:t xml:space="preserve">– </w:t>
                            </w:r>
                            <w:r>
                              <w:rPr>
                                <w:color w:val="auto"/>
                              </w:rPr>
                              <w:t>a végjegyzeteket szakaszvégi jegyzetekké alakították át (az oldalak alján).</w:t>
                            </w:r>
                          </w:p>
                          <w:p>
                            <w:pPr>
                              <w:pStyle w:val="P68B1DB1Normal7"/>
                              <w:spacing w:before="57" w:after="57"/>
                              <w:rPr>
                                <w:color w:val="auto"/>
                              </w:rPr>
                            </w:pPr>
                            <w:r>
                              <w:rPr>
                                <w:color w:val="auto"/>
                              </w:rPr>
                              <w:t xml:space="preserve">– </w:t>
                            </w:r>
                            <w:r>
                              <w:rPr>
                                <w:color w:val="auto"/>
                              </w:rPr>
                              <w:t>az eredetileg képek formájában készült dokumentumokat táblázatokká alakították át, hogy könnyen lefordíthatók legyenek.</w:t>
                            </w:r>
                          </w:p>
                        </w:txbxContent>
                      </wps:txbx>
                      <wps:bodyPr lIns="54000" rIns="54000" tIns="54000" bIns="54000">
                        <a:noAutofit/>
                      </wps:bodyPr>
                    </wps:wsp>
                  </a:graphicData>
                </a:graphic>
              </wp:anchor>
            </w:drawing>
          </mc:Choice>
          <mc:Fallback>
            <w:pict>
              <v:rect id="shape_0" ID="Keretrendszer16" fillcolor="white" stroked="t" style="position:absolute;margin-left:0.35pt;margin-top:6.75pt;width:473.95pt;height:684pt">
                <w10:wrap type="square"/>
                <v:fill o:detectmouseclick="t" type="solid" color2="black"/>
                <v:stroke color="black" weight="720" joinstyle="round" endcap="flat"/>
                <v:textbox>
                  <w:txbxContent>
                    <w:p>
                      <w:pPr>
                        <w:pStyle w:val="P68B1DB1Normal6"/>
                        <w:spacing w:before="57" w:after="57"/>
                        <w:rPr>
                          <w:rFonts w:ascii="Times New Roman" w:hAnsi="Times New Roman"/>
                          <w:b/>
                          <w:b/>
                          <w:sz w:val="24"/>
                        </w:rPr>
                      </w:pPr>
                      <w:r>
                        <w:rPr>
                          <w:color w:val="auto"/>
                        </w:rPr>
                        <w:t>Pierre Dieumegard által készített dokumentum</w:t>
                      </w:r>
                      <w:r>
                        <w:rPr>
                          <w:color w:val="auto"/>
                        </w:rPr>
                        <w:drawing>
                          <wp:inline distT="0" distB="0" distL="0" distR="0">
                            <wp:extent cx="2494280" cy="765175"/>
                            <wp:effectExtent l="0" t="0" r="0" b="0"/>
                            <wp:docPr id="9" name="Kép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Kép49" descr=""/>
                                    <pic:cNvPicPr>
                                      <a:picLocks noChangeAspect="1" noChangeArrowheads="1"/>
                                    </pic:cNvPicPr>
                                  </pic:nvPicPr>
                                  <pic:blipFill>
                                    <a:blip r:embed="rId4"/>
                                    <a:stretch>
                                      <a:fillRect/>
                                    </a:stretch>
                                  </pic:blipFill>
                                  <pic:spPr bwMode="auto">
                                    <a:xfrm>
                                      <a:off x="0" y="0"/>
                                      <a:ext cx="2494280" cy="765175"/>
                                    </a:xfrm>
                                    <a:prstGeom prst="rect">
                                      <a:avLst/>
                                    </a:prstGeom>
                                  </pic:spPr>
                                </pic:pic>
                              </a:graphicData>
                            </a:graphic>
                          </wp:inline>
                        </w:drawing>
                      </w:r>
                    </w:p>
                    <w:p>
                      <w:pPr>
                        <w:pStyle w:val="P68B1DB1Normal6"/>
                        <w:rPr>
                          <w:rFonts w:ascii="Times New Roman" w:hAnsi="Times New Roman"/>
                          <w:b/>
                          <w:b/>
                          <w:sz w:val="24"/>
                        </w:rPr>
                      </w:pPr>
                      <w:r>
                        <w:rPr>
                          <w:color w:val="auto"/>
                        </w:rPr>
                        <w:t xml:space="preserve"> </w:t>
                      </w:r>
                      <w:r>
                        <w:rPr>
                          <w:color w:val="auto"/>
                        </w:rPr>
                        <w:t>Európa-demokrácia-Esperanto</w:t>
                      </w:r>
                    </w:p>
                    <w:p>
                      <w:pPr>
                        <w:pStyle w:val="P68B1DB1Normal7"/>
                        <w:rPr>
                          <w:rFonts w:ascii="Times New Roman" w:hAnsi="Times New Roman"/>
                          <w:sz w:val="24"/>
                        </w:rPr>
                      </w:pPr>
                      <w:r>
                        <w:rPr>
                          <w:color w:val="auto"/>
                        </w:rPr>
                        <w:t xml:space="preserve"> </w:t>
                      </w:r>
                    </w:p>
                    <w:p>
                      <w:pPr>
                        <w:pStyle w:val="Normal"/>
                        <w:rPr>
                          <w:rFonts w:ascii="Times New Roman" w:hAnsi="Times New Roman"/>
                          <w:color w:val="auto"/>
                          <w:sz w:val="24"/>
                        </w:rPr>
                      </w:pPr>
                      <w:r>
                        <w:rPr>
                          <w:rFonts w:ascii="Times New Roman" w:hAnsi="Times New Roman"/>
                          <w:color w:val="auto"/>
                          <w:sz w:val="24"/>
                        </w:rPr>
                      </w:r>
                    </w:p>
                    <w:p>
                      <w:pPr>
                        <w:pStyle w:val="Normal"/>
                        <w:rPr/>
                      </w:pPr>
                      <w:r>
                        <w:rPr>
                          <w:rFonts w:ascii="Times New Roman" w:hAnsi="Times New Roman"/>
                          <w:color w:val="auto"/>
                          <w:sz w:val="24"/>
                        </w:rPr>
                        <w:t xml:space="preserve">Ennek az „ideiglenes” dokumentumnak az a célja, hogy az Európai Unióban minél több ember megérthesse az Európai Unió számára készített (és hozzájárulásukból finanszírozott) dokumentumokat. Az </w:t>
                      </w:r>
                      <w:hyperlink r:id="rId11">
                        <w:r>
                          <w:rPr>
                            <w:rStyle w:val="LienInternet"/>
                            <w:rFonts w:ascii="Times New Roman" w:hAnsi="Times New Roman"/>
                            <w:color w:val="auto"/>
                            <w:sz w:val="24"/>
                          </w:rPr>
                          <w:t xml:space="preserve">eredetifrancia nyelvű dokumentum PDF formátumban </w:t>
                        </w:r>
                      </w:hyperlink>
                      <w:r>
                        <w:rPr>
                          <w:rFonts w:ascii="Times New Roman" w:hAnsi="Times New Roman"/>
                          <w:color w:val="auto"/>
                          <w:sz w:val="24"/>
                        </w:rPr>
                        <w:t xml:space="preserve">készült a Libre Office szoftver segítségével. A fordítás az Európai Unió valamennyi hivatalos nyelvére a https://webgate.ec.europa.eu/etranslation címen </w:t>
                      </w:r>
                      <w:hyperlink r:id="rId12">
                        <w:r>
                          <w:rPr>
                            <w:rStyle w:val="LienInternet"/>
                            <w:rFonts w:ascii="Times New Roman" w:hAnsi="Times New Roman"/>
                            <w:color w:val="auto"/>
                            <w:sz w:val="24"/>
                          </w:rPr>
                          <w:t>történik</w:t>
                        </w:r>
                      </w:hyperlink>
                      <w:r>
                        <w:rPr>
                          <w:rFonts w:ascii="Times New Roman" w:hAnsi="Times New Roman"/>
                          <w:color w:val="auto"/>
                          <w:sz w:val="24"/>
                        </w:rPr>
                        <w:t>.</w:t>
                      </w:r>
                    </w:p>
                    <w:p>
                      <w:pPr>
                        <w:pStyle w:val="P68B1DB1Normal7"/>
                        <w:rPr>
                          <w:rFonts w:ascii="Times New Roman" w:hAnsi="Times New Roman"/>
                          <w:sz w:val="24"/>
                        </w:rPr>
                      </w:pPr>
                      <w:r>
                        <w:rPr>
                          <w:color w:val="auto"/>
                        </w:rPr>
                        <w:t xml:space="preserve">Ezt a munkát azért végeztük, mert jobb többnyelvűségre van szükség az Európai Unióban: fordítás nélkül a lakosság nagy része ki van zárva a vitából. </w:t>
                      </w:r>
                      <w:r>
                        <w:rPr>
                          <w:b/>
                          <w:color w:val="auto"/>
                        </w:rPr>
                        <w:t>Kívánatos, hogy az Európai Unió közigazgatása átvegye a fontos dokumentumok fordítását, hogy minden európai megérthesse, miről van szó, és közösen megvitassák közös jövőjüket.</w:t>
                      </w:r>
                    </w:p>
                    <w:p>
                      <w:pPr>
                        <w:pStyle w:val="P68B1DB1Normal7"/>
                        <w:rPr>
                          <w:rFonts w:ascii="Times New Roman" w:hAnsi="Times New Roman"/>
                          <w:sz w:val="24"/>
                        </w:rPr>
                      </w:pPr>
                      <w:r>
                        <w:rPr>
                          <w:color w:val="auto"/>
                        </w:rPr>
                        <w:t xml:space="preserve"> </w:t>
                      </w:r>
                    </w:p>
                    <w:p>
                      <w:pPr>
                        <w:pStyle w:val="P68B1DB1Normal7"/>
                        <w:rPr>
                          <w:rFonts w:ascii="Times New Roman" w:hAnsi="Times New Roman"/>
                          <w:sz w:val="24"/>
                        </w:rPr>
                      </w:pPr>
                      <w:r>
                        <w:rPr>
                          <w:color w:val="auto"/>
                        </w:rPr>
                        <w:t xml:space="preserve">Az európai polgárok közötti jó közvetlen kommunikációhoz, a megbízható fordításokhoz a nemzetközi eszperantó nyelv nagyon hasznos lenne egyszerűsége, szabályszerűsége és pontossága miatt. </w:t>
                      </w:r>
                    </w:p>
                    <w:p>
                      <w:pPr>
                        <w:pStyle w:val="P68B1DB1Normal7"/>
                        <w:rPr>
                          <w:rFonts w:ascii="Times New Roman" w:hAnsi="Times New Roman"/>
                          <w:sz w:val="24"/>
                        </w:rPr>
                      </w:pPr>
                      <w:r>
                        <w:rPr>
                          <w:color w:val="auto"/>
                        </w:rPr>
                        <w:t xml:space="preserve"> </w:t>
                      </w:r>
                    </w:p>
                    <w:p>
                      <w:pPr>
                        <w:pStyle w:val="P68B1DB1Normal7"/>
                        <w:rPr>
                          <w:rFonts w:ascii="Times New Roman" w:hAnsi="Times New Roman"/>
                          <w:sz w:val="24"/>
                        </w:rPr>
                      </w:pPr>
                      <w:r>
                        <w:rPr>
                          <w:color w:val="auto"/>
                        </w:rPr>
                        <w:t xml:space="preserve"> </w:t>
                      </w:r>
                      <w:r>
                        <w:rPr>
                          <w:color w:val="auto"/>
                        </w:rPr>
                        <w:t xml:space="preserve">Az interneten: </w:t>
                      </w:r>
                    </w:p>
                    <w:p>
                      <w:pPr>
                        <w:pStyle w:val="Normal"/>
                        <w:rPr/>
                      </w:pPr>
                      <w:r>
                        <w:rPr>
                          <w:rFonts w:ascii="Times New Roman" w:hAnsi="Times New Roman"/>
                          <w:color w:val="auto"/>
                          <w:sz w:val="24"/>
                        </w:rPr>
                        <w:t xml:space="preserve"> </w:t>
                      </w:r>
                      <w:r>
                        <w:rPr>
                          <w:rFonts w:ascii="Times New Roman" w:hAnsi="Times New Roman"/>
                          <w:color w:val="auto"/>
                          <w:sz w:val="24"/>
                        </w:rPr>
                        <w:t>Szövetségi E</w:t>
                      </w:r>
                      <w:r>
                        <w:rPr>
                          <w:rFonts w:ascii="Times New Roman" w:hAnsi="Times New Roman"/>
                          <w:color w:val="auto"/>
                          <w:sz w:val="24"/>
                        </w:rPr>
                        <w:t>ŭ</w:t>
                      </w:r>
                      <w:r>
                        <w:rPr>
                          <w:rFonts w:ascii="Times New Roman" w:hAnsi="Times New Roman"/>
                          <w:color w:val="auto"/>
                          <w:sz w:val="24"/>
                        </w:rPr>
                        <w:t xml:space="preserve">ropo-Demokratio-Esperanto:   </w:t>
                      </w:r>
                      <w:hyperlink r:id="rId13">
                        <w:r>
                          <w:rPr>
                            <w:rStyle w:val="LienInternet"/>
                            <w:rFonts w:ascii="Times New Roman" w:hAnsi="Times New Roman"/>
                            <w:color w:val="auto"/>
                            <w:sz w:val="24"/>
                          </w:rPr>
                          <w:t>https://e-d-e.org/</w:t>
                        </w:r>
                      </w:hyperlink>
                      <w:r>
                        <w:rPr>
                          <w:rFonts w:ascii="Times New Roman" w:hAnsi="Times New Roman"/>
                          <w:color w:val="auto"/>
                          <w:sz w:val="24"/>
                        </w:rPr>
                        <w:t xml:space="preserve"> (vagy </w:t>
                      </w:r>
                      <w:hyperlink r:id="rId14">
                        <w:r>
                          <w:rPr>
                            <w:rStyle w:val="LienInternet"/>
                            <w:rFonts w:ascii="Times New Roman" w:hAnsi="Times New Roman"/>
                            <w:color w:val="auto"/>
                            <w:sz w:val="24"/>
                          </w:rPr>
                          <w:t>www.demokratio.eu</w:t>
                        </w:r>
                      </w:hyperlink>
                      <w:r>
                        <w:rPr>
                          <w:rFonts w:ascii="Times New Roman" w:hAnsi="Times New Roman"/>
                          <w:color w:val="auto"/>
                          <w:sz w:val="24"/>
                        </w:rPr>
                        <w:t>)</w:t>
                      </w:r>
                    </w:p>
                    <w:p>
                      <w:pPr>
                        <w:pStyle w:val="Normal"/>
                        <w:spacing w:before="62" w:after="62"/>
                        <w:rPr/>
                      </w:pPr>
                      <w:r>
                        <w:rPr>
                          <w:rFonts w:ascii="Times New Roman" w:hAnsi="Times New Roman"/>
                          <w:color w:val="auto"/>
                          <w:sz w:val="24"/>
                        </w:rPr>
                        <w:t xml:space="preserve">Association Europe-Democracy-Esperanto (Franciaország):   </w:t>
                      </w:r>
                      <w:hyperlink r:id="rId15">
                        <w:r>
                          <w:rPr>
                            <w:rStyle w:val="LienInternet"/>
                            <w:rFonts w:ascii="Times New Roman" w:hAnsi="Times New Roman"/>
                            <w:color w:val="auto"/>
                            <w:sz w:val="24"/>
                          </w:rPr>
                          <w:t>https://e-d-e.fr/</w:t>
                        </w:r>
                      </w:hyperlink>
                      <w:r>
                        <w:rPr>
                          <w:rFonts w:ascii="Times New Roman" w:hAnsi="Times New Roman"/>
                          <w:color w:val="auto"/>
                          <w:sz w:val="24"/>
                        </w:rPr>
                        <w:t xml:space="preserve"> </w:t>
                      </w:r>
                    </w:p>
                    <w:p>
                      <w:pPr>
                        <w:pStyle w:val="Normal"/>
                        <w:spacing w:before="62" w:after="62"/>
                        <w:rPr/>
                      </w:pPr>
                      <w:r>
                        <w:rPr>
                          <w:rFonts w:ascii="Times New Roman" w:hAnsi="Times New Roman"/>
                          <w:color w:val="auto"/>
                          <w:sz w:val="24"/>
                        </w:rPr>
                        <w:t xml:space="preserve">Európai dokumentumok valamennyi hivatalos nyelven: </w:t>
                      </w:r>
                      <w:hyperlink r:id="rId16">
                        <w:r>
                          <w:rPr>
                            <w:rStyle w:val="LienInternet"/>
                            <w:rFonts w:ascii="Times New Roman" w:hAnsi="Times New Roman"/>
                            <w:color w:val="auto"/>
                            <w:sz w:val="24"/>
                          </w:rPr>
                          <w:t>http://www.europokune.eu/</w:t>
                        </w:r>
                      </w:hyperlink>
                      <w:r>
                        <w:rPr>
                          <w:rFonts w:ascii="Times New Roman" w:hAnsi="Times New Roman"/>
                          <w:color w:val="auto"/>
                          <w:sz w:val="24"/>
                        </w:rPr>
                        <w:t xml:space="preserve"> </w:t>
                      </w:r>
                    </w:p>
                    <w:p>
                      <w:pPr>
                        <w:pStyle w:val="Normal"/>
                        <w:rPr>
                          <w:rFonts w:ascii="Times New Roman" w:hAnsi="Times New Roman"/>
                          <w:color w:val="auto"/>
                          <w:sz w:val="24"/>
                        </w:rPr>
                      </w:pPr>
                      <w:r>
                        <w:rPr>
                          <w:rFonts w:ascii="Times New Roman" w:hAnsi="Times New Roman"/>
                          <w:color w:val="auto"/>
                          <w:sz w:val="24"/>
                        </w:rPr>
                      </w:r>
                    </w:p>
                    <w:p>
                      <w:pPr>
                        <w:pStyle w:val="Normal"/>
                        <w:rPr>
                          <w:rFonts w:ascii="Times New Roman" w:hAnsi="Times New Roman"/>
                          <w:color w:val="auto"/>
                          <w:sz w:val="24"/>
                        </w:rPr>
                      </w:pPr>
                      <w:r>
                        <w:rPr>
                          <w:rFonts w:ascii="Times New Roman" w:hAnsi="Times New Roman"/>
                          <w:color w:val="auto"/>
                          <w:sz w:val="24"/>
                        </w:rPr>
                      </w:r>
                    </w:p>
                    <w:p>
                      <w:pPr>
                        <w:pStyle w:val="P68B1DB1Normal7"/>
                        <w:rPr>
                          <w:rFonts w:ascii="Times New Roman" w:hAnsi="Times New Roman"/>
                          <w:sz w:val="24"/>
                        </w:rPr>
                      </w:pPr>
                      <w:r>
                        <w:rPr>
                          <w:color w:val="auto"/>
                        </w:rPr>
                        <w:t xml:space="preserve">Az eredeti dokumentumhoz képest vannak változások (javítások?): </w:t>
                      </w:r>
                    </w:p>
                    <w:p>
                      <w:pPr>
                        <w:pStyle w:val="P68B1DB1Normal7"/>
                        <w:rPr>
                          <w:rFonts w:ascii="Times New Roman" w:hAnsi="Times New Roman"/>
                          <w:sz w:val="24"/>
                        </w:rPr>
                      </w:pPr>
                      <w:r>
                        <w:rPr>
                          <w:color w:val="auto"/>
                        </w:rPr>
                        <w:t>néhány helyesírási hibát kijavítottak. Lehet, hogy voltak más hibák is?</w:t>
                      </w:r>
                    </w:p>
                    <w:p>
                      <w:pPr>
                        <w:pStyle w:val="P68B1DB1Normal7"/>
                        <w:rPr>
                          <w:rFonts w:ascii="Times New Roman" w:hAnsi="Times New Roman"/>
                          <w:sz w:val="24"/>
                        </w:rPr>
                      </w:pPr>
                      <w:r>
                        <w:rPr>
                          <w:color w:val="auto"/>
                        </w:rPr>
                        <w:t xml:space="preserve">– </w:t>
                      </w:r>
                      <w:r>
                        <w:rPr>
                          <w:color w:val="auto"/>
                        </w:rPr>
                        <w:t>az elrendezés harmonizált, és minden oldal megfelelő számozással van ellátva (az eredeti dokumentum különálló pdf fájlok egymás mellé helyezése volt, független számozásokkal).</w:t>
                      </w:r>
                    </w:p>
                    <w:p>
                      <w:pPr>
                        <w:pStyle w:val="P68B1DB1Normal7"/>
                        <w:rPr>
                          <w:rFonts w:ascii="Times New Roman" w:hAnsi="Times New Roman"/>
                          <w:sz w:val="24"/>
                        </w:rPr>
                      </w:pPr>
                      <w:r>
                        <w:rPr>
                          <w:color w:val="auto"/>
                        </w:rPr>
                        <w:t xml:space="preserve">– </w:t>
                      </w:r>
                      <w:r>
                        <w:rPr>
                          <w:color w:val="auto"/>
                        </w:rPr>
                        <w:t>a végjegyzeteket szakaszvégi jegyzetekké alakították át (az oldalak alján).</w:t>
                      </w:r>
                    </w:p>
                    <w:p>
                      <w:pPr>
                        <w:pStyle w:val="P68B1DB1Normal7"/>
                        <w:spacing w:before="57" w:after="57"/>
                        <w:rPr>
                          <w:color w:val="auto"/>
                        </w:rPr>
                      </w:pPr>
                      <w:r>
                        <w:rPr>
                          <w:color w:val="auto"/>
                        </w:rPr>
                        <w:t xml:space="preserve">– </w:t>
                      </w:r>
                      <w:r>
                        <w:rPr>
                          <w:color w:val="auto"/>
                        </w:rPr>
                        <w:t>az eredetileg képek formájában készült dokumentumokat táblázatokká alakították át, hogy könnyen lefordíthatók legyenek.</w:t>
                      </w:r>
                    </w:p>
                  </w:txbxContent>
                </v:textbox>
              </v:rect>
            </w:pict>
          </mc:Fallback>
        </mc:AlternateContent>
      </w:r>
    </w:p>
    <w:p>
      <w:pPr>
        <w:pStyle w:val="Normal"/>
        <w:rPr/>
      </w:pPr>
      <w:r>
        <w:rPr/>
      </w:r>
      <w:r>
        <w:br w:type="page"/>
      </w:r>
    </w:p>
    <w:sdt>
      <w:sdtPr>
        <w:docPartObj>
          <w:docPartGallery w:val="Table of Contents"/>
          <w:docPartUnique w:val="true"/>
        </w:docPartObj>
      </w:sdtPr>
      <w:sdtContent>
        <w:p>
          <w:pPr>
            <w:pStyle w:val="TOAHeading"/>
            <w:rPr/>
          </w:pPr>
          <w:r>
            <w:rPr/>
            <w:t>Tartalomjegyzék</w:t>
          </w:r>
        </w:p>
        <w:p>
          <w:pPr>
            <w:pStyle w:val="Tabledesmatiresniveau1"/>
            <w:tabs>
              <w:tab w:val="right" w:pos="9638" w:leader="dot"/>
            </w:tabs>
            <w:rPr/>
          </w:pPr>
          <w:r>
            <w:fldChar w:fldCharType="begin"/>
          </w:r>
          <w:r>
            <w:rPr>
              <w:rStyle w:val="Sautdindex"/>
            </w:rPr>
            <w:instrText> TOC \f \o "1-2" \h</w:instrText>
          </w:r>
          <w:r>
            <w:rPr>
              <w:rStyle w:val="Sautdindex"/>
            </w:rPr>
            <w:fldChar w:fldCharType="separate"/>
          </w:r>
          <w:hyperlink w:anchor="__RefHeading___Toc298046_1346298689">
            <w:r>
              <w:rPr>
                <w:rStyle w:val="Sautdindex"/>
              </w:rPr>
              <w:t>I. A konferencia építészete</w:t>
              <w:tab/>
              <w:t>8</w:t>
            </w:r>
          </w:hyperlink>
        </w:p>
        <w:p>
          <w:pPr>
            <w:pStyle w:val="Tabledesmatiresniveau2"/>
            <w:tabs>
              <w:tab w:val="right" w:pos="9638" w:leader="dot"/>
            </w:tabs>
            <w:rPr/>
          </w:pPr>
          <w:hyperlink w:anchor="__RefHeading___Toc298048_1346298689">
            <w:r>
              <w:rPr>
                <w:rStyle w:val="Sautdindex"/>
              </w:rPr>
              <w:t>1. Együttes nyilatkozat</w:t>
              <w:tab/>
              <w:t>9</w:t>
            </w:r>
          </w:hyperlink>
        </w:p>
        <w:p>
          <w:pPr>
            <w:pStyle w:val="Tabledesmatiresniveau2"/>
            <w:tabs>
              <w:tab w:val="right" w:pos="9638" w:leader="dot"/>
            </w:tabs>
            <w:rPr/>
          </w:pPr>
          <w:hyperlink w:anchor="__RefHeading___Toc298050_1346298689">
            <w:r>
              <w:rPr>
                <w:rStyle w:val="Sautdindex"/>
              </w:rPr>
              <w:t>2. Eljárási szabályzat</w:t>
              <w:tab/>
              <w:t>10</w:t>
            </w:r>
          </w:hyperlink>
        </w:p>
        <w:p>
          <w:pPr>
            <w:pStyle w:val="Tabledesmatiresniveau2"/>
            <w:tabs>
              <w:tab w:val="right" w:pos="9638" w:leader="dot"/>
            </w:tabs>
            <w:rPr/>
          </w:pPr>
          <w:hyperlink w:anchor="__RefHeading___Toc298052_1346298689">
            <w:r>
              <w:rPr>
                <w:rStyle w:val="Sautdindex"/>
              </w:rPr>
              <w:t>3. A konferenciához kapcsolódó események</w:t>
              <w:tab/>
              <w:t>10</w:t>
            </w:r>
          </w:hyperlink>
        </w:p>
        <w:p>
          <w:pPr>
            <w:pStyle w:val="Tabledesmatiresniveau2"/>
            <w:tabs>
              <w:tab w:val="right" w:pos="9638" w:leader="dot"/>
            </w:tabs>
            <w:rPr/>
          </w:pPr>
          <w:hyperlink w:anchor="__RefHeading___Toc298054_1346298689">
            <w:r>
              <w:rPr>
                <w:rStyle w:val="Sautdindex"/>
              </w:rPr>
              <w:t>4. A többnyelvű digitális platform megvalósítása</w:t>
              <w:tab/>
              <w:t>10</w:t>
            </w:r>
          </w:hyperlink>
        </w:p>
        <w:p>
          <w:pPr>
            <w:pStyle w:val="Tabledesmatiresniveau2"/>
            <w:tabs>
              <w:tab w:val="right" w:pos="9638" w:leader="dot"/>
            </w:tabs>
            <w:rPr/>
          </w:pPr>
          <w:hyperlink w:anchor="__RefHeading___Toc298056_1346298689">
            <w:r>
              <w:rPr>
                <w:rStyle w:val="Sautdindex"/>
              </w:rPr>
              <w:t>5. Az európai polgári vitacsoportok</w:t>
              <w:tab/>
              <w:t>11</w:t>
            </w:r>
          </w:hyperlink>
        </w:p>
        <w:p>
          <w:pPr>
            <w:pStyle w:val="Tabledesmatiresniveau2"/>
            <w:tabs>
              <w:tab w:val="right" w:pos="9638" w:leader="dot"/>
            </w:tabs>
            <w:rPr/>
          </w:pPr>
          <w:hyperlink w:anchor="__RefHeading___Toc298058_1346298689">
            <w:r>
              <w:rPr>
                <w:rStyle w:val="Sautdindex"/>
              </w:rPr>
              <w:t>6. Nemzeti polgári vitacsoportok</w:t>
              <w:tab/>
              <w:t>11</w:t>
            </w:r>
          </w:hyperlink>
        </w:p>
        <w:p>
          <w:pPr>
            <w:pStyle w:val="Tabledesmatiresniveau1"/>
            <w:tabs>
              <w:tab w:val="right" w:pos="9638" w:leader="dot"/>
            </w:tabs>
            <w:rPr/>
          </w:pPr>
          <w:hyperlink w:anchor="__RefHeading___Toc298188_1346298689">
            <w:r>
              <w:rPr>
                <w:rStyle w:val="Sautdindex"/>
              </w:rPr>
              <w:t>NEM, NEM, NEM, NEM. A polgárok hozzájárulása a konferenciához</w:t>
              <w:tab/>
              <w:t>12</w:t>
            </w:r>
          </w:hyperlink>
        </w:p>
        <w:p>
          <w:pPr>
            <w:pStyle w:val="Tabledesmatiresniveau2"/>
            <w:tabs>
              <w:tab w:val="right" w:pos="9638" w:leader="dot"/>
            </w:tabs>
            <w:rPr/>
          </w:pPr>
          <w:hyperlink w:anchor="__RefHeading___Toc298190_1346298689">
            <w:r>
              <w:rPr>
                <w:rStyle w:val="Sautdindex"/>
              </w:rPr>
              <w:t>A. Többnyelvű digitális platform</w:t>
              <w:tab/>
              <w:t>13</w:t>
            </w:r>
          </w:hyperlink>
        </w:p>
        <w:p>
          <w:pPr>
            <w:pStyle w:val="Tabledesmatiresniveau2"/>
            <w:tabs>
              <w:tab w:val="right" w:pos="9638" w:leader="dot"/>
            </w:tabs>
            <w:rPr/>
          </w:pPr>
          <w:hyperlink w:anchor="__RefHeading___Toc298192_1346298689">
            <w:r>
              <w:rPr>
                <w:rStyle w:val="Sautdindex"/>
              </w:rPr>
              <w:t>B. Polgári vitacsoportok</w:t>
              <w:tab/>
              <w:t>18</w:t>
            </w:r>
          </w:hyperlink>
        </w:p>
        <w:p>
          <w:pPr>
            <w:pStyle w:val="Tabledesmatiresniveau2"/>
            <w:tabs>
              <w:tab w:val="right" w:pos="9638" w:leader="dot"/>
            </w:tabs>
            <w:rPr/>
          </w:pPr>
          <w:hyperlink w:anchor="__RefHeading___Toc298228_1346298689">
            <w:r>
              <w:rPr>
                <w:rStyle w:val="Sautdindex"/>
              </w:rPr>
              <w:t>C. A konferencia keretében szervezett rendezvények</w:t>
              <w:tab/>
              <w:t>28</w:t>
            </w:r>
          </w:hyperlink>
        </w:p>
        <w:p>
          <w:pPr>
            <w:pStyle w:val="Tabledesmatiresniveau1"/>
            <w:tabs>
              <w:tab w:val="right" w:pos="9638" w:leader="dot"/>
            </w:tabs>
            <w:rPr/>
          </w:pPr>
          <w:hyperlink w:anchor="__RefHeading___Toc298238_1346298689">
            <w:r>
              <w:rPr>
                <w:rStyle w:val="Sautdindex"/>
              </w:rPr>
              <w:t>III. RÉSZ. A konferencia plenáris ülése</w:t>
              <w:tab/>
              <w:t>37</w:t>
            </w:r>
          </w:hyperlink>
        </w:p>
        <w:p>
          <w:pPr>
            <w:pStyle w:val="Tabledesmatiresniveau2"/>
            <w:tabs>
              <w:tab w:val="right" w:pos="9638" w:leader="dot"/>
            </w:tabs>
            <w:rPr/>
          </w:pPr>
          <w:hyperlink w:anchor="__RefHeading___Toc298240_1346298689">
            <w:r>
              <w:rPr>
                <w:rStyle w:val="Sautdindex"/>
              </w:rPr>
              <w:t>A. A Közgyűlés szerepe és működése</w:t>
              <w:tab/>
              <w:t>38</w:t>
            </w:r>
          </w:hyperlink>
        </w:p>
        <w:p>
          <w:pPr>
            <w:pStyle w:val="Tabledesmatiresniveau2"/>
            <w:tabs>
              <w:tab w:val="right" w:pos="9638" w:leader="dot"/>
            </w:tabs>
            <w:rPr/>
          </w:pPr>
          <w:hyperlink w:anchor="__RefHeading___Toc298242_1346298689">
            <w:r>
              <w:rPr>
                <w:rStyle w:val="Sautdindex"/>
              </w:rPr>
              <w:t>B. Munkacsoportok</w:t>
              <w:tab/>
              <w:t>39</w:t>
            </w:r>
          </w:hyperlink>
        </w:p>
        <w:p>
          <w:pPr>
            <w:pStyle w:val="Tabledesmatiresniveau2"/>
            <w:tabs>
              <w:tab w:val="right" w:pos="9638" w:leader="dot"/>
            </w:tabs>
            <w:rPr/>
          </w:pPr>
          <w:hyperlink w:anchor="__RefHeading___Toc298244_1346298689">
            <w:r>
              <w:rPr>
                <w:rStyle w:val="Sautdindex"/>
              </w:rPr>
              <w:t>C. Kronológiai összefoglaló</w:t>
              <w:tab/>
              <w:t>40</w:t>
            </w:r>
          </w:hyperlink>
        </w:p>
        <w:p>
          <w:pPr>
            <w:pStyle w:val="Tabledesmatiresniveau1"/>
            <w:tabs>
              <w:tab w:val="right" w:pos="9638" w:leader="dot"/>
            </w:tabs>
            <w:rPr/>
          </w:pPr>
          <w:hyperlink w:anchor="__RefHeading___Toc298246_1346298689">
            <w:r>
              <w:rPr>
                <w:rStyle w:val="Sautdindex"/>
              </w:rPr>
              <w:t>IV. – IGEN. A Közgyűlés javaslatai</w:t>
              <w:tab/>
              <w:t>46</w:t>
            </w:r>
          </w:hyperlink>
        </w:p>
        <w:p>
          <w:pPr>
            <w:pStyle w:val="Tabledesmatiresniveau2"/>
            <w:tabs>
              <w:tab w:val="right" w:pos="9638" w:leader="dot"/>
            </w:tabs>
            <w:rPr/>
          </w:pPr>
          <w:hyperlink w:anchor="__RefHeading___Toc298248_1346298689">
            <w:r>
              <w:rPr>
                <w:rStyle w:val="Sautdindex"/>
              </w:rPr>
              <w:t>Éghajlatváltozás és környezetvédelem</w:t>
              <w:tab/>
              <w:t>47</w:t>
            </w:r>
          </w:hyperlink>
        </w:p>
        <w:p>
          <w:pPr>
            <w:pStyle w:val="Tabledesmatiresniveau2"/>
            <w:tabs>
              <w:tab w:val="right" w:pos="9638" w:leader="dot"/>
            </w:tabs>
            <w:rPr/>
          </w:pPr>
          <w:hyperlink w:anchor="__RefHeading___Toc298272_1346298689">
            <w:r>
              <w:rPr>
                <w:rStyle w:val="Sautdindex"/>
              </w:rPr>
              <w:t>„</w:t>
            </w:r>
            <w:r>
              <w:rPr>
                <w:rStyle w:val="Sautdindex"/>
              </w:rPr>
              <w:t>Egészség”</w:t>
              <w:tab/>
              <w:t>53</w:t>
            </w:r>
          </w:hyperlink>
        </w:p>
        <w:p>
          <w:pPr>
            <w:pStyle w:val="Tabledesmatiresniveau2"/>
            <w:tabs>
              <w:tab w:val="right" w:pos="9638" w:leader="dot"/>
            </w:tabs>
            <w:rPr/>
          </w:pPr>
          <w:hyperlink w:anchor="__RefHeading___Toc298288_1346298689">
            <w:r>
              <w:rPr>
                <w:rStyle w:val="Sautdindex"/>
              </w:rPr>
              <w:t>Erősebb gazdaság, társadalmi igazságosság és foglalkoztatás</w:t>
              <w:tab/>
              <w:t>57</w:t>
            </w:r>
          </w:hyperlink>
        </w:p>
        <w:p>
          <w:pPr>
            <w:pStyle w:val="Tabledesmatiresniveau2"/>
            <w:tabs>
              <w:tab w:val="right" w:pos="9638" w:leader="dot"/>
            </w:tabs>
            <w:rPr/>
          </w:pPr>
          <w:hyperlink w:anchor="__RefHeading___Toc298302_1346298689">
            <w:r>
              <w:rPr>
                <w:rStyle w:val="Sautdindex"/>
              </w:rPr>
              <w:t>„</w:t>
            </w:r>
            <w:r>
              <w:rPr>
                <w:rStyle w:val="Sautdindex"/>
              </w:rPr>
              <w:t>Az EU a világban”</w:t>
              <w:tab/>
              <w:t>66</w:t>
            </w:r>
          </w:hyperlink>
        </w:p>
        <w:p>
          <w:pPr>
            <w:pStyle w:val="Tabledesmatiresniveau2"/>
            <w:tabs>
              <w:tab w:val="right" w:pos="9638" w:leader="dot"/>
            </w:tabs>
            <w:rPr/>
          </w:pPr>
          <w:hyperlink w:anchor="__RefHeading___Toc298320_1346298689">
            <w:r>
              <w:rPr>
                <w:rStyle w:val="Sautdindex"/>
              </w:rPr>
              <w:t>Értékek és jogok, jogállamiság, biztonság</w:t>
              <w:tab/>
              <w:t>73</w:t>
            </w:r>
          </w:hyperlink>
        </w:p>
        <w:p>
          <w:pPr>
            <w:pStyle w:val="Tabledesmatiresniveau2"/>
            <w:tabs>
              <w:tab w:val="right" w:pos="9638" w:leader="dot"/>
            </w:tabs>
            <w:rPr/>
          </w:pPr>
          <w:hyperlink w:anchor="__RefHeading___Toc298334_1346298689">
            <w:r>
              <w:rPr>
                <w:rStyle w:val="Sautdindex"/>
              </w:rPr>
              <w:t>„</w:t>
            </w:r>
            <w:r>
              <w:rPr>
                <w:rStyle w:val="Sautdindex"/>
              </w:rPr>
              <w:t>Digitális átalakulás”</w:t>
              <w:tab/>
              <w:t>78</w:t>
            </w:r>
          </w:hyperlink>
        </w:p>
        <w:p>
          <w:pPr>
            <w:pStyle w:val="Tabledesmatiresniveau2"/>
            <w:tabs>
              <w:tab w:val="right" w:pos="9638" w:leader="dot"/>
            </w:tabs>
            <w:rPr/>
          </w:pPr>
          <w:hyperlink w:anchor="__RefHeading___Toc298346_1346298689">
            <w:r>
              <w:rPr>
                <w:rStyle w:val="Sautdindex"/>
              </w:rPr>
              <w:t>„</w:t>
            </w:r>
            <w:r>
              <w:rPr>
                <w:rStyle w:val="Sautdindex"/>
              </w:rPr>
              <w:t>Európai demokrácia”</w:t>
              <w:tab/>
              <w:t>84</w:t>
            </w:r>
          </w:hyperlink>
        </w:p>
        <w:p>
          <w:pPr>
            <w:pStyle w:val="Tabledesmatiresniveau2"/>
            <w:tabs>
              <w:tab w:val="right" w:pos="9638" w:leader="dot"/>
            </w:tabs>
            <w:rPr/>
          </w:pPr>
          <w:hyperlink w:anchor="__RefHeading___Toc298358_1346298689">
            <w:r>
              <w:rPr>
                <w:rStyle w:val="Sautdindex"/>
              </w:rPr>
              <w:t>„</w:t>
            </w:r>
            <w:r>
              <w:rPr>
                <w:rStyle w:val="Sautdindex"/>
              </w:rPr>
              <w:t>Migrációk”</w:t>
              <w:tab/>
              <w:t>90</w:t>
            </w:r>
          </w:hyperlink>
        </w:p>
        <w:p>
          <w:pPr>
            <w:pStyle w:val="Tabledesmatiresniveau2"/>
            <w:tabs>
              <w:tab w:val="right" w:pos="9638" w:leader="dot"/>
            </w:tabs>
            <w:rPr/>
          </w:pPr>
          <w:hyperlink w:anchor="__RefHeading___Toc298370_1346298689">
            <w:r>
              <w:rPr>
                <w:rStyle w:val="Sautdindex"/>
              </w:rPr>
              <w:t>Oktatás, kultúra, ifjúság és sport</w:t>
              <w:tab/>
              <w:t>94</w:t>
            </w:r>
          </w:hyperlink>
        </w:p>
        <w:p>
          <w:pPr>
            <w:pStyle w:val="Tabledesmatiresniveau1"/>
            <w:tabs>
              <w:tab w:val="right" w:pos="9638" w:leader="dot"/>
            </w:tabs>
            <w:rPr/>
          </w:pPr>
          <w:hyperlink w:anchor="__RefHeading___Toc298380_1346298689">
            <w:r>
              <w:rPr>
                <w:rStyle w:val="Sautdindex"/>
              </w:rPr>
              <w:t>Az Igazgatóság végső véleményei</w:t>
              <w:tab/>
              <w:t>99</w:t>
            </w:r>
          </w:hyperlink>
        </w:p>
        <w:p>
          <w:pPr>
            <w:pStyle w:val="Tabledesmatiresniveau1"/>
            <w:tabs>
              <w:tab w:val="right" w:pos="9638" w:leader="dot"/>
            </w:tabs>
            <w:rPr/>
          </w:pPr>
          <w:hyperlink w:anchor="__RefHeading___Toc297141_1346298689">
            <w:r>
              <w:rPr>
                <w:rStyle w:val="Sautdindex"/>
              </w:rPr>
              <w:t>I. melléklet – A négy európai polgári vitacsoport ajánlásai</w:t>
              <w:tab/>
              <w:t>102</w:t>
            </w:r>
          </w:hyperlink>
        </w:p>
        <w:p>
          <w:pPr>
            <w:pStyle w:val="Tabledesmatiresniveau2"/>
            <w:tabs>
              <w:tab w:val="right" w:pos="9638" w:leader="dot"/>
            </w:tabs>
            <w:rPr/>
          </w:pPr>
          <w:hyperlink w:anchor="__RefHeading___Toc297143_1346298689">
            <w:r>
              <w:rPr>
                <w:rStyle w:val="Sautdindex"/>
              </w:rPr>
              <w:t>Az Európai Polgárok Fóruma: Erősebb gazdaság, társadalmi igazságosság és foglalkoztatás/Oktatás, kultúra, ifjúság és sport/digitális átalakulás</w:t>
              <w:tab/>
              <w:t>103</w:t>
            </w:r>
          </w:hyperlink>
        </w:p>
        <w:p>
          <w:pPr>
            <w:pStyle w:val="Tabledesmatiresniveau2"/>
            <w:tabs>
              <w:tab w:val="right" w:pos="9638" w:leader="dot"/>
            </w:tabs>
            <w:rPr/>
          </w:pPr>
          <w:hyperlink w:anchor="__RefHeading___Toc297195_1346298689">
            <w:r>
              <w:rPr>
                <w:rStyle w:val="Sautdindex"/>
              </w:rPr>
              <w:t>Európai Polgári Panel 2: „Európai demokrácia; értékek és jogok, jogállamiság, biztonság</w:t>
              <w:tab/>
              <w:t>121</w:t>
            </w:r>
          </w:hyperlink>
        </w:p>
        <w:p>
          <w:pPr>
            <w:pStyle w:val="Tabledesmatiresniveau2"/>
            <w:tabs>
              <w:tab w:val="right" w:pos="9638" w:leader="dot"/>
            </w:tabs>
            <w:rPr/>
          </w:pPr>
          <w:hyperlink w:anchor="__RefHeading___Toc297245_1346298689">
            <w:r>
              <w:rPr>
                <w:rStyle w:val="Sautdindex"/>
              </w:rPr>
              <w:t>Európai Polgári Panel 3: Éghajlatváltozás és környezetvédelem/Egészségügy</w:t>
              <w:tab/>
              <w:t>135</w:t>
            </w:r>
          </w:hyperlink>
        </w:p>
        <w:p>
          <w:pPr>
            <w:pStyle w:val="Tabledesmatiresniveau2"/>
            <w:tabs>
              <w:tab w:val="right" w:pos="9638" w:leader="dot"/>
            </w:tabs>
            <w:rPr/>
          </w:pPr>
          <w:hyperlink w:anchor="__RefHeading___Toc297297_1346298689">
            <w:r>
              <w:rPr>
                <w:rStyle w:val="Sautdindex"/>
              </w:rPr>
              <w:t>Európai Polgári Panel 4: „Az EU a világban/Migráció”</w:t>
              <w:tab/>
              <w:t>153</w:t>
            </w:r>
          </w:hyperlink>
        </w:p>
        <w:p>
          <w:pPr>
            <w:pStyle w:val="Tabledesmatiresniveau1"/>
            <w:tabs>
              <w:tab w:val="right" w:pos="9638" w:leader="dot"/>
            </w:tabs>
            <w:rPr/>
          </w:pPr>
          <w:hyperlink w:anchor="__RefHeading___Toc297345_1346298689">
            <w:r>
              <w:rPr>
                <w:rStyle w:val="Sautdindex"/>
              </w:rPr>
              <w:t>II A – Nemzeti panelek: Belgium</w:t>
              <w:tab/>
              <w:t>167</w:t>
            </w:r>
          </w:hyperlink>
        </w:p>
        <w:p>
          <w:pPr>
            <w:pStyle w:val="Tabledesmatiresniveau1"/>
            <w:tabs>
              <w:tab w:val="right" w:pos="9638" w:leader="dot"/>
            </w:tabs>
            <w:rPr/>
          </w:pPr>
          <w:hyperlink w:anchor="__RefHeading___Toc297349_1346298689">
            <w:r>
              <w:rPr>
                <w:rStyle w:val="Sautdindex"/>
              </w:rPr>
              <w:t>II B. Nemzeti panelek: Franciaország</w:t>
              <w:tab/>
              <w:t>182</w:t>
            </w:r>
          </w:hyperlink>
        </w:p>
        <w:p>
          <w:pPr>
            <w:pStyle w:val="Tabledesmatiresniveau2"/>
            <w:tabs>
              <w:tab w:val="right" w:pos="9638" w:leader="dot"/>
            </w:tabs>
            <w:rPr/>
          </w:pPr>
          <w:hyperlink w:anchor="__RefHeading___Toc300448_1346298689">
            <w:r>
              <w:rPr>
                <w:rStyle w:val="Sautdindex"/>
              </w:rPr>
              <w:t>Bevezetés</w:t>
              <w:tab/>
              <w:t>185</w:t>
            </w:r>
          </w:hyperlink>
        </w:p>
        <w:p>
          <w:pPr>
            <w:pStyle w:val="Tabledesmatiresniveau2"/>
            <w:tabs>
              <w:tab w:val="right" w:pos="9638" w:leader="dot"/>
            </w:tabs>
            <w:rPr/>
          </w:pPr>
          <w:hyperlink w:anchor="__RefHeading___Toc300450_1346298689">
            <w:r>
              <w:rPr>
                <w:rStyle w:val="Sautdindex"/>
              </w:rPr>
              <w:t>A főbb eredmények bemutatása</w:t>
              <w:tab/>
              <w:t>188</w:t>
            </w:r>
          </w:hyperlink>
        </w:p>
        <w:p>
          <w:pPr>
            <w:pStyle w:val="Tabledesmatiresniveau2"/>
            <w:tabs>
              <w:tab w:val="right" w:pos="9638" w:leader="dot"/>
            </w:tabs>
            <w:rPr/>
          </w:pPr>
          <w:hyperlink w:anchor="__RefHeading___Toc300452_1346298689">
            <w:r>
              <w:rPr>
                <w:rStyle w:val="Sautdindex"/>
              </w:rPr>
              <w:t>A regionális konferenciák paneljeinek bemutatása</w:t>
              <w:tab/>
              <w:t>190</w:t>
            </w:r>
          </w:hyperlink>
        </w:p>
        <w:p>
          <w:pPr>
            <w:pStyle w:val="Tabledesmatiresniveau2"/>
            <w:tabs>
              <w:tab w:val="right" w:pos="9638" w:leader="dot"/>
            </w:tabs>
            <w:rPr/>
          </w:pPr>
          <w:hyperlink w:anchor="__RefHeading___Toc300454_1346298689">
            <w:r>
              <w:rPr>
                <w:rStyle w:val="Sautdindex"/>
              </w:rPr>
              <w:t>Módszertani kötelezettségvállalások és elfogultságok</w:t>
              <w:tab/>
              <w:t>192</w:t>
            </w:r>
          </w:hyperlink>
        </w:p>
        <w:p>
          <w:pPr>
            <w:pStyle w:val="Tabledesmatiresniveau2"/>
            <w:tabs>
              <w:tab w:val="right" w:pos="9638" w:leader="dot"/>
            </w:tabs>
            <w:rPr/>
          </w:pPr>
          <w:hyperlink w:anchor="__RefHeading___Toc297351_1346298689">
            <w:r>
              <w:rPr>
                <w:rStyle w:val="Sautdindex"/>
              </w:rPr>
              <w:t>A második rész: a „Words to Youth” konzultáció eredményeinek ismertetése</w:t>
              <w:tab/>
              <w:t>209</w:t>
            </w:r>
          </w:hyperlink>
        </w:p>
        <w:p>
          <w:pPr>
            <w:pStyle w:val="Tabledesmatiresniveau2"/>
            <w:tabs>
              <w:tab w:val="right" w:pos="9638" w:leader="dot"/>
            </w:tabs>
            <w:rPr/>
          </w:pPr>
          <w:hyperlink w:anchor="__RefHeading___Toc300458_1346298689">
            <w:r>
              <w:rPr>
                <w:rStyle w:val="Sautdindex"/>
              </w:rPr>
              <w:t>Konklúzió</w:t>
              <w:tab/>
              <w:t>212</w:t>
            </w:r>
          </w:hyperlink>
        </w:p>
        <w:p>
          <w:pPr>
            <w:pStyle w:val="Tabledesmatiresniveau1"/>
            <w:tabs>
              <w:tab w:val="right" w:pos="9638" w:leader="dot"/>
            </w:tabs>
            <w:rPr/>
          </w:pPr>
          <w:hyperlink w:anchor="__RefHeading___Toc297353_1346298689">
            <w:r>
              <w:rPr>
                <w:rStyle w:val="Sautdindex"/>
              </w:rPr>
              <w:t>II C. Nemzeti panelek: Németország</w:t>
              <w:tab/>
              <w:t>213</w:t>
            </w:r>
          </w:hyperlink>
        </w:p>
        <w:p>
          <w:pPr>
            <w:pStyle w:val="Tabledesmatiresniveau1"/>
            <w:tabs>
              <w:tab w:val="right" w:pos="9638" w:leader="dot"/>
            </w:tabs>
            <w:rPr/>
          </w:pPr>
          <w:hyperlink w:anchor="__RefHeading___Toc297355_1346298689">
            <w:r>
              <w:rPr>
                <w:rStyle w:val="Sautdindex"/>
              </w:rPr>
              <w:t>II D. Nemzeti panelek: Olaszország</w:t>
              <w:tab/>
              <w:t>219</w:t>
            </w:r>
          </w:hyperlink>
        </w:p>
        <w:p>
          <w:pPr>
            <w:pStyle w:val="Tabledesmatiresniveau2"/>
            <w:tabs>
              <w:tab w:val="right" w:pos="9638" w:leader="dot"/>
            </w:tabs>
            <w:rPr/>
          </w:pPr>
          <w:hyperlink w:anchor="__RefHeading___Toc300314_1346298689">
            <w:r>
              <w:rPr>
                <w:rStyle w:val="Sautdindex"/>
              </w:rPr>
              <w:t>4. Munkaprogram</w:t>
              <w:tab/>
              <w:t>225</w:t>
            </w:r>
          </w:hyperlink>
        </w:p>
        <w:p>
          <w:pPr>
            <w:pStyle w:val="Tabledesmatiresniveau2"/>
            <w:tabs>
              <w:tab w:val="right" w:pos="9638" w:leader="dot"/>
            </w:tabs>
            <w:rPr/>
          </w:pPr>
          <w:hyperlink w:anchor="__RefHeading___Toc300322_1346298689">
            <w:r>
              <w:rPr>
                <w:rStyle w:val="Sautdindex"/>
              </w:rPr>
              <w:t>6. A résztvevők végső értékelése</w:t>
              <w:tab/>
              <w:t>234</w:t>
            </w:r>
          </w:hyperlink>
        </w:p>
        <w:p>
          <w:pPr>
            <w:pStyle w:val="Tabledesmatiresniveau1"/>
            <w:tabs>
              <w:tab w:val="right" w:pos="9638" w:leader="dot"/>
            </w:tabs>
            <w:rPr/>
          </w:pPr>
          <w:hyperlink w:anchor="__RefHeading___Toc298382_1346298689">
            <w:r>
              <w:rPr>
                <w:rStyle w:val="Sautdindex"/>
              </w:rPr>
              <w:t>II. E. Nemzeti panelek: Litvánia</w:t>
              <w:tab/>
              <w:t>237</w:t>
            </w:r>
          </w:hyperlink>
        </w:p>
        <w:p>
          <w:pPr>
            <w:pStyle w:val="Tabledesmatiresniveau1"/>
            <w:tabs>
              <w:tab w:val="right" w:pos="9638" w:leader="dot"/>
            </w:tabs>
            <w:rPr/>
          </w:pPr>
          <w:hyperlink w:anchor="__RefHeading___Toc297357_1346298689">
            <w:r>
              <w:rPr>
                <w:rStyle w:val="Sautdindex"/>
              </w:rPr>
              <w:t>II. F. Nemzeti panelek: Hollandia</w:t>
              <w:tab/>
              <w:t>245</w:t>
            </w:r>
          </w:hyperlink>
        </w:p>
        <w:p>
          <w:pPr>
            <w:pStyle w:val="Tabledesmatiresniveau1"/>
            <w:tabs>
              <w:tab w:val="right" w:pos="9638" w:leader="dot"/>
            </w:tabs>
            <w:rPr/>
          </w:pPr>
          <w:hyperlink w:anchor="__RefHeading___Toc297359_1346298689">
            <w:r>
              <w:rPr>
                <w:rStyle w:val="Sautdindex"/>
              </w:rPr>
              <w:t>III – Hivatkozások a nemzeti rendezvények eredményeire</w:t>
              <w:tab/>
              <w:t>298</w:t>
            </w:r>
          </w:hyperlink>
        </w:p>
        <w:p>
          <w:pPr>
            <w:pStyle w:val="Tabledesmatiresniveau1"/>
            <w:tabs>
              <w:tab w:val="right" w:pos="9638" w:leader="dot"/>
            </w:tabs>
            <w:rPr/>
          </w:pPr>
          <w:hyperlink w:anchor="__RefHeading___Toc344888_2081073262">
            <w:r>
              <w:rPr>
                <w:rStyle w:val="Sautdindex"/>
              </w:rPr>
              <w:t>IV – Hivatkozás a többnyelvű digitális platform jelentésére</w:t>
              <w:tab/>
              <w:t>299</w:t>
            </w:r>
          </w:hyperlink>
        </w:p>
      </w:sdtContent>
    </w:sdt>
    <w:p>
      <w:pPr>
        <w:pStyle w:val="Normal"/>
        <w:spacing w:before="57" w:after="57"/>
        <w:ind w:left="0" w:right="0" w:hanging="0"/>
        <w:rPr>
          <w:rFonts w:ascii="Arial" w:hAnsi="Arial"/>
          <w:sz w:val="22"/>
        </w:rPr>
      </w:pPr>
      <w:r>
        <w:rPr>
          <w:sz w:val="22"/>
        </w:rPr>
      </w:r>
      <w:r>
        <w:rPr>
          <w:sz w:val="22"/>
        </w:rPr>
        <w:fldChar w:fldCharType="end"/>
      </w:r>
    </w:p>
    <w:p>
      <w:pPr>
        <w:pStyle w:val="Normal"/>
        <w:rPr/>
      </w:pPr>
      <w:r>
        <w:rPr/>
      </w:r>
    </w:p>
    <w:p>
      <w:pPr>
        <w:pStyle w:val="Normal"/>
        <w:rPr/>
      </w:pPr>
      <w:r>
        <w:rPr/>
      </w:r>
      <w:r>
        <w:br w:type="page"/>
      </w:r>
    </w:p>
    <w:p>
      <w:pPr>
        <w:pStyle w:val="Normal"/>
        <w:spacing w:before="13643" w:after="57"/>
        <w:rPr/>
      </w:pPr>
      <w:r>
        <w:rPr/>
        <w:drawing>
          <wp:anchor behindDoc="0" distT="0" distB="0" distL="0" distR="0" simplePos="0" locked="0" layoutInCell="1" allowOverlap="1" relativeHeight="66">
            <wp:simplePos x="0" y="0"/>
            <wp:positionH relativeFrom="column">
              <wp:align>center</wp:align>
            </wp:positionH>
            <wp:positionV relativeFrom="paragraph">
              <wp:posOffset>635</wp:posOffset>
            </wp:positionV>
            <wp:extent cx="6120130" cy="8663305"/>
            <wp:effectExtent l="0" t="0" r="0" b="0"/>
            <wp:wrapSquare wrapText="largest"/>
            <wp:docPr id="10" name="Image3 – Videó letöltés mp3-ban"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3 – Videó letöltés mp3-ban" descr=""/>
                    <pic:cNvPicPr>
                      <a:picLocks noChangeAspect="1" noChangeArrowheads="1"/>
                    </pic:cNvPicPr>
                  </pic:nvPicPr>
                  <pic:blipFill>
                    <a:blip r:embed="rId17"/>
                    <a:stretch>
                      <a:fillRect/>
                    </a:stretch>
                  </pic:blipFill>
                  <pic:spPr bwMode="auto">
                    <a:xfrm>
                      <a:off x="0" y="0"/>
                      <a:ext cx="6120130" cy="8663305"/>
                    </a:xfrm>
                    <a:prstGeom prst="rect">
                      <a:avLst/>
                    </a:prstGeom>
                  </pic:spPr>
                </pic:pic>
              </a:graphicData>
            </a:graphic>
          </wp:anchor>
        </w:drawing>
      </w:r>
      <w:r>
        <w:br w:type="page"/>
      </w:r>
    </w:p>
    <w:p>
      <w:pPr>
        <w:pStyle w:val="Titre1sansnumro"/>
        <w:ind w:left="0" w:right="0" w:hanging="0"/>
        <w:rPr/>
      </w:pPr>
      <w:r>
        <w:rPr/>
        <w:t>Bevezetés</w:t>
      </w:r>
    </w:p>
    <w:p>
      <w:pPr>
        <w:sectPr>
          <w:headerReference w:type="even" r:id="rId18"/>
          <w:headerReference w:type="default" r:id="rId19"/>
          <w:footerReference w:type="even" r:id="rId20"/>
          <w:footerReference w:type="default" r:id="rId21"/>
          <w:type w:val="nextPage"/>
          <w:pgSz w:w="11906" w:h="16838"/>
          <w:pgMar w:left="1134" w:right="1134" w:header="1134" w:top="1700" w:footer="1134" w:bottom="1727" w:gutter="0"/>
          <w:pgNumType w:fmt="decimal"/>
          <w:formProt w:val="false"/>
          <w:titlePg/>
          <w:textDirection w:val="lrTb"/>
          <w:docGrid w:type="default" w:linePitch="312" w:charSpace="0"/>
        </w:sectPr>
      </w:pPr>
    </w:p>
    <w:p>
      <w:pPr>
        <w:pStyle w:val="Normal"/>
        <w:rPr/>
      </w:pPr>
      <w:r>
        <w:rPr/>
        <w:t>2021. március 10-én az Európai Parlament elnöke, David Sassoli, az Európai Unió Tanácsa nevében António Costa portugál miniszterelnök és Ursula von der Leyen, az Európai Bizottság elnöke aláírták az Európa jövőjéről szóló konferenciáról szóló együttes nyilatkozatot. Az általuk tett kötelezettségvállalás egyszerű volt: alulról felfelé építkező megközelítésen alapuló polgárközpontú gyakorlat volt annak biztosítása, hogy minden európai beleszóljon abba, amit az Európai Uniótól elvár, és hogy nagyobb szerepet játsszon az Unió jövőjének alakításában. A feladatuk viszont rendkívül nehéz volt: a cél az volt, hogy első ízben szervezzék meg a deliberatív demokrácia transznacionális, többnyelvű és intézményközi gyakorlatát, amelyben európai polgárok ezrei, valamint politikai szereplők, szociális partnerek, a civil társadalom képviselői és a konferencia eljárási szabályzatának 16. cikke szerinti kulcsfontosságú érdekelt felek vesznek részt.</w:t>
      </w:r>
    </w:p>
    <w:p>
      <w:pPr>
        <w:pStyle w:val="Normal"/>
        <w:rPr/>
      </w:pPr>
      <w:r>
        <w:rPr/>
        <w:t>A konferencia 2022. május 9-én, több hónapos intenzív tanácskozást követően befejezte munkáját, és 49 javaslatot tartalmazó jelentést nyújtott be a három uniós intézménynek a végleges eredményekről. Ezek a javaslatok megfelelnek az európai polgárok kilenc témával kapcsolatos elvárásainak: Erősebb gazdaság, társadalmi igazságosság és foglalkoztatás; Oktatás, kultúra, ifjúság és sport; Digitális transzformáció; Az európai demokrácia; Értékek és jogok, jogállamiság, biztonság; Az éghajlatváltozás és a környezet; Egészség; Az EU a világban; és a migráció. Mindezeket a témákat ez a zárójelentés tartalmazza, amelynek célja az is, hogy áttekintést nyújtson az Európa jövőjéről szóló konferencia, az egyedülálló folyamat keretében végzett különböző tevékenységekről.</w:t>
      </w:r>
    </w:p>
    <w:p>
      <w:pPr>
        <w:pStyle w:val="Corpsdetexte"/>
        <w:rPr/>
      </w:pPr>
      <w:r>
        <w:rPr/>
        <w:t>Három társelnök vezetésével (Guy Verhofstadt az Európai Parlament részéről; Ana Paula Zacarias, Gašper Dovžan és Clément Beaune, egymást követően az Európai Unió Tanácsának; és Dubravka Šuica az Európai Bizottság részéről) és egy (a három intézmény képviselőiből és a főbb érdekelt felek megfigyelőiből álló) igazgatótanács vezetésével a konferencia példátlan tapasztalat volt a transznacionális deliberatív demokrácia terén. Megmutatta továbbá történelmi jelentőségét és jelentőségét a Covid19-világjárvány és az Ukrajna elleni orosz agresszió összefüggésében. Az Európa jövőjéről szóló konferencia eredményeként többnyelvű digitális platform jött létre az európai polgárok számára, amely mind a 24 uniós nyelven közreműködhet, valamint négy európai polgári panel, hat nemzeti polgári panel, több ezer nemzeti és helyi rendezvény és hét plenáris ülés szervezését eredményezte. Az uniós intézmények, a tagállamok, de mindenekelőtt az európai polgárok példátlan hajlandóságának az eredménye, hogy megvitassák az Európai Unió prioritásait és az előttük álló kihívásokat, és új megközelítést alkalmazzanak az európai projekttel kapcsolatban.</w:t>
      </w:r>
    </w:p>
    <w:p>
      <w:pPr>
        <w:pStyle w:val="Corpsdetexte"/>
        <w:rPr/>
      </w:pPr>
      <w:r>
        <w:rPr/>
        <w:t>Ez azonban még csak a kezdet. A konferencia alapító szövegével összhangban a három intézmény most gyorsan megvizsgálja, hogyan lehetne hatékonyan végrehajtani ezt a jelentést, mindegyik saját hatáskörén belül és a Szerződésekkel összhangban. E tekintetben a három intézmény meghatározása kiemelkedő fontosságú.</w:t>
      </w:r>
    </w:p>
    <w:p>
      <w:pPr>
        <w:sect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1"/>
        <w:numPr>
          <w:ilvl w:val="0"/>
          <w:numId w:val="2"/>
        </w:numPr>
        <w:rPr/>
      </w:pPr>
      <w:bookmarkStart w:id="0" w:name="__RefHeading___Toc298046_1346298689"/>
      <w:bookmarkEnd w:id="0"/>
      <w:r>
        <w:rPr/>
        <w:t>I. A konferencia építészete</w:t>
      </w:r>
    </w:p>
    <w:p>
      <w:pPr>
        <w:pStyle w:val="Corpsdetexte"/>
        <w:rPr>
          <w:sz w:val="40"/>
        </w:rPr>
      </w:pPr>
      <w:r>
        <w:rPr>
          <w:sz w:val="40"/>
        </w:rPr>
        <w:t>Az Európa jövőjéről szóló konferencia egy új és innovatív folyamat</w:t>
      </w:r>
      <w:r>
        <w:rPr>
          <w:rStyle w:val="Ancredenotedebasdepage"/>
          <w:rStyle w:val="Ancredenotedebasdepage"/>
          <w:sz w:val="40"/>
        </w:rPr>
        <w:footnoteReference w:id="2"/>
      </w:r>
      <w:r>
        <w:rPr>
          <w:sz w:val="40"/>
        </w:rPr>
        <w:t xml:space="preserve"> volt, amely új teret nyitott a polgárokkal folytatott vita számára annak érdekében, hogy megvizsgálja Európa prioritásait és kihívásait, azzal a céllal, hogy megteremtse az európai projekt demokratikus legitimitását és előmozdítsa a polgárok közös értékeinkhez és céljainkhoz való ragaszkodását. A konferencia egy alulról felfelé építkező megközelítésen alapuló polgárközpontú gyakorlat volt, amelynek célja annak biztosítása, hogy az európaiak beleszóljanak abba, amit az Európai Uniótól elvárnak. Ez az Európai Parlament, a Tanács és az Európai Bizottság közös kezdeményezése volt, az Európai Unió tagállamaival egyenrangúan eljárva.</w:t>
      </w:r>
    </w:p>
    <w:p>
      <w:pPr>
        <w:pStyle w:val="Normal"/>
        <w:rPr/>
      </w:pPr>
      <w:r>
        <w:rPr/>
      </w:r>
    </w:p>
    <w:p>
      <w:pPr>
        <w:pStyle w:val="Normal"/>
        <w:rPr/>
      </w:pPr>
      <w:r>
        <w:rPr/>
      </w:r>
    </w:p>
    <w:p>
      <w:pPr>
        <w:pStyle w:val="Normal"/>
        <w:rPr/>
      </w:pPr>
      <w:r>
        <w:rPr/>
      </w:r>
    </w:p>
    <w:p>
      <w:pPr>
        <w:pStyle w:val="Normal"/>
        <w:rPr/>
      </w:pPr>
      <w:r>
        <w:rPr/>
      </w:r>
    </w:p>
    <w:p>
      <w:pPr>
        <w:pStyle w:val="Normal"/>
        <w:rPr/>
      </w:pPr>
      <w:r>
        <w:rPr/>
      </w:r>
      <w:r>
        <w:br w:type="page"/>
      </w:r>
    </w:p>
    <w:p>
      <w:pPr>
        <w:pStyle w:val="Titre2"/>
        <w:numPr>
          <w:ilvl w:val="1"/>
          <w:numId w:val="2"/>
        </w:numPr>
        <w:rPr/>
      </w:pPr>
      <w:bookmarkStart w:id="1" w:name="__RefHeading___Toc298048_1346298689"/>
      <w:bookmarkEnd w:id="1"/>
      <w:r>
        <w:rPr/>
        <w:t>1. Együttes nyilatkozat</w:t>
      </w:r>
    </w:p>
    <w:p>
      <w:pPr>
        <w:pStyle w:val="Normal"/>
        <w:rPr/>
      </w:pPr>
      <w:r>
        <w:rPr/>
      </w:r>
    </w:p>
    <w:p>
      <w:pPr>
        <w:pStyle w:val="Normal"/>
        <w:rPr/>
      </w:pPr>
      <w:r>
        <w:rPr/>
        <w:t>2021. március 10-én az Európai Parlament néhai elnöke, David Sassoli, az Európai Unió Tanácsa nevében António Costa portugál miniszterelnök és Ursula von der Leyen, az Európai Bizottság elnöke aláírta az Európa jövőjéről szóló konferenciáról szóló együttes nyilatkozatot (a továbbiakban: együttes nyilatkozat), megnyitva az utat e példátlan, nyitott és inkluzív európai demokratikus gyakorlat előtt, amely központi helyet biztosít a polgárok számára.</w:t>
      </w:r>
    </w:p>
    <w:p>
      <w:pPr>
        <w:pStyle w:val="Normal"/>
        <w:rPr/>
      </w:pPr>
      <w:r>
        <w:rPr/>
        <w:t>A konferenciát a három intézmény elnökeinek felügyelete alá helyezték, akik közös elnökségként járnak el. A közös elnökséget egy igazgatótanács segítette, amelynek társelnöke a három uniós intézmény egy-egy tagja volt.</w:t>
      </w:r>
    </w:p>
    <w:p>
      <w:pPr>
        <w:pStyle w:val="Normal"/>
        <w:rPr/>
      </w:pPr>
      <w:r>
        <w:rPr/>
        <w:t xml:space="preserve">Az együttes nyilatkozattal összhangban a következő struktúrákat hozták létre: </w:t>
      </w:r>
    </w:p>
    <w:p>
      <w:pPr>
        <w:pStyle w:val="Alineanegatifpuce"/>
        <w:numPr>
          <w:ilvl w:val="0"/>
          <w:numId w:val="3"/>
        </w:numPr>
        <w:rPr/>
      </w:pPr>
      <w:r>
        <w:rPr/>
        <w:t>egy ügyvezető testület, amely felügyelte a konferencia megszervezését. A testület a három uniós intézmény képviselőiből (három tagból és négy megfigyelőből), valamint az Európai Unió nemzeti parlamentjei közösségi ügyekkel foglalkozó testületeinek (COSAC) elnöki trojkájának képviselőiből állt. Megfigyelőként meghívták a Régiók Bizottságát, az Európai Gazdasági és Szociális Bizottságot és a szociális partnerek képviselőit;</w:t>
      </w:r>
    </w:p>
    <w:p>
      <w:pPr>
        <w:pStyle w:val="Alineanegatifpuce"/>
        <w:numPr>
          <w:ilvl w:val="0"/>
          <w:numId w:val="3"/>
        </w:numPr>
        <w:rPr/>
      </w:pPr>
      <w:r>
        <w:rPr/>
        <w:t>a három intézmény egyenlő képviseletét biztosító közös titkárság, amely támogatta az igazgatótanács munkáját. A három intézmény három társelnöke által vezetett csoport felügyelte a végrehajtó testület, a konferencia plenáris ülései és az európai polgári vitacsoportok üléseinek megszervezését és előkészítését. A szolgáltatókkal együttműködve felelős volt a többnyelvű digitális platform irányításáért és a folyamat során a legfontosabb mérföldkövekről való jelentéstételért.</w:t>
        <w:br/>
        <w:t xml:space="preserve">E csapat egyedülálló összetétele lehetővé tette a munka állandó kollegialitását, és minden területen biztosította a szinergiákat és a hatékonyságnövekedést; </w:t>
      </w:r>
    </w:p>
    <w:p>
      <w:pPr>
        <w:pStyle w:val="Alineanegatifpuce"/>
        <w:numPr>
          <w:ilvl w:val="0"/>
          <w:numId w:val="3"/>
        </w:numPr>
        <w:rPr/>
      </w:pPr>
      <w:r>
        <w:rPr/>
        <w:t>a konferencia plenáris ülése (további információkért lásd a III. fejezetet), amely lehetővé tette a nemzeti és európai polgári vitacsoportok ajánlásainak megvitatását, témák szerint csoportosítva, az EU értékeinek és a konferencia chartájának teljes körű tiszteletben tartása mellett,</w:t>
      </w:r>
      <w:r>
        <w:rPr>
          <w:rStyle w:val="Ancredenotedebasdepage"/>
          <w:rStyle w:val="Ancredenotedebasdepage"/>
        </w:rPr>
        <w:footnoteReference w:id="3"/>
      </w:r>
      <w:r>
        <w:rPr/>
        <w:t>anélkül, hogy a viták kimenetelét előzetesen meghatároznák, vagy azok hatálya előre meghatározott szakpolitikai területekre korlátozódna. Adott esetben megvitatták a többnyelvű digitális platform keretében begyűjtött hozzájárulásokat is. Kilenc tematikus munkacsoportot hoztak létre azzal a céllal, hogy hozzájáruljanak a plenáris ülések vitáinak és javaslatainak előkészítéséhez.</w:t>
      </w:r>
    </w:p>
    <w:p>
      <w:pPr>
        <w:pStyle w:val="Alineanegatifpuce"/>
        <w:numPr>
          <w:ilvl w:val="0"/>
          <w:numId w:val="0"/>
        </w:numPr>
        <w:ind w:left="0" w:right="0" w:hanging="0"/>
        <w:rPr/>
      </w:pPr>
      <w:r>
        <w:rPr/>
      </w:r>
      <w:r>
        <w:br w:type="page"/>
      </w:r>
    </w:p>
    <w:p>
      <w:pPr>
        <w:pStyle w:val="Titre2"/>
        <w:numPr>
          <w:ilvl w:val="1"/>
          <w:numId w:val="2"/>
        </w:numPr>
        <w:rPr/>
      </w:pPr>
      <w:bookmarkStart w:id="2" w:name="__RefHeading___Toc298050_1346298689"/>
      <w:bookmarkEnd w:id="2"/>
      <w:r>
        <w:drawing>
          <wp:anchor behindDoc="0" distT="0" distB="0" distL="0" distR="0" simplePos="0" locked="0" layoutInCell="1" allowOverlap="1" relativeHeight="28">
            <wp:simplePos x="0" y="0"/>
            <wp:positionH relativeFrom="column">
              <wp:posOffset>0</wp:posOffset>
            </wp:positionH>
            <wp:positionV relativeFrom="paragraph">
              <wp:posOffset>99695</wp:posOffset>
            </wp:positionV>
            <wp:extent cx="2970530" cy="8561705"/>
            <wp:effectExtent l="0" t="0" r="0" b="0"/>
            <wp:wrapSquare wrapText="largest"/>
            <wp:docPr id="11" name="Forrás: Image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orrás: Image4" descr=""/>
                    <pic:cNvPicPr>
                      <a:picLocks noChangeAspect="1" noChangeArrowheads="1"/>
                    </pic:cNvPicPr>
                  </pic:nvPicPr>
                  <pic:blipFill>
                    <a:blip r:embed="rId22"/>
                    <a:stretch>
                      <a:fillRect/>
                    </a:stretch>
                  </pic:blipFill>
                  <pic:spPr bwMode="auto">
                    <a:xfrm>
                      <a:off x="0" y="0"/>
                      <a:ext cx="2970530" cy="8561705"/>
                    </a:xfrm>
                    <a:prstGeom prst="rect">
                      <a:avLst/>
                    </a:prstGeom>
                  </pic:spPr>
                </pic:pic>
              </a:graphicData>
            </a:graphic>
          </wp:anchor>
        </w:drawing>
      </w:r>
      <w:r>
        <w:rPr/>
        <w:t>2</w:t>
      </w:r>
      <w:r>
        <w:rPr/>
        <w:t>. Eljárási szabályzat</w:t>
      </w:r>
    </w:p>
    <w:p>
      <w:pPr>
        <w:pStyle w:val="Normal"/>
        <w:rPr/>
      </w:pPr>
      <w:r>
        <w:rPr/>
        <w:t>A végrehajtó testület 2021. május 9-én jóváhagyta a konferencia eljárási szabályzatát, amelyet az Európa jövőjéről szóló konferenciáról szóló együttes nyilatkozattal összhangban hoztak létre, amely meghatározza a konferencia alapjait és elveit.</w:t>
      </w:r>
    </w:p>
    <w:p>
      <w:pPr>
        <w:pStyle w:val="Normal"/>
        <w:rPr/>
      </w:pPr>
      <w:r>
        <w:rPr/>
        <w:t>Az eljárási szabályzat meghatározza a különböző konferenciastruktúrák munkájának és kölcsönhatásainak keretét.</w:t>
      </w:r>
    </w:p>
    <w:p>
      <w:pPr>
        <w:pStyle w:val="Titre2"/>
        <w:numPr>
          <w:ilvl w:val="1"/>
          <w:numId w:val="2"/>
        </w:numPr>
        <w:rPr/>
      </w:pPr>
      <w:bookmarkStart w:id="3" w:name="__RefHeading___Toc298052_1346298689"/>
      <w:bookmarkEnd w:id="3"/>
      <w:r>
        <w:rPr/>
        <w:t>3. A konferenciához kapcsolódó események</w:t>
      </w:r>
    </w:p>
    <w:p>
      <w:pPr>
        <w:pStyle w:val="Corpsdetexte"/>
        <w:rPr/>
      </w:pPr>
      <w:r>
        <w:rPr/>
        <w:t>Az együttes nyilatkozat szerint az egyes uniós tagállamok vagy intézmények nemzeti vagy intézményi sajátosságaiktól függően a konferencia égisze alatt szervezhetnek rendezvényeket, és további hozzájárulásokat tehetnek a konferenciához (további információkért lásd a II.C. fejezetet).</w:t>
      </w:r>
    </w:p>
    <w:p>
      <w:pPr>
        <w:pStyle w:val="Corpsdetexte"/>
        <w:rPr/>
      </w:pPr>
      <w:r>
        <w:rPr/>
        <w:t>Ezért felkérték az uniós intézményeket és szerveket, a tagállamokat, a regionális és helyi hatóságokat, a szervezett civil társadalmat, a szociális partnereket és a polgárokat, hogy a civil társadalommal és az érdekelt felekkel partnerségben európai, nemzeti, regionális és helyi szinten szervezzenek rendezvényeket Európa-szerte sokféle formátumban, és tegyék közzé ezen események eredményeit a digitális platformon. Több ezer ilyen eseményre került sor, amelyeken mintegy 650 000 résztvevő vett részt.</w:t>
      </w:r>
    </w:p>
    <w:p>
      <w:pPr>
        <w:pStyle w:val="Titre2"/>
        <w:numPr>
          <w:ilvl w:val="1"/>
          <w:numId w:val="2"/>
        </w:numPr>
        <w:rPr/>
      </w:pPr>
      <w:bookmarkStart w:id="4" w:name="__RefHeading___Toc298054_1346298689"/>
      <w:bookmarkEnd w:id="4"/>
      <w:r>
        <w:rPr/>
        <w:t>4.</w:t>
        <w:tab/>
        <w:t>A többnyelvű digitális platform megvalósítása</w:t>
      </w:r>
    </w:p>
    <w:p>
      <w:pPr>
        <w:pStyle w:val="Normal"/>
        <w:rPr/>
      </w:pPr>
      <w:r>
        <w:rPr/>
        <w:t>A többnyelvű digitális platformot (további információkért lásd a II.A. fejezetet) azért hozták létre, hogy lehetővé tegye a polgárok számára, hogy az együttes nyilatkozattal összhangban megosszák ötleteiket és online küldjék hozzászólásaikat. Ez volt a konferencia különböző részeiről a polgároknak nyújtott hozzájárulások és tájékoztatás fő központja, valamint interaktív eszköz volt a konferencia keretében szervezett számos esemény ötleteinek és hozzájárulásainak megosztására és megvitatására. A platform hivatalosan 2021. április 19-én indult útjára. Több mint 17 000 ötlet jelent meg a platformon.</w:t>
      </w:r>
    </w:p>
    <w:p>
      <w:pPr>
        <w:pStyle w:val="Corpsdetexte"/>
        <w:rPr/>
      </w:pPr>
      <w:r>
        <w:rPr/>
        <w:t>A konferencia során jelentéseket készítettek a platformon bemutatott hozzászólásokról.</w:t>
      </w:r>
    </w:p>
    <w:p>
      <w:pPr>
        <w:pStyle w:val="Normal"/>
        <w:rPr/>
      </w:pPr>
      <w:r>
        <w:rPr/>
        <w:t>A platformon keresztül begyűjtött hozzájárulásokat az európai polgári vitacsoportok figyelembe vették, és azokat a konferencia plenáris ülésén megvitatták és megvitatták.</w:t>
      </w:r>
    </w:p>
    <w:p>
      <w:pPr>
        <w:pStyle w:val="Titre2"/>
        <w:numPr>
          <w:ilvl w:val="1"/>
          <w:numId w:val="2"/>
        </w:numPr>
        <w:rPr/>
      </w:pPr>
      <w:bookmarkStart w:id="5" w:name="__RefHeading___Toc298056_1346298689"/>
      <w:bookmarkEnd w:id="5"/>
      <w:r>
        <w:rPr/>
        <w:t>5.</w:t>
        <w:tab/>
        <w:t>Az európai polgári vitacsoportok</w:t>
      </w:r>
    </w:p>
    <w:p>
      <w:pPr>
        <w:pStyle w:val="Normal"/>
        <w:rPr/>
      </w:pPr>
      <w:r>
        <w:rPr/>
        <w:t>Az együttes nyilatkozattal összhangban a konferencia fő témái köré szervezett európai polgári vitacsoportok a konferencia központi és különösen innovatív elemét képezték (további információkért lásd a II.B. fejezetet).</w:t>
      </w:r>
    </w:p>
    <w:p>
      <w:pPr>
        <w:pStyle w:val="Normal"/>
        <w:rPr/>
      </w:pPr>
      <w:r>
        <w:rPr/>
        <w:t>Összesen 800 véletlenszerűen kiválasztott, az EU szociológiai és földrajzi sokféleségét képviselő és négy, 200 polgárból álló testületbe tömörített polgár ült össze vitafórumonként három vitafórumon. Az európai polgári vitacsoportok olyan ajánlásokat fogalmaztak meg, amelyek beépültek a konferencia általános tanácskozásaiba, különösen a konferencia plenáris ülésein.</w:t>
      </w:r>
    </w:p>
    <w:p>
      <w:pPr>
        <w:pStyle w:val="Normal"/>
        <w:rPr/>
      </w:pPr>
      <w:r>
        <w:rPr/>
        <w:t>A végrehajtó testület társelnökei az együttes nyilatkozatnak és az eljárási szabályzatnak megfelelően közösen határozták meg az európai polgári vitacsoportok megszervezésére vonatkozó gyakorlati szabályokat, és előzetesen tájékoztatták a végrehajtó testületet.</w:t>
      </w:r>
    </w:p>
    <w:p>
      <w:pPr>
        <w:pStyle w:val="Normal"/>
        <w:rPr/>
      </w:pPr>
      <w:r>
        <w:rPr/>
        <w:t>A végrehajtó testületet rendszeresen tájékoztatták az európai polgári vitacsoportok létrehozása és megszervezése terén elért eredményekről.</w:t>
      </w:r>
    </w:p>
    <w:p>
      <w:pPr>
        <w:pStyle w:val="Normal"/>
        <w:rPr/>
      </w:pPr>
      <w:r>
        <w:rPr/>
      </w:r>
    </w:p>
    <w:p>
      <w:pPr>
        <w:pStyle w:val="Titre2"/>
        <w:numPr>
          <w:ilvl w:val="1"/>
          <w:numId w:val="2"/>
        </w:numPr>
        <w:rPr/>
      </w:pPr>
      <w:bookmarkStart w:id="6" w:name="__RefHeading___Toc298058_1346298689"/>
      <w:bookmarkEnd w:id="6"/>
      <w:r>
        <w:rPr/>
        <w:t>6.</w:t>
        <w:tab/>
        <w:t>Nemzeti polgári vitacsoportok</w:t>
      </w:r>
    </w:p>
    <w:p>
      <w:pPr>
        <w:pStyle w:val="Normal"/>
        <w:rPr/>
      </w:pPr>
      <w:r>
        <w:rPr/>
        <w:t>Az együttes nyilatkozat szerint a tagállamok nemzeti testületeket szervezhetnek. A nemzeti polgári vitacsoportok megszervezését tervező tagállamok támogatása érdekében a társelnökök iránymutatásokat hagytak jóvá, és 2021. május 26-án továbbították őket az igazgatótanácsnak annak biztosítása érdekében, hogy a nemzeti testületeket az európai polgári vitacsoportokéval azonos elvek szerint szervezzék. Ezek az iránymutatások magukban foglalták a helyes mérlegelés elveit, amelyek az OECD iránymutatásain alapulnak</w:t>
      </w:r>
      <w:r>
        <w:rPr>
          <w:rStyle w:val="Ancredenotedebasdepage"/>
          <w:rStyle w:val="Ancredenotedebasdepage"/>
        </w:rPr>
        <w:footnoteReference w:id="4"/>
      </w:r>
      <w:r>
        <w:rPr/>
        <w:t>. Minden tagállam eldöntheti, hogy nemzeti polgárokból álló testületet szervez-e vagy sem. Összesen hat tagállam szervezett egyet (Belgium, Franciaország, Németország, Olaszország, Litvánia és Hollandia).</w:t>
      </w:r>
    </w:p>
    <w:p>
      <w:pPr>
        <w:pStyle w:val="Normal"/>
        <w:rPr/>
      </w:pPr>
      <w:r>
        <w:rPr/>
        <w:t>Az együttes nyilatkozattal összhangban a nemzeti polgári vitacsoportok ajánlásait a konferencia plenáris ülésein ismertették és vitatták meg, az európai polgári vitacsoportok ajánlásaival párhuzamosan.</w:t>
      </w:r>
    </w:p>
    <w:p>
      <w:pPr>
        <w:pStyle w:val="Normal"/>
        <w:rPr/>
      </w:pPr>
      <w:r>
        <w:rPr/>
      </w:r>
      <w:r>
        <w:br w:type="page"/>
      </w:r>
    </w:p>
    <w:p>
      <w:pPr>
        <w:pStyle w:val="Normal"/>
        <w:rPr/>
      </w:pPr>
      <w:r>
        <w:rPr/>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Titre1"/>
        <w:numPr>
          <w:ilvl w:val="0"/>
          <w:numId w:val="2"/>
        </w:numPr>
        <w:rPr/>
      </w:pPr>
      <w:bookmarkStart w:id="7" w:name="__RefHeading___Toc298188_1346298689"/>
      <w:bookmarkEnd w:id="7"/>
      <w:r>
        <w:rPr/>
        <w:t>NEM, NEM, NEM, NEM. A polgárok hozzájárulása a konferenciához</w:t>
      </w:r>
    </w:p>
    <w:p>
      <w:pPr>
        <w:pStyle w:val="Normal"/>
        <w:rPr/>
      </w:pPr>
      <w:r>
        <w:rPr/>
      </w:r>
      <w:r>
        <w:br w:type="page"/>
      </w:r>
    </w:p>
    <w:p>
      <w:pPr>
        <w:pStyle w:val="Titre2"/>
        <w:numPr>
          <w:ilvl w:val="1"/>
          <w:numId w:val="2"/>
        </w:numPr>
        <w:rPr/>
      </w:pPr>
      <w:bookmarkStart w:id="8" w:name="__RefHeading___Toc298190_1346298689"/>
      <w:bookmarkEnd w:id="8"/>
      <w:r>
        <w:rPr/>
        <w:t>A. Többnyelvű digitális platform</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A többnyelvű digitális platform 2021. április 19-én indult, és a konferencia központi kapcsolattartója volt. Ezzel mindenki részt vehetett a konferencián: az EU-ban és másutt élő valamennyi polgár, a civil társadalom, a szociális partnerek és más érdekelt felek.</w:t>
      </w:r>
    </w:p>
    <w:p>
      <w:pPr>
        <w:pStyle w:val="Normal"/>
        <w:rPr/>
      </w:pPr>
      <w:r>
        <w:rPr/>
        <w:t>A platformot kifejezetten a konferencia számára fejlesztették ki, a Decidim, a polgárok részvételére szánt európai szabad szoftver felhasználásával. Az összes hozzászólás az EU mind a 24 hivatalos nyelvén rendelkezésre állt gépi fordítás útján. A vita tíz téma köré szerveződött: „Éghajlatváltozás és környezet”, „Egészségügy”, „Erősebb gazdaság, társadalmi igazságosság és foglalkoztatás”, „Az EU a világban”, „Értékek és jogok, jogállamiság, biztonság”, „digitális átalakulás”, „európai demokrácia”, „Migráció”, „Oktatás, kultúra, ifjúság és sport” és „Egyéb ötletek”.</w:t>
      </w:r>
    </w:p>
    <w:p>
      <w:pPr>
        <w:pStyle w:val="Normal"/>
        <w:rPr/>
      </w:pPr>
      <w:r>
        <w:rPr/>
        <w:t>A platformon különböző módokon lehetett részt venni.</w:t>
      </w:r>
    </w:p>
    <w:p>
      <w:pPr>
        <w:pStyle w:val="Normal"/>
        <w:rPr/>
      </w:pPr>
      <w:r>
        <w:rPr/>
        <w:t>Bárki, aki ezt akarta, megoszthatja ötleteit a tíz téma egyikével kapcsolatban. Az is lehetséges volt, hogy mások ötleteit kommentáljuk. A platform tehát valódi páneurópai vitát tett lehetővé a polgárok között.</w:t>
      </w:r>
    </w:p>
    <w:p>
      <w:pPr>
        <w:pStyle w:val="Normal"/>
        <w:rPr/>
      </w:pPr>
      <w:r>
        <w:rPr/>
        <w:t>A résztvevők támogathatják az ötleteket is, jelezve, hogy egy másik felhasználótól származó hozzászólásokat támogatnak.</w:t>
      </w:r>
    </w:p>
    <w:p>
      <w:pPr>
        <w:pStyle w:val="Normal"/>
        <w:rPr/>
      </w:pPr>
      <w:r>
        <w:rPr/>
        <w:t>A konferencián való részvétel másik fontos módja az volt, hogy rendezvényeket szervezzünk (virtuális, személyes vagy hibrid), bejelentsük azokat a platformon, beszámoljunk eredményeikről, és összekapcsoljuk őket ötletekkel. A rendezvények részvételi és befogadó jellegének előmozdítása érdekében</w:t>
      </w:r>
      <w:hyperlink r:id="rId23">
        <w:r>
          <w:rPr>
            <w:rStyle w:val="LienInternet"/>
          </w:rPr>
          <w:t>útmutatókat</w:t>
        </w:r>
      </w:hyperlink>
      <w:r>
        <w:rPr/>
        <w:t xml:space="preserve"> és </w:t>
      </w:r>
      <w:hyperlink r:id="rId24">
        <w:r>
          <w:rPr>
            <w:rStyle w:val="LienInternet"/>
          </w:rPr>
          <w:t>tájékoztató anyagokat bocsátottak</w:t>
        </w:r>
      </w:hyperlink>
      <w:r>
        <w:rPr/>
        <w:t xml:space="preserve"> a szervezők rendelkezésére a platformon.</w:t>
      </w:r>
    </w:p>
    <w:p>
      <w:pPr>
        <w:pStyle w:val="Normal"/>
        <w:rPr/>
      </w:pPr>
      <w:r>
        <w:rPr/>
        <w:t xml:space="preserve">A platform alapvető szerepet játszott az egész folyamat átláthatóságában és a konferenciával kapcsolatos valamennyi információhoz való hozzáférésben. Itt mindenki tájékozódhatott a konferencia munkamódszereiről és szervezéséről, például magáról a konferencia folyamatáról (a konferencia plenáris üléséről és munkacsoportjairól, az </w:t>
      </w:r>
      <w:hyperlink r:id="rId25">
        <w:r>
          <w:rPr>
            <w:rStyle w:val="LienInternet"/>
          </w:rPr>
          <w:t>európai polgári panelekről, a nemzeti panelekről és rendezvényekről, valamint</w:t>
        </w:r>
      </w:hyperlink>
      <w:r>
        <w:rPr/>
        <w:t xml:space="preserve"> a </w:t>
      </w:r>
      <w:hyperlink r:id="rId26">
        <w:r>
          <w:rPr>
            <w:rStyle w:val="LienInternet"/>
          </w:rPr>
          <w:t>végrehajtó testületről</w:t>
        </w:r>
      </w:hyperlink>
      <w:r>
        <w:rPr/>
        <w:t>). A plenáris ülés és munkacsoportjai vitáit élőben közvetítették az interneten, csakúgy, mint az európai polgári vitacsoportok ülései. Ezek az információk továbbra is elérhetők lesznek a platformon.</w:t>
      </w:r>
    </w:p>
    <w:p>
      <w:pPr>
        <w:pStyle w:val="Normal"/>
        <w:rPr/>
      </w:pPr>
      <w:r>
        <w:rPr/>
        <w:t>A munka során lehetőség szerint javították a platformot, például funkciók vagy vizuális média hozzáadásával. Idővel a platform hozzáférhetőbbé vált a fogyatékkal élők számára is.</w:t>
      </w:r>
    </w:p>
    <w:p>
      <w:pPr>
        <w:pStyle w:val="Normal"/>
        <w:rPr/>
      </w:pPr>
      <w:r>
        <w:rPr/>
        <w:t>A platform valamennyi hozzászólása nyilvános volt: mindenki hozzáférhet ezekhez, valamint a digitális platformhoz kapcsolódó nyílt adatfájlokhoz, amelyek teljes átláthatóságot biztosítottak. A hozzájárulások összegyűjtésének és elemzésének megkönnyítése érdekében a Bizottság Közös Kutatóközpontja automatizált szövegelemzési eszközt és elemzési platformot dolgozott ki, amely lehetővé tette a platform tartalmának többnyelvű értelmezését és mélyreható elemzését. Az elemzési platform olyan eszköz, amely elengedhetetlennek bizonyult ahhoz, hogy minden nyelven rendszeres jelentéseket készítsenek a minőség egységes szintjéről. Emellett az Európai Bizottság által 2022 márciusában szervezett „datathon” új megközelítéseket szorgalmazott a nyílt adatsorok elemzésében, és hozzájárult az adatelemzési folyamat átláthatóságához.</w:t>
      </w:r>
    </w:p>
    <w:p>
      <w:pPr>
        <w:pStyle w:val="Normal"/>
        <w:rPr/>
      </w:pPr>
      <w:r>
        <w:rPr/>
        <w:t>Annak érdekében, hogy áttekintést nyújtson a platformon nyújtott hozzájárulásokról, egy külső szolgáltató jelentéseket készített, amelyeket magán a platformon tettek közzé.</w:t>
      </w:r>
    </w:p>
    <w:p>
      <w:pPr>
        <w:pStyle w:val="Normal"/>
        <w:rPr/>
      </w:pPr>
      <w:r>
        <w:rPr/>
        <w:t xml:space="preserve">Az </w:t>
      </w:r>
      <w:hyperlink r:id="rId27">
        <w:r>
          <w:rPr>
            <w:rStyle w:val="LienInternet"/>
          </w:rPr>
          <w:t>első időközi jelentést</w:t>
        </w:r>
      </w:hyperlink>
      <w:r>
        <w:rPr/>
        <w:t xml:space="preserve"> szeptemberben tették közzé: a hozzájárulásokra összpontosított</w:t>
      </w:r>
    </w:p>
    <w:p>
      <w:pPr>
        <w:pStyle w:val="Normal"/>
        <w:rPr/>
      </w:pPr>
      <w:r>
        <w:rPr/>
        <w:t xml:space="preserve">kihirdetve 2021. augusztus 2-ig. A </w:t>
      </w:r>
      <w:hyperlink r:id="rId28">
        <w:r>
          <w:rPr>
            <w:rStyle w:val="LienInternet"/>
          </w:rPr>
          <w:t>második időközi jelentést</w:t>
        </w:r>
      </w:hyperlink>
      <w:r>
        <w:rPr/>
        <w:t xml:space="preserve">2021. október közepén tették közzé, amely a 2021. szeptember 7-ig benyújtott hozzájárulásokról szól. A </w:t>
      </w:r>
      <w:hyperlink r:id="rId29">
        <w:r>
          <w:rPr>
            <w:rStyle w:val="LienInternet"/>
          </w:rPr>
          <w:t>harmadik időközi jelentést</w:t>
        </w:r>
      </w:hyperlink>
      <w:r>
        <w:rPr/>
        <w:t xml:space="preserve"> 2021 decemberében tették közzé, amely 2021. november 3-ig terjedt ki a hozzájárulásokra. Mivel a konferenciával kapcsolatos munka az utolsó szakaszba lépett, 2022. március közepén közzétették a konferencia plenáris üléseinek munkáját ösztönző legutóbbi jelentést, figyelembe véve a digitális platformon 2022. február 20-ig benyújtott észrevételeket. Ezt a naptárt egyértelműen bejelentették a platformon és másutt is, ami 2022 januárjában és februárjában a hozzájárulások növekedését eredményezte. A május 9-ig beérkezett hozzájárulásokkal a kiegészítő jelentés foglalkozik. A 2021. szeptemberi, decemberi és 2022. márciusi jelentésekkel egy időben a platformon benyújtott hozzájárulásokról szóló kiegészítő jelentéseket is rendelkezésre bocsátották tagállamonként.</w:t>
      </w:r>
    </w:p>
    <w:p>
      <w:pPr>
        <w:pStyle w:val="Normal"/>
        <w:rPr/>
      </w:pPr>
      <w:r>
        <w:rPr/>
        <w:t xml:space="preserve">E jelentések elsősorban a platformon közzétett hozzászólások minőségi elemzésére összpontosítottak annak érdekében, hogy általános áttekintést nyújtsanak a platformon javasolt és a rendezvényeken megvitatott </w:t>
      </w:r>
      <w:r>
        <w:drawing>
          <wp:anchor behindDoc="0" distT="0" distB="0" distL="0" distR="0" simplePos="0" locked="0" layoutInCell="1" allowOverlap="1" relativeHeight="19">
            <wp:simplePos x="0" y="0"/>
            <wp:positionH relativeFrom="column">
              <wp:posOffset>60325</wp:posOffset>
            </wp:positionH>
            <wp:positionV relativeFrom="paragraph">
              <wp:posOffset>1607820</wp:posOffset>
            </wp:positionV>
            <wp:extent cx="5779135" cy="3321685"/>
            <wp:effectExtent l="0" t="0" r="0" b="0"/>
            <wp:wrapTopAndBottom/>
            <wp:docPr id="12" name="Kép 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Kép 5" descr=""/>
                    <pic:cNvPicPr>
                      <a:picLocks noChangeAspect="1" noChangeArrowheads="1"/>
                    </pic:cNvPicPr>
                  </pic:nvPicPr>
                  <pic:blipFill>
                    <a:blip r:embed="rId30"/>
                    <a:stretch>
                      <a:fillRect/>
                    </a:stretch>
                  </pic:blipFill>
                  <pic:spPr bwMode="auto">
                    <a:xfrm>
                      <a:off x="0" y="0"/>
                      <a:ext cx="5779135" cy="3321685"/>
                    </a:xfrm>
                    <a:prstGeom prst="rect">
                      <a:avLst/>
                    </a:prstGeom>
                  </pic:spPr>
                </pic:pic>
              </a:graphicData>
            </a:graphic>
          </wp:anchor>
        </w:drawing>
      </w:r>
      <w:r>
        <w:rPr/>
        <w:t>ö</w:t>
      </w:r>
      <w:r>
        <w:rPr/>
        <w:t>tletek köréről és sokféleségéről. E célból a Bizottság Közös Kutatóközpontja által biztosított analitikai eszközök felhasználásával egy kutatócsoport manuális szöveges elemzést és a hozzájárulások összevonását végezte el. Ez lehetővé tette a téma közös témáinak és alkategóriáinak azonosítását, amelyeket az egyes témákban részletesen leírtak, és amelyeket fogalmi sémákban szintetizáltak, amelyek lehetővé teszik, hogy gyorsan vizualizálhatók legyenek. Annak érdekében, hogy ezt a minőségi megközelítést mennyiségi elemekkel egészítsék ki, az egyes jelentésekben megemlítették azokat a témákat, altémákat vagy ötleteket, amelyek gyakran visszatértek, vagy amelyeket erősen kommentáltak vagy támogattak. A cél az volt, hogy tükrözze a konferencia különböző szakaszaiban folytatott megbeszélések állását, beleértve az érdeklődés magas szintjét vagy az egyes ötletek által generált vitákat. A jelentések áttekintést nyújtottak a résztvevők szociodemográfiai adatairól is. A válaszadókat felkérték, hogy adjanak tájékoztatást a lakóhelyük szerinti országról, az iskolai végzettségük szintjéről, az életkorukról, a nemükről és a szakmai státuszukról; ezen információk fakultatív jellege azonban korlátozza a résztvevők profilját illetően levonható egyértelműséget. Például az összes hozzájárulás 26,9%-a olyan résztvevőktől származott, akik nem jelölték meg a lakóhelyük szerinti országot.</w:t>
      </w:r>
    </w:p>
    <w:p>
      <w:pPr>
        <w:pStyle w:val="Normal"/>
        <w:rPr/>
      </w:pPr>
      <w:r>
        <w:rPr/>
      </w:r>
      <w:r>
        <w:br w:type="page"/>
      </w:r>
    </w:p>
    <w:p>
      <w:pPr>
        <w:pStyle w:val="Normal"/>
        <w:rPr/>
      </w:pPr>
      <w:r>
        <w:rPr/>
        <w:t>A platform elindítása óta az „európai demokrácia” téma az, amelyhez a legtöbb hozzászólást (ötletek, megjegyzések és események) rögzítették. A második téma az „Éghajlatváltozás és a környezet”. Az „Egyéb ötletek” cím alatt bemutatott hozzájárulások a harmadik helyre kerültek, megelőzve az „Értékek és jogok, jogállamiság, biztonság” és az „Erősebb gazdaság, társadalmi igazságosság és foglalkoztatás” címet.</w:t>
      </w:r>
    </w:p>
    <w:p>
      <w:pPr>
        <w:pStyle w:val="Normal"/>
        <w:rPr/>
      </w:pPr>
      <w:r>
        <w:rPr/>
        <w:t>A platform keretében begyűjtött hozzájárulásokról szóló jelentések, beleértve a koncepcionális rendszereket is, értékes hozzájárulást jelentettek az európai polgári vitacsoportok munkájához. A három testületi ülés elején bemutatták a jelentés főbb megállapításait és a koncepcionális sémákat, amelyek a teljes jelentésre mutató linkeket kaptak. Az európai polgári vitacsoportok ajánlásaiban ez a platformon megjelenő számos ötlet tükröződik.</w:t>
      </w:r>
    </w:p>
    <w:p>
      <w:pPr>
        <w:pStyle w:val="Normal"/>
        <w:spacing w:before="2802" w:after="57"/>
        <w:rPr/>
      </w:pPr>
      <w:r>
        <mc:AlternateContent>
          <mc:Choice Requires="wps">
            <w:drawing>
              <wp:anchor behindDoc="0" distT="72390" distB="72390" distL="72390" distR="72390" simplePos="0" locked="0" layoutInCell="1" allowOverlap="1" relativeHeight="27">
                <wp:simplePos x="0" y="0"/>
                <wp:positionH relativeFrom="column">
                  <wp:posOffset>22860</wp:posOffset>
                </wp:positionH>
                <wp:positionV relativeFrom="paragraph">
                  <wp:posOffset>2617470</wp:posOffset>
                </wp:positionV>
                <wp:extent cx="6036310" cy="1779905"/>
                <wp:effectExtent l="0" t="0" r="0" b="0"/>
                <wp:wrapSquare wrapText="bothSides"/>
                <wp:docPr id="13" name="Keretrendszer2"/>
                <a:graphic xmlns:a="http://schemas.openxmlformats.org/drawingml/2006/main">
                  <a:graphicData uri="http://schemas.microsoft.com/office/word/2010/wordprocessingShape">
                    <wps:wsp>
                      <wps:cNvSpPr/>
                      <wps:spPr>
                        <a:xfrm>
                          <a:off x="0" y="0"/>
                          <a:ext cx="6035760" cy="1779120"/>
                        </a:xfrm>
                        <a:prstGeom prst="rect">
                          <a:avLst/>
                        </a:prstGeom>
                        <a:solidFill>
                          <a:srgbClr val="ffffff"/>
                        </a:solidFill>
                        <a:ln w="720">
                          <a:solidFill>
                            <a:srgbClr val="000000"/>
                          </a:solidFill>
                          <a:round/>
                        </a:ln>
                      </wps:spPr>
                      <wps:style>
                        <a:lnRef idx="0"/>
                        <a:fillRef idx="0"/>
                        <a:effectRef idx="0"/>
                        <a:fontRef idx="minor"/>
                      </wps:style>
                      <wps:txbx>
                        <w:txbxContent>
                          <w:tbl>
                            <w:tblPr>
                              <w:tblW w:w="9333" w:type="dxa"/>
                              <w:jc w:val="left"/>
                              <w:tblInd w:w="0" w:type="dxa"/>
                              <w:tblBorders/>
                              <w:tblCellMar>
                                <w:top w:w="0" w:type="dxa"/>
                                <w:left w:w="0" w:type="dxa"/>
                                <w:bottom w:w="0" w:type="dxa"/>
                                <w:right w:w="0" w:type="dxa"/>
                              </w:tblCellMar>
                            </w:tblPr>
                            <w:tblGrid>
                              <w:gridCol w:w="3111"/>
                              <w:gridCol w:w="3111"/>
                              <w:gridCol w:w="3111"/>
                            </w:tblGrid>
                            <w:tr>
                              <w:trPr/>
                              <w:tc>
                                <w:tcPr>
                                  <w:tcW w:w="9333" w:type="dxa"/>
                                  <w:gridSpan w:val="3"/>
                                  <w:tcBorders/>
                                  <w:shd w:fill="auto" w:val="clear"/>
                                </w:tcPr>
                                <w:p>
                                  <w:pPr>
                                    <w:pStyle w:val="Contenudetableau"/>
                                    <w:spacing w:before="57" w:after="57"/>
                                    <w:jc w:val="center"/>
                                    <w:rPr/>
                                  </w:pPr>
                                  <w:r>
                                    <w:rPr/>
                                    <w:t>Mi történik az Európa jövőjéről szóló konferencián?</w:t>
                                  </w:r>
                                </w:p>
                              </w:tc>
                            </w:tr>
                            <w:tr>
                              <w:trPr/>
                              <w:tc>
                                <w:tcPr>
                                  <w:tcW w:w="3111" w:type="dxa"/>
                                  <w:tcBorders/>
                                  <w:shd w:fill="auto" w:val="clear"/>
                                </w:tcPr>
                                <w:p>
                                  <w:pPr>
                                    <w:pStyle w:val="P68B1DB1Contenudetableau8"/>
                                    <w:spacing w:before="57" w:after="57"/>
                                    <w:jc w:val="center"/>
                                    <w:rPr>
                                      <w:sz w:val="32"/>
                                    </w:rPr>
                                  </w:pPr>
                                  <w:r>
                                    <w:rPr/>
                                    <w:t xml:space="preserve">52 346 </w:t>
                                  </w:r>
                                </w:p>
                                <w:p>
                                  <w:pPr>
                                    <w:pStyle w:val="Contenudetableau"/>
                                    <w:spacing w:before="57" w:after="57"/>
                                    <w:jc w:val="center"/>
                                    <w:rPr/>
                                  </w:pPr>
                                  <w:r>
                                    <w:rPr/>
                                    <w:t>a konferencia résztvevői</w:t>
                                  </w:r>
                                </w:p>
                              </w:tc>
                              <w:tc>
                                <w:tcPr>
                                  <w:tcW w:w="3111" w:type="dxa"/>
                                  <w:tcBorders/>
                                  <w:shd w:fill="auto" w:val="clear"/>
                                </w:tcPr>
                                <w:p>
                                  <w:pPr>
                                    <w:pStyle w:val="P68B1DB1Contenudetableau8"/>
                                    <w:spacing w:before="57" w:after="57"/>
                                    <w:jc w:val="center"/>
                                    <w:rPr>
                                      <w:sz w:val="32"/>
                                    </w:rPr>
                                  </w:pPr>
                                  <w:r>
                                    <w:rPr/>
                                    <w:t xml:space="preserve">652 532 </w:t>
                                  </w:r>
                                </w:p>
                                <w:p>
                                  <w:pPr>
                                    <w:pStyle w:val="Contenudetableau"/>
                                    <w:spacing w:before="57" w:after="57"/>
                                    <w:jc w:val="center"/>
                                    <w:rPr/>
                                  </w:pPr>
                                  <w:r>
                                    <w:rPr/>
                                    <w:t>résztvevők az eseményen</w:t>
                                  </w:r>
                                </w:p>
                              </w:tc>
                              <w:tc>
                                <w:tcPr>
                                  <w:tcW w:w="3111" w:type="dxa"/>
                                  <w:tcBorders/>
                                  <w:shd w:fill="auto" w:val="clear"/>
                                </w:tcPr>
                                <w:p>
                                  <w:pPr>
                                    <w:pStyle w:val="P68B1DB1Contenudetableau8"/>
                                    <w:spacing w:before="57" w:after="57"/>
                                    <w:jc w:val="center"/>
                                    <w:rPr>
                                      <w:sz w:val="32"/>
                                    </w:rPr>
                                  </w:pPr>
                                  <w:r>
                                    <w:rPr/>
                                    <w:t xml:space="preserve">17671 </w:t>
                                  </w:r>
                                </w:p>
                                <w:p>
                                  <w:pPr>
                                    <w:pStyle w:val="Contenudetableau"/>
                                    <w:spacing w:before="57" w:after="57"/>
                                    <w:jc w:val="center"/>
                                    <w:rPr/>
                                  </w:pPr>
                                  <w:r>
                                    <w:rPr/>
                                    <w:t>ötletek</w:t>
                                  </w:r>
                                </w:p>
                              </w:tc>
                            </w:tr>
                            <w:tr>
                              <w:trPr/>
                              <w:tc>
                                <w:tcPr>
                                  <w:tcW w:w="3111" w:type="dxa"/>
                                  <w:tcBorders/>
                                  <w:shd w:fill="auto" w:val="clear"/>
                                </w:tcPr>
                                <w:p>
                                  <w:pPr>
                                    <w:pStyle w:val="Contenudetableau"/>
                                    <w:spacing w:before="57" w:after="57"/>
                                    <w:jc w:val="center"/>
                                    <w:rPr/>
                                  </w:pPr>
                                  <w:r>
                                    <w:rPr>
                                      <w:sz w:val="32"/>
                                    </w:rPr>
                                    <w:t>21877</w:t>
                                  </w:r>
                                  <w:r>
                                    <w:rPr/>
                                    <w:t xml:space="preserve"> </w:t>
                                  </w:r>
                                </w:p>
                                <w:p>
                                  <w:pPr>
                                    <w:pStyle w:val="Contenudetableau"/>
                                    <w:spacing w:before="57" w:after="57"/>
                                    <w:jc w:val="center"/>
                                    <w:rPr/>
                                  </w:pPr>
                                  <w:r>
                                    <w:rPr/>
                                    <w:t>Hozzászólások</w:t>
                                  </w:r>
                                </w:p>
                              </w:tc>
                              <w:tc>
                                <w:tcPr>
                                  <w:tcW w:w="3111" w:type="dxa"/>
                                  <w:tcBorders/>
                                  <w:shd w:fill="auto" w:val="clear"/>
                                </w:tcPr>
                                <w:p>
                                  <w:pPr>
                                    <w:pStyle w:val="P68B1DB1Contenudetableau8"/>
                                    <w:spacing w:before="57" w:after="57"/>
                                    <w:jc w:val="center"/>
                                    <w:rPr>
                                      <w:sz w:val="32"/>
                                    </w:rPr>
                                  </w:pPr>
                                  <w:r>
                                    <w:rPr/>
                                    <w:t xml:space="preserve">6465 </w:t>
                                  </w:r>
                                </w:p>
                                <w:p>
                                  <w:pPr>
                                    <w:pStyle w:val="Contenudetableau"/>
                                    <w:spacing w:before="57" w:after="57"/>
                                    <w:jc w:val="center"/>
                                    <w:rPr/>
                                  </w:pPr>
                                  <w:r>
                                    <w:rPr/>
                                    <w:t>események</w:t>
                                  </w:r>
                                </w:p>
                              </w:tc>
                              <w:tc>
                                <w:tcPr>
                                  <w:tcW w:w="3111" w:type="dxa"/>
                                  <w:tcBorders/>
                                  <w:shd w:fill="auto" w:val="clear"/>
                                </w:tcPr>
                                <w:p>
                                  <w:pPr>
                                    <w:pStyle w:val="P68B1DB1Contenudetableau8"/>
                                    <w:spacing w:before="57" w:after="57"/>
                                    <w:jc w:val="center"/>
                                    <w:rPr>
                                      <w:sz w:val="32"/>
                                    </w:rPr>
                                  </w:pPr>
                                  <w:r>
                                    <w:rPr/>
                                    <w:t xml:space="preserve">72528 </w:t>
                                  </w:r>
                                </w:p>
                                <w:p>
                                  <w:pPr>
                                    <w:pStyle w:val="Contenudetableau"/>
                                    <w:spacing w:before="57" w:after="57"/>
                                    <w:jc w:val="center"/>
                                    <w:rPr/>
                                  </w:pPr>
                                  <w:r>
                                    <w:rPr/>
                                    <w:t>jóváhagyások</w:t>
                                  </w:r>
                                </w:p>
                              </w:tc>
                            </w:tr>
                          </w:tbl>
                          <w:p>
                            <w:pPr>
                              <w:pStyle w:val="Contenudecadre"/>
                              <w:spacing w:before="57" w:after="57"/>
                              <w:rPr/>
                            </w:pPr>
                            <w:r>
                              <w:rPr>
                                <w:color w:val="auto"/>
                              </w:rPr>
                              <w:t xml:space="preserve">A részvétel állása 2022. április 20-án (forrás: </w:t>
                            </w:r>
                            <w:hyperlink r:id="rId31">
                              <w:r>
                                <w:rPr>
                                  <w:rStyle w:val="LienInternet"/>
                                  <w:color w:val="auto"/>
                                </w:rPr>
                                <w:t>Konferencia Európa jövőjéről (europa.eu</w:t>
                              </w:r>
                            </w:hyperlink>
                            <w:r>
                              <w:rPr>
                                <w:color w:val="auto"/>
                              </w:rPr>
                              <w:t>)</w:t>
                            </w:r>
                          </w:p>
                        </w:txbxContent>
                      </wps:txbx>
                      <wps:bodyPr lIns="54000" rIns="54000" tIns="54000" bIns="54000">
                        <a:noAutofit/>
                      </wps:bodyPr>
                    </wps:wsp>
                  </a:graphicData>
                </a:graphic>
              </wp:anchor>
            </w:drawing>
          </mc:Choice>
          <mc:Fallback>
            <w:pict>
              <v:rect id="shape_0" ID="Keretrendszer2" fillcolor="white" stroked="t" style="position:absolute;margin-left:1.8pt;margin-top:206.1pt;width:475.2pt;height:140.05pt">
                <w10:wrap type="square"/>
                <v:fill o:detectmouseclick="t" type="solid" color2="black"/>
                <v:stroke color="black" weight="720" joinstyle="round" endcap="flat"/>
                <v:textbox>
                  <w:txbxContent>
                    <w:tbl>
                      <w:tblPr>
                        <w:tblW w:w="9333" w:type="dxa"/>
                        <w:jc w:val="left"/>
                        <w:tblInd w:w="0" w:type="dxa"/>
                        <w:tblBorders/>
                        <w:tblCellMar>
                          <w:top w:w="0" w:type="dxa"/>
                          <w:left w:w="0" w:type="dxa"/>
                          <w:bottom w:w="0" w:type="dxa"/>
                          <w:right w:w="0" w:type="dxa"/>
                        </w:tblCellMar>
                      </w:tblPr>
                      <w:tblGrid>
                        <w:gridCol w:w="3111"/>
                        <w:gridCol w:w="3111"/>
                        <w:gridCol w:w="3111"/>
                      </w:tblGrid>
                      <w:tr>
                        <w:trPr/>
                        <w:tc>
                          <w:tcPr>
                            <w:tcW w:w="9333" w:type="dxa"/>
                            <w:gridSpan w:val="3"/>
                            <w:tcBorders/>
                            <w:shd w:fill="auto" w:val="clear"/>
                          </w:tcPr>
                          <w:p>
                            <w:pPr>
                              <w:pStyle w:val="Contenudetableau"/>
                              <w:spacing w:before="57" w:after="57"/>
                              <w:jc w:val="center"/>
                              <w:rPr/>
                            </w:pPr>
                            <w:r>
                              <w:rPr/>
                              <w:t>Mi történik az Európa jövőjéről szóló konferencián?</w:t>
                            </w:r>
                          </w:p>
                        </w:tc>
                      </w:tr>
                      <w:tr>
                        <w:trPr/>
                        <w:tc>
                          <w:tcPr>
                            <w:tcW w:w="3111" w:type="dxa"/>
                            <w:tcBorders/>
                            <w:shd w:fill="auto" w:val="clear"/>
                          </w:tcPr>
                          <w:p>
                            <w:pPr>
                              <w:pStyle w:val="P68B1DB1Contenudetableau8"/>
                              <w:spacing w:before="57" w:after="57"/>
                              <w:jc w:val="center"/>
                              <w:rPr>
                                <w:sz w:val="32"/>
                              </w:rPr>
                            </w:pPr>
                            <w:r>
                              <w:rPr/>
                              <w:t xml:space="preserve">52 346 </w:t>
                            </w:r>
                          </w:p>
                          <w:p>
                            <w:pPr>
                              <w:pStyle w:val="Contenudetableau"/>
                              <w:spacing w:before="57" w:after="57"/>
                              <w:jc w:val="center"/>
                              <w:rPr/>
                            </w:pPr>
                            <w:r>
                              <w:rPr/>
                              <w:t>a konferencia résztvevői</w:t>
                            </w:r>
                          </w:p>
                        </w:tc>
                        <w:tc>
                          <w:tcPr>
                            <w:tcW w:w="3111" w:type="dxa"/>
                            <w:tcBorders/>
                            <w:shd w:fill="auto" w:val="clear"/>
                          </w:tcPr>
                          <w:p>
                            <w:pPr>
                              <w:pStyle w:val="P68B1DB1Contenudetableau8"/>
                              <w:spacing w:before="57" w:after="57"/>
                              <w:jc w:val="center"/>
                              <w:rPr>
                                <w:sz w:val="32"/>
                              </w:rPr>
                            </w:pPr>
                            <w:r>
                              <w:rPr/>
                              <w:t xml:space="preserve">652 532 </w:t>
                            </w:r>
                          </w:p>
                          <w:p>
                            <w:pPr>
                              <w:pStyle w:val="Contenudetableau"/>
                              <w:spacing w:before="57" w:after="57"/>
                              <w:jc w:val="center"/>
                              <w:rPr/>
                            </w:pPr>
                            <w:r>
                              <w:rPr/>
                              <w:t>résztvevők az eseményen</w:t>
                            </w:r>
                          </w:p>
                        </w:tc>
                        <w:tc>
                          <w:tcPr>
                            <w:tcW w:w="3111" w:type="dxa"/>
                            <w:tcBorders/>
                            <w:shd w:fill="auto" w:val="clear"/>
                          </w:tcPr>
                          <w:p>
                            <w:pPr>
                              <w:pStyle w:val="P68B1DB1Contenudetableau8"/>
                              <w:spacing w:before="57" w:after="57"/>
                              <w:jc w:val="center"/>
                              <w:rPr>
                                <w:sz w:val="32"/>
                              </w:rPr>
                            </w:pPr>
                            <w:r>
                              <w:rPr/>
                              <w:t xml:space="preserve">17671 </w:t>
                            </w:r>
                          </w:p>
                          <w:p>
                            <w:pPr>
                              <w:pStyle w:val="Contenudetableau"/>
                              <w:spacing w:before="57" w:after="57"/>
                              <w:jc w:val="center"/>
                              <w:rPr/>
                            </w:pPr>
                            <w:r>
                              <w:rPr/>
                              <w:t>ötletek</w:t>
                            </w:r>
                          </w:p>
                        </w:tc>
                      </w:tr>
                      <w:tr>
                        <w:trPr/>
                        <w:tc>
                          <w:tcPr>
                            <w:tcW w:w="3111" w:type="dxa"/>
                            <w:tcBorders/>
                            <w:shd w:fill="auto" w:val="clear"/>
                          </w:tcPr>
                          <w:p>
                            <w:pPr>
                              <w:pStyle w:val="Contenudetableau"/>
                              <w:spacing w:before="57" w:after="57"/>
                              <w:jc w:val="center"/>
                              <w:rPr/>
                            </w:pPr>
                            <w:r>
                              <w:rPr>
                                <w:sz w:val="32"/>
                              </w:rPr>
                              <w:t>21877</w:t>
                            </w:r>
                            <w:r>
                              <w:rPr/>
                              <w:t xml:space="preserve"> </w:t>
                            </w:r>
                          </w:p>
                          <w:p>
                            <w:pPr>
                              <w:pStyle w:val="Contenudetableau"/>
                              <w:spacing w:before="57" w:after="57"/>
                              <w:jc w:val="center"/>
                              <w:rPr/>
                            </w:pPr>
                            <w:r>
                              <w:rPr/>
                              <w:t>Hozzászólások</w:t>
                            </w:r>
                          </w:p>
                        </w:tc>
                        <w:tc>
                          <w:tcPr>
                            <w:tcW w:w="3111" w:type="dxa"/>
                            <w:tcBorders/>
                            <w:shd w:fill="auto" w:val="clear"/>
                          </w:tcPr>
                          <w:p>
                            <w:pPr>
                              <w:pStyle w:val="P68B1DB1Contenudetableau8"/>
                              <w:spacing w:before="57" w:after="57"/>
                              <w:jc w:val="center"/>
                              <w:rPr>
                                <w:sz w:val="32"/>
                              </w:rPr>
                            </w:pPr>
                            <w:r>
                              <w:rPr/>
                              <w:t xml:space="preserve">6465 </w:t>
                            </w:r>
                          </w:p>
                          <w:p>
                            <w:pPr>
                              <w:pStyle w:val="Contenudetableau"/>
                              <w:spacing w:before="57" w:after="57"/>
                              <w:jc w:val="center"/>
                              <w:rPr/>
                            </w:pPr>
                            <w:r>
                              <w:rPr/>
                              <w:t>események</w:t>
                            </w:r>
                          </w:p>
                        </w:tc>
                        <w:tc>
                          <w:tcPr>
                            <w:tcW w:w="3111" w:type="dxa"/>
                            <w:tcBorders/>
                            <w:shd w:fill="auto" w:val="clear"/>
                          </w:tcPr>
                          <w:p>
                            <w:pPr>
                              <w:pStyle w:val="P68B1DB1Contenudetableau8"/>
                              <w:spacing w:before="57" w:after="57"/>
                              <w:jc w:val="center"/>
                              <w:rPr>
                                <w:sz w:val="32"/>
                              </w:rPr>
                            </w:pPr>
                            <w:r>
                              <w:rPr/>
                              <w:t xml:space="preserve">72528 </w:t>
                            </w:r>
                          </w:p>
                          <w:p>
                            <w:pPr>
                              <w:pStyle w:val="Contenudetableau"/>
                              <w:spacing w:before="57" w:after="57"/>
                              <w:jc w:val="center"/>
                              <w:rPr/>
                            </w:pPr>
                            <w:r>
                              <w:rPr/>
                              <w:t>jóváhagyások</w:t>
                            </w:r>
                          </w:p>
                        </w:tc>
                      </w:tr>
                    </w:tbl>
                    <w:p>
                      <w:pPr>
                        <w:pStyle w:val="Contenudecadre"/>
                        <w:spacing w:before="57" w:after="57"/>
                        <w:rPr/>
                      </w:pPr>
                      <w:r>
                        <w:rPr>
                          <w:color w:val="auto"/>
                        </w:rPr>
                        <w:t xml:space="preserve">A részvétel állása 2022. április 20-án (forrás: </w:t>
                      </w:r>
                      <w:hyperlink r:id="rId32">
                        <w:r>
                          <w:rPr>
                            <w:rStyle w:val="LienInternet"/>
                            <w:color w:val="auto"/>
                          </w:rPr>
                          <w:t>Konferencia Európa jövőjéről (europa.eu</w:t>
                        </w:r>
                      </w:hyperlink>
                      <w:r>
                        <w:rPr>
                          <w:color w:val="auto"/>
                        </w:rPr>
                        <w:t>)</w:t>
                      </w:r>
                    </w:p>
                  </w:txbxContent>
                </v:textbox>
              </v:rect>
            </w:pict>
          </mc:Fallback>
        </mc:AlternateContent>
      </w:r>
      <w:r>
        <w:rPr/>
        <w:t>A jelentéseket a 2021. október 23-i plenáris üléstől kezdődően a konferencia plenáris ülésein, valamint a munkacsoportok korábbi ülésein is megvitatták. A platform hozzájárulásai ezért tovább gazdagították a konferencia plenáris ülésén kidolgozott javaslatokat.</w:t>
      </w:r>
    </w:p>
    <w:p>
      <w:pPr>
        <w:pStyle w:val="Normal"/>
        <w:rPr/>
      </w:pPr>
      <w:r>
        <w:rPr/>
        <w:t>2022. április 20-ig közel ötmillió látogató látogatta meg a többnyelvű digitális platformot, amelyen több mint 50 000 résztvevő vett részt, 17 000 ötletet vitattak meg, és több mint 6000 regisztrált eseményt regisztráltak. E számok mögött elkötelezett polgárok ezrei állnak, akik számos ötletet osztanak meg és vitatnak meg, és számos eredeti és innovatív rendezvényt szerveznek a különböző tagállamokban.</w:t>
      </w:r>
    </w:p>
    <w:p>
      <w:pPr>
        <w:pStyle w:val="Normal"/>
        <w:rPr/>
      </w:pPr>
      <w:r>
        <w:rPr/>
        <w:t xml:space="preserve">Annak biztosítása érdekében, hogy a platform olyan hely legyen, ahol az élet minden területéről és Európa minden szegletéből származó polgárok kényelmesen érzik magukat, és arra ösztönzik őket, hogy vegyenek részt a vitában, a platformot használóknak minden felhasználónak fel kellett iratkoznia </w:t>
      </w:r>
      <w:hyperlink r:id="rId33">
        <w:r>
          <w:rPr>
            <w:rStyle w:val="LienInternet"/>
          </w:rPr>
          <w:t>a konferencia chartájára és</w:t>
        </w:r>
      </w:hyperlink>
      <w:r>
        <w:rPr/>
        <w:t xml:space="preserve"> a </w:t>
      </w:r>
      <w:hyperlink r:id="rId34">
        <w:r>
          <w:rPr>
            <w:rStyle w:val="LienInternet"/>
          </w:rPr>
          <w:t>részvételi szabályokra</w:t>
        </w:r>
      </w:hyperlink>
      <w:r>
        <w:rPr/>
        <w:t>. A konferencia során az igazgatótanács nevében a Közös Titkárság felügyelete alatt moderáló csoportot hoztak létre, amely biztosítja a Chartának és a részvételi szabályoknak való megfelelést. A tartalom előzetes moderálása nem történt meg. Amikor egy hozzászólás rejtve volt, a felhasználó üzenetet kapott a moderátor csapatától, amelyben elmagyarázta az okot. Az elvekre és a moderálási folyamatra vonatkozó részletek a platform</w:t>
      </w:r>
      <w:hyperlink r:id="rId35">
        <w:r>
          <w:rPr>
            <w:rStyle w:val="LienInternet"/>
          </w:rPr>
          <w:t>Gyakran Ismételt Kérdések</w:t>
        </w:r>
      </w:hyperlink>
      <w:r>
        <w:rPr/>
        <w:t xml:space="preserve"> (GYIK) részében olvashatók.</w:t>
      </w:r>
    </w:p>
    <w:p>
      <w:pPr>
        <w:pStyle w:val="Normal"/>
        <w:rPr/>
      </w:pPr>
      <w:r>
        <w:rPr/>
        <w:t>2021. április 19. és 2022. április 20. között 430 ötletet (2,4%), 312 hozzászólást (1,4%) és 396 eseményt (6,0%) álcáztak. Az ötletek 71%-át azért álcázták, mert nem tartalmaztak javaslatokat, legyenek azok spamek, felhasználói kérések, vagy azért, mert személyes adatokat vagy nem megfelelő képet tartalmaztak; a rejtett ötletek mintegy 17%-a duplikált volt. A rejtett ötleteknek mindössze 11%-a volt az sértő tartalmak miatt. Az események túlnyomó többségét, 76% -át azért álcázták, mert másolatok voltak, vagy mert az eseményre vonatkozó információk hiányosak voltak, a szervezők kérésére, vagy azért, mert nem kapcsolódtak a konferenciához.</w:t>
      </w:r>
    </w:p>
    <w:p>
      <w:pPr>
        <w:pStyle w:val="Normal"/>
        <w:rPr/>
      </w:pPr>
      <w:r>
        <w:rPr/>
        <w:t>A platformon való részvétel lehetősége 2022. május 9-ig nyitva maradt. Ezen időpontot követően további jelentés készül a konferencia során beérkezett összes hozzászólás összegzésére.</w:t>
      </w:r>
    </w:p>
    <w:p>
      <w:pPr>
        <w:pStyle w:val="Normal"/>
        <w:rPr/>
      </w:pPr>
      <w:r>
        <w:rPr/>
        <w:t>A platformon való részvétel a konferencia során tovább nőtt, de továbbra is egyenetlen maradt a tagállamokban, valamint a résztvevők társadalmi-demográfiai profilja. Általánosságban elmondható, hogy a platform innovatív teret biztosított a tanácskozáshoz, amely lehetővé tette több ezer polgár és különböző érdekelt felek számára, hogy Európa-szerte és azon túl is részt vegyenek az európai kérdésekről szóló, valamennyi tagállamban többnyelvű online vitában. Értékes eszköznek bizonyult az uniós szintű deliberatív demokrácia szempontjából.</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Normal"/>
        <w:rPr/>
      </w:pPr>
      <w:r>
        <w:rPr/>
        <w:drawing>
          <wp:anchor behindDoc="0" distT="0" distB="0" distL="0" distR="0" simplePos="0" locked="0" layoutInCell="1" allowOverlap="1" relativeHeight="17">
            <wp:simplePos x="0" y="0"/>
            <wp:positionH relativeFrom="column">
              <wp:align>center</wp:align>
            </wp:positionH>
            <wp:positionV relativeFrom="paragraph">
              <wp:posOffset>635</wp:posOffset>
            </wp:positionV>
            <wp:extent cx="5691505" cy="4577080"/>
            <wp:effectExtent l="0" t="0" r="0" b="0"/>
            <wp:wrapSquare wrapText="largest"/>
            <wp:docPr id="15" name="Forrás: Image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orrás: Image6" descr=""/>
                    <pic:cNvPicPr>
                      <a:picLocks noChangeAspect="1" noChangeArrowheads="1"/>
                    </pic:cNvPicPr>
                  </pic:nvPicPr>
                  <pic:blipFill>
                    <a:blip r:embed="rId36"/>
                    <a:stretch>
                      <a:fillRect/>
                    </a:stretch>
                  </pic:blipFill>
                  <pic:spPr bwMode="auto">
                    <a:xfrm>
                      <a:off x="0" y="0"/>
                      <a:ext cx="5691505" cy="4577080"/>
                    </a:xfrm>
                    <a:prstGeom prst="rect">
                      <a:avLst/>
                    </a:prstGeom>
                  </pic:spPr>
                </pic:pic>
              </a:graphicData>
            </a:graphic>
          </wp:anchor>
        </w:drawing>
      </w:r>
    </w:p>
    <w:p>
      <w:pPr>
        <w:pStyle w:val="Normal"/>
        <w:rPr/>
      </w:pPr>
      <w:r>
        <w:rPr/>
      </w:r>
      <w:r>
        <w:br w:type="page"/>
      </w:r>
    </w:p>
    <w:p>
      <w:pPr>
        <w:pStyle w:val="Titre2"/>
        <w:numPr>
          <w:ilvl w:val="1"/>
          <w:numId w:val="2"/>
        </w:numPr>
        <w:rPr/>
      </w:pPr>
      <w:bookmarkStart w:id="9" w:name="__RefHeading___Toc298192_1346298689"/>
      <w:bookmarkEnd w:id="9"/>
      <w:r>
        <w:rPr/>
        <w:t>B. Polgári vitacsoportok</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Titre3"/>
        <w:numPr>
          <w:ilvl w:val="2"/>
          <w:numId w:val="2"/>
        </w:numPr>
        <w:rPr/>
      </w:pPr>
      <w:bookmarkStart w:id="10" w:name="__RefHeading___Toc298194_1346298689"/>
      <w:bookmarkEnd w:id="10"/>
      <w:r>
        <w:rPr/>
        <w:t>1. Az európai polgári vitacsoportok</w:t>
      </w:r>
    </w:p>
    <w:p>
      <w:pPr>
        <w:pStyle w:val="Corpsdetexte"/>
        <w:rPr/>
      </w:pPr>
      <w:r>
        <w:rPr/>
        <w:t>A konferencia egyik fő pillére az európai polgári vitacsoportok, a nemzeti vitacsoportok, a többnyelvű digitális platform és a konferencia plenáris ülése volt. Az Európa jövőjéről szóló konferencia középpontjában állnak, és mintegy 800 polgárt tömörítenek az Európai Unió minden hátteréből és régiójából. Bár a polgári panelek vagy közgyűlések koncepcióját évtizedek óta használják önkormányzati szinten, és egyre inkább látható nemzeti vagy regionális szinten, a páneurópai dimenzió továbbra is nagyrészt ismeretlen ezen a területen. Az európai polgári vitacsoportok voltak az első ilyen nagyságrendű és ambíciószintű transznacionális és többnyelvű tapasztalat. A folyamatot kísérő figyelemre méltó értelmezési rendszer inkluzív, tiszteletteljes és hatékony párbeszédet eredményezett az érdekelt felek között, biztosítva a többnyelvűség tiszteletben tartását.</w:t>
      </w:r>
    </w:p>
    <w:p>
      <w:pPr>
        <w:pStyle w:val="Corpsdetexte"/>
        <w:rPr/>
      </w:pPr>
      <w:r>
        <w:rPr/>
        <w:t>Az európai polgári vitacsoportokat a három intézmény szervezte az együttes nyilatkozat, az eljárási szabályzat és a társelnökök által megállapított szabályok alapján, az igazgatótanács felügyelete mellett. Ezeket egy külső szolgáltatókból álló konzorcium támogatta, amely a deliberatív demokrácia különböző szakértőiből és egy logisztikai támogató csapatból állt. A végrehajtó testületet folyamatosan tájékoztatták a munkacsoportok munkájáról, aktualizálták a gyakorlati szabályokat, és szükség esetén kiigazították az európai polgári vitacsoportok üléseinek ideiglenes menetrendjét.</w:t>
      </w:r>
    </w:p>
    <w:p>
      <w:pPr>
        <w:pStyle w:val="Corpsdetexte"/>
        <w:rPr/>
      </w:pPr>
      <w:r>
        <w:rPr/>
        <w:t>Az európai polgári vitacsoportok résztvevőit 2021 nyarán választották ki. Az uniós polgárokat véletlenszerűen választották ki (főként egy külső szolgáltató által koordinált 27 nemzeti felmérési intézet vette fel velük) azzal a céllal, hogy öt kritérium alapján olyan „paneleket” hozzanak létre, amelyek az EU sokszínűségét képviselik: nem, kor, földrajzi származás (nemzetiség, városi/vidéki környezet), társadalmi-gazdasági háttér és iskolai végzettség. Az egyes tagállamok állampolgárainak számát az Európai Parlament összetételére alkalmazott csökkenő arányosság elve alapján számították ki, figyelembe véve, hogy minden testületnek legalább egy polgárt és tagállamonként egy polgárt kell tartalmaznia. Tekintettel arra, hogy a konferencia különös figyelmet szentelt a fiataloknak, az egyes vitacsoportokban a polgárok egyharmada 16–24 éves volt. 200 fős csoportonként 50 további polgárt választottak ki tartalékalap létrehozására.</w:t>
      </w:r>
    </w:p>
    <w:p>
      <w:pPr>
        <w:pStyle w:val="Corpsdetexte"/>
        <w:rPr/>
      </w:pPr>
      <w:r>
        <w:rPr/>
        <w:t>Négy európai polgári vitacsoportot szerveztek. Mindegyikük esetében a megvitatandó témák megegyeztek a többnyelvű digitális platformon meghatározott témákkal, és az alábbiak szerint csoportosították őket:</w:t>
      </w:r>
    </w:p>
    <w:p>
      <w:pPr>
        <w:pStyle w:val="Puce3"/>
        <w:rPr/>
      </w:pPr>
      <w:r>
        <w:rPr/>
        <w:t>1. Erősebb gazdaság, társadalmi igazságosság és foglalkoztatás; oktatás, kultúra, ifjúság és sport; digitális transzformáció;</w:t>
      </w:r>
    </w:p>
    <w:p>
      <w:pPr>
        <w:pStyle w:val="Puce3"/>
        <w:rPr/>
      </w:pPr>
      <w:r>
        <w:rPr/>
        <w:t>2. Az európai demokrácia; értékek és jogok, jogállamiság, biztonság;</w:t>
      </w:r>
    </w:p>
    <w:p>
      <w:pPr>
        <w:pStyle w:val="Puce3"/>
        <w:rPr/>
      </w:pPr>
      <w:r>
        <w:rPr/>
        <w:t>3.Az éghajlatváltozás és a környezet; egészség;</w:t>
      </w:r>
    </w:p>
    <w:p>
      <w:pPr>
        <w:pStyle w:val="Puce3"/>
        <w:tabs>
          <w:tab w:val="clear" w:pos="720"/>
        </w:tabs>
        <w:rPr/>
      </w:pPr>
      <w:r>
        <w:rPr/>
        <w:t>4.Az EU a világban; a migráció.</w:t>
      </w:r>
    </w:p>
    <w:p>
      <w:pPr>
        <w:pStyle w:val="Corpsdetexte"/>
        <w:rPr/>
      </w:pPr>
      <w:r>
        <w:rPr/>
        <w:t>Minden testület három hétvégén ült össze. Az első üléssorozatra Strasbourgban került sor, a másodikra online, a harmadikra négy városban (Dublin, Firenze, Varsó/Natolin és Maastricht), az állami felsőoktatási intézményekben és a helyi hatóságok támogatásával került sor.</w:t>
      </w:r>
    </w:p>
    <w:p>
      <w:pPr>
        <w:pStyle w:val="Titre4"/>
        <w:numPr>
          <w:ilvl w:val="3"/>
          <w:numId w:val="2"/>
        </w:numPr>
        <w:rPr/>
      </w:pPr>
      <w:bookmarkStart w:id="11" w:name="__RefHeading___Toc298196_1346298689"/>
      <w:bookmarkEnd w:id="11"/>
      <w:r>
        <w:rPr/>
        <w:t>A PANELBESZÉLGETÉSEK ELSŐ FORDULÓJA</w:t>
      </w:r>
    </w:p>
    <w:p>
      <w:pPr>
        <w:pStyle w:val="Corpsdetexte"/>
        <w:rPr/>
      </w:pPr>
      <w:r>
        <w:rPr/>
        <w:t>Az egyes panelek első ülésén a résztvevők fizikailag Strasbourgban találkoztak. Az ülés célja a tanácskozások napirendjének meghatározása volt. A vitacsoportokban részt vevő polgárok azzal kezdték, hogy egy üres oldalról kiindulva átgondolták és továbbfejlesztették Európáról alkotott elképzeléseiket, és meghatározták a vitafórum fő témáinak keretében megvitatandó kérdéseket. Ezt követően kiemelten kezelték azokat a témákat, amelyekre nagyobb hangsúlyt kívánnak fektetni annak érdekében, hogy konkrét ajánlásokat fogalmazzanak meg az uniós intézmények számára nyomon követés céljából. A megbeszélésekre és a kollektív munkára a következő két formában került sor:</w:t>
      </w:r>
    </w:p>
    <w:p>
      <w:pPr>
        <w:pStyle w:val="Alineanegatifpuce"/>
        <w:numPr>
          <w:ilvl w:val="0"/>
          <w:numId w:val="3"/>
        </w:numPr>
        <w:rPr/>
      </w:pPr>
      <w:r>
        <w:rPr/>
        <w:t xml:space="preserve"> </w:t>
      </w:r>
      <w:r>
        <w:rPr/>
        <w:t>12–14 polgárból álló alcsoportokban. Minden alcsoportban négy-öt nyelvet beszéltek, ahol a polgárok saját nyelvükön fejezhették ki magukat. Az alcsoportok munkáját a külső szolgáltatók konzorciuma által kiválasztott szakmai facilitátorok irányították.</w:t>
      </w:r>
    </w:p>
    <w:p>
      <w:pPr>
        <w:pStyle w:val="Alineanegatifpuce"/>
        <w:numPr>
          <w:ilvl w:val="0"/>
          <w:numId w:val="3"/>
        </w:numPr>
        <w:spacing w:before="3929" w:after="57"/>
        <w:rPr/>
      </w:pPr>
      <w:r>
        <mc:AlternateContent>
          <mc:Choice Requires="wps">
            <w:drawing>
              <wp:anchor behindDoc="0" distT="72390" distB="72390" distL="72390" distR="72390" simplePos="0" locked="0" layoutInCell="1" allowOverlap="1" relativeHeight="6">
                <wp:simplePos x="0" y="0"/>
                <wp:positionH relativeFrom="column">
                  <wp:posOffset>105410</wp:posOffset>
                </wp:positionH>
                <wp:positionV relativeFrom="paragraph">
                  <wp:posOffset>2555875</wp:posOffset>
                </wp:positionV>
                <wp:extent cx="6053455" cy="2495550"/>
                <wp:effectExtent l="0" t="0" r="0" b="0"/>
                <wp:wrapSquare wrapText="bothSides"/>
                <wp:docPr id="16" name="Keretrendszer3"/>
                <a:graphic xmlns:a="http://schemas.openxmlformats.org/drawingml/2006/main">
                  <a:graphicData uri="http://schemas.microsoft.com/office/word/2010/wordprocessingShape">
                    <wps:wsp>
                      <wps:cNvSpPr/>
                      <wps:spPr>
                        <a:xfrm>
                          <a:off x="0" y="0"/>
                          <a:ext cx="6052680" cy="2494800"/>
                        </a:xfrm>
                        <a:prstGeom prst="rect">
                          <a:avLst/>
                        </a:prstGeom>
                        <a:solidFill>
                          <a:srgbClr val="ffffff"/>
                        </a:solidFill>
                        <a:ln w="720">
                          <a:solidFill>
                            <a:srgbClr val="000000"/>
                          </a:solidFill>
                          <a:round/>
                        </a:ln>
                      </wps:spPr>
                      <wps:style>
                        <a:lnRef idx="0"/>
                        <a:fillRef idx="0"/>
                        <a:effectRef idx="0"/>
                        <a:fontRef idx="minor"/>
                      </wps:style>
                      <wps:txbx>
                        <w:txbxContent>
                          <w:tbl>
                            <w:tblPr>
                              <w:tblW w:w="9360" w:type="dxa"/>
                              <w:jc w:val="left"/>
                              <w:tblInd w:w="0" w:type="dxa"/>
                              <w:tblBorders/>
                              <w:tblCellMar>
                                <w:top w:w="0" w:type="dxa"/>
                                <w:left w:w="0" w:type="dxa"/>
                                <w:bottom w:w="0" w:type="dxa"/>
                                <w:right w:w="0" w:type="dxa"/>
                              </w:tblCellMar>
                            </w:tblPr>
                            <w:tblGrid>
                              <w:gridCol w:w="2774"/>
                              <w:gridCol w:w="345"/>
                              <w:gridCol w:w="2778"/>
                              <w:gridCol w:w="342"/>
                              <w:gridCol w:w="2719"/>
                              <w:gridCol w:w="401"/>
                            </w:tblGrid>
                            <w:tr>
                              <w:trPr/>
                              <w:tc>
                                <w:tcPr>
                                  <w:tcW w:w="9359" w:type="dxa"/>
                                  <w:gridSpan w:val="6"/>
                                  <w:tcBorders/>
                                  <w:shd w:fill="auto" w:val="clear"/>
                                </w:tcPr>
                                <w:p>
                                  <w:pPr>
                                    <w:pStyle w:val="P68B1DB1Contenudetableau9"/>
                                    <w:spacing w:before="57" w:after="57"/>
                                    <w:jc w:val="center"/>
                                    <w:rPr>
                                      <w:sz w:val="16"/>
                                    </w:rPr>
                                  </w:pPr>
                                  <w:r>
                                    <w:rPr/>
                                    <w:t>2. ÜLÉS</w:t>
                                  </w:r>
                                </w:p>
                              </w:tc>
                            </w:tr>
                            <w:tr>
                              <w:trPr/>
                              <w:tc>
                                <w:tcPr>
                                  <w:tcW w:w="3119" w:type="dxa"/>
                                  <w:gridSpan w:val="2"/>
                                  <w:tcBorders>
                                    <w:top w:val="single" w:sz="4" w:space="0" w:color="0000FF"/>
                                    <w:left w:val="single" w:sz="4" w:space="0" w:color="0000FF"/>
                                    <w:bottom w:val="single" w:sz="4" w:space="0" w:color="0000FF"/>
                                    <w:insideH w:val="single" w:sz="4" w:space="0" w:color="0000FF"/>
                                  </w:tcBorders>
                                  <w:shd w:fill="0000FF" w:val="clear"/>
                                  <w:tcMar>
                                    <w:top w:w="28" w:type="dxa"/>
                                    <w:left w:w="23" w:type="dxa"/>
                                    <w:bottom w:w="28" w:type="dxa"/>
                                    <w:right w:w="28" w:type="dxa"/>
                                  </w:tcMar>
                                </w:tcPr>
                                <w:p>
                                  <w:pPr>
                                    <w:pStyle w:val="P68B1DB1Contenudetableau9"/>
                                    <w:spacing w:before="57" w:after="57"/>
                                    <w:jc w:val="center"/>
                                    <w:rPr>
                                      <w:sz w:val="16"/>
                                    </w:rPr>
                                  </w:pPr>
                                  <w:r>
                                    <w:rPr/>
                                    <w:t xml:space="preserve">1. NAP </w:t>
                                  </w:r>
                                </w:p>
                                <w:p>
                                  <w:pPr>
                                    <w:pStyle w:val="P68B1DB1Contenudetableau9"/>
                                    <w:spacing w:before="57" w:after="57"/>
                                    <w:jc w:val="center"/>
                                    <w:rPr>
                                      <w:sz w:val="16"/>
                                    </w:rPr>
                                  </w:pPr>
                                  <w:r>
                                    <w:rPr/>
                                    <w:t>Új ülés a testület számára és felkészülés a hétvégére</w:t>
                                  </w:r>
                                </w:p>
                              </w:tc>
                              <w:tc>
                                <w:tcPr>
                                  <w:tcW w:w="3120" w:type="dxa"/>
                                  <w:gridSpan w:val="2"/>
                                  <w:tcBorders>
                                    <w:top w:val="single" w:sz="4" w:space="0" w:color="0000FF"/>
                                    <w:left w:val="single" w:sz="4" w:space="0" w:color="0000FF"/>
                                    <w:bottom w:val="single" w:sz="4" w:space="0" w:color="0000FF"/>
                                    <w:insideH w:val="single" w:sz="4" w:space="0" w:color="0000FF"/>
                                  </w:tcBorders>
                                  <w:shd w:fill="0000FF" w:val="clear"/>
                                  <w:tcMar>
                                    <w:top w:w="28" w:type="dxa"/>
                                    <w:left w:w="23" w:type="dxa"/>
                                    <w:bottom w:w="28" w:type="dxa"/>
                                    <w:right w:w="28" w:type="dxa"/>
                                  </w:tcMar>
                                </w:tcPr>
                                <w:p>
                                  <w:pPr>
                                    <w:pStyle w:val="P68B1DB1Contenudetableau9"/>
                                    <w:spacing w:before="57" w:after="57"/>
                                    <w:jc w:val="center"/>
                                    <w:rPr>
                                      <w:sz w:val="16"/>
                                    </w:rPr>
                                  </w:pPr>
                                  <w:r>
                                    <w:rPr/>
                                    <w:t xml:space="preserve">2. NAP </w:t>
                                  </w:r>
                                </w:p>
                                <w:p>
                                  <w:pPr>
                                    <w:pStyle w:val="P68B1DB1Contenudetableau9"/>
                                    <w:spacing w:before="57" w:after="57"/>
                                    <w:jc w:val="center"/>
                                    <w:rPr>
                                      <w:sz w:val="16"/>
                                    </w:rPr>
                                  </w:pPr>
                                  <w:r>
                                    <w:rPr/>
                                    <w:t>Szakértői bemenet, Problémaazonosítás, Útmutató termelés</w:t>
                                  </w:r>
                                </w:p>
                              </w:tc>
                              <w:tc>
                                <w:tcPr>
                                  <w:tcW w:w="3120" w:type="dxa"/>
                                  <w:gridSpan w:val="2"/>
                                  <w:tcBorders>
                                    <w:top w:val="single" w:sz="4" w:space="0" w:color="0000FF"/>
                                    <w:left w:val="single" w:sz="4" w:space="0" w:color="0000FF"/>
                                    <w:bottom w:val="single" w:sz="4" w:space="0" w:color="0000FF"/>
                                    <w:right w:val="single" w:sz="4" w:space="0" w:color="0000FF"/>
                                    <w:insideH w:val="single" w:sz="4" w:space="0" w:color="0000FF"/>
                                    <w:insideV w:val="single" w:sz="4" w:space="0" w:color="0000FF"/>
                                  </w:tcBorders>
                                  <w:shd w:fill="0000FF" w:val="clear"/>
                                  <w:tcMar>
                                    <w:top w:w="28" w:type="dxa"/>
                                    <w:left w:w="23" w:type="dxa"/>
                                    <w:bottom w:w="28" w:type="dxa"/>
                                    <w:right w:w="28" w:type="dxa"/>
                                  </w:tcMar>
                                </w:tcPr>
                                <w:p>
                                  <w:pPr>
                                    <w:pStyle w:val="P68B1DB1Contenudetableau9"/>
                                    <w:spacing w:before="57" w:after="57"/>
                                    <w:jc w:val="center"/>
                                    <w:rPr>
                                      <w:sz w:val="16"/>
                                    </w:rPr>
                                  </w:pPr>
                                  <w:r>
                                    <w:rPr/>
                                    <w:t xml:space="preserve">3. NAP </w:t>
                                  </w:r>
                                </w:p>
                                <w:p>
                                  <w:pPr>
                                    <w:pStyle w:val="P68B1DB1Contenudetableau9"/>
                                    <w:spacing w:before="57" w:after="57"/>
                                    <w:jc w:val="center"/>
                                    <w:rPr>
                                      <w:sz w:val="16"/>
                                    </w:rPr>
                                  </w:pPr>
                                  <w:r>
                                    <w:rPr/>
                                    <w:t>Az iránymutatások véglegesítése, záró megjegyzések</w:t>
                                  </w:r>
                                </w:p>
                              </w:tc>
                            </w:tr>
                            <w:tr>
                              <w:trPr/>
                              <w:tc>
                                <w:tcPr>
                                  <w:tcW w:w="3119" w:type="dxa"/>
                                  <w:gridSpan w:val="2"/>
                                  <w:tcBorders/>
                                  <w:shd w:fill="auto" w:val="clear"/>
                                </w:tcPr>
                                <w:p>
                                  <w:pPr>
                                    <w:pStyle w:val="Contenudetableau"/>
                                    <w:spacing w:before="57" w:after="57"/>
                                    <w:jc w:val="center"/>
                                    <w:rPr>
                                      <w:sz w:val="16"/>
                                    </w:rPr>
                                  </w:pPr>
                                  <w:r>
                                    <w:rPr>
                                      <w:sz w:val="16"/>
                                    </w:rPr>
                                  </w:r>
                                </w:p>
                              </w:tc>
                              <w:tc>
                                <w:tcPr>
                                  <w:tcW w:w="3120" w:type="dxa"/>
                                  <w:gridSpan w:val="2"/>
                                  <w:tcBorders/>
                                  <w:shd w:fill="0000FF" w:val="clear"/>
                                </w:tcPr>
                                <w:p>
                                  <w:pPr>
                                    <w:pStyle w:val="P68B1DB1Contenudetableau9"/>
                                    <w:spacing w:before="57" w:after="57"/>
                                    <w:jc w:val="center"/>
                                    <w:rPr>
                                      <w:sz w:val="16"/>
                                    </w:rPr>
                                  </w:pPr>
                                  <w:r>
                                    <w:rPr/>
                                    <w:t>Szakértők hozzájárulása az altémákhoz</w:t>
                                  </w:r>
                                </w:p>
                              </w:tc>
                              <w:tc>
                                <w:tcPr>
                                  <w:tcW w:w="3120" w:type="dxa"/>
                                  <w:gridSpan w:val="2"/>
                                  <w:tcBorders/>
                                  <w:shd w:fill="0000FF" w:val="clear"/>
                                </w:tcPr>
                                <w:p>
                                  <w:pPr>
                                    <w:pStyle w:val="P68B1DB1Contenudetableau9"/>
                                    <w:spacing w:before="57" w:after="57"/>
                                    <w:jc w:val="center"/>
                                    <w:rPr>
                                      <w:sz w:val="16"/>
                                    </w:rPr>
                                  </w:pPr>
                                  <w:r>
                                    <w:rPr/>
                                    <w:t>Szakértők további hozzájárulásai</w:t>
                                  </w:r>
                                </w:p>
                              </w:tc>
                            </w:tr>
                            <w:tr>
                              <w:trPr/>
                              <w:tc>
                                <w:tcPr>
                                  <w:tcW w:w="3119" w:type="dxa"/>
                                  <w:gridSpan w:val="2"/>
                                  <w:vMerge w:val="restart"/>
                                  <w:tcBorders/>
                                  <w:shd w:fill="800000" w:val="clear"/>
                                </w:tcPr>
                                <w:p>
                                  <w:pPr>
                                    <w:pStyle w:val="P68B1DB1Contenudetableau9"/>
                                    <w:spacing w:before="57" w:after="57"/>
                                    <w:jc w:val="center"/>
                                    <w:rPr>
                                      <w:sz w:val="16"/>
                                    </w:rPr>
                                  </w:pPr>
                                  <w:r>
                                    <w:rPr/>
                                    <w:t xml:space="preserve">Üdvözlöm. </w:t>
                                  </w:r>
                                </w:p>
                                <w:p>
                                  <w:pPr>
                                    <w:pStyle w:val="P68B1DB1Contenudetableau9"/>
                                    <w:spacing w:before="57" w:after="57"/>
                                    <w:jc w:val="center"/>
                                    <w:rPr>
                                      <w:sz w:val="16"/>
                                    </w:rPr>
                                  </w:pPr>
                                  <w:r>
                                    <w:rPr/>
                                    <w:t xml:space="preserve">A polgárok nagyköveteinek visszajelzéseikért, </w:t>
                                    <w:br/>
                                    <w:t>Platform frissítés, menetrend</w:t>
                                  </w:r>
                                </w:p>
                              </w:tc>
                              <w:tc>
                                <w:tcPr>
                                  <w:tcW w:w="3120" w:type="dxa"/>
                                  <w:gridSpan w:val="2"/>
                                  <w:tcBorders/>
                                  <w:shd w:fill="00FF00" w:val="clear"/>
                                </w:tcPr>
                                <w:p>
                                  <w:pPr>
                                    <w:pStyle w:val="P68B1DB1Contenudetableau9"/>
                                    <w:spacing w:before="57" w:after="57"/>
                                    <w:jc w:val="center"/>
                                    <w:rPr>
                                      <w:sz w:val="16"/>
                                    </w:rPr>
                                  </w:pPr>
                                  <w:r>
                                    <w:rPr/>
                                    <w:t>Iránymutatások készítése</w:t>
                                  </w:r>
                                </w:p>
                              </w:tc>
                              <w:tc>
                                <w:tcPr>
                                  <w:tcW w:w="3120" w:type="dxa"/>
                                  <w:gridSpan w:val="2"/>
                                  <w:tcBorders/>
                                  <w:shd w:fill="00FF00" w:val="clear"/>
                                </w:tcPr>
                                <w:p>
                                  <w:pPr>
                                    <w:pStyle w:val="P68B1DB1Contenudetableau9"/>
                                    <w:spacing w:before="57" w:after="57"/>
                                    <w:jc w:val="center"/>
                                    <w:rPr>
                                      <w:sz w:val="16"/>
                                    </w:rPr>
                                  </w:pPr>
                                  <w:r>
                                    <w:rPr/>
                                    <w:t xml:space="preserve"> </w:t>
                                  </w:r>
                                  <w:r>
                                    <w:rPr/>
                                    <w:t>Az iránymutatások véglegesítése</w:t>
                                  </w:r>
                                </w:p>
                              </w:tc>
                            </w:tr>
                            <w:tr>
                              <w:trPr/>
                              <w:tc>
                                <w:tcPr>
                                  <w:tcW w:w="3119" w:type="dxa"/>
                                  <w:gridSpan w:val="2"/>
                                  <w:vMerge w:val="continue"/>
                                  <w:tcBorders/>
                                  <w:shd w:fill="800000" w:val="clear"/>
                                </w:tcPr>
                                <w:p>
                                  <w:pPr>
                                    <w:pStyle w:val="Normal"/>
                                    <w:spacing w:before="57" w:after="57"/>
                                    <w:ind w:left="0" w:right="0" w:hanging="0"/>
                                    <w:rPr/>
                                  </w:pPr>
                                  <w:r>
                                    <w:rPr/>
                                  </w:r>
                                </w:p>
                              </w:tc>
                              <w:tc>
                                <w:tcPr>
                                  <w:tcW w:w="3120" w:type="dxa"/>
                                  <w:gridSpan w:val="2"/>
                                  <w:tcBorders/>
                                  <w:shd w:fill="auto" w:val="clear"/>
                                </w:tcPr>
                                <w:p>
                                  <w:pPr>
                                    <w:pStyle w:val="Contenudetableau"/>
                                    <w:spacing w:before="57" w:after="57"/>
                                    <w:jc w:val="center"/>
                                    <w:rPr>
                                      <w:sz w:val="16"/>
                                    </w:rPr>
                                  </w:pPr>
                                  <w:r>
                                    <w:rPr>
                                      <w:sz w:val="16"/>
                                    </w:rPr>
                                  </w:r>
                                </w:p>
                              </w:tc>
                              <w:tc>
                                <w:tcPr>
                                  <w:tcW w:w="3120" w:type="dxa"/>
                                  <w:gridSpan w:val="2"/>
                                  <w:tcBorders/>
                                  <w:shd w:fill="800000" w:val="clear"/>
                                </w:tcPr>
                                <w:p>
                                  <w:pPr>
                                    <w:pStyle w:val="P68B1DB1Contenudetableau9"/>
                                    <w:spacing w:before="57" w:after="57"/>
                                    <w:jc w:val="center"/>
                                    <w:rPr>
                                      <w:sz w:val="16"/>
                                    </w:rPr>
                                  </w:pPr>
                                  <w:r>
                                    <w:rPr/>
                                    <w:t xml:space="preserve">Bizonyos orientációk megosztása, </w:t>
                                    <w:br/>
                                    <w:t>Záró megjegyzések</w:t>
                                  </w:r>
                                </w:p>
                              </w:tc>
                            </w:tr>
                            <w:tr>
                              <w:trPr/>
                              <w:tc>
                                <w:tcPr>
                                  <w:tcW w:w="2774" w:type="dxa"/>
                                  <w:tcBorders/>
                                  <w:shd w:fill="auto" w:val="clear"/>
                                </w:tcPr>
                                <w:p>
                                  <w:pPr>
                                    <w:pStyle w:val="Contenudetableau"/>
                                    <w:widowControl w:val="false"/>
                                    <w:suppressLineNumbers/>
                                    <w:spacing w:before="57" w:after="57"/>
                                    <w:rPr/>
                                  </w:pPr>
                                  <w:r>
                                    <w:rPr/>
                                  </w:r>
                                </w:p>
                              </w:tc>
                              <w:tc>
                                <w:tcPr>
                                  <w:tcW w:w="345" w:type="dxa"/>
                                  <w:tcBorders/>
                                  <w:shd w:fill="auto" w:val="clear"/>
                                </w:tcPr>
                                <w:p>
                                  <w:pPr>
                                    <w:pStyle w:val="Contenudetableau"/>
                                    <w:widowControl w:val="false"/>
                                    <w:suppressLineNumbers/>
                                    <w:spacing w:before="57" w:after="57"/>
                                    <w:rPr/>
                                  </w:pPr>
                                  <w:r>
                                    <w:rPr/>
                                  </w:r>
                                </w:p>
                              </w:tc>
                              <w:tc>
                                <w:tcPr>
                                  <w:tcW w:w="2778" w:type="dxa"/>
                                  <w:tcBorders/>
                                  <w:shd w:fill="auto" w:val="clear"/>
                                </w:tcPr>
                                <w:p>
                                  <w:pPr>
                                    <w:pStyle w:val="Contenudetableau"/>
                                    <w:widowControl w:val="false"/>
                                    <w:suppressLineNumbers/>
                                    <w:spacing w:before="57" w:after="57"/>
                                    <w:rPr/>
                                  </w:pPr>
                                  <w:r>
                                    <w:rPr/>
                                  </w:r>
                                </w:p>
                              </w:tc>
                              <w:tc>
                                <w:tcPr>
                                  <w:tcW w:w="342" w:type="dxa"/>
                                  <w:tcBorders/>
                                  <w:shd w:fill="auto" w:val="clear"/>
                                </w:tcPr>
                                <w:p>
                                  <w:pPr>
                                    <w:pStyle w:val="Contenudetableau"/>
                                    <w:widowControl w:val="false"/>
                                    <w:suppressLineNumbers/>
                                    <w:spacing w:before="57" w:after="57"/>
                                    <w:rPr/>
                                  </w:pPr>
                                  <w:r>
                                    <w:rPr/>
                                  </w:r>
                                </w:p>
                              </w:tc>
                              <w:tc>
                                <w:tcPr>
                                  <w:tcW w:w="2719" w:type="dxa"/>
                                  <w:tcBorders/>
                                  <w:shd w:fill="auto" w:val="clear"/>
                                </w:tcPr>
                                <w:p>
                                  <w:pPr>
                                    <w:pStyle w:val="Contenudetableau"/>
                                    <w:widowControl w:val="false"/>
                                    <w:suppressLineNumbers/>
                                    <w:spacing w:before="57" w:after="57"/>
                                    <w:rPr/>
                                  </w:pPr>
                                  <w:r>
                                    <w:rPr/>
                                  </w:r>
                                </w:p>
                              </w:tc>
                              <w:tc>
                                <w:tcPr>
                                  <w:tcW w:w="401" w:type="dxa"/>
                                  <w:tcBorders/>
                                  <w:shd w:fill="auto" w:val="clear"/>
                                </w:tcPr>
                                <w:p>
                                  <w:pPr>
                                    <w:pStyle w:val="Contenudetableau"/>
                                    <w:spacing w:before="57" w:after="57"/>
                                    <w:rPr>
                                      <w:sz w:val="16"/>
                                    </w:rPr>
                                  </w:pPr>
                                  <w:r>
                                    <w:rPr>
                                      <w:sz w:val="16"/>
                                    </w:rPr>
                                  </w:r>
                                </w:p>
                              </w:tc>
                            </w:tr>
                            <w:tr>
                              <w:trPr/>
                              <w:tc>
                                <w:tcPr>
                                  <w:tcW w:w="2774" w:type="dxa"/>
                                  <w:tcBorders/>
                                  <w:shd w:fill="auto" w:val="clear"/>
                                </w:tcPr>
                                <w:p>
                                  <w:pPr>
                                    <w:pStyle w:val="P68B1DB1Contenudetableau9"/>
                                    <w:spacing w:before="57" w:after="57"/>
                                    <w:jc w:val="right"/>
                                    <w:rPr>
                                      <w:sz w:val="16"/>
                                    </w:rPr>
                                  </w:pPr>
                                  <w:r>
                                    <w:rPr/>
                                    <w:t>Plenáris ülés</w:t>
                                  </w:r>
                                </w:p>
                              </w:tc>
                              <w:tc>
                                <w:tcPr>
                                  <w:tcW w:w="345" w:type="dxa"/>
                                  <w:tcBorders/>
                                  <w:shd w:fill="800000" w:val="clear"/>
                                </w:tcPr>
                                <w:p>
                                  <w:pPr>
                                    <w:pStyle w:val="Contenudetableau"/>
                                    <w:spacing w:before="57" w:after="57"/>
                                    <w:jc w:val="right"/>
                                    <w:rPr>
                                      <w:sz w:val="16"/>
                                    </w:rPr>
                                  </w:pPr>
                                  <w:r>
                                    <w:rPr>
                                      <w:sz w:val="16"/>
                                    </w:rPr>
                                  </w:r>
                                </w:p>
                              </w:tc>
                              <w:tc>
                                <w:tcPr>
                                  <w:tcW w:w="2778" w:type="dxa"/>
                                  <w:tcBorders/>
                                  <w:shd w:fill="auto" w:val="clear"/>
                                </w:tcPr>
                                <w:p>
                                  <w:pPr>
                                    <w:pStyle w:val="P68B1DB1Contenudetableau9"/>
                                    <w:spacing w:before="57" w:after="57"/>
                                    <w:jc w:val="right"/>
                                    <w:rPr>
                                      <w:sz w:val="16"/>
                                    </w:rPr>
                                  </w:pPr>
                                  <w:r>
                                    <w:rPr/>
                                    <w:t>A téma plenáris ülése</w:t>
                                  </w:r>
                                </w:p>
                              </w:tc>
                              <w:tc>
                                <w:tcPr>
                                  <w:tcW w:w="342" w:type="dxa"/>
                                  <w:tcBorders/>
                                  <w:shd w:fill="0000FF" w:val="clear"/>
                                </w:tcPr>
                                <w:p>
                                  <w:pPr>
                                    <w:pStyle w:val="Contenudetableau"/>
                                    <w:spacing w:before="57" w:after="57"/>
                                    <w:jc w:val="right"/>
                                    <w:rPr>
                                      <w:sz w:val="16"/>
                                    </w:rPr>
                                  </w:pPr>
                                  <w:r>
                                    <w:rPr>
                                      <w:sz w:val="16"/>
                                    </w:rPr>
                                  </w:r>
                                </w:p>
                              </w:tc>
                              <w:tc>
                                <w:tcPr>
                                  <w:tcW w:w="2719" w:type="dxa"/>
                                  <w:tcBorders/>
                                  <w:shd w:fill="auto" w:val="clear"/>
                                </w:tcPr>
                                <w:p>
                                  <w:pPr>
                                    <w:pStyle w:val="P68B1DB1Contenudetableau9"/>
                                    <w:spacing w:before="57" w:after="57"/>
                                    <w:jc w:val="right"/>
                                    <w:rPr>
                                      <w:sz w:val="16"/>
                                    </w:rPr>
                                  </w:pPr>
                                  <w:r>
                                    <w:rPr/>
                                    <w:t>Alcsoporti ülés</w:t>
                                  </w:r>
                                </w:p>
                              </w:tc>
                              <w:tc>
                                <w:tcPr>
                                  <w:tcW w:w="401" w:type="dxa"/>
                                  <w:tcBorders/>
                                  <w:shd w:fill="00FF00" w:val="clear"/>
                                </w:tcPr>
                                <w:p>
                                  <w:pPr>
                                    <w:pStyle w:val="Contenudetableau"/>
                                    <w:spacing w:before="57" w:after="57"/>
                                    <w:rPr>
                                      <w:sz w:val="16"/>
                                    </w:rPr>
                                  </w:pPr>
                                  <w:r>
                                    <w:rPr>
                                      <w:sz w:val="16"/>
                                    </w:rPr>
                                  </w:r>
                                </w:p>
                              </w:tc>
                            </w:tr>
                          </w:tbl>
                          <w:p>
                            <w:pPr>
                              <w:pStyle w:val="Contenudecadre"/>
                              <w:spacing w:before="57" w:after="57"/>
                              <w:rPr>
                                <w:color w:val="auto"/>
                              </w:rPr>
                            </w:pPr>
                            <w:r>
                              <w:rPr>
                                <w:color w:val="auto"/>
                              </w:rPr>
                            </w:r>
                          </w:p>
                        </w:txbxContent>
                      </wps:txbx>
                      <wps:bodyPr lIns="54000" rIns="54000" tIns="54000" bIns="54000">
                        <a:noAutofit/>
                      </wps:bodyPr>
                    </wps:wsp>
                  </a:graphicData>
                </a:graphic>
              </wp:anchor>
            </w:drawing>
          </mc:Choice>
          <mc:Fallback>
            <w:pict>
              <v:rect id="shape_0" ID="Keretrendszer3" fillcolor="white" stroked="t" style="position:absolute;margin-left:8.3pt;margin-top:201.25pt;width:476.55pt;height:196.4pt">
                <w10:wrap type="none"/>
                <v:fill o:detectmouseclick="t" type="solid" color2="black"/>
                <v:stroke color="black" weight="720" joinstyle="round" endcap="flat"/>
                <v:textbox>
                  <w:txbxContent>
                    <w:tbl>
                      <w:tblPr>
                        <w:tblW w:w="9360" w:type="dxa"/>
                        <w:jc w:val="left"/>
                        <w:tblInd w:w="0" w:type="dxa"/>
                        <w:tblBorders/>
                        <w:tblCellMar>
                          <w:top w:w="0" w:type="dxa"/>
                          <w:left w:w="0" w:type="dxa"/>
                          <w:bottom w:w="0" w:type="dxa"/>
                          <w:right w:w="0" w:type="dxa"/>
                        </w:tblCellMar>
                      </w:tblPr>
                      <w:tblGrid>
                        <w:gridCol w:w="2774"/>
                        <w:gridCol w:w="345"/>
                        <w:gridCol w:w="2778"/>
                        <w:gridCol w:w="342"/>
                        <w:gridCol w:w="2719"/>
                        <w:gridCol w:w="401"/>
                      </w:tblGrid>
                      <w:tr>
                        <w:trPr/>
                        <w:tc>
                          <w:tcPr>
                            <w:tcW w:w="9359" w:type="dxa"/>
                            <w:gridSpan w:val="6"/>
                            <w:tcBorders/>
                            <w:shd w:fill="auto" w:val="clear"/>
                          </w:tcPr>
                          <w:p>
                            <w:pPr>
                              <w:pStyle w:val="P68B1DB1Contenudetableau9"/>
                              <w:spacing w:before="57" w:after="57"/>
                              <w:jc w:val="center"/>
                              <w:rPr>
                                <w:sz w:val="16"/>
                              </w:rPr>
                            </w:pPr>
                            <w:r>
                              <w:rPr/>
                              <w:t>2. ÜLÉS</w:t>
                            </w:r>
                          </w:p>
                        </w:tc>
                      </w:tr>
                      <w:tr>
                        <w:trPr/>
                        <w:tc>
                          <w:tcPr>
                            <w:tcW w:w="3119" w:type="dxa"/>
                            <w:gridSpan w:val="2"/>
                            <w:tcBorders>
                              <w:top w:val="single" w:sz="4" w:space="0" w:color="0000FF"/>
                              <w:left w:val="single" w:sz="4" w:space="0" w:color="0000FF"/>
                              <w:bottom w:val="single" w:sz="4" w:space="0" w:color="0000FF"/>
                              <w:insideH w:val="single" w:sz="4" w:space="0" w:color="0000FF"/>
                            </w:tcBorders>
                            <w:shd w:fill="0000FF" w:val="clear"/>
                            <w:tcMar>
                              <w:top w:w="28" w:type="dxa"/>
                              <w:left w:w="23" w:type="dxa"/>
                              <w:bottom w:w="28" w:type="dxa"/>
                              <w:right w:w="28" w:type="dxa"/>
                            </w:tcMar>
                          </w:tcPr>
                          <w:p>
                            <w:pPr>
                              <w:pStyle w:val="P68B1DB1Contenudetableau9"/>
                              <w:spacing w:before="57" w:after="57"/>
                              <w:jc w:val="center"/>
                              <w:rPr>
                                <w:sz w:val="16"/>
                              </w:rPr>
                            </w:pPr>
                            <w:r>
                              <w:rPr/>
                              <w:t xml:space="preserve">1. NAP </w:t>
                            </w:r>
                          </w:p>
                          <w:p>
                            <w:pPr>
                              <w:pStyle w:val="P68B1DB1Contenudetableau9"/>
                              <w:spacing w:before="57" w:after="57"/>
                              <w:jc w:val="center"/>
                              <w:rPr>
                                <w:sz w:val="16"/>
                              </w:rPr>
                            </w:pPr>
                            <w:r>
                              <w:rPr/>
                              <w:t>Új ülés a testület számára és felkészülés a hétvégére</w:t>
                            </w:r>
                          </w:p>
                        </w:tc>
                        <w:tc>
                          <w:tcPr>
                            <w:tcW w:w="3120" w:type="dxa"/>
                            <w:gridSpan w:val="2"/>
                            <w:tcBorders>
                              <w:top w:val="single" w:sz="4" w:space="0" w:color="0000FF"/>
                              <w:left w:val="single" w:sz="4" w:space="0" w:color="0000FF"/>
                              <w:bottom w:val="single" w:sz="4" w:space="0" w:color="0000FF"/>
                              <w:insideH w:val="single" w:sz="4" w:space="0" w:color="0000FF"/>
                            </w:tcBorders>
                            <w:shd w:fill="0000FF" w:val="clear"/>
                            <w:tcMar>
                              <w:top w:w="28" w:type="dxa"/>
                              <w:left w:w="23" w:type="dxa"/>
                              <w:bottom w:w="28" w:type="dxa"/>
                              <w:right w:w="28" w:type="dxa"/>
                            </w:tcMar>
                          </w:tcPr>
                          <w:p>
                            <w:pPr>
                              <w:pStyle w:val="P68B1DB1Contenudetableau9"/>
                              <w:spacing w:before="57" w:after="57"/>
                              <w:jc w:val="center"/>
                              <w:rPr>
                                <w:sz w:val="16"/>
                              </w:rPr>
                            </w:pPr>
                            <w:r>
                              <w:rPr/>
                              <w:t xml:space="preserve">2. NAP </w:t>
                            </w:r>
                          </w:p>
                          <w:p>
                            <w:pPr>
                              <w:pStyle w:val="P68B1DB1Contenudetableau9"/>
                              <w:spacing w:before="57" w:after="57"/>
                              <w:jc w:val="center"/>
                              <w:rPr>
                                <w:sz w:val="16"/>
                              </w:rPr>
                            </w:pPr>
                            <w:r>
                              <w:rPr/>
                              <w:t>Szakértői bemenet, Problémaazonosítás, Útmutató termelés</w:t>
                            </w:r>
                          </w:p>
                        </w:tc>
                        <w:tc>
                          <w:tcPr>
                            <w:tcW w:w="3120" w:type="dxa"/>
                            <w:gridSpan w:val="2"/>
                            <w:tcBorders>
                              <w:top w:val="single" w:sz="4" w:space="0" w:color="0000FF"/>
                              <w:left w:val="single" w:sz="4" w:space="0" w:color="0000FF"/>
                              <w:bottom w:val="single" w:sz="4" w:space="0" w:color="0000FF"/>
                              <w:right w:val="single" w:sz="4" w:space="0" w:color="0000FF"/>
                              <w:insideH w:val="single" w:sz="4" w:space="0" w:color="0000FF"/>
                              <w:insideV w:val="single" w:sz="4" w:space="0" w:color="0000FF"/>
                            </w:tcBorders>
                            <w:shd w:fill="0000FF" w:val="clear"/>
                            <w:tcMar>
                              <w:top w:w="28" w:type="dxa"/>
                              <w:left w:w="23" w:type="dxa"/>
                              <w:bottom w:w="28" w:type="dxa"/>
                              <w:right w:w="28" w:type="dxa"/>
                            </w:tcMar>
                          </w:tcPr>
                          <w:p>
                            <w:pPr>
                              <w:pStyle w:val="P68B1DB1Contenudetableau9"/>
                              <w:spacing w:before="57" w:after="57"/>
                              <w:jc w:val="center"/>
                              <w:rPr>
                                <w:sz w:val="16"/>
                              </w:rPr>
                            </w:pPr>
                            <w:r>
                              <w:rPr/>
                              <w:t xml:space="preserve">3. NAP </w:t>
                            </w:r>
                          </w:p>
                          <w:p>
                            <w:pPr>
                              <w:pStyle w:val="P68B1DB1Contenudetableau9"/>
                              <w:spacing w:before="57" w:after="57"/>
                              <w:jc w:val="center"/>
                              <w:rPr>
                                <w:sz w:val="16"/>
                              </w:rPr>
                            </w:pPr>
                            <w:r>
                              <w:rPr/>
                              <w:t>Az iránymutatások véglegesítése, záró megjegyzések</w:t>
                            </w:r>
                          </w:p>
                        </w:tc>
                      </w:tr>
                      <w:tr>
                        <w:trPr/>
                        <w:tc>
                          <w:tcPr>
                            <w:tcW w:w="3119" w:type="dxa"/>
                            <w:gridSpan w:val="2"/>
                            <w:tcBorders/>
                            <w:shd w:fill="auto" w:val="clear"/>
                          </w:tcPr>
                          <w:p>
                            <w:pPr>
                              <w:pStyle w:val="Contenudetableau"/>
                              <w:spacing w:before="57" w:after="57"/>
                              <w:jc w:val="center"/>
                              <w:rPr>
                                <w:sz w:val="16"/>
                              </w:rPr>
                            </w:pPr>
                            <w:r>
                              <w:rPr>
                                <w:sz w:val="16"/>
                              </w:rPr>
                            </w:r>
                          </w:p>
                        </w:tc>
                        <w:tc>
                          <w:tcPr>
                            <w:tcW w:w="3120" w:type="dxa"/>
                            <w:gridSpan w:val="2"/>
                            <w:tcBorders/>
                            <w:shd w:fill="0000FF" w:val="clear"/>
                          </w:tcPr>
                          <w:p>
                            <w:pPr>
                              <w:pStyle w:val="P68B1DB1Contenudetableau9"/>
                              <w:spacing w:before="57" w:after="57"/>
                              <w:jc w:val="center"/>
                              <w:rPr>
                                <w:sz w:val="16"/>
                              </w:rPr>
                            </w:pPr>
                            <w:r>
                              <w:rPr/>
                              <w:t>Szakértők hozzájárulása az altémákhoz</w:t>
                            </w:r>
                          </w:p>
                        </w:tc>
                        <w:tc>
                          <w:tcPr>
                            <w:tcW w:w="3120" w:type="dxa"/>
                            <w:gridSpan w:val="2"/>
                            <w:tcBorders/>
                            <w:shd w:fill="0000FF" w:val="clear"/>
                          </w:tcPr>
                          <w:p>
                            <w:pPr>
                              <w:pStyle w:val="P68B1DB1Contenudetableau9"/>
                              <w:spacing w:before="57" w:after="57"/>
                              <w:jc w:val="center"/>
                              <w:rPr>
                                <w:sz w:val="16"/>
                              </w:rPr>
                            </w:pPr>
                            <w:r>
                              <w:rPr/>
                              <w:t>Szakértők további hozzájárulásai</w:t>
                            </w:r>
                          </w:p>
                        </w:tc>
                      </w:tr>
                      <w:tr>
                        <w:trPr/>
                        <w:tc>
                          <w:tcPr>
                            <w:tcW w:w="3119" w:type="dxa"/>
                            <w:gridSpan w:val="2"/>
                            <w:vMerge w:val="restart"/>
                            <w:tcBorders/>
                            <w:shd w:fill="800000" w:val="clear"/>
                          </w:tcPr>
                          <w:p>
                            <w:pPr>
                              <w:pStyle w:val="P68B1DB1Contenudetableau9"/>
                              <w:spacing w:before="57" w:after="57"/>
                              <w:jc w:val="center"/>
                              <w:rPr>
                                <w:sz w:val="16"/>
                              </w:rPr>
                            </w:pPr>
                            <w:r>
                              <w:rPr/>
                              <w:t xml:space="preserve">Üdvözlöm. </w:t>
                            </w:r>
                          </w:p>
                          <w:p>
                            <w:pPr>
                              <w:pStyle w:val="P68B1DB1Contenudetableau9"/>
                              <w:spacing w:before="57" w:after="57"/>
                              <w:jc w:val="center"/>
                              <w:rPr>
                                <w:sz w:val="16"/>
                              </w:rPr>
                            </w:pPr>
                            <w:r>
                              <w:rPr/>
                              <w:t xml:space="preserve">A polgárok nagyköveteinek visszajelzéseikért, </w:t>
                              <w:br/>
                              <w:t>Platform frissítés, menetrend</w:t>
                            </w:r>
                          </w:p>
                        </w:tc>
                        <w:tc>
                          <w:tcPr>
                            <w:tcW w:w="3120" w:type="dxa"/>
                            <w:gridSpan w:val="2"/>
                            <w:tcBorders/>
                            <w:shd w:fill="00FF00" w:val="clear"/>
                          </w:tcPr>
                          <w:p>
                            <w:pPr>
                              <w:pStyle w:val="P68B1DB1Contenudetableau9"/>
                              <w:spacing w:before="57" w:after="57"/>
                              <w:jc w:val="center"/>
                              <w:rPr>
                                <w:sz w:val="16"/>
                              </w:rPr>
                            </w:pPr>
                            <w:r>
                              <w:rPr/>
                              <w:t>Iránymutatások készítése</w:t>
                            </w:r>
                          </w:p>
                        </w:tc>
                        <w:tc>
                          <w:tcPr>
                            <w:tcW w:w="3120" w:type="dxa"/>
                            <w:gridSpan w:val="2"/>
                            <w:tcBorders/>
                            <w:shd w:fill="00FF00" w:val="clear"/>
                          </w:tcPr>
                          <w:p>
                            <w:pPr>
                              <w:pStyle w:val="P68B1DB1Contenudetableau9"/>
                              <w:spacing w:before="57" w:after="57"/>
                              <w:jc w:val="center"/>
                              <w:rPr>
                                <w:sz w:val="16"/>
                              </w:rPr>
                            </w:pPr>
                            <w:r>
                              <w:rPr/>
                              <w:t xml:space="preserve"> </w:t>
                            </w:r>
                            <w:r>
                              <w:rPr/>
                              <w:t>Az iránymutatások véglegesítése</w:t>
                            </w:r>
                          </w:p>
                        </w:tc>
                      </w:tr>
                      <w:tr>
                        <w:trPr/>
                        <w:tc>
                          <w:tcPr>
                            <w:tcW w:w="3119" w:type="dxa"/>
                            <w:gridSpan w:val="2"/>
                            <w:vMerge w:val="continue"/>
                            <w:tcBorders/>
                            <w:shd w:fill="800000" w:val="clear"/>
                          </w:tcPr>
                          <w:p>
                            <w:pPr>
                              <w:pStyle w:val="Normal"/>
                              <w:spacing w:before="57" w:after="57"/>
                              <w:ind w:left="0" w:right="0" w:hanging="0"/>
                              <w:rPr/>
                            </w:pPr>
                            <w:r>
                              <w:rPr/>
                            </w:r>
                          </w:p>
                        </w:tc>
                        <w:tc>
                          <w:tcPr>
                            <w:tcW w:w="3120" w:type="dxa"/>
                            <w:gridSpan w:val="2"/>
                            <w:tcBorders/>
                            <w:shd w:fill="auto" w:val="clear"/>
                          </w:tcPr>
                          <w:p>
                            <w:pPr>
                              <w:pStyle w:val="Contenudetableau"/>
                              <w:spacing w:before="57" w:after="57"/>
                              <w:jc w:val="center"/>
                              <w:rPr>
                                <w:sz w:val="16"/>
                              </w:rPr>
                            </w:pPr>
                            <w:r>
                              <w:rPr>
                                <w:sz w:val="16"/>
                              </w:rPr>
                            </w:r>
                          </w:p>
                        </w:tc>
                        <w:tc>
                          <w:tcPr>
                            <w:tcW w:w="3120" w:type="dxa"/>
                            <w:gridSpan w:val="2"/>
                            <w:tcBorders/>
                            <w:shd w:fill="800000" w:val="clear"/>
                          </w:tcPr>
                          <w:p>
                            <w:pPr>
                              <w:pStyle w:val="P68B1DB1Contenudetableau9"/>
                              <w:spacing w:before="57" w:after="57"/>
                              <w:jc w:val="center"/>
                              <w:rPr>
                                <w:sz w:val="16"/>
                              </w:rPr>
                            </w:pPr>
                            <w:r>
                              <w:rPr/>
                              <w:t xml:space="preserve">Bizonyos orientációk megosztása, </w:t>
                              <w:br/>
                              <w:t>Záró megjegyzések</w:t>
                            </w:r>
                          </w:p>
                        </w:tc>
                      </w:tr>
                      <w:tr>
                        <w:trPr/>
                        <w:tc>
                          <w:tcPr>
                            <w:tcW w:w="2774" w:type="dxa"/>
                            <w:tcBorders/>
                            <w:shd w:fill="auto" w:val="clear"/>
                          </w:tcPr>
                          <w:p>
                            <w:pPr>
                              <w:pStyle w:val="Contenudetableau"/>
                              <w:widowControl w:val="false"/>
                              <w:suppressLineNumbers/>
                              <w:spacing w:before="57" w:after="57"/>
                              <w:rPr/>
                            </w:pPr>
                            <w:r>
                              <w:rPr/>
                            </w:r>
                          </w:p>
                        </w:tc>
                        <w:tc>
                          <w:tcPr>
                            <w:tcW w:w="345" w:type="dxa"/>
                            <w:tcBorders/>
                            <w:shd w:fill="auto" w:val="clear"/>
                          </w:tcPr>
                          <w:p>
                            <w:pPr>
                              <w:pStyle w:val="Contenudetableau"/>
                              <w:widowControl w:val="false"/>
                              <w:suppressLineNumbers/>
                              <w:spacing w:before="57" w:after="57"/>
                              <w:rPr/>
                            </w:pPr>
                            <w:r>
                              <w:rPr/>
                            </w:r>
                          </w:p>
                        </w:tc>
                        <w:tc>
                          <w:tcPr>
                            <w:tcW w:w="2778" w:type="dxa"/>
                            <w:tcBorders/>
                            <w:shd w:fill="auto" w:val="clear"/>
                          </w:tcPr>
                          <w:p>
                            <w:pPr>
                              <w:pStyle w:val="Contenudetableau"/>
                              <w:widowControl w:val="false"/>
                              <w:suppressLineNumbers/>
                              <w:spacing w:before="57" w:after="57"/>
                              <w:rPr/>
                            </w:pPr>
                            <w:r>
                              <w:rPr/>
                            </w:r>
                          </w:p>
                        </w:tc>
                        <w:tc>
                          <w:tcPr>
                            <w:tcW w:w="342" w:type="dxa"/>
                            <w:tcBorders/>
                            <w:shd w:fill="auto" w:val="clear"/>
                          </w:tcPr>
                          <w:p>
                            <w:pPr>
                              <w:pStyle w:val="Contenudetableau"/>
                              <w:widowControl w:val="false"/>
                              <w:suppressLineNumbers/>
                              <w:spacing w:before="57" w:after="57"/>
                              <w:rPr/>
                            </w:pPr>
                            <w:r>
                              <w:rPr/>
                            </w:r>
                          </w:p>
                        </w:tc>
                        <w:tc>
                          <w:tcPr>
                            <w:tcW w:w="2719" w:type="dxa"/>
                            <w:tcBorders/>
                            <w:shd w:fill="auto" w:val="clear"/>
                          </w:tcPr>
                          <w:p>
                            <w:pPr>
                              <w:pStyle w:val="Contenudetableau"/>
                              <w:widowControl w:val="false"/>
                              <w:suppressLineNumbers/>
                              <w:spacing w:before="57" w:after="57"/>
                              <w:rPr/>
                            </w:pPr>
                            <w:r>
                              <w:rPr/>
                            </w:r>
                          </w:p>
                        </w:tc>
                        <w:tc>
                          <w:tcPr>
                            <w:tcW w:w="401" w:type="dxa"/>
                            <w:tcBorders/>
                            <w:shd w:fill="auto" w:val="clear"/>
                          </w:tcPr>
                          <w:p>
                            <w:pPr>
                              <w:pStyle w:val="Contenudetableau"/>
                              <w:spacing w:before="57" w:after="57"/>
                              <w:rPr>
                                <w:sz w:val="16"/>
                              </w:rPr>
                            </w:pPr>
                            <w:r>
                              <w:rPr>
                                <w:sz w:val="16"/>
                              </w:rPr>
                            </w:r>
                          </w:p>
                        </w:tc>
                      </w:tr>
                      <w:tr>
                        <w:trPr/>
                        <w:tc>
                          <w:tcPr>
                            <w:tcW w:w="2774" w:type="dxa"/>
                            <w:tcBorders/>
                            <w:shd w:fill="auto" w:val="clear"/>
                          </w:tcPr>
                          <w:p>
                            <w:pPr>
                              <w:pStyle w:val="P68B1DB1Contenudetableau9"/>
                              <w:spacing w:before="57" w:after="57"/>
                              <w:jc w:val="right"/>
                              <w:rPr>
                                <w:sz w:val="16"/>
                              </w:rPr>
                            </w:pPr>
                            <w:r>
                              <w:rPr/>
                              <w:t>Plenáris ülés</w:t>
                            </w:r>
                          </w:p>
                        </w:tc>
                        <w:tc>
                          <w:tcPr>
                            <w:tcW w:w="345" w:type="dxa"/>
                            <w:tcBorders/>
                            <w:shd w:fill="800000" w:val="clear"/>
                          </w:tcPr>
                          <w:p>
                            <w:pPr>
                              <w:pStyle w:val="Contenudetableau"/>
                              <w:spacing w:before="57" w:after="57"/>
                              <w:jc w:val="right"/>
                              <w:rPr>
                                <w:sz w:val="16"/>
                              </w:rPr>
                            </w:pPr>
                            <w:r>
                              <w:rPr>
                                <w:sz w:val="16"/>
                              </w:rPr>
                            </w:r>
                          </w:p>
                        </w:tc>
                        <w:tc>
                          <w:tcPr>
                            <w:tcW w:w="2778" w:type="dxa"/>
                            <w:tcBorders/>
                            <w:shd w:fill="auto" w:val="clear"/>
                          </w:tcPr>
                          <w:p>
                            <w:pPr>
                              <w:pStyle w:val="P68B1DB1Contenudetableau9"/>
                              <w:spacing w:before="57" w:after="57"/>
                              <w:jc w:val="right"/>
                              <w:rPr>
                                <w:sz w:val="16"/>
                              </w:rPr>
                            </w:pPr>
                            <w:r>
                              <w:rPr/>
                              <w:t>A téma plenáris ülése</w:t>
                            </w:r>
                          </w:p>
                        </w:tc>
                        <w:tc>
                          <w:tcPr>
                            <w:tcW w:w="342" w:type="dxa"/>
                            <w:tcBorders/>
                            <w:shd w:fill="0000FF" w:val="clear"/>
                          </w:tcPr>
                          <w:p>
                            <w:pPr>
                              <w:pStyle w:val="Contenudetableau"/>
                              <w:spacing w:before="57" w:after="57"/>
                              <w:jc w:val="right"/>
                              <w:rPr>
                                <w:sz w:val="16"/>
                              </w:rPr>
                            </w:pPr>
                            <w:r>
                              <w:rPr>
                                <w:sz w:val="16"/>
                              </w:rPr>
                            </w:r>
                          </w:p>
                        </w:tc>
                        <w:tc>
                          <w:tcPr>
                            <w:tcW w:w="2719" w:type="dxa"/>
                            <w:tcBorders/>
                            <w:shd w:fill="auto" w:val="clear"/>
                          </w:tcPr>
                          <w:p>
                            <w:pPr>
                              <w:pStyle w:val="P68B1DB1Contenudetableau9"/>
                              <w:spacing w:before="57" w:after="57"/>
                              <w:jc w:val="right"/>
                              <w:rPr>
                                <w:sz w:val="16"/>
                              </w:rPr>
                            </w:pPr>
                            <w:r>
                              <w:rPr/>
                              <w:t>Alcsoporti ülés</w:t>
                            </w:r>
                          </w:p>
                        </w:tc>
                        <w:tc>
                          <w:tcPr>
                            <w:tcW w:w="401" w:type="dxa"/>
                            <w:tcBorders/>
                            <w:shd w:fill="00FF00" w:val="clear"/>
                          </w:tcPr>
                          <w:p>
                            <w:pPr>
                              <w:pStyle w:val="Contenudetableau"/>
                              <w:spacing w:before="57" w:after="57"/>
                              <w:rPr>
                                <w:sz w:val="16"/>
                              </w:rPr>
                            </w:pPr>
                            <w:r>
                              <w:rPr>
                                <w:sz w:val="16"/>
                              </w:rPr>
                            </w:r>
                          </w:p>
                        </w:tc>
                      </w:tr>
                    </w:tbl>
                    <w:p>
                      <w:pPr>
                        <w:pStyle w:val="Contenudecadre"/>
                        <w:spacing w:before="57" w:after="57"/>
                        <w:rPr>
                          <w:color w:val="auto"/>
                        </w:rPr>
                      </w:pPr>
                      <w:r>
                        <w:rPr>
                          <w:color w:val="auto"/>
                        </w:rPr>
                      </w:r>
                    </w:p>
                  </w:txbxContent>
                </v:textbox>
              </v:rect>
            </w:pict>
          </mc:Fallback>
        </mc:AlternateContent>
      </w:r>
      <w:r>
        <w:rPr/>
        <w:t xml:space="preserve"> </w:t>
      </w:r>
      <w:r>
        <w:rPr/>
        <w:t>a plenáris ülésen, az összes résztvevővel. A plenáris üléseket két fő moderátor vezette. A megbeszélésekből eredő kiemelt témákat „tengelyre” (a tematikus klasztereknek megfelelően) és „altengelyre” osztották, és a második üléssorozat alapjául szolgáltak. E célból a résztvevők háttérinformációkat kaptak a témákról, valamint a releváns inputokról, beleértve az elemzéseket és a koncepcionális sémákat, a többnyelvű digitális platform első időközi jelentéséből és magas szintű külső szakértők előadásaiból.</w:t>
      </w:r>
    </w:p>
    <w:p>
      <w:pPr>
        <w:pStyle w:val="Corpsdetexte"/>
        <w:rPr/>
      </w:pPr>
      <w:r>
        <w:rPr/>
        <w:t>Az első üléseken az önkéntes polgárok közül választották ki azt a 20 személyt, akit felkértek, hogy képviselje a testületeket a plenáris ülésen; ennek során figyelték az életkor és a nem sokféleségét.</w:t>
      </w:r>
    </w:p>
    <w:p>
      <w:pPr>
        <w:pStyle w:val="Titre4"/>
        <w:numPr>
          <w:ilvl w:val="3"/>
          <w:numId w:val="2"/>
        </w:numPr>
        <w:rPr/>
      </w:pPr>
      <w:bookmarkStart w:id="12" w:name="__RefHeading___Toc298198_1346298689"/>
      <w:bookmarkEnd w:id="12"/>
      <w:r>
        <w:rPr/>
        <w:t>A PANELBESZÉLGETÉSEK MÁSODIK FORDULÓJA</w:t>
      </w:r>
    </w:p>
    <w:p>
      <w:pPr>
        <w:pStyle w:val="Corpsdetexte"/>
        <w:rPr/>
      </w:pPr>
      <w:r>
        <w:rPr/>
        <w:t>Az európai polgári vitacsoportok november folyamán online ülésekkel folytatták munkájukat. E célból különleges szabályozást vezettek be: egy brüsszeli stúdió adott otthont a moderálásnak és a plenáris üléseknek, míg a részt vevő polgárok az egész EU-ból be tudnak avatkozni egy kapcsolódási és tolmácsolási rendszeren keresztül.</w:t>
      </w:r>
    </w:p>
    <w:p>
      <w:pPr>
        <w:pStyle w:val="Corpsdetexte"/>
        <w:rPr/>
      </w:pPr>
      <w:r>
        <w:rPr/>
        <w:t>Az ülések második fordulójában szakértők és tényellenőrzők segítségével a polgárok azonosítottak és megvitattak egy sor konkrét kérdést, és iránymutatásokat dolgoztak ki az első ülésen azonosított tematikus tengelyek mindegyikére vonatkozóan. A szakértői csoporton belül különös figyelmet fordítottak a nemek közötti és a földrajzi egyensúlyra, és hogy e szakértők mindegyike – hozzájárulásuk révén – részletesen tájékoztatja a polgárokat a tényekről és/vagy a vita előrehaladásáról, és tartózkodik személyes véleménynyilvánítástól. A többnyelvű digitális platform időközi jelentéseit is a polgárok rendelkezésére bocsátották.</w:t>
      </w:r>
    </w:p>
    <w:p>
      <w:pPr>
        <w:pStyle w:val="Corpsdetexte"/>
        <w:rPr/>
      </w:pPr>
      <w:r>
        <w:rPr/>
        <w:t>Így képesek voltak azonosítani és megvitatni a hozzájuk rendelt témákkal kapcsolatos kérdéseket, a szakértőknek az érintett témákkal kapcsolatos észrevételeire, valamint saját tudásukra és tapasztalataikra építve, az ülések második fordulójában tartott tanácskozások során. A problémákat olyan problémákként határozták meg, amelyek megoldást igényelnek, vagy olyan helyzetek, amelyek változást igényelnek.</w:t>
      </w:r>
    </w:p>
    <w:p>
      <w:pPr>
        <w:pStyle w:val="Corpsdetexte"/>
        <w:rPr/>
      </w:pPr>
      <w:r>
        <w:rPr/>
        <w:t>A polgárok ezt követően iránymutatások kidolgozásával foglalkoztak ezekkel a kérdésekkel, ez volt az első lépés az ajánlások megfogalmazása felé, ami a harmadik üléssorozat célja volt. A polgárokat is felkérték, hogy indokolják meg ezeket az iránymutatásokat.</w:t>
      </w:r>
    </w:p>
    <w:p>
      <w:pPr>
        <w:pStyle w:val="Corpsdetexte"/>
        <w:rPr/>
      </w:pPr>
      <w:r>
        <w:rPr/>
        <w:t>A megbeszélésekre és a kollektív munkára három formában került sor:</w:t>
      </w:r>
    </w:p>
    <w:p>
      <w:pPr>
        <w:pStyle w:val="Alineanegatifpuce"/>
        <w:numPr>
          <w:ilvl w:val="0"/>
          <w:numId w:val="3"/>
        </w:numPr>
        <w:spacing w:before="4842" w:after="57"/>
        <w:rPr/>
      </w:pPr>
      <w:r>
        <mc:AlternateContent>
          <mc:Choice Requires="wps">
            <w:drawing>
              <wp:anchor behindDoc="0" distT="72390" distB="72390" distL="72390" distR="72390" simplePos="0" locked="0" layoutInCell="1" allowOverlap="1" relativeHeight="9">
                <wp:simplePos x="0" y="0"/>
                <wp:positionH relativeFrom="column">
                  <wp:posOffset>46990</wp:posOffset>
                </wp:positionH>
                <wp:positionV relativeFrom="paragraph">
                  <wp:posOffset>1572260</wp:posOffset>
                </wp:positionV>
                <wp:extent cx="6087745" cy="3075305"/>
                <wp:effectExtent l="0" t="0" r="0" b="0"/>
                <wp:wrapSquare wrapText="bothSides"/>
                <wp:docPr id="18" name="Keretrendszer4"/>
                <a:graphic xmlns:a="http://schemas.openxmlformats.org/drawingml/2006/main">
                  <a:graphicData uri="http://schemas.microsoft.com/office/word/2010/wordprocessingShape">
                    <wps:wsp>
                      <wps:cNvSpPr/>
                      <wps:spPr>
                        <a:xfrm>
                          <a:off x="0" y="0"/>
                          <a:ext cx="6087240" cy="3074760"/>
                        </a:xfrm>
                        <a:prstGeom prst="rect">
                          <a:avLst/>
                        </a:prstGeom>
                        <a:solidFill>
                          <a:srgbClr val="ffffff"/>
                        </a:solidFill>
                        <a:ln w="720">
                          <a:solidFill>
                            <a:srgbClr val="000000"/>
                          </a:solidFill>
                          <a:round/>
                        </a:ln>
                      </wps:spPr>
                      <wps:style>
                        <a:lnRef idx="0"/>
                        <a:fillRef idx="0"/>
                        <a:effectRef idx="0"/>
                        <a:fontRef idx="minor"/>
                      </wps:style>
                      <wps:txbx>
                        <w:txbxContent>
                          <w:tbl>
                            <w:tblPr>
                              <w:tblW w:w="9414" w:type="dxa"/>
                              <w:jc w:val="left"/>
                              <w:tblInd w:w="0" w:type="dxa"/>
                              <w:tblBorders/>
                              <w:tblCellMar>
                                <w:top w:w="0" w:type="dxa"/>
                                <w:left w:w="0" w:type="dxa"/>
                                <w:bottom w:w="0" w:type="dxa"/>
                                <w:right w:w="0" w:type="dxa"/>
                              </w:tblCellMar>
                            </w:tblPr>
                            <w:tblGrid>
                              <w:gridCol w:w="3138"/>
                              <w:gridCol w:w="3138"/>
                              <w:gridCol w:w="3138"/>
                            </w:tblGrid>
                            <w:tr>
                              <w:trPr/>
                              <w:tc>
                                <w:tcPr>
                                  <w:tcW w:w="9414" w:type="dxa"/>
                                  <w:gridSpan w:val="3"/>
                                  <w:tcBorders/>
                                  <w:shd w:fill="auto" w:val="clear"/>
                                </w:tcPr>
                                <w:p>
                                  <w:pPr>
                                    <w:pStyle w:val="P68B1DB1Contenudetableau10"/>
                                    <w:spacing w:before="57" w:after="57"/>
                                    <w:jc w:val="center"/>
                                    <w:rPr>
                                      <w:b/>
                                      <w:b/>
                                    </w:rPr>
                                  </w:pPr>
                                  <w:r>
                                    <w:rPr/>
                                    <w:t>3. ÜLÉS</w:t>
                                  </w:r>
                                </w:p>
                              </w:tc>
                            </w:tr>
                            <w:tr>
                              <w:trPr/>
                              <w:tc>
                                <w:tcPr>
                                  <w:tcW w:w="3138" w:type="dxa"/>
                                  <w:tcBorders/>
                                  <w:shd w:fill="0000FF" w:val="clear"/>
                                </w:tcPr>
                                <w:p>
                                  <w:pPr>
                                    <w:pStyle w:val="P68B1DB1Contenudetableau10"/>
                                    <w:spacing w:before="57" w:after="57"/>
                                    <w:jc w:val="center"/>
                                    <w:rPr>
                                      <w:b/>
                                      <w:b/>
                                    </w:rPr>
                                  </w:pPr>
                                  <w:r>
                                    <w:rPr/>
                                    <w:t xml:space="preserve">1. NAP </w:t>
                                  </w:r>
                                </w:p>
                                <w:p>
                                  <w:pPr>
                                    <w:pStyle w:val="Contenudetableau"/>
                                    <w:spacing w:before="57" w:after="57"/>
                                    <w:jc w:val="center"/>
                                    <w:rPr/>
                                  </w:pPr>
                                  <w:r>
                                    <w:rPr/>
                                    <w:t>Újrakapcsolás, rangsorolás és a munka megkezdése</w:t>
                                  </w:r>
                                </w:p>
                              </w:tc>
                              <w:tc>
                                <w:tcPr>
                                  <w:tcW w:w="3138" w:type="dxa"/>
                                  <w:tcBorders/>
                                  <w:shd w:fill="0000FF" w:val="clear"/>
                                </w:tcPr>
                                <w:p>
                                  <w:pPr>
                                    <w:pStyle w:val="P68B1DB1Contenudetableau10"/>
                                    <w:spacing w:before="57" w:after="57"/>
                                    <w:jc w:val="center"/>
                                    <w:rPr>
                                      <w:b/>
                                      <w:b/>
                                    </w:rPr>
                                  </w:pPr>
                                  <w:r>
                                    <w:rPr/>
                                    <w:t xml:space="preserve">2. NAP </w:t>
                                  </w:r>
                                </w:p>
                                <w:p>
                                  <w:pPr>
                                    <w:pStyle w:val="Contenudetableau"/>
                                    <w:jc w:val="center"/>
                                    <w:rPr/>
                                  </w:pPr>
                                  <w:r>
                                    <w:rPr/>
                                    <w:t xml:space="preserve">Iránymutatások átalakítása </w:t>
                                  </w:r>
                                </w:p>
                                <w:p>
                                  <w:pPr>
                                    <w:pStyle w:val="Contenudetableau"/>
                                    <w:spacing w:before="57" w:after="57"/>
                                    <w:jc w:val="center"/>
                                    <w:rPr/>
                                  </w:pPr>
                                  <w:r>
                                    <w:rPr/>
                                    <w:t>végső ajánlások</w:t>
                                  </w:r>
                                </w:p>
                              </w:tc>
                              <w:tc>
                                <w:tcPr>
                                  <w:tcW w:w="3138" w:type="dxa"/>
                                  <w:tcBorders/>
                                  <w:shd w:fill="0000FF" w:val="clear"/>
                                </w:tcPr>
                                <w:p>
                                  <w:pPr>
                                    <w:pStyle w:val="P68B1DB1Contenudetableau10"/>
                                    <w:spacing w:before="57" w:after="57"/>
                                    <w:jc w:val="center"/>
                                    <w:rPr>
                                      <w:b/>
                                      <w:b/>
                                    </w:rPr>
                                  </w:pPr>
                                  <w:r>
                                    <w:rPr/>
                                    <w:t xml:space="preserve">3. NAP </w:t>
                                  </w:r>
                                </w:p>
                                <w:p>
                                  <w:pPr>
                                    <w:pStyle w:val="Contenudetableau"/>
                                    <w:spacing w:before="57" w:after="57"/>
                                    <w:jc w:val="center"/>
                                    <w:rPr/>
                                  </w:pPr>
                                  <w:r>
                                    <w:rPr/>
                                    <w:t>Szavazás a végleges ajánlásokról</w:t>
                                  </w:r>
                                </w:p>
                              </w:tc>
                            </w:tr>
                            <w:tr>
                              <w:trPr/>
                              <w:tc>
                                <w:tcPr>
                                  <w:tcW w:w="3138" w:type="dxa"/>
                                  <w:tcBorders/>
                                  <w:shd w:fill="800000" w:val="clear"/>
                                </w:tcPr>
                                <w:p>
                                  <w:pPr>
                                    <w:pStyle w:val="Contenudetableau"/>
                                    <w:spacing w:before="57" w:after="57"/>
                                    <w:jc w:val="center"/>
                                    <w:rPr/>
                                  </w:pPr>
                                  <w:r>
                                    <w:rPr/>
                                    <w:t>A hétvége üdvözlése és célkitűzései</w:t>
                                  </w:r>
                                </w:p>
                              </w:tc>
                              <w:tc>
                                <w:tcPr>
                                  <w:tcW w:w="3138" w:type="dxa"/>
                                  <w:tcBorders/>
                                  <w:shd w:fill="00FF00" w:val="clear"/>
                                </w:tcPr>
                                <w:p>
                                  <w:pPr>
                                    <w:pStyle w:val="Contenudetableau"/>
                                    <w:spacing w:before="57" w:after="57"/>
                                    <w:jc w:val="center"/>
                                    <w:rPr/>
                                  </w:pPr>
                                  <w:r>
                                    <w:rPr/>
                                    <w:t>Az iránymutatás átalakítása ajánlásokká</w:t>
                                  </w:r>
                                </w:p>
                              </w:tc>
                              <w:tc>
                                <w:tcPr>
                                  <w:tcW w:w="3138" w:type="dxa"/>
                                  <w:tcBorders/>
                                  <w:shd w:fill="800000" w:val="clear"/>
                                </w:tcPr>
                                <w:p>
                                  <w:pPr>
                                    <w:pStyle w:val="Contenudetableau"/>
                                    <w:spacing w:before="57" w:after="57"/>
                                    <w:jc w:val="center"/>
                                    <w:rPr/>
                                  </w:pPr>
                                  <w:r>
                                    <w:rPr/>
                                    <w:t>Szavazás a végleges ajánlásokról</w:t>
                                  </w:r>
                                </w:p>
                              </w:tc>
                            </w:tr>
                            <w:tr>
                              <w:trPr/>
                              <w:tc>
                                <w:tcPr>
                                  <w:tcW w:w="3138" w:type="dxa"/>
                                  <w:tcBorders/>
                                  <w:shd w:fill="0000FF" w:val="clear"/>
                                </w:tcPr>
                                <w:p>
                                  <w:pPr>
                                    <w:pStyle w:val="Contenudetableau"/>
                                    <w:spacing w:before="57" w:after="57"/>
                                    <w:jc w:val="center"/>
                                    <w:rPr/>
                                  </w:pPr>
                                  <w:r>
                                    <w:rPr/>
                                    <w:t xml:space="preserve">Nyílt fórum, </w:t>
                                  </w:r>
                                </w:p>
                                <w:p>
                                  <w:pPr>
                                    <w:pStyle w:val="Contenudetableau"/>
                                    <w:spacing w:before="57" w:after="57"/>
                                    <w:jc w:val="center"/>
                                    <w:rPr/>
                                  </w:pPr>
                                  <w:r>
                                    <w:rPr/>
                                    <w:t>Az iránymutatások olvasása és rangsorolása</w:t>
                                  </w:r>
                                </w:p>
                              </w:tc>
                              <w:tc>
                                <w:tcPr>
                                  <w:tcW w:w="3138" w:type="dxa"/>
                                  <w:tcBorders/>
                                  <w:shd w:fill="00FF00" w:val="clear"/>
                                </w:tcPr>
                                <w:p>
                                  <w:pPr>
                                    <w:pStyle w:val="Contenudetableau"/>
                                    <w:spacing w:before="57" w:after="57"/>
                                    <w:jc w:val="center"/>
                                    <w:rPr/>
                                  </w:pPr>
                                  <w:r>
                                    <w:rPr/>
                                    <w:t>Visszajelzés más csoportoknak, ajánlások véglegesítése</w:t>
                                  </w:r>
                                </w:p>
                              </w:tc>
                              <w:tc>
                                <w:tcPr>
                                  <w:tcW w:w="3138" w:type="dxa"/>
                                  <w:tcBorders/>
                                  <w:shd w:fill="auto" w:val="clear"/>
                                </w:tcPr>
                                <w:p>
                                  <w:pPr>
                                    <w:pStyle w:val="Contenudetableau"/>
                                    <w:spacing w:before="57" w:after="57"/>
                                    <w:jc w:val="center"/>
                                    <w:rPr/>
                                  </w:pPr>
                                  <w:r>
                                    <w:rPr/>
                                  </w:r>
                                </w:p>
                              </w:tc>
                            </w:tr>
                            <w:tr>
                              <w:trPr/>
                              <w:tc>
                                <w:tcPr>
                                  <w:tcW w:w="3138" w:type="dxa"/>
                                  <w:tcBorders/>
                                  <w:shd w:fill="00FF00" w:val="clear"/>
                                </w:tcPr>
                                <w:p>
                                  <w:pPr>
                                    <w:pStyle w:val="Contenudetableau"/>
                                    <w:spacing w:before="57" w:after="57"/>
                                    <w:jc w:val="center"/>
                                    <w:rPr/>
                                  </w:pPr>
                                  <w:r>
                                    <w:rPr/>
                                    <w:t>Az iránymutatás átalakítása ajánlásokká</w:t>
                                  </w:r>
                                </w:p>
                              </w:tc>
                              <w:tc>
                                <w:tcPr>
                                  <w:tcW w:w="3138" w:type="dxa"/>
                                  <w:tcBorders/>
                                  <w:shd w:fill="auto" w:val="clear"/>
                                </w:tcPr>
                                <w:p>
                                  <w:pPr>
                                    <w:pStyle w:val="Contenudetableau"/>
                                    <w:spacing w:before="57" w:after="57"/>
                                    <w:jc w:val="center"/>
                                    <w:rPr/>
                                  </w:pPr>
                                  <w:r>
                                    <w:rPr/>
                                  </w:r>
                                </w:p>
                              </w:tc>
                              <w:tc>
                                <w:tcPr>
                                  <w:tcW w:w="3138" w:type="dxa"/>
                                  <w:tcBorders/>
                                  <w:shd w:fill="auto" w:val="clear"/>
                                </w:tcPr>
                                <w:p>
                                  <w:pPr>
                                    <w:pStyle w:val="Contenudetableau"/>
                                    <w:spacing w:before="57" w:after="57"/>
                                    <w:jc w:val="center"/>
                                    <w:rPr/>
                                  </w:pPr>
                                  <w:r>
                                    <w:rPr/>
                                  </w:r>
                                </w:p>
                              </w:tc>
                            </w:tr>
                          </w:tbl>
                          <w:p>
                            <w:pPr>
                              <w:pStyle w:val="Contenudecadre"/>
                              <w:rPr>
                                <w:color w:val="auto"/>
                              </w:rPr>
                            </w:pPr>
                            <w:r>
                              <w:rPr>
                                <w:color w:val="auto"/>
                              </w:rPr>
                            </w:r>
                          </w:p>
                          <w:tbl>
                            <w:tblPr>
                              <w:tblW w:w="9414" w:type="dxa"/>
                              <w:jc w:val="left"/>
                              <w:tblInd w:w="0" w:type="dxa"/>
                              <w:tblBorders/>
                              <w:tblCellMar>
                                <w:top w:w="0" w:type="dxa"/>
                                <w:left w:w="0" w:type="dxa"/>
                                <w:bottom w:w="0" w:type="dxa"/>
                                <w:right w:w="0" w:type="dxa"/>
                              </w:tblCellMar>
                            </w:tblPr>
                            <w:tblGrid>
                              <w:gridCol w:w="2790"/>
                              <w:gridCol w:w="347"/>
                              <w:gridCol w:w="2794"/>
                              <w:gridCol w:w="345"/>
                              <w:gridCol w:w="2735"/>
                              <w:gridCol w:w="402"/>
                            </w:tblGrid>
                            <w:tr>
                              <w:trPr/>
                              <w:tc>
                                <w:tcPr>
                                  <w:tcW w:w="2790" w:type="dxa"/>
                                  <w:tcBorders/>
                                  <w:shd w:fill="auto" w:val="clear"/>
                                </w:tcPr>
                                <w:p>
                                  <w:pPr>
                                    <w:pStyle w:val="P68B1DB1Contenudetableau9"/>
                                    <w:spacing w:before="57" w:after="57"/>
                                    <w:jc w:val="right"/>
                                    <w:rPr>
                                      <w:sz w:val="16"/>
                                    </w:rPr>
                                  </w:pPr>
                                  <w:r>
                                    <w:rPr>
                                      <w:color w:val="auto"/>
                                    </w:rPr>
                                    <w:t>Plenáris ülés</w:t>
                                  </w:r>
                                </w:p>
                              </w:tc>
                              <w:tc>
                                <w:tcPr>
                                  <w:tcW w:w="347" w:type="dxa"/>
                                  <w:tcBorders/>
                                  <w:shd w:fill="800000" w:val="clear"/>
                                </w:tcPr>
                                <w:p>
                                  <w:pPr>
                                    <w:pStyle w:val="Contenudetableau"/>
                                    <w:spacing w:before="57" w:after="57"/>
                                    <w:jc w:val="right"/>
                                    <w:rPr>
                                      <w:color w:val="auto"/>
                                      <w:sz w:val="16"/>
                                    </w:rPr>
                                  </w:pPr>
                                  <w:r>
                                    <w:rPr>
                                      <w:color w:val="auto"/>
                                      <w:sz w:val="16"/>
                                    </w:rPr>
                                  </w:r>
                                </w:p>
                              </w:tc>
                              <w:tc>
                                <w:tcPr>
                                  <w:tcW w:w="2794" w:type="dxa"/>
                                  <w:tcBorders/>
                                  <w:shd w:fill="auto" w:val="clear"/>
                                </w:tcPr>
                                <w:p>
                                  <w:pPr>
                                    <w:pStyle w:val="P68B1DB1Contenudetableau9"/>
                                    <w:spacing w:before="57" w:after="57"/>
                                    <w:jc w:val="right"/>
                                    <w:rPr>
                                      <w:sz w:val="16"/>
                                    </w:rPr>
                                  </w:pPr>
                                  <w:r>
                                    <w:rPr>
                                      <w:color w:val="auto"/>
                                    </w:rPr>
                                    <w:t>Nyílt fórum</w:t>
                                  </w:r>
                                </w:p>
                              </w:tc>
                              <w:tc>
                                <w:tcPr>
                                  <w:tcW w:w="345" w:type="dxa"/>
                                  <w:tcBorders/>
                                  <w:shd w:fill="0000FF" w:val="clear"/>
                                </w:tcPr>
                                <w:p>
                                  <w:pPr>
                                    <w:pStyle w:val="Contenudetableau"/>
                                    <w:spacing w:before="57" w:after="57"/>
                                    <w:jc w:val="right"/>
                                    <w:rPr>
                                      <w:color w:val="auto"/>
                                      <w:sz w:val="16"/>
                                    </w:rPr>
                                  </w:pPr>
                                  <w:r>
                                    <w:rPr>
                                      <w:color w:val="auto"/>
                                      <w:sz w:val="16"/>
                                    </w:rPr>
                                  </w:r>
                                </w:p>
                              </w:tc>
                              <w:tc>
                                <w:tcPr>
                                  <w:tcW w:w="2735" w:type="dxa"/>
                                  <w:tcBorders/>
                                  <w:shd w:fill="auto" w:val="clear"/>
                                </w:tcPr>
                                <w:p>
                                  <w:pPr>
                                    <w:pStyle w:val="P68B1DB1Contenudetableau9"/>
                                    <w:spacing w:before="57" w:after="57"/>
                                    <w:jc w:val="right"/>
                                    <w:rPr>
                                      <w:sz w:val="16"/>
                                    </w:rPr>
                                  </w:pPr>
                                  <w:r>
                                    <w:rPr>
                                      <w:color w:val="auto"/>
                                    </w:rPr>
                                    <w:t>Az alcsoport munkája</w:t>
                                  </w:r>
                                </w:p>
                              </w:tc>
                              <w:tc>
                                <w:tcPr>
                                  <w:tcW w:w="402" w:type="dxa"/>
                                  <w:tcBorders/>
                                  <w:shd w:fill="00FF00" w:val="clear"/>
                                </w:tcPr>
                                <w:p>
                                  <w:pPr>
                                    <w:pStyle w:val="Contenudetableau"/>
                                    <w:spacing w:before="57" w:after="57"/>
                                    <w:rPr>
                                      <w:color w:val="auto"/>
                                      <w:sz w:val="16"/>
                                    </w:rPr>
                                  </w:pPr>
                                  <w:r>
                                    <w:rPr>
                                      <w:color w:val="auto"/>
                                      <w:sz w:val="16"/>
                                    </w:rPr>
                                  </w:r>
                                </w:p>
                              </w:tc>
                            </w:tr>
                          </w:tbl>
                          <w:p>
                            <w:pPr>
                              <w:pStyle w:val="Normal"/>
                              <w:spacing w:before="57" w:after="57"/>
                              <w:rPr>
                                <w:color w:val="auto"/>
                              </w:rPr>
                            </w:pPr>
                            <w:r>
                              <w:rPr>
                                <w:color w:val="auto"/>
                              </w:rPr>
                            </w:r>
                          </w:p>
                        </w:txbxContent>
                      </wps:txbx>
                      <wps:bodyPr lIns="54000" rIns="54000" tIns="54000" bIns="54000">
                        <a:noAutofit/>
                      </wps:bodyPr>
                    </wps:wsp>
                  </a:graphicData>
                </a:graphic>
              </wp:anchor>
            </w:drawing>
          </mc:Choice>
          <mc:Fallback>
            <w:pict>
              <v:rect id="shape_0" ID="Keretrendszer4" fillcolor="white" stroked="t" style="position:absolute;margin-left:3.7pt;margin-top:123.8pt;width:479.25pt;height:242.05pt">
                <w10:wrap type="square"/>
                <v:fill o:detectmouseclick="t" type="solid" color2="black"/>
                <v:stroke color="black" weight="720" joinstyle="round" endcap="flat"/>
                <v:textbox>
                  <w:txbxContent>
                    <w:tbl>
                      <w:tblPr>
                        <w:tblW w:w="9414" w:type="dxa"/>
                        <w:jc w:val="left"/>
                        <w:tblInd w:w="0" w:type="dxa"/>
                        <w:tblBorders/>
                        <w:tblCellMar>
                          <w:top w:w="0" w:type="dxa"/>
                          <w:left w:w="0" w:type="dxa"/>
                          <w:bottom w:w="0" w:type="dxa"/>
                          <w:right w:w="0" w:type="dxa"/>
                        </w:tblCellMar>
                      </w:tblPr>
                      <w:tblGrid>
                        <w:gridCol w:w="3138"/>
                        <w:gridCol w:w="3138"/>
                        <w:gridCol w:w="3138"/>
                      </w:tblGrid>
                      <w:tr>
                        <w:trPr/>
                        <w:tc>
                          <w:tcPr>
                            <w:tcW w:w="9414" w:type="dxa"/>
                            <w:gridSpan w:val="3"/>
                            <w:tcBorders/>
                            <w:shd w:fill="auto" w:val="clear"/>
                          </w:tcPr>
                          <w:p>
                            <w:pPr>
                              <w:pStyle w:val="P68B1DB1Contenudetableau10"/>
                              <w:spacing w:before="57" w:after="57"/>
                              <w:jc w:val="center"/>
                              <w:rPr>
                                <w:b/>
                                <w:b/>
                              </w:rPr>
                            </w:pPr>
                            <w:r>
                              <w:rPr/>
                              <w:t>3. ÜLÉS</w:t>
                            </w:r>
                          </w:p>
                        </w:tc>
                      </w:tr>
                      <w:tr>
                        <w:trPr/>
                        <w:tc>
                          <w:tcPr>
                            <w:tcW w:w="3138" w:type="dxa"/>
                            <w:tcBorders/>
                            <w:shd w:fill="0000FF" w:val="clear"/>
                          </w:tcPr>
                          <w:p>
                            <w:pPr>
                              <w:pStyle w:val="P68B1DB1Contenudetableau10"/>
                              <w:spacing w:before="57" w:after="57"/>
                              <w:jc w:val="center"/>
                              <w:rPr>
                                <w:b/>
                                <w:b/>
                              </w:rPr>
                            </w:pPr>
                            <w:r>
                              <w:rPr/>
                              <w:t xml:space="preserve">1. NAP </w:t>
                            </w:r>
                          </w:p>
                          <w:p>
                            <w:pPr>
                              <w:pStyle w:val="Contenudetableau"/>
                              <w:spacing w:before="57" w:after="57"/>
                              <w:jc w:val="center"/>
                              <w:rPr/>
                            </w:pPr>
                            <w:r>
                              <w:rPr/>
                              <w:t>Újrakapcsolás, rangsorolás és a munka megkezdése</w:t>
                            </w:r>
                          </w:p>
                        </w:tc>
                        <w:tc>
                          <w:tcPr>
                            <w:tcW w:w="3138" w:type="dxa"/>
                            <w:tcBorders/>
                            <w:shd w:fill="0000FF" w:val="clear"/>
                          </w:tcPr>
                          <w:p>
                            <w:pPr>
                              <w:pStyle w:val="P68B1DB1Contenudetableau10"/>
                              <w:spacing w:before="57" w:after="57"/>
                              <w:jc w:val="center"/>
                              <w:rPr>
                                <w:b/>
                                <w:b/>
                              </w:rPr>
                            </w:pPr>
                            <w:r>
                              <w:rPr/>
                              <w:t xml:space="preserve">2. NAP </w:t>
                            </w:r>
                          </w:p>
                          <w:p>
                            <w:pPr>
                              <w:pStyle w:val="Contenudetableau"/>
                              <w:jc w:val="center"/>
                              <w:rPr/>
                            </w:pPr>
                            <w:r>
                              <w:rPr/>
                              <w:t xml:space="preserve">Iránymutatások átalakítása </w:t>
                            </w:r>
                          </w:p>
                          <w:p>
                            <w:pPr>
                              <w:pStyle w:val="Contenudetableau"/>
                              <w:spacing w:before="57" w:after="57"/>
                              <w:jc w:val="center"/>
                              <w:rPr/>
                            </w:pPr>
                            <w:r>
                              <w:rPr/>
                              <w:t>végső ajánlások</w:t>
                            </w:r>
                          </w:p>
                        </w:tc>
                        <w:tc>
                          <w:tcPr>
                            <w:tcW w:w="3138" w:type="dxa"/>
                            <w:tcBorders/>
                            <w:shd w:fill="0000FF" w:val="clear"/>
                          </w:tcPr>
                          <w:p>
                            <w:pPr>
                              <w:pStyle w:val="P68B1DB1Contenudetableau10"/>
                              <w:spacing w:before="57" w:after="57"/>
                              <w:jc w:val="center"/>
                              <w:rPr>
                                <w:b/>
                                <w:b/>
                              </w:rPr>
                            </w:pPr>
                            <w:r>
                              <w:rPr/>
                              <w:t xml:space="preserve">3. NAP </w:t>
                            </w:r>
                          </w:p>
                          <w:p>
                            <w:pPr>
                              <w:pStyle w:val="Contenudetableau"/>
                              <w:spacing w:before="57" w:after="57"/>
                              <w:jc w:val="center"/>
                              <w:rPr/>
                            </w:pPr>
                            <w:r>
                              <w:rPr/>
                              <w:t>Szavazás a végleges ajánlásokról</w:t>
                            </w:r>
                          </w:p>
                        </w:tc>
                      </w:tr>
                      <w:tr>
                        <w:trPr/>
                        <w:tc>
                          <w:tcPr>
                            <w:tcW w:w="3138" w:type="dxa"/>
                            <w:tcBorders/>
                            <w:shd w:fill="800000" w:val="clear"/>
                          </w:tcPr>
                          <w:p>
                            <w:pPr>
                              <w:pStyle w:val="Contenudetableau"/>
                              <w:spacing w:before="57" w:after="57"/>
                              <w:jc w:val="center"/>
                              <w:rPr/>
                            </w:pPr>
                            <w:r>
                              <w:rPr/>
                              <w:t>A hétvége üdvözlése és célkitűzései</w:t>
                            </w:r>
                          </w:p>
                        </w:tc>
                        <w:tc>
                          <w:tcPr>
                            <w:tcW w:w="3138" w:type="dxa"/>
                            <w:tcBorders/>
                            <w:shd w:fill="00FF00" w:val="clear"/>
                          </w:tcPr>
                          <w:p>
                            <w:pPr>
                              <w:pStyle w:val="Contenudetableau"/>
                              <w:spacing w:before="57" w:after="57"/>
                              <w:jc w:val="center"/>
                              <w:rPr/>
                            </w:pPr>
                            <w:r>
                              <w:rPr/>
                              <w:t>Az iránymutatás átalakítása ajánlásokká</w:t>
                            </w:r>
                          </w:p>
                        </w:tc>
                        <w:tc>
                          <w:tcPr>
                            <w:tcW w:w="3138" w:type="dxa"/>
                            <w:tcBorders/>
                            <w:shd w:fill="800000" w:val="clear"/>
                          </w:tcPr>
                          <w:p>
                            <w:pPr>
                              <w:pStyle w:val="Contenudetableau"/>
                              <w:spacing w:before="57" w:after="57"/>
                              <w:jc w:val="center"/>
                              <w:rPr/>
                            </w:pPr>
                            <w:r>
                              <w:rPr/>
                              <w:t>Szavazás a végleges ajánlásokról</w:t>
                            </w:r>
                          </w:p>
                        </w:tc>
                      </w:tr>
                      <w:tr>
                        <w:trPr/>
                        <w:tc>
                          <w:tcPr>
                            <w:tcW w:w="3138" w:type="dxa"/>
                            <w:tcBorders/>
                            <w:shd w:fill="0000FF" w:val="clear"/>
                          </w:tcPr>
                          <w:p>
                            <w:pPr>
                              <w:pStyle w:val="Contenudetableau"/>
                              <w:spacing w:before="57" w:after="57"/>
                              <w:jc w:val="center"/>
                              <w:rPr/>
                            </w:pPr>
                            <w:r>
                              <w:rPr/>
                              <w:t xml:space="preserve">Nyílt fórum, </w:t>
                            </w:r>
                          </w:p>
                          <w:p>
                            <w:pPr>
                              <w:pStyle w:val="Contenudetableau"/>
                              <w:spacing w:before="57" w:after="57"/>
                              <w:jc w:val="center"/>
                              <w:rPr/>
                            </w:pPr>
                            <w:r>
                              <w:rPr/>
                              <w:t>Az iránymutatások olvasása és rangsorolása</w:t>
                            </w:r>
                          </w:p>
                        </w:tc>
                        <w:tc>
                          <w:tcPr>
                            <w:tcW w:w="3138" w:type="dxa"/>
                            <w:tcBorders/>
                            <w:shd w:fill="00FF00" w:val="clear"/>
                          </w:tcPr>
                          <w:p>
                            <w:pPr>
                              <w:pStyle w:val="Contenudetableau"/>
                              <w:spacing w:before="57" w:after="57"/>
                              <w:jc w:val="center"/>
                              <w:rPr/>
                            </w:pPr>
                            <w:r>
                              <w:rPr/>
                              <w:t>Visszajelzés más csoportoknak, ajánlások véglegesítése</w:t>
                            </w:r>
                          </w:p>
                        </w:tc>
                        <w:tc>
                          <w:tcPr>
                            <w:tcW w:w="3138" w:type="dxa"/>
                            <w:tcBorders/>
                            <w:shd w:fill="auto" w:val="clear"/>
                          </w:tcPr>
                          <w:p>
                            <w:pPr>
                              <w:pStyle w:val="Contenudetableau"/>
                              <w:spacing w:before="57" w:after="57"/>
                              <w:jc w:val="center"/>
                              <w:rPr/>
                            </w:pPr>
                            <w:r>
                              <w:rPr/>
                            </w:r>
                          </w:p>
                        </w:tc>
                      </w:tr>
                      <w:tr>
                        <w:trPr/>
                        <w:tc>
                          <w:tcPr>
                            <w:tcW w:w="3138" w:type="dxa"/>
                            <w:tcBorders/>
                            <w:shd w:fill="00FF00" w:val="clear"/>
                          </w:tcPr>
                          <w:p>
                            <w:pPr>
                              <w:pStyle w:val="Contenudetableau"/>
                              <w:spacing w:before="57" w:after="57"/>
                              <w:jc w:val="center"/>
                              <w:rPr/>
                            </w:pPr>
                            <w:r>
                              <w:rPr/>
                              <w:t>Az iránymutatás átalakítása ajánlásokká</w:t>
                            </w:r>
                          </w:p>
                        </w:tc>
                        <w:tc>
                          <w:tcPr>
                            <w:tcW w:w="3138" w:type="dxa"/>
                            <w:tcBorders/>
                            <w:shd w:fill="auto" w:val="clear"/>
                          </w:tcPr>
                          <w:p>
                            <w:pPr>
                              <w:pStyle w:val="Contenudetableau"/>
                              <w:spacing w:before="57" w:after="57"/>
                              <w:jc w:val="center"/>
                              <w:rPr/>
                            </w:pPr>
                            <w:r>
                              <w:rPr/>
                            </w:r>
                          </w:p>
                        </w:tc>
                        <w:tc>
                          <w:tcPr>
                            <w:tcW w:w="3138" w:type="dxa"/>
                            <w:tcBorders/>
                            <w:shd w:fill="auto" w:val="clear"/>
                          </w:tcPr>
                          <w:p>
                            <w:pPr>
                              <w:pStyle w:val="Contenudetableau"/>
                              <w:spacing w:before="57" w:after="57"/>
                              <w:jc w:val="center"/>
                              <w:rPr/>
                            </w:pPr>
                            <w:r>
                              <w:rPr/>
                            </w:r>
                          </w:p>
                        </w:tc>
                      </w:tr>
                    </w:tbl>
                    <w:p>
                      <w:pPr>
                        <w:pStyle w:val="Contenudecadre"/>
                        <w:rPr>
                          <w:color w:val="auto"/>
                        </w:rPr>
                      </w:pPr>
                      <w:r>
                        <w:rPr>
                          <w:color w:val="auto"/>
                        </w:rPr>
                      </w:r>
                    </w:p>
                    <w:tbl>
                      <w:tblPr>
                        <w:tblW w:w="9414" w:type="dxa"/>
                        <w:jc w:val="left"/>
                        <w:tblInd w:w="0" w:type="dxa"/>
                        <w:tblBorders/>
                        <w:tblCellMar>
                          <w:top w:w="0" w:type="dxa"/>
                          <w:left w:w="0" w:type="dxa"/>
                          <w:bottom w:w="0" w:type="dxa"/>
                          <w:right w:w="0" w:type="dxa"/>
                        </w:tblCellMar>
                      </w:tblPr>
                      <w:tblGrid>
                        <w:gridCol w:w="2790"/>
                        <w:gridCol w:w="347"/>
                        <w:gridCol w:w="2794"/>
                        <w:gridCol w:w="345"/>
                        <w:gridCol w:w="2735"/>
                        <w:gridCol w:w="402"/>
                      </w:tblGrid>
                      <w:tr>
                        <w:trPr/>
                        <w:tc>
                          <w:tcPr>
                            <w:tcW w:w="2790" w:type="dxa"/>
                            <w:tcBorders/>
                            <w:shd w:fill="auto" w:val="clear"/>
                          </w:tcPr>
                          <w:p>
                            <w:pPr>
                              <w:pStyle w:val="P68B1DB1Contenudetableau9"/>
                              <w:spacing w:before="57" w:after="57"/>
                              <w:jc w:val="right"/>
                              <w:rPr>
                                <w:sz w:val="16"/>
                              </w:rPr>
                            </w:pPr>
                            <w:r>
                              <w:rPr>
                                <w:color w:val="auto"/>
                              </w:rPr>
                              <w:t>Plenáris ülés</w:t>
                            </w:r>
                          </w:p>
                        </w:tc>
                        <w:tc>
                          <w:tcPr>
                            <w:tcW w:w="347" w:type="dxa"/>
                            <w:tcBorders/>
                            <w:shd w:fill="800000" w:val="clear"/>
                          </w:tcPr>
                          <w:p>
                            <w:pPr>
                              <w:pStyle w:val="Contenudetableau"/>
                              <w:spacing w:before="57" w:after="57"/>
                              <w:jc w:val="right"/>
                              <w:rPr>
                                <w:color w:val="auto"/>
                                <w:sz w:val="16"/>
                              </w:rPr>
                            </w:pPr>
                            <w:r>
                              <w:rPr>
                                <w:color w:val="auto"/>
                                <w:sz w:val="16"/>
                              </w:rPr>
                            </w:r>
                          </w:p>
                        </w:tc>
                        <w:tc>
                          <w:tcPr>
                            <w:tcW w:w="2794" w:type="dxa"/>
                            <w:tcBorders/>
                            <w:shd w:fill="auto" w:val="clear"/>
                          </w:tcPr>
                          <w:p>
                            <w:pPr>
                              <w:pStyle w:val="P68B1DB1Contenudetableau9"/>
                              <w:spacing w:before="57" w:after="57"/>
                              <w:jc w:val="right"/>
                              <w:rPr>
                                <w:sz w:val="16"/>
                              </w:rPr>
                            </w:pPr>
                            <w:r>
                              <w:rPr>
                                <w:color w:val="auto"/>
                              </w:rPr>
                              <w:t>Nyílt fórum</w:t>
                            </w:r>
                          </w:p>
                        </w:tc>
                        <w:tc>
                          <w:tcPr>
                            <w:tcW w:w="345" w:type="dxa"/>
                            <w:tcBorders/>
                            <w:shd w:fill="0000FF" w:val="clear"/>
                          </w:tcPr>
                          <w:p>
                            <w:pPr>
                              <w:pStyle w:val="Contenudetableau"/>
                              <w:spacing w:before="57" w:after="57"/>
                              <w:jc w:val="right"/>
                              <w:rPr>
                                <w:color w:val="auto"/>
                                <w:sz w:val="16"/>
                              </w:rPr>
                            </w:pPr>
                            <w:r>
                              <w:rPr>
                                <w:color w:val="auto"/>
                                <w:sz w:val="16"/>
                              </w:rPr>
                            </w:r>
                          </w:p>
                        </w:tc>
                        <w:tc>
                          <w:tcPr>
                            <w:tcW w:w="2735" w:type="dxa"/>
                            <w:tcBorders/>
                            <w:shd w:fill="auto" w:val="clear"/>
                          </w:tcPr>
                          <w:p>
                            <w:pPr>
                              <w:pStyle w:val="P68B1DB1Contenudetableau9"/>
                              <w:spacing w:before="57" w:after="57"/>
                              <w:jc w:val="right"/>
                              <w:rPr>
                                <w:sz w:val="16"/>
                              </w:rPr>
                            </w:pPr>
                            <w:r>
                              <w:rPr>
                                <w:color w:val="auto"/>
                              </w:rPr>
                              <w:t>Az alcsoport munkája</w:t>
                            </w:r>
                          </w:p>
                        </w:tc>
                        <w:tc>
                          <w:tcPr>
                            <w:tcW w:w="402" w:type="dxa"/>
                            <w:tcBorders/>
                            <w:shd w:fill="00FF00" w:val="clear"/>
                          </w:tcPr>
                          <w:p>
                            <w:pPr>
                              <w:pStyle w:val="Contenudetableau"/>
                              <w:spacing w:before="57" w:after="57"/>
                              <w:rPr>
                                <w:color w:val="auto"/>
                                <w:sz w:val="16"/>
                              </w:rPr>
                            </w:pPr>
                            <w:r>
                              <w:rPr>
                                <w:color w:val="auto"/>
                                <w:sz w:val="16"/>
                              </w:rPr>
                            </w:r>
                          </w:p>
                        </w:tc>
                      </w:tr>
                    </w:tbl>
                    <w:p>
                      <w:pPr>
                        <w:pStyle w:val="Normal"/>
                        <w:spacing w:before="57" w:after="57"/>
                        <w:rPr>
                          <w:color w:val="auto"/>
                        </w:rPr>
                      </w:pPr>
                      <w:r>
                        <w:rPr>
                          <w:color w:val="auto"/>
                        </w:rPr>
                      </w:r>
                    </w:p>
                  </w:txbxContent>
                </v:textbox>
              </v:rect>
            </w:pict>
          </mc:Fallback>
        </mc:AlternateContent>
      </w:r>
      <w:r>
        <w:rPr/>
        <w:t xml:space="preserve"> </w:t>
      </w:r>
      <w:r>
        <w:rPr/>
        <w:t>alcsoportokban. A tizenöt alcsoport mindegyike 12–14 állampolgárból állt. Minden alcsoportban négy-öt nyelvet használtak, hogy lehetővé tegyék a polgárok számára, hogy saját nyelvükön vagy olyan nyelven fejezzék ki magukat, amelyen kényelmesen érezték magukat. Minden alcsoportnak volt egy szakmai segítője a külső szolgáltatók konzorciumából.</w:t>
      </w:r>
    </w:p>
    <w:p>
      <w:pPr>
        <w:pStyle w:val="Alineanegatifpuce"/>
        <w:numPr>
          <w:ilvl w:val="0"/>
          <w:numId w:val="3"/>
        </w:numPr>
        <w:rPr/>
      </w:pPr>
      <w:r>
        <w:rPr/>
        <w:t xml:space="preserve"> </w:t>
      </w:r>
      <w:r>
        <w:rPr/>
        <w:t>egy munkafolyamatnak szentelt plenáris ülésen. Minden olyan plenáris ülés, amely az ugyanazon tematikus tengelyen dolgozó alcsoportokat tömöríti, egy munkatengelyrel foglalkozik. A munkafolyamatnak szentelt plenáris üléseket szakmai szervezők segítették elő, a résztvevők által igényelt valamennyi nyelvre kiterjedő tolmácsolással.</w:t>
      </w:r>
    </w:p>
    <w:p>
      <w:pPr>
        <w:pStyle w:val="Alineanegatifpuce"/>
        <w:numPr>
          <w:ilvl w:val="0"/>
          <w:numId w:val="3"/>
        </w:numPr>
        <w:rPr/>
      </w:pPr>
      <w:r>
        <w:rPr/>
        <w:t xml:space="preserve"> </w:t>
      </w:r>
      <w:r>
        <w:rPr/>
        <w:t>a plenáris ülésen – az összes részt vevő polgár részvételével – az ülés ismertetésére és lezárására. A plenáris üléseket a konzorcium két fő moderátora vezette, tolmácsolással az EU 24 hivatalos nyelvén.</w:t>
      </w:r>
    </w:p>
    <w:p>
      <w:pPr>
        <w:pStyle w:val="Alineanegatifpuce"/>
        <w:numPr>
          <w:ilvl w:val="0"/>
          <w:numId w:val="0"/>
        </w:numPr>
        <w:ind w:left="0" w:right="0" w:hanging="0"/>
        <w:rPr/>
      </w:pPr>
      <w:r>
        <w:rPr/>
      </w:r>
      <w:r>
        <w:br w:type="page"/>
      </w:r>
    </w:p>
    <w:p>
      <w:pPr>
        <w:pStyle w:val="Titre4"/>
        <w:numPr>
          <w:ilvl w:val="3"/>
          <w:numId w:val="2"/>
        </w:numPr>
        <w:rPr/>
      </w:pPr>
      <w:bookmarkStart w:id="13" w:name="__RefHeading___Toc298200_1346298689"/>
      <w:bookmarkEnd w:id="13"/>
      <w:r>
        <w:rPr/>
        <w:t>A PANELBESZÉLGETÉSEK HARMADIK FORDULÓJA</w:t>
      </w:r>
    </w:p>
    <w:p>
      <w:pPr>
        <w:pStyle w:val="Corpsdetexte"/>
        <w:rPr/>
      </w:pPr>
      <w:r>
        <w:rPr/>
        <w:t>A panelbeszélgetések harmadik és egyben utolsó fordulójára négy tagállam oktatási intézményeiben került sor személyesen. A Covid19-világjárvány és a kapcsolódó írországi és hollandiai intézkedések miatt az 1. panelcsoport harmadik ülése (Erősebb gazdaság, társadalmi igazságosság és foglalkoztatás); oktatás, kultúra, ifjúság és sport; digitális átalakulás) és 4 (az EU a világban; migráció) 2022 februárjára kellett halasztani, konzultálva a nemzeti hatóságokkal és a társult partnerekkel.</w:t>
      </w:r>
    </w:p>
    <w:p>
      <w:pPr>
        <w:pStyle w:val="Corpsdetexte"/>
        <w:rPr/>
      </w:pPr>
      <w:r>
        <w:rPr/>
        <w:t xml:space="preserve">A megbeszélésekre és a kollektív munkára a következő formákban került sor: </w:t>
      </w:r>
    </w:p>
    <w:p>
      <w:pPr>
        <w:pStyle w:val="Alineanegatifpuce"/>
        <w:numPr>
          <w:ilvl w:val="0"/>
          <w:numId w:val="3"/>
        </w:numPr>
        <w:rPr/>
      </w:pPr>
      <w:r>
        <w:rPr/>
        <w:t xml:space="preserve"> </w:t>
      </w:r>
      <w:r>
        <w:rPr/>
        <w:t>az összes résztvevő részvételével tartandó plenáris ülésen a program bemutatása céljából az ülés elején és az ülés végén, az alábbiak szerint. A plenáris üléseket a tanácskozási csoport két fő moderátora vezette, tolmácsolással az EU 24 hivatalos nyelvén.</w:t>
      </w:r>
    </w:p>
    <w:p>
      <w:pPr>
        <w:pStyle w:val="Alineanegatifpuce"/>
        <w:numPr>
          <w:ilvl w:val="0"/>
          <w:numId w:val="3"/>
        </w:numPr>
        <w:rPr/>
      </w:pPr>
      <w:r>
        <w:rPr/>
        <w:t xml:space="preserve"> </w:t>
      </w:r>
      <w:r>
        <w:rPr/>
        <w:t>A polgárok azzal kezdték, hogy megvizsgálták a testület által a 2. ülésen kidolgozott összes iránymutatást egy „nyitott fórum” részeként. Ezután minden polgár munkatengelyenként legfeljebb tíz orientációt részesített előnyben. Amint ez a rangsorolási folyamat a panel szintjén lezárult, a polgárok csatlakoztak ahhoz az alcsoporthoz, amelyben a 2. ülésen már dolgoztak, és közösen tudomásul vették a csoport többi tagja által prioritásként kezelt csoport útmutatását – lehetőséget arra, hogy ezt a választást saját értékelésükkel hasonlítsák össze. Az ajánlások elkészítéséhez minden alcsoportnak megadták a kidolgozandó ajánlások számát: egytől háromig, maximum öt.</w:t>
      </w:r>
    </w:p>
    <w:p>
      <w:pPr>
        <w:pStyle w:val="Alineanegatifpuce"/>
        <w:numPr>
          <w:ilvl w:val="0"/>
          <w:numId w:val="3"/>
        </w:numPr>
        <w:rPr/>
      </w:pPr>
      <w:r>
        <w:rPr/>
        <w:t xml:space="preserve"> </w:t>
      </w:r>
      <w:r>
        <w:rPr/>
        <w:t xml:space="preserve">A 15 alcsoport mindegyike az ajánlásokra vonatkozó iránymutatások kidolgozásán dolgozott. A polgárok megvitatták azokat az iránymutatásokat, amelyek (prioritási sorrendjükben) a legtöbb támogatást kapták, és megkezdték az ajánlások kidolgozásának folyamatát. </w:t>
      </w:r>
    </w:p>
    <w:p>
      <w:pPr>
        <w:pStyle w:val="Normal"/>
        <w:rPr/>
      </w:pPr>
      <w:r>
        <w:rPr/>
        <w:t>A harmadik üléssorozat során a szakértelmet és az információkat nem közvetlen kapcsolatba hozták a polgárokkal, hanem egy speciálisan kialakított rendszeren, egy „Erőforrás- és Információs Ponton” keresztül. Ezt a rendszert arra használták, hogy központosítsák az összes információkérést és tényellenőrzést a helyszínen, valamint hogy rövid és tényszerű válaszokat adjanak a szakértőktől és a tényellenőrzőktől az alcsoportokhoz. Ezt a rendszert úgy alakították ki, hogy biztosítsa, hogy a szakértők és a tényellenőrzők észrevételeit a legmagasabb minőségi előírásoknak megfelelően készítsék el, és hogy a folyamat e szakaszában elkerüljék az indokolatlan befolyást. A többnyelvű digitális platform időközi jelentéseit is a polgárok rendelkezésére bocsátották.</w:t>
      </w:r>
    </w:p>
    <w:p>
      <w:pPr>
        <w:pStyle w:val="Corpsdetexte"/>
        <w:rPr/>
      </w:pPr>
      <w:r>
        <w:rPr/>
        <w:t>Az alcsoport munkája során visszajelzéseket tartottak, hogy segítsék a résztvevőket a többi alcsoport munkájának megértésében és ajánlásaik megerősítésében.</w:t>
      </w:r>
    </w:p>
    <w:p>
      <w:pPr>
        <w:pStyle w:val="Corpsdetexte"/>
        <w:rPr/>
      </w:pPr>
      <w:r>
        <w:rPr/>
        <w:t>Ezt követően az egyes alcsoportok ajánlásairól a bizottság az ülés utolsó napján szavaz. A szavazás előtt minden résztvevő kapott egy dokumentumot, amely tartalmazza az előző nap elkészített ajánlástervezeteket, hogy azokat saját nyelvén elolvashassa (automatikus fordítás angolból). A plenáris ülésen minden ajánlást angol nyelven olvastak, hogy a polgárok egyidejűleg hallhassák a tolmácsolást. Az ajánlásokat egymás után online formanyomtatványon szavazásra bocsátották a résztvevők számára.</w:t>
      </w:r>
    </w:p>
    <w:p>
      <w:pPr>
        <w:pStyle w:val="Corpsdetexte"/>
        <w:rPr/>
      </w:pPr>
      <w:r>
        <w:rPr/>
        <w:t>A zárószavazások eredményei alapján az ajánlásokat az alábbiak szerint osztályozták:</w:t>
      </w:r>
    </w:p>
    <w:p>
      <w:pPr>
        <w:pStyle w:val="Corpsdetexte"/>
        <w:rPr/>
      </w:pPr>
      <w:r>
        <w:rPr/>
        <w:t>A testület elfogadja azokat az ajánlásokat, amelyek a leadott szavazatok legalább 70%-át megkapták; a testület úgy ítélte meg, hogy azokat az ajánlásokat, amelyek nem érték el ezt a küszöbértéket, nem validálta. Az európai polgári vitacsoportok összesen 178 ajánlást fogadtak el.</w:t>
      </w:r>
    </w:p>
    <w:p>
      <w:pPr>
        <w:pStyle w:val="Corpsdetexte"/>
        <w:rPr/>
      </w:pPr>
      <w:r>
        <w:rPr/>
        <w:t>A szavazási eljárást egy szavazási bizottság felügyelte, amely két olyan polgárból állt, akik e szerep betöltését javasolták.</w:t>
      </w:r>
    </w:p>
    <w:p>
      <w:pPr>
        <w:pStyle w:val="Titre4"/>
        <w:numPr>
          <w:ilvl w:val="3"/>
          <w:numId w:val="2"/>
        </w:numPr>
        <w:rPr/>
      </w:pPr>
      <w:bookmarkStart w:id="14" w:name="__RefHeading___Toc298202_1346298689"/>
      <w:bookmarkEnd w:id="14"/>
      <w:r>
        <w:rPr/>
        <w:t>AZ EURÓPAI POLGÁRI VITACSOPORTOK KÉPVISELŐI A PLENÁRIS ÜLÉSEN</w:t>
      </w:r>
    </w:p>
    <w:p>
      <w:pPr>
        <w:pStyle w:val="Corpsdetexte"/>
        <w:rPr/>
      </w:pPr>
      <w:r>
        <w:rPr/>
        <w:t>A négy európai polgári vitacsoport által elfogadott ajánlásokat ezután az európai polgári vitacsoportok 80 képviselője terjesztette elő és vitatta meg a konferencia plenáris ülésén, valamint a munkacsoportokban 2022. január 21–22-én (Panel 2 és 3), valamint 2022. március 11–12-én (1. és 4. testület). Az európai polgári vitacsoportok 80 képviselője (átlagosan 70 a helyszínen és 10 online) ezt követően a Közgyűlés és a munkacsoportok három egymást követő ülésén (március 25–26-án, április 8–9-én és április 29–30-án) folytatta az európai polgári vitacsoportok ajánlásainak népszerűsítését és kifejtését.</w:t>
      </w:r>
    </w:p>
    <w:p>
      <w:pPr>
        <w:pStyle w:val="Corpsdetexte"/>
        <w:rPr/>
      </w:pPr>
      <w:r>
        <w:rPr/>
        <w:t>Rendszeres eszmecserét folytattak továbbá a „polgári komponens” keretében tartott üléseken (az online előkészítő üléseken és a helyszíni plenáris üléseken), valamint egymással és a nemzeti rendezvények és/vagy nemzeti panelek 27 képviselőjével. Április 23-án az európai polgári vitacsoportok képviselői online találkoztak valamennyi partnerükkel, hogy elmagyarázzák, hogyan vitatták meg és illesztették be az ajánlásokat a plenáris ülés javaslatába, valamint hogy visszajelzést kapjanak a panel többi résztvevőjétől. A plenáris ülésen a közös titkárság és a konzorcium tagjainak egy csoportja támogatta a polgári komponenst.</w:t>
      </w:r>
    </w:p>
    <w:p>
      <w:pPr>
        <w:pStyle w:val="Titre4"/>
        <w:numPr>
          <w:ilvl w:val="3"/>
          <w:numId w:val="2"/>
        </w:numPr>
        <w:rPr/>
      </w:pPr>
      <w:bookmarkStart w:id="15" w:name="__RefHeading___Toc298204_1346298689"/>
      <w:bookmarkEnd w:id="15"/>
      <w:r>
        <w:rPr/>
        <w:t>A FOLYAMAT ÁTLÁTHATÓSÁGA</w:t>
      </w:r>
    </w:p>
    <w:p>
      <w:pPr>
        <w:pStyle w:val="Corpsdetexte"/>
        <w:rPr/>
      </w:pPr>
      <w:r>
        <w:rPr/>
        <w:t xml:space="preserve"> </w:t>
      </w:r>
      <w:r>
        <w:rPr/>
        <w:t>Az egész folyamat átlátható módon zajlott. Az európai polgári vitacsoportok plenáris üléseit élőben közvetítették, a vitákból és tanácskozásokból származó dokumentumokat pedig a többnyelvű digitális platformon hozzáférhetővé tették a nyilvánosság számára. Az egyes panelülések zárójelentése elérhető a platformon, az ajánlásokkal együtt. A jelentések információkat tartalmaznak a panelek munkáját támogató valamennyi szakértőről is.</w:t>
      </w:r>
    </w:p>
    <w:p>
      <w:pPr>
        <w:pStyle w:val="Corpsdetexte"/>
        <w:rPr/>
      </w:pPr>
      <w:r>
        <w:rPr/>
        <w:t>Valódi demokratikus innovációként az európai polgárok testületei nagy figyelmet kaptak a tudományos közösségtől. A kutatók részt vehettek az európai polgári vitacsoportok ülésein, és bizonyos szabályoknak megfelelően figyelemmel kísérhették az elvégzett munka és a résztvevők magánéletének tiszteletben tartását.</w:t>
      </w:r>
    </w:p>
    <w:p>
      <w:pPr>
        <w:pStyle w:val="Corpsdetexte"/>
        <w:rPr/>
      </w:pPr>
      <w:r>
        <w:rPr/>
      </w:r>
      <w:r>
        <w:br w:type="page"/>
      </w:r>
    </w:p>
    <w:p>
      <w:pPr>
        <w:pStyle w:val="Titre4"/>
        <w:numPr>
          <w:ilvl w:val="3"/>
          <w:numId w:val="2"/>
        </w:numPr>
        <w:rPr/>
      </w:pPr>
      <w:bookmarkStart w:id="16" w:name="__RefHeading___Toc298206_1346298689"/>
      <w:bookmarkEnd w:id="16"/>
      <w:r>
        <w:rPr/>
        <w:t xml:space="preserve">Panel 1 </w:t>
        <w:br/>
        <w:t>Erősebb gazdaság, társadalmi igazságosság és foglalkoztatás; oktatás, kultúra, ifjúság és sport; digitális transzformáció</w:t>
      </w:r>
    </w:p>
    <w:p>
      <w:pPr>
        <w:pStyle w:val="Corpsdetexte"/>
        <w:rPr/>
      </w:pPr>
      <w:r>
        <w:rPr/>
        <w:t>Az „Erősebb gazdaság, társadalmi igazságosság és foglalkoztatás” elnevezésű testület első ülése; oktatás, kultúra, ifjúság és sport; digitális átalakulás” címmel 2021. szeptember 17. és 19. között Strasbourgban. Ez a panel a gazdaságaink és munkahelyeink jövőjével foglalkozott, különösen a világjárvány után, kellő figyelmet fordítva a társadalmi igazságossággal kapcsolatos kérdésekre. Kitért a digitális átalakulás lehetőségeire és kihívásaira is, amely a jövőről szóló vita egyik legfontosabb témája.</w:t>
      </w:r>
    </w:p>
    <w:p>
      <w:pPr>
        <w:pStyle w:val="Corpsdetexte"/>
        <w:spacing w:before="3316" w:after="57"/>
        <w:rPr/>
      </w:pPr>
      <w:r>
        <mc:AlternateContent>
          <mc:Choice Requires="wps">
            <w:drawing>
              <wp:anchor behindDoc="0" distT="0" distB="0" distL="0" distR="0" simplePos="0" locked="0" layoutInCell="1" allowOverlap="1" relativeHeight="48">
                <wp:simplePos x="0" y="0"/>
                <wp:positionH relativeFrom="column">
                  <wp:posOffset>476885</wp:posOffset>
                </wp:positionH>
                <wp:positionV relativeFrom="paragraph">
                  <wp:posOffset>23768685</wp:posOffset>
                </wp:positionV>
                <wp:extent cx="6120765" cy="2106295"/>
                <wp:effectExtent l="0" t="0" r="0" b="0"/>
                <wp:wrapSquare wrapText="largest"/>
                <wp:docPr id="20" name="Keretrendszer5"/>
                <a:graphic xmlns:a="http://schemas.openxmlformats.org/drawingml/2006/main">
                  <a:graphicData uri="http://schemas.microsoft.com/office/word/2010/wordprocessingShape">
                    <wps:wsp>
                      <wps:cNvSpPr/>
                      <wps:spPr>
                        <a:xfrm>
                          <a:off x="0" y="0"/>
                          <a:ext cx="6120000" cy="2105640"/>
                        </a:xfrm>
                        <a:prstGeom prst="rect">
                          <a:avLst/>
                        </a:prstGeom>
                        <a:solidFill>
                          <a:srgbClr val="ffffff"/>
                        </a:solidFill>
                        <a:ln>
                          <a:noFill/>
                        </a:ln>
                      </wps:spPr>
                      <wps:style>
                        <a:lnRef idx="0"/>
                        <a:fillRef idx="0"/>
                        <a:effectRef idx="0"/>
                        <a:fontRef idx="minor"/>
                      </wps:style>
                      <wps:txbx>
                        <w:txbxContent>
                          <w:p>
                            <w:pPr>
                              <w:pStyle w:val="P68B1DB1Lgende11"/>
                              <w:spacing w:before="120" w:after="120"/>
                              <w:jc w:val="left"/>
                              <w:rPr>
                                <w:color w:val="auto"/>
                              </w:rPr>
                            </w:pPr>
                            <w:r>
                              <w:rPr>
                                <w:color w:val="auto"/>
                              </w:rPr>
                              <w:drawing>
                                <wp:inline distT="0" distB="0" distL="0" distR="0">
                                  <wp:extent cx="6120130" cy="2105660"/>
                                  <wp:effectExtent l="0" t="0" r="0" b="0"/>
                                  <wp:docPr id="22" name="Kép 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Kép 8" descr=""/>
                                          <pic:cNvPicPr>
                                            <a:picLocks noChangeAspect="1" noChangeArrowheads="1"/>
                                          </pic:cNvPicPr>
                                        </pic:nvPicPr>
                                        <pic:blipFill>
                                          <a:blip r:embed="rId37"/>
                                          <a:stretch>
                                            <a:fillRect/>
                                          </a:stretch>
                                        </pic:blipFill>
                                        <pic:spPr bwMode="auto">
                                          <a:xfrm>
                                            <a:off x="0" y="0"/>
                                            <a:ext cx="6120130" cy="2105660"/>
                                          </a:xfrm>
                                          <a:prstGeom prst="rect">
                                            <a:avLst/>
                                          </a:prstGeom>
                                        </pic:spPr>
                                      </pic:pic>
                                    </a:graphicData>
                                  </a:graphic>
                                </wp:inline>
                              </w:drawing>
                            </w:r>
                            <w:r>
                              <w:rPr>
                                <w:color w:val="auto"/>
                              </w:rPr>
                              <w:t xml:space="preserve">Fényképezés: az európai polgárok 1. panelje </w:t>
                              <w:tab/>
                              <w:t>Fényképezés: az európai polgárok 2. panelje</w:t>
                            </w:r>
                          </w:p>
                        </w:txbxContent>
                      </wps:txbx>
                      <wps:bodyPr lIns="0" rIns="0" tIns="0" bIns="0">
                        <a:noAutofit/>
                      </wps:bodyPr>
                    </wps:wsp>
                  </a:graphicData>
                </a:graphic>
              </wp:anchor>
            </w:drawing>
          </mc:Choice>
          <mc:Fallback>
            <w:pict>
              <v:rect id="shape_0" ID="Keretrendszer5" fillcolor="white" stroked="f" style="position:absolute;margin-left:37.55pt;margin-top:1871.55pt;width:481.85pt;height:165.75pt">
                <w10:wrap type="square"/>
                <v:fill o:detectmouseclick="t" type="solid" color2="black"/>
                <v:stroke color="#3465a4" joinstyle="round" endcap="flat"/>
                <v:textbox>
                  <w:txbxContent>
                    <w:p>
                      <w:pPr>
                        <w:pStyle w:val="P68B1DB1Lgende11"/>
                        <w:spacing w:before="120" w:after="120"/>
                        <w:jc w:val="left"/>
                        <w:rPr>
                          <w:color w:val="auto"/>
                        </w:rPr>
                      </w:pPr>
                      <w:r>
                        <w:rPr>
                          <w:color w:val="auto"/>
                        </w:rPr>
                        <w:drawing>
                          <wp:inline distT="0" distB="0" distL="0" distR="0">
                            <wp:extent cx="6120130" cy="2105660"/>
                            <wp:effectExtent l="0" t="0" r="0" b="0"/>
                            <wp:docPr id="23" name="Kép 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Kép 8" descr=""/>
                                    <pic:cNvPicPr>
                                      <a:picLocks noChangeAspect="1" noChangeArrowheads="1"/>
                                    </pic:cNvPicPr>
                                  </pic:nvPicPr>
                                  <pic:blipFill>
                                    <a:blip r:embed="rId37"/>
                                    <a:stretch>
                                      <a:fillRect/>
                                    </a:stretch>
                                  </pic:blipFill>
                                  <pic:spPr bwMode="auto">
                                    <a:xfrm>
                                      <a:off x="0" y="0"/>
                                      <a:ext cx="6120130" cy="2105660"/>
                                    </a:xfrm>
                                    <a:prstGeom prst="rect">
                                      <a:avLst/>
                                    </a:prstGeom>
                                  </pic:spPr>
                                </pic:pic>
                              </a:graphicData>
                            </a:graphic>
                          </wp:inline>
                        </w:drawing>
                      </w:r>
                      <w:r>
                        <w:rPr>
                          <w:color w:val="auto"/>
                        </w:rPr>
                        <w:t xml:space="preserve">Fényképezés: az európai polgárok 1. panelje </w:t>
                        <w:tab/>
                        <w:t>Fényképezés: az európai polgárok 2. panelje</w:t>
                      </w:r>
                    </w:p>
                  </w:txbxContent>
                </v:textbox>
              </v:rect>
            </w:pict>
          </mc:Fallback>
        </mc:AlternateContent>
      </w:r>
      <w:r>
        <w:rPr/>
        <w:t>A vitacsoport megvitatta Európa jövőjét is az ifjúság, a sport, a kultúra és az oktatás területén. Guy Verhofstadt társelnök üdvözölte a panelen részt vevő polgárokat. Az első ülés a munka öt ágának jóváhagyásával zárult: „Munka Európában”, „Gazdaság a jövőért”, „Méltányos társadalom”, „Tanulás Európában” és „Etikai és biztonságos digitális átalakulás”.</w:t>
      </w:r>
    </w:p>
    <w:p>
      <w:pPr>
        <w:pStyle w:val="Corpsdetexte"/>
        <w:rPr/>
      </w:pPr>
      <w:r>
        <w:rPr/>
        <w:t>2021. november 5. és 7. között az 1. testület második alkalommal, ezúttal virtuális formában ülésezett, és folytatta az első ülés tanácskozásait. A második ülés során a panellisták „iránymutatásokat” határoztak meg, amelyek konkrét ajánlásokat fogalmaznak meg (harmadik ülésükön) az első ülésen azonosított öt tengely mindegyikére. Az 1. panelben részt vevő polgárok összesen 142 iránymutató csoportot hoztak létre.</w:t>
      </w:r>
    </w:p>
    <w:p>
      <w:pPr>
        <w:pStyle w:val="Corpsdetexte"/>
        <w:rPr/>
      </w:pPr>
      <w:r>
        <w:rPr/>
        <w:t>2022. február 25. és 27. között az 1. testületben részt vevő polgárok harmadszor találkoztak, folytatva az 1. és 2. ülésen folytatott tanácskozásokat. Erre az utolsó ülésre a Nemzetközi és Európai Ügyek Intézete (IIEA) adott otthont a dublini kastélyban az 1. panel résztvevőinek, akik lehetőséget kaptak az online részvételre.</w:t>
      </w:r>
    </w:p>
    <w:p>
      <w:pPr>
        <w:pStyle w:val="Corpsdetexte"/>
        <w:rPr/>
      </w:pPr>
      <w:r>
        <w:rPr/>
        <w:t>a 2. ülésen a munkájuk alapjaként kidolgozott iránymutatás alapján a polgárok 48 végleges ajánlást dolgoztak ki és hagytak jóvá.</w:t>
      </w:r>
    </w:p>
    <w:p>
      <w:pPr>
        <w:pStyle w:val="Titre4"/>
        <w:numPr>
          <w:ilvl w:val="3"/>
          <w:numId w:val="2"/>
        </w:numPr>
        <w:rPr/>
      </w:pPr>
      <w:bookmarkStart w:id="17" w:name="__RefHeading___Toc298208_1346298689"/>
      <w:bookmarkEnd w:id="17"/>
      <w:r>
        <w:rPr/>
        <w:t xml:space="preserve">Panel 2 </w:t>
        <w:br/>
        <w:t>Az európai demokrácia; értékek és jogok, jogállamiság, biztonság</w:t>
      </w:r>
    </w:p>
    <w:p>
      <w:pPr>
        <w:pStyle w:val="Corpsdetexte"/>
        <w:rPr/>
      </w:pPr>
      <w:r>
        <w:rPr/>
        <w:t>Az európai demokráciával foglalkozó vitafórum 1. ülése; értékek és jogok, jogállamiság, biztonság” című rendezvényre szeptember 24. és 26. között került sor Strasbourgban. A testület a demokráciával kapcsolatos kérdésekre összpontosított, így például a választásokra, a választási időszakokon kívüli részvételre, a polgárok és választott képviselőik közötti érzékelt távolságra, a médiaszabadságra és a félretájékoztatásra. Foglalkozott továbbá az alapvető jogokkal és értékekkel, a jogállamisággal és a megkülönböztetés valamennyi formája elleni küzdelemmel kapcsolatos kérdésekkel is. Ugyanakkor az EU belső biztonságára összpontosított, például az európaiak terrorcselekményekkel és egyéb bűncselekményekkel szembeni védelmére. A felszólalókat Gašper Dovžan társelnök üdvözli.</w:t>
      </w:r>
    </w:p>
    <w:p>
      <w:pPr>
        <w:pStyle w:val="Corpsdetexte"/>
        <w:rPr/>
      </w:pPr>
      <w:r>
        <w:rPr/>
        <w:t>Az első ülés a következő öt munkaterület jóváhagyásával zárult: „A jogok tiszteletben tartása és a megkülönböztetésmentesség biztosítása”, „A demokrácia és a jogállamiság védelme”, „Az EU reformja”, „Az európai identitás kiépítése” és „A polgárok részvételének erősítése”.</w:t>
      </w:r>
    </w:p>
    <w:p>
      <w:pPr>
        <w:pStyle w:val="Corpsdetexte"/>
        <w:rPr/>
      </w:pPr>
      <w:r>
        <w:rPr/>
        <w:t>2021. november 12. és 14. között a 2. testület második alkalommal ülésezett virtuális formában, és folytatta az első ülés tanácskozásait. A második ülés során a panellisták „iránymutatásokat” határoztak meg, amelyek konkrét ajánlásokat fogalmaznak meg (harmadik ülésükön) az első ülésen azonosított öt tengely mindegyikére. A 2. panelben részt vevő polgárok összesen 124 iránymutató csoportot hoztak létre.</w:t>
      </w:r>
    </w:p>
    <w:p>
      <w:pPr>
        <w:pStyle w:val="Corpsdetexte"/>
        <w:rPr/>
      </w:pPr>
      <w:r>
        <w:rPr/>
        <w:t>2021. december 10. és 12. között a 2. testületben részt vevő polgárok találkoztak a firenzei Európai Egyetemi Intézetben szervezett utolsó ülésükön, ahol lehetőség nyílt online részvételre. A 2. ülésen a munkájuk alapjaként kidolgozott iránymutatás alapján a polgárok 39 végső ajánlást dolgoztak ki és hagytak jóvá.</w:t>
      </w:r>
    </w:p>
    <w:p>
      <w:pPr>
        <w:pStyle w:val="Titre4"/>
        <w:numPr>
          <w:ilvl w:val="3"/>
          <w:numId w:val="2"/>
        </w:numPr>
        <w:rPr/>
      </w:pPr>
      <w:bookmarkStart w:id="18" w:name="__RefHeading___Toc298210_1346298689"/>
      <w:bookmarkEnd w:id="18"/>
      <w:r>
        <w:rPr/>
        <w:t>Panel: Az éghajlatváltozás és a környezet; egészség</w:t>
      </w:r>
    </w:p>
    <w:p>
      <w:pPr>
        <w:pStyle w:val="Corpsdetexte"/>
        <w:rPr/>
      </w:pPr>
      <w:r>
        <w:rPr/>
        <w:t>Az „Éghajlatváltozás és a környezet” munkacsoport; „Egészségügy” címmel tartotta első ülését október</w:t>
      </w:r>
      <w:r>
        <w:rPr>
          <w:vertAlign w:val="superscript"/>
        </w:rPr>
        <w:t>1.</w:t>
      </w:r>
      <w:r>
        <w:rPr/>
        <w:t xml:space="preserve"> és 3. között Strasbourgban. A panel középpontjában az éghajlatváltozás hatásai, a környezetvédelmi kérdések és az Európai Unió előtt álló új egészségügyi kihívások álltak. Kitért továbbá az olyan uniós célkitűzésekre és stratégiákra is, mint a mezőgazdaság, a közlekedés és a mobilitás, az energiaügy és a szén-dioxid-kibocsátás utáni társadalmakra való átállás, a kutatás, az egészségügyi rendszerek, az egészségügyi válságokra adott válaszok, a megelőzés és az egészséges életmód. Az első ülés a következő öt munkaterület jóváhagyásával zárult: „Jobb életmód”, „környezetünk és egészségünk védelme”, „Gazdaságunk és fogyasztásunk ororientálása”, „Fenntartható társadalom felé” és „Gondolkodj mindenkiért”. Az ülés zárójelentése a többnyelvű digitális platformon érhető el.</w:t>
      </w:r>
    </w:p>
    <w:p>
      <w:pPr>
        <w:pStyle w:val="Corpsdetexte"/>
        <w:rPr/>
      </w:pPr>
      <w:r>
        <w:rPr/>
        <w:t>2021. november 19. és 21. között a 3. testület második alkalommal, ezúttal virtuális formában ülésezett, hogy folytassa az első ülés tanácskozásait. A második ülés során a panellisták „iránymutatásokat” határoztak meg, amelyek konkrét ajánlásokat fogalmaznak meg (harmadik ülésükön) az első ülésen azonosított öt tengely mindegyikére. A 3. panelben részt vevő polgárok összesen 130 iránymutató csoportot hoztak létre.</w:t>
      </w:r>
    </w:p>
    <w:p>
      <w:pPr>
        <w:pStyle w:val="Corpsdetexte"/>
        <w:rPr/>
      </w:pPr>
      <w:r>
        <w:rPr/>
        <w:t>2022. január 7. és 9. között a 3. testület polgárai összegyűltek a natolini Európa Kollégiumban és a Kultúra és Tudomány Palotájában szervezett utolsó ülésre Varsó város támogatásával. Lehetőség volt az interneten való részvételre. A 2. ülésen a munkájuk alapjaként kidolgozott iránymutatás alapján a polgárok 51 végleges ajánlást dolgoztak ki és hagytak jóvá.</w:t>
      </w:r>
    </w:p>
    <w:p>
      <w:pPr>
        <w:pStyle w:val="Titre4"/>
        <w:numPr>
          <w:ilvl w:val="3"/>
          <w:numId w:val="2"/>
        </w:numPr>
        <w:rPr/>
      </w:pPr>
      <w:bookmarkStart w:id="19" w:name="__RefHeading___Toc298212_1346298689"/>
      <w:bookmarkEnd w:id="19"/>
      <w:r>
        <w:rPr/>
        <w:t>Panel: Az EU a világban; migráció</w:t>
      </w:r>
    </w:p>
    <w:p>
      <w:pPr>
        <w:pStyle w:val="Corpsdetexte"/>
        <w:rPr/>
      </w:pPr>
      <w:r>
        <w:rPr/>
        <mc:AlternateContent>
          <mc:Choice Requires="wps">
            <w:drawing>
              <wp:anchor behindDoc="0" distT="0" distB="0" distL="0" distR="0" simplePos="0" locked="0" layoutInCell="1" allowOverlap="1" relativeHeight="25">
                <wp:simplePos x="0" y="0"/>
                <wp:positionH relativeFrom="column">
                  <wp:align>center</wp:align>
                </wp:positionH>
                <wp:positionV relativeFrom="paragraph">
                  <wp:posOffset>635</wp:posOffset>
                </wp:positionV>
                <wp:extent cx="2971165" cy="2242185"/>
                <wp:effectExtent l="0" t="0" r="0" b="0"/>
                <wp:wrapSquare wrapText="largest"/>
                <wp:docPr id="24" name="Keretrendszer6"/>
                <a:graphic xmlns:a="http://schemas.openxmlformats.org/drawingml/2006/main">
                  <a:graphicData uri="http://schemas.microsoft.com/office/word/2010/wordprocessingShape">
                    <wps:wsp>
                      <wps:cNvSpPr/>
                      <wps:spPr>
                        <a:xfrm>
                          <a:off x="0" y="0"/>
                          <a:ext cx="2970360" cy="224172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rPr>
                            </w:pPr>
                            <w:r>
                              <w:rPr>
                                <w:color w:val="auto"/>
                              </w:rPr>
                              <w:drawing>
                                <wp:inline distT="0" distB="0" distL="0" distR="0">
                                  <wp:extent cx="2970530" cy="2033905"/>
                                  <wp:effectExtent l="0" t="0" r="0" b="0"/>
                                  <wp:docPr id="26" name="Image9 – Videó letöltés mp3-ban"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9 – Videó letöltés mp3-ban" descr=""/>
                                          <pic:cNvPicPr>
                                            <a:picLocks noChangeAspect="1" noChangeArrowheads="1"/>
                                          </pic:cNvPicPr>
                                        </pic:nvPicPr>
                                        <pic:blipFill>
                                          <a:blip r:embed="rId38"/>
                                          <a:stretch>
                                            <a:fillRect/>
                                          </a:stretch>
                                        </pic:blipFill>
                                        <pic:spPr bwMode="auto">
                                          <a:xfrm>
                                            <a:off x="0" y="0"/>
                                            <a:ext cx="2970530" cy="2033905"/>
                                          </a:xfrm>
                                          <a:prstGeom prst="rect">
                                            <a:avLst/>
                                          </a:prstGeom>
                                        </pic:spPr>
                                      </pic:pic>
                                    </a:graphicData>
                                  </a:graphic>
                                </wp:inline>
                              </w:drawing>
                            </w:r>
                            <w:r>
                              <w:rPr>
                                <w:color w:val="auto"/>
                              </w:rPr>
                              <w:t>Fényképezés: az európai polgárok 3. panelje</w:t>
                            </w:r>
                          </w:p>
                        </w:txbxContent>
                      </wps:txbx>
                      <wps:bodyPr lIns="0" rIns="0" tIns="0" bIns="0">
                        <a:noAutofit/>
                      </wps:bodyPr>
                    </wps:wsp>
                  </a:graphicData>
                </a:graphic>
              </wp:anchor>
            </w:drawing>
          </mc:Choice>
          <mc:Fallback>
            <w:pict>
              <v:rect id="shape_0" ID="Keretrendszer6" fillcolor="white" stroked="f" style="position:absolute;margin-left:0pt;margin-top:0.05pt;width:233.85pt;height:176.45pt;mso-position-horizontal:center">
                <w10:wrap type="square"/>
                <v:fill o:detectmouseclick="t" type="solid" color2="black"/>
                <v:stroke color="#3465a4" joinstyle="round" endcap="flat"/>
                <v:textbox>
                  <w:txbxContent>
                    <w:p>
                      <w:pPr>
                        <w:pStyle w:val="P68B1DB1Lgende11"/>
                        <w:spacing w:before="120" w:after="120"/>
                        <w:rPr>
                          <w:color w:val="auto"/>
                        </w:rPr>
                      </w:pPr>
                      <w:r>
                        <w:rPr>
                          <w:color w:val="auto"/>
                        </w:rPr>
                        <w:drawing>
                          <wp:inline distT="0" distB="0" distL="0" distR="0">
                            <wp:extent cx="2970530" cy="2033905"/>
                            <wp:effectExtent l="0" t="0" r="0" b="0"/>
                            <wp:docPr id="27" name="Image9 – Videó letöltés mp3-ban"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9 – Videó letöltés mp3-ban" descr=""/>
                                    <pic:cNvPicPr>
                                      <a:picLocks noChangeAspect="1" noChangeArrowheads="1"/>
                                    </pic:cNvPicPr>
                                  </pic:nvPicPr>
                                  <pic:blipFill>
                                    <a:blip r:embed="rId38"/>
                                    <a:stretch>
                                      <a:fillRect/>
                                    </a:stretch>
                                  </pic:blipFill>
                                  <pic:spPr bwMode="auto">
                                    <a:xfrm>
                                      <a:off x="0" y="0"/>
                                      <a:ext cx="2970530" cy="2033905"/>
                                    </a:xfrm>
                                    <a:prstGeom prst="rect">
                                      <a:avLst/>
                                    </a:prstGeom>
                                  </pic:spPr>
                                </pic:pic>
                              </a:graphicData>
                            </a:graphic>
                          </wp:inline>
                        </w:drawing>
                      </w:r>
                      <w:r>
                        <w:rPr>
                          <w:color w:val="auto"/>
                        </w:rPr>
                        <w:t>Fényképezés: az európai polgárok 3. panelje</w:t>
                      </w:r>
                    </w:p>
                  </w:txbxContent>
                </v:textbox>
              </v:rect>
            </w:pict>
          </mc:Fallback>
        </mc:AlternateContent>
      </w:r>
    </w:p>
    <w:p>
      <w:pPr>
        <w:pStyle w:val="Corpsdetexte"/>
        <w:rPr/>
      </w:pPr>
      <w:r>
        <w:rPr/>
        <w:t>„</w:t>
      </w:r>
      <w:r>
        <w:rPr/>
        <w:t>Az EU a világban” című negyedik vitafórum; migráció” címmel tartott első alkalommal október 15. és 17. között Strasbourgban, amelynek során a résztvevők különösen az EU nemzetközi színtéren betöltött szerepét vitatták meg.</w:t>
      </w:r>
    </w:p>
    <w:p>
      <w:pPr>
        <w:pStyle w:val="Corpsdetexte"/>
        <w:rPr/>
      </w:pPr>
      <w:r>
        <mc:AlternateContent>
          <mc:Choice Requires="wps">
            <w:drawing>
              <wp:anchor behindDoc="0" distT="0" distB="0" distL="0" distR="0" simplePos="0" locked="0" layoutInCell="1" allowOverlap="1" relativeHeight="12">
                <wp:simplePos x="0" y="0"/>
                <wp:positionH relativeFrom="column">
                  <wp:align>center</wp:align>
                </wp:positionH>
                <wp:positionV relativeFrom="paragraph">
                  <wp:posOffset>635</wp:posOffset>
                </wp:positionV>
                <wp:extent cx="2570480" cy="2101215"/>
                <wp:effectExtent l="0" t="0" r="0" b="0"/>
                <wp:wrapTopAndBottom/>
                <wp:docPr id="28" name="Keretrendszer7"/>
                <a:graphic xmlns:a="http://schemas.openxmlformats.org/drawingml/2006/main">
                  <a:graphicData uri="http://schemas.microsoft.com/office/word/2010/wordprocessingShape">
                    <wps:wsp>
                      <wps:cNvSpPr/>
                      <wps:spPr>
                        <a:xfrm>
                          <a:off x="0" y="0"/>
                          <a:ext cx="2569680" cy="210060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rPr>
                            </w:pPr>
                            <w:r>
                              <w:rPr>
                                <w:color w:val="auto"/>
                              </w:rPr>
                              <w:drawing>
                                <wp:inline distT="0" distB="0" distL="0" distR="0">
                                  <wp:extent cx="2970530" cy="2036445"/>
                                  <wp:effectExtent l="0" t="0" r="0" b="0"/>
                                  <wp:docPr id="30" name="10 kép"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10 kép" descr=""/>
                                          <pic:cNvPicPr>
                                            <a:picLocks noChangeAspect="1" noChangeArrowheads="1"/>
                                          </pic:cNvPicPr>
                                        </pic:nvPicPr>
                                        <pic:blipFill>
                                          <a:blip r:embed="rId39"/>
                                          <a:stretch>
                                            <a:fillRect/>
                                          </a:stretch>
                                        </pic:blipFill>
                                        <pic:spPr bwMode="auto">
                                          <a:xfrm>
                                            <a:off x="0" y="0"/>
                                            <a:ext cx="2970530" cy="2036445"/>
                                          </a:xfrm>
                                          <a:prstGeom prst="rect">
                                            <a:avLst/>
                                          </a:prstGeom>
                                        </pic:spPr>
                                      </pic:pic>
                                    </a:graphicData>
                                  </a:graphic>
                                </wp:inline>
                              </w:drawing>
                            </w:r>
                            <w:r>
                              <w:rPr>
                                <w:color w:val="auto"/>
                              </w:rPr>
                              <w:t>Fényképezés: az európai polgárok 4. panelje</w:t>
                              <w:br/>
                            </w:r>
                          </w:p>
                        </w:txbxContent>
                      </wps:txbx>
                      <wps:bodyPr lIns="0" rIns="0" tIns="0" bIns="0">
                        <a:noAutofit/>
                      </wps:bodyPr>
                    </wps:wsp>
                  </a:graphicData>
                </a:graphic>
              </wp:anchor>
            </w:drawing>
          </mc:Choice>
          <mc:Fallback>
            <w:pict>
              <v:rect id="shape_0" ID="Keretrendszer7" fillcolor="white" stroked="f" style="position:absolute;margin-left:15.75pt;margin-top:0.05pt;width:202.3pt;height:165.35pt;mso-position-horizontal:center">
                <w10:wrap type="square"/>
                <v:fill o:detectmouseclick="t" type="solid" color2="black"/>
                <v:stroke color="#3465a4" joinstyle="round" endcap="flat"/>
                <v:textbox>
                  <w:txbxContent>
                    <w:p>
                      <w:pPr>
                        <w:pStyle w:val="P68B1DB1Lgende11"/>
                        <w:spacing w:before="120" w:after="120"/>
                        <w:rPr>
                          <w:color w:val="auto"/>
                        </w:rPr>
                      </w:pPr>
                      <w:r>
                        <w:rPr>
                          <w:color w:val="auto"/>
                        </w:rPr>
                        <w:drawing>
                          <wp:inline distT="0" distB="0" distL="0" distR="0">
                            <wp:extent cx="2970530" cy="2036445"/>
                            <wp:effectExtent l="0" t="0" r="0" b="0"/>
                            <wp:docPr id="31" name="10 kép"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10 kép" descr=""/>
                                    <pic:cNvPicPr>
                                      <a:picLocks noChangeAspect="1" noChangeArrowheads="1"/>
                                    </pic:cNvPicPr>
                                  </pic:nvPicPr>
                                  <pic:blipFill>
                                    <a:blip r:embed="rId39"/>
                                    <a:stretch>
                                      <a:fillRect/>
                                    </a:stretch>
                                  </pic:blipFill>
                                  <pic:spPr bwMode="auto">
                                    <a:xfrm>
                                      <a:off x="0" y="0"/>
                                      <a:ext cx="2970530" cy="2036445"/>
                                    </a:xfrm>
                                    <a:prstGeom prst="rect">
                                      <a:avLst/>
                                    </a:prstGeom>
                                  </pic:spPr>
                                </pic:pic>
                              </a:graphicData>
                            </a:graphic>
                          </wp:inline>
                        </w:drawing>
                      </w:r>
                      <w:r>
                        <w:rPr>
                          <w:color w:val="auto"/>
                        </w:rPr>
                        <w:t>Fényképezés: az európai polgárok 4. panelje</w:t>
                        <w:br/>
                      </w:r>
                    </w:p>
                  </w:txbxContent>
                </v:textbox>
              </v:rect>
            </w:pict>
          </mc:Fallback>
        </mc:AlternateContent>
      </w:r>
      <w:r>
        <w:rPr/>
        <w:t>Megvitatták különösen a biztonságra, a védelemre, a kereskedelempolitikára, a humanitárius segítségnyújtásra és a fejlesztési együttműködésre, a külpolitikára, az uniós szomszédságpolitikára és bővítésre vonatkozó uniós célkitűzéseket és stratégiákat, valamint azt, hogy az EU hogyan kezelje a migrációt. Dubravka Šuica társelnök üdvözölte a polgárokat. Az első ülés az alábbi öt munkaterület jóváhagyásával zárult: „Önellátás és stabilitás”, „Az EU mint nemzetközi partner”, „Egy erős EU a békében élő világban”, „Migráció emberi szempontból” és „Felelősség és szolidaritás az egész EU-ban”. Az ülés zárójelentése a többnyelvű digitális platformon érhető el.</w:t>
      </w:r>
    </w:p>
    <w:p>
      <w:pPr>
        <w:pStyle w:val="Corpsdetexte"/>
        <w:rPr/>
      </w:pPr>
      <w:r>
        <w:rPr/>
        <w:t>2021. november 16. és 28. között a 4. testület megtartotta második online ülését az első ülésen végzett munka alapján. A második ülés során a panellisták „iránymutatásokat” határoztak meg, amelyek konkrét ajánlásokat fogalmaznak meg (harmadik ülésükön) az első ülésen azonosított öt tengely mindegyikére. A 4. panelben részt vevő polgárok összesen 95 iránymutató csoportot hoztak létre.</w:t>
      </w:r>
    </w:p>
    <w:p>
      <w:pPr>
        <w:pStyle w:val="Corpsdetexte"/>
        <w:rPr/>
      </w:pPr>
      <w:r>
        <w:rPr/>
        <w:t>2022. február 11. és 13. között a Maastrichti Egyetemmel és az Európai Közigazgatási Intézettel (IEAP) együttműködésben a Studio Europa Maastricht szervezésében a Maastrichti Kiállítási és Konferenciaközpontban (MECC) a 4. panelen vettek részt. Lehetőség volt az interneten való részvételre.</w:t>
      </w:r>
    </w:p>
    <w:p>
      <w:pPr>
        <w:pStyle w:val="Corpsdetexte"/>
        <w:rPr/>
      </w:pPr>
      <w:r>
        <w:rPr/>
        <w:t>a 2. ülésen a munkájuk alapjaként kidolgozott iránymutatás alapján a polgárok 40 végső ajánlást dolgoztak ki és hagytak jóvá.</w:t>
      </w:r>
    </w:p>
    <w:p>
      <w:pPr>
        <w:pStyle w:val="Normal"/>
        <w:rPr/>
      </w:pPr>
      <w:r>
        <w:rPr/>
      </w:r>
    </w:p>
    <w:p>
      <w:pPr>
        <w:pStyle w:val="Titre3"/>
        <w:numPr>
          <w:ilvl w:val="2"/>
          <w:numId w:val="2"/>
        </w:numPr>
        <w:rPr/>
      </w:pPr>
      <w:bookmarkStart w:id="20" w:name="__RefHeading___Toc298214_1346298689"/>
      <w:bookmarkEnd w:id="20"/>
      <w:r>
        <w:rPr/>
        <w:t>2.</w:t>
        <w:tab/>
        <w:t>Nemzeti polgári vitacsoportok</w:t>
      </w:r>
    </w:p>
    <w:p>
      <w:pPr>
        <w:pStyle w:val="Corpsdetexte"/>
        <w:rPr/>
      </w:pPr>
      <w:r>
        <w:rPr/>
        <w:t>Az együttes nyilatkozattal összhangban a konferencia plenáris ülése témák szerint csoportosítva megvitatta a nemzeti és európai polgári vitacsoportok ajánlásait. A nemzeti polgári vitacsoportok szervezését tervező tagállamok támogatása érdekében a társelnökök iránymutatásokat hagytak jóvá, és 2021. május 26-án továbbították a végrehajtó testületnek. Ugyanazokat az elveket követték, mint az európai polgári vitacsoportok, és egy OECD-jelentés alapján a jó tanácskozás elveit is magukban foglalták</w:t>
      </w:r>
      <w:r>
        <w:rPr>
          <w:rStyle w:val="Ancredenotedebasdepage"/>
          <w:rStyle w:val="Ancredenotedebasdepage"/>
        </w:rPr>
        <w:footnoteReference w:id="5"/>
      </w:r>
      <w:r>
        <w:rPr/>
        <w:t>.</w:t>
      </w:r>
    </w:p>
    <w:p>
      <w:pPr>
        <w:pStyle w:val="Corpsdetexte"/>
        <w:rPr/>
      </w:pPr>
      <w:r>
        <w:rPr/>
        <w:t>Hat tagállam – Belgium, Franciaország, Németország, Olaszország, Litvánia és Hollandia – nemzeti polgárokból álló munkacsoportokat szervezett, tiszteletben tartva az ezen iránymutatásokban meghatározott elveket. Az említett nemzeti polgári munkacsoportok ajánlásait a januári és márciusi plenáris üléseken, valamint a plenáris munkacsoportokban ismertették és vitatták meg, az európai polgári vitacsoportok ugyanezen témákra vonatkozó ajánlásaival párhuzamosan.</w:t>
      </w:r>
    </w:p>
    <w:p>
      <w:pPr>
        <w:pStyle w:val="Titre4"/>
        <w:numPr>
          <w:ilvl w:val="3"/>
          <w:numId w:val="2"/>
        </w:numPr>
        <w:rPr/>
      </w:pPr>
      <w:bookmarkStart w:id="21" w:name="__RefHeading___Toc298216_1346298689"/>
      <w:bookmarkEnd w:id="21"/>
      <w:r>
        <w:rPr/>
        <w:t>1)</w:t>
        <w:tab/>
        <w:t>BELGIUM</w:t>
      </w:r>
    </w:p>
    <w:p>
      <w:pPr>
        <w:pStyle w:val="Normal"/>
        <w:rPr/>
      </w:pPr>
      <w:r>
        <w:rPr/>
        <mc:AlternateContent>
          <mc:Choice Requires="wps">
            <w:drawing>
              <wp:anchor behindDoc="0" distT="0" distB="0" distL="0" distR="0" simplePos="0" locked="0" layoutInCell="1" allowOverlap="1" relativeHeight="16">
                <wp:simplePos x="0" y="0"/>
                <wp:positionH relativeFrom="column">
                  <wp:align>center</wp:align>
                </wp:positionH>
                <wp:positionV relativeFrom="paragraph">
                  <wp:posOffset>635</wp:posOffset>
                </wp:positionV>
                <wp:extent cx="2783205" cy="2115185"/>
                <wp:effectExtent l="0" t="0" r="0" b="0"/>
                <wp:wrapSquare wrapText="largest"/>
                <wp:docPr id="32" name="Keretrendszer8"/>
                <a:graphic xmlns:a="http://schemas.openxmlformats.org/drawingml/2006/main">
                  <a:graphicData uri="http://schemas.microsoft.com/office/word/2010/wordprocessingShape">
                    <wps:wsp>
                      <wps:cNvSpPr/>
                      <wps:spPr>
                        <a:xfrm>
                          <a:off x="0" y="0"/>
                          <a:ext cx="2782440" cy="211464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rPr>
                            </w:pPr>
                            <w:r>
                              <w:rPr>
                                <w:color w:val="auto"/>
                              </w:rPr>
                              <w:drawing>
                                <wp:inline distT="0" distB="0" distL="0" distR="0">
                                  <wp:extent cx="2970530" cy="2035810"/>
                                  <wp:effectExtent l="0" t="0" r="0" b="0"/>
                                  <wp:docPr id="34" name="Kép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Kép11" descr=""/>
                                          <pic:cNvPicPr>
                                            <a:picLocks noChangeAspect="1" noChangeArrowheads="1"/>
                                          </pic:cNvPicPr>
                                        </pic:nvPicPr>
                                        <pic:blipFill>
                                          <a:blip r:embed="rId40"/>
                                          <a:stretch>
                                            <a:fillRect/>
                                          </a:stretch>
                                        </pic:blipFill>
                                        <pic:spPr bwMode="auto">
                                          <a:xfrm>
                                            <a:off x="0" y="0"/>
                                            <a:ext cx="2970530" cy="2035810"/>
                                          </a:xfrm>
                                          <a:prstGeom prst="rect">
                                            <a:avLst/>
                                          </a:prstGeom>
                                        </pic:spPr>
                                      </pic:pic>
                                    </a:graphicData>
                                  </a:graphic>
                                </wp:inline>
                              </w:drawing>
                            </w:r>
                            <w:r>
                              <w:rPr>
                                <w:color w:val="auto"/>
                              </w:rPr>
                              <w:t>A kép forrása: Belga Polgári Testület</w:t>
                            </w:r>
                          </w:p>
                        </w:txbxContent>
                      </wps:txbx>
                      <wps:bodyPr lIns="0" rIns="0" tIns="0" bIns="0">
                        <a:noAutofit/>
                      </wps:bodyPr>
                    </wps:wsp>
                  </a:graphicData>
                </a:graphic>
              </wp:anchor>
            </w:drawing>
          </mc:Choice>
          <mc:Fallback>
            <w:pict>
              <v:rect id="shape_0" ID="Keretrendszer8" fillcolor="white" stroked="f" style="position:absolute;margin-left:7.4pt;margin-top:0.05pt;width:219.05pt;height:166.45pt;mso-position-horizontal:center">
                <w10:wrap type="square"/>
                <v:fill o:detectmouseclick="t" type="solid" color2="black"/>
                <v:stroke color="#3465a4" joinstyle="round" endcap="flat"/>
                <v:textbox>
                  <w:txbxContent>
                    <w:p>
                      <w:pPr>
                        <w:pStyle w:val="P68B1DB1Lgende11"/>
                        <w:spacing w:before="120" w:after="120"/>
                        <w:rPr>
                          <w:color w:val="auto"/>
                        </w:rPr>
                      </w:pPr>
                      <w:r>
                        <w:rPr>
                          <w:color w:val="auto"/>
                        </w:rPr>
                        <w:drawing>
                          <wp:inline distT="0" distB="0" distL="0" distR="0">
                            <wp:extent cx="2970530" cy="2035810"/>
                            <wp:effectExtent l="0" t="0" r="0" b="0"/>
                            <wp:docPr id="35" name="Kép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Kép11" descr=""/>
                                    <pic:cNvPicPr>
                                      <a:picLocks noChangeAspect="1" noChangeArrowheads="1"/>
                                    </pic:cNvPicPr>
                                  </pic:nvPicPr>
                                  <pic:blipFill>
                                    <a:blip r:embed="rId40"/>
                                    <a:stretch>
                                      <a:fillRect/>
                                    </a:stretch>
                                  </pic:blipFill>
                                  <pic:spPr bwMode="auto">
                                    <a:xfrm>
                                      <a:off x="0" y="0"/>
                                      <a:ext cx="2970530" cy="2035810"/>
                                    </a:xfrm>
                                    <a:prstGeom prst="rect">
                                      <a:avLst/>
                                    </a:prstGeom>
                                  </pic:spPr>
                                </pic:pic>
                              </a:graphicData>
                            </a:graphic>
                          </wp:inline>
                        </w:drawing>
                      </w:r>
                      <w:r>
                        <w:rPr>
                          <w:color w:val="auto"/>
                        </w:rPr>
                        <w:t>A kép forrása: Belga Polgári Testület</w:t>
                      </w:r>
                    </w:p>
                  </w:txbxContent>
                </v:textbox>
              </v:rect>
            </w:pict>
          </mc:Fallback>
        </mc:AlternateContent>
      </w:r>
    </w:p>
    <w:p>
      <w:pPr>
        <w:pStyle w:val="Corpsdetexte"/>
        <w:rPr/>
      </w:pPr>
      <w:r>
        <w:rPr/>
        <w:t>2021 októberében a polgári vitacsoport három hétvégén 50 véletlenszerűen kiválasztott, az általános népességet képviselő polgárt hívott össze, hogy megvitassák az európai demokrácia témáját és azt, hogy miként lehetne a polgárokat jobban bevonni az európai ügyekbe.</w:t>
      </w:r>
    </w:p>
    <w:p>
      <w:pPr>
        <w:pStyle w:val="Corpsdetexte"/>
        <w:rPr/>
      </w:pPr>
      <w:r>
        <w:rPr/>
        <w:t>A testületet Sophie Wilmès belga miniszterelnök-helyettes, valamint kül- és európai ügyekért felelős miniszter védnöksége alatt szervezték meg.</w:t>
      </w:r>
    </w:p>
    <w:p>
      <w:pPr>
        <w:pStyle w:val="Corpsdetexte"/>
        <w:rPr/>
      </w:pPr>
      <w:r>
        <w:rPr/>
        <w:t>A polgárok öt általuk választott témával kapcsolatban tettek ajánlásokat, nevezetesen:</w:t>
      </w:r>
    </w:p>
    <w:p>
      <w:pPr>
        <w:pStyle w:val="Alineanegatifpuce"/>
        <w:numPr>
          <w:ilvl w:val="0"/>
          <w:numId w:val="3"/>
        </w:numPr>
        <w:rPr/>
      </w:pPr>
      <w:r>
        <w:rPr/>
        <w:t xml:space="preserve"> </w:t>
      </w:r>
      <w:r>
        <w:rPr/>
        <w:t>az Európai Unióról szóló kommunikáció javítása,</w:t>
      </w:r>
    </w:p>
    <w:p>
      <w:pPr>
        <w:pStyle w:val="Alineanegatifpuce"/>
        <w:numPr>
          <w:ilvl w:val="0"/>
          <w:numId w:val="3"/>
        </w:numPr>
        <w:rPr/>
      </w:pPr>
      <w:r>
        <w:rPr/>
        <w:t xml:space="preserve"> </w:t>
      </w:r>
      <w:r>
        <w:rPr/>
        <w:t>az EU-val kapcsolatos félretájékoztatás azonosítása és leküzdése,</w:t>
      </w:r>
    </w:p>
    <w:p>
      <w:pPr>
        <w:pStyle w:val="Alineanegatifpuce"/>
        <w:numPr>
          <w:ilvl w:val="0"/>
          <w:numId w:val="3"/>
        </w:numPr>
        <w:rPr/>
      </w:pPr>
      <w:r>
        <w:rPr/>
        <w:t xml:space="preserve"> </w:t>
      </w:r>
      <w:r>
        <w:rPr/>
        <w:t>a polgári vitacsoportok mint a részvétel eszköze,</w:t>
      </w:r>
    </w:p>
    <w:p>
      <w:pPr>
        <w:pStyle w:val="Alineanegatifpuce"/>
        <w:numPr>
          <w:ilvl w:val="0"/>
          <w:numId w:val="3"/>
        </w:numPr>
        <w:rPr/>
      </w:pPr>
      <w:r>
        <w:rPr/>
        <w:t xml:space="preserve"> </w:t>
      </w:r>
      <w:r>
        <w:rPr/>
        <w:t>népszavazás az európai ügyekről,</w:t>
      </w:r>
    </w:p>
    <w:p>
      <w:pPr>
        <w:pStyle w:val="Alineanegatifpuce"/>
        <w:numPr>
          <w:ilvl w:val="0"/>
          <w:numId w:val="3"/>
        </w:numPr>
        <w:rPr/>
      </w:pPr>
      <w:r>
        <w:rPr/>
        <w:t xml:space="preserve"> </w:t>
      </w:r>
      <w:r>
        <w:rPr/>
        <w:t>a meglévő részvételi eszközök javítása az Európai Unióban.</w:t>
      </w:r>
    </w:p>
    <w:p>
      <w:pPr>
        <w:pStyle w:val="Corpsdetexte"/>
        <w:rPr/>
      </w:pPr>
      <w:r>
        <w:rPr/>
        <w:t>A belga polgári vitacsoport munkája 115 ajánlást eredményezett, amelyeket az 50 véletlenszerűen kiválasztott belga állampolgár dolgozott ki, vitatott meg és szavazott meg.</w:t>
      </w:r>
    </w:p>
    <w:p>
      <w:pPr>
        <w:pStyle w:val="Corpsdetexte"/>
        <w:rPr/>
      </w:pPr>
      <w:r>
        <w:rPr/>
      </w:r>
    </w:p>
    <w:p>
      <w:pPr>
        <w:pStyle w:val="Titre4"/>
        <w:numPr>
          <w:ilvl w:val="3"/>
          <w:numId w:val="2"/>
        </w:numPr>
        <w:rPr/>
      </w:pPr>
      <w:bookmarkStart w:id="22" w:name="__RefHeading___Toc298218_1346298689"/>
      <w:bookmarkEnd w:id="22"/>
      <w:r>
        <w:rPr/>
        <w:t>2)</w:t>
        <w:tab/>
        <w:t>NÉMETORSZÁG</w:t>
      </w:r>
    </w:p>
    <w:p>
      <w:pPr>
        <w:pStyle w:val="Corpsdetexte"/>
        <w:rPr/>
      </w:pPr>
      <w:r>
        <w:rPr/>
        <w:t>2022 januárjában a német külügyminisztérium nemzeti polgárokból álló testületet szervezett. Az online panelen 100 véletlenszerűen kiválasztott, a lakosságot képviselő polgár vett részt.</w:t>
      </w:r>
    </w:p>
    <w:p>
      <w:pPr>
        <w:pStyle w:val="Corpsdetexte"/>
        <w:rPr/>
      </w:pPr>
      <w:r>
        <w:rPr/>
        <w:t>2022. január 5-én és 8-én öt online munkaértekezletre került sor, amelyeken 20 résztvevő vett részt a következő témákban:</w:t>
      </w:r>
    </w:p>
    <w:p>
      <w:pPr>
        <w:pStyle w:val="Corpsdetexte"/>
        <w:rPr/>
      </w:pPr>
      <w:r>
        <w:rPr/>
        <w:t>Európa szerepe a világban, az éghajlat és a környezet,</w:t>
      </w:r>
    </w:p>
    <w:p>
      <w:pPr>
        <w:pStyle w:val="Corpsdetexte"/>
        <w:rPr/>
      </w:pPr>
      <w:r>
        <w:rPr/>
        <w:t>a jogállamiság és az értékek,</w:t>
      </w:r>
    </w:p>
    <w:p>
      <w:pPr>
        <w:pStyle w:val="Corpsdetexte"/>
        <w:rPr/>
      </w:pPr>
      <w:r>
        <w:rPr/>
        <w:t>erősebb gazdaság és társadalmi igazságosság.</w:t>
      </w:r>
    </w:p>
    <w:p>
      <w:pPr>
        <w:pStyle w:val="Corpsdetexte"/>
        <w:rPr/>
      </w:pPr>
      <w:r>
        <w:rPr/>
        <mc:AlternateContent>
          <mc:Choice Requires="wps">
            <w:drawing>
              <wp:anchor behindDoc="0" distT="0" distB="0" distL="0" distR="0" simplePos="0" locked="0" layoutInCell="1" allowOverlap="1" relativeHeight="2">
                <wp:simplePos x="0" y="0"/>
                <wp:positionH relativeFrom="column">
                  <wp:align>center</wp:align>
                </wp:positionH>
                <wp:positionV relativeFrom="paragraph">
                  <wp:posOffset>635</wp:posOffset>
                </wp:positionV>
                <wp:extent cx="2971165" cy="2132965"/>
                <wp:effectExtent l="0" t="0" r="0" b="0"/>
                <wp:wrapSquare wrapText="largest"/>
                <wp:docPr id="36" name="Keretrendszer15"/>
                <a:graphic xmlns:a="http://schemas.openxmlformats.org/drawingml/2006/main">
                  <a:graphicData uri="http://schemas.microsoft.com/office/word/2010/wordprocessingShape">
                    <wps:wsp>
                      <wps:cNvSpPr/>
                      <wps:spPr>
                        <a:xfrm>
                          <a:off x="0" y="0"/>
                          <a:ext cx="2970360" cy="213228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rPr>
                            </w:pPr>
                            <w:r>
                              <w:rPr>
                                <w:color w:val="auto"/>
                              </w:rPr>
                              <w:drawing>
                                <wp:inline distT="0" distB="0" distL="0" distR="0">
                                  <wp:extent cx="2970530" cy="1900555"/>
                                  <wp:effectExtent l="0" t="0" r="0" b="0"/>
                                  <wp:docPr id="38" name="Kép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Kép7" descr=""/>
                                          <pic:cNvPicPr>
                                            <a:picLocks noChangeAspect="1" noChangeArrowheads="1"/>
                                          </pic:cNvPicPr>
                                        </pic:nvPicPr>
                                        <pic:blipFill>
                                          <a:blip r:embed="rId41"/>
                                          <a:stretch>
                                            <a:fillRect/>
                                          </a:stretch>
                                        </pic:blipFill>
                                        <pic:spPr bwMode="auto">
                                          <a:xfrm>
                                            <a:off x="0" y="0"/>
                                            <a:ext cx="2970530" cy="1900555"/>
                                          </a:xfrm>
                                          <a:prstGeom prst="rect">
                                            <a:avLst/>
                                          </a:prstGeom>
                                        </pic:spPr>
                                      </pic:pic>
                                    </a:graphicData>
                                  </a:graphic>
                                </wp:inline>
                              </w:drawing>
                            </w:r>
                            <w:r>
                              <w:rPr>
                                <w:vanish/>
                                <w:color w:val="auto"/>
                              </w:rPr>
                              <w:br/>
                            </w:r>
                            <w:r>
                              <w:rPr>
                                <w:color w:val="auto"/>
                              </w:rPr>
                              <w:t>Fényképezés: Német Polgárok Testülete</w:t>
                            </w:r>
                          </w:p>
                        </w:txbxContent>
                      </wps:txbx>
                      <wps:bodyPr lIns="0" rIns="0" tIns="0" bIns="0">
                        <a:noAutofit/>
                      </wps:bodyPr>
                    </wps:wsp>
                  </a:graphicData>
                </a:graphic>
              </wp:anchor>
            </w:drawing>
          </mc:Choice>
          <mc:Fallback>
            <w:pict>
              <v:rect id="shape_0" ID="Keretrendszer15" fillcolor="white" stroked="f" style="position:absolute;margin-left:0pt;margin-top:0.05pt;width:233.85pt;height:167.85pt;mso-position-horizontal:center">
                <w10:wrap type="square"/>
                <v:fill o:detectmouseclick="t" type="solid" color2="black"/>
                <v:stroke color="#3465a4" joinstyle="round" endcap="flat"/>
                <v:textbox>
                  <w:txbxContent>
                    <w:p>
                      <w:pPr>
                        <w:pStyle w:val="P68B1DB1Lgende11"/>
                        <w:spacing w:before="120" w:after="120"/>
                        <w:rPr>
                          <w:color w:val="auto"/>
                        </w:rPr>
                      </w:pPr>
                      <w:r>
                        <w:rPr>
                          <w:color w:val="auto"/>
                        </w:rPr>
                        <w:drawing>
                          <wp:inline distT="0" distB="0" distL="0" distR="0">
                            <wp:extent cx="2970530" cy="1900555"/>
                            <wp:effectExtent l="0" t="0" r="0" b="0"/>
                            <wp:docPr id="39" name="Kép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Kép7" descr=""/>
                                    <pic:cNvPicPr>
                                      <a:picLocks noChangeAspect="1" noChangeArrowheads="1"/>
                                    </pic:cNvPicPr>
                                  </pic:nvPicPr>
                                  <pic:blipFill>
                                    <a:blip r:embed="rId41"/>
                                    <a:stretch>
                                      <a:fillRect/>
                                    </a:stretch>
                                  </pic:blipFill>
                                  <pic:spPr bwMode="auto">
                                    <a:xfrm>
                                      <a:off x="0" y="0"/>
                                      <a:ext cx="2970530" cy="1900555"/>
                                    </a:xfrm>
                                    <a:prstGeom prst="rect">
                                      <a:avLst/>
                                    </a:prstGeom>
                                  </pic:spPr>
                                </pic:pic>
                              </a:graphicData>
                            </a:graphic>
                          </wp:inline>
                        </w:drawing>
                      </w:r>
                      <w:r>
                        <w:rPr>
                          <w:vanish/>
                          <w:color w:val="auto"/>
                        </w:rPr>
                        <w:br/>
                      </w:r>
                      <w:r>
                        <w:rPr>
                          <w:color w:val="auto"/>
                        </w:rPr>
                        <w:t>Fényképezés: Német Polgárok Testülete</w:t>
                      </w:r>
                    </w:p>
                  </w:txbxContent>
                </v:textbox>
              </v:rect>
            </w:pict>
          </mc:Fallback>
        </mc:AlternateContent>
      </w:r>
    </w:p>
    <w:p>
      <w:pPr>
        <w:pStyle w:val="Corpsdetexte"/>
        <w:rPr/>
      </w:pPr>
      <w:r>
        <w:rPr/>
        <w:t>A 100 véletlenszerűen kiválasztott polgár 2022. január 15-én és 16-án találkozott, hogy megvitassák az e kérdésekkel kapcsolatos kihívásokat és a lehetséges megoldásokat, és elfogadták ajánlásaikat. A résztvevők a fenti témák mindegyikére két konkrét javaslatot dolgoztak ki.</w:t>
      </w:r>
    </w:p>
    <w:p>
      <w:pPr>
        <w:pStyle w:val="Corpsdetexte"/>
        <w:rPr/>
      </w:pPr>
      <w:r>
        <w:rPr/>
        <w:t>Az eredményeket január 16-án mutatták be egy végső online konferencián, amelyen Annalena Baerbock német külügyminiszter és Anna Lührmann európai és éghajlatügyi miniszterhelyettes vett részt.</w:t>
      </w:r>
    </w:p>
    <w:p>
      <w:pPr>
        <w:pStyle w:val="Corpsdetexte"/>
        <w:rPr/>
      </w:pPr>
      <w:r>
        <w:rPr/>
      </w:r>
    </w:p>
    <w:p>
      <w:pPr>
        <w:pStyle w:val="Titre4"/>
        <w:numPr>
          <w:ilvl w:val="3"/>
          <w:numId w:val="2"/>
        </w:numPr>
        <w:rPr/>
      </w:pPr>
      <w:bookmarkStart w:id="23" w:name="__RefHeading___Toc298220_1346298689"/>
      <w:bookmarkEnd w:id="23"/>
      <w:r>
        <w:rPr/>
        <w:t>3)</w:t>
        <w:tab/>
        <w:t>FRANCIAORSZÁG</w:t>
      </w:r>
    </w:p>
    <w:p>
      <w:pPr>
        <w:pStyle w:val="Corpsdetexte"/>
        <w:rPr/>
      </w:pPr>
      <w:r>
        <w:rPr/>
        <w:t>A francia Európa és Külügyminisztérium polgári vitafórumokat szervezett Franciaországban, a Parlamenttel fenntartott kapcsolatokért és az állampolgárok részvételéért felelős minisztérium támogatásával.</w:t>
      </w:r>
    </w:p>
    <w:p>
      <w:pPr>
        <w:pStyle w:val="Normal"/>
        <w:rPr/>
      </w:pPr>
      <w:r>
        <w:rPr/>
        <mc:AlternateContent>
          <mc:Choice Requires="wps">
            <w:drawing>
              <wp:anchor behindDoc="0" distT="0" distB="0" distL="0" distR="0" simplePos="0" locked="0" layoutInCell="1" allowOverlap="1" relativeHeight="21">
                <wp:simplePos x="0" y="0"/>
                <wp:positionH relativeFrom="column">
                  <wp:align>center</wp:align>
                </wp:positionH>
                <wp:positionV relativeFrom="paragraph">
                  <wp:posOffset>635</wp:posOffset>
                </wp:positionV>
                <wp:extent cx="2971165" cy="2244090"/>
                <wp:effectExtent l="0" t="0" r="0" b="0"/>
                <wp:wrapSquare wrapText="largest"/>
                <wp:docPr id="40" name="Keretrendszer9"/>
                <a:graphic xmlns:a="http://schemas.openxmlformats.org/drawingml/2006/main">
                  <a:graphicData uri="http://schemas.microsoft.com/office/word/2010/wordprocessingShape">
                    <wps:wsp>
                      <wps:cNvSpPr/>
                      <wps:spPr>
                        <a:xfrm>
                          <a:off x="0" y="0"/>
                          <a:ext cx="2970360" cy="224352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rPr>
                            </w:pPr>
                            <w:r>
                              <w:rPr>
                                <w:color w:val="auto"/>
                              </w:rPr>
                              <w:drawing>
                                <wp:inline distT="0" distB="0" distL="0" distR="0">
                                  <wp:extent cx="2970530" cy="2035810"/>
                                  <wp:effectExtent l="0" t="0" r="0" b="0"/>
                                  <wp:docPr id="42" name="Image12 – Videó letöltés mp3-ban"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12 – Videó letöltés mp3-ban" descr=""/>
                                          <pic:cNvPicPr>
                                            <a:picLocks noChangeAspect="1" noChangeArrowheads="1"/>
                                          </pic:cNvPicPr>
                                        </pic:nvPicPr>
                                        <pic:blipFill>
                                          <a:blip r:embed="rId42"/>
                                          <a:stretch>
                                            <a:fillRect/>
                                          </a:stretch>
                                        </pic:blipFill>
                                        <pic:spPr bwMode="auto">
                                          <a:xfrm>
                                            <a:off x="0" y="0"/>
                                            <a:ext cx="2970530" cy="2035810"/>
                                          </a:xfrm>
                                          <a:prstGeom prst="rect">
                                            <a:avLst/>
                                          </a:prstGeom>
                                        </pic:spPr>
                                      </pic:pic>
                                    </a:graphicData>
                                  </a:graphic>
                                </wp:inline>
                              </w:drawing>
                            </w:r>
                            <w:r>
                              <w:rPr>
                                <w:color w:val="auto"/>
                              </w:rPr>
                              <w:t>Fényképezés: francia Polgárok Testülete</w:t>
                            </w:r>
                          </w:p>
                        </w:txbxContent>
                      </wps:txbx>
                      <wps:bodyPr lIns="0" rIns="0" tIns="0" bIns="0">
                        <a:noAutofit/>
                      </wps:bodyPr>
                    </wps:wsp>
                  </a:graphicData>
                </a:graphic>
              </wp:anchor>
            </w:drawing>
          </mc:Choice>
          <mc:Fallback>
            <w:pict>
              <v:rect id="shape_0" ID="Keretrendszer9" fillcolor="white" stroked="f" style="position:absolute;margin-left:0pt;margin-top:0.05pt;width:233.85pt;height:176.6pt;mso-position-horizontal:center">
                <w10:wrap type="square"/>
                <v:fill o:detectmouseclick="t" type="solid" color2="black"/>
                <v:stroke color="#3465a4" joinstyle="round" endcap="flat"/>
                <v:textbox>
                  <w:txbxContent>
                    <w:p>
                      <w:pPr>
                        <w:pStyle w:val="P68B1DB1Lgende11"/>
                        <w:spacing w:before="120" w:after="120"/>
                        <w:rPr>
                          <w:color w:val="auto"/>
                        </w:rPr>
                      </w:pPr>
                      <w:r>
                        <w:rPr>
                          <w:color w:val="auto"/>
                        </w:rPr>
                        <w:drawing>
                          <wp:inline distT="0" distB="0" distL="0" distR="0">
                            <wp:extent cx="2970530" cy="2035810"/>
                            <wp:effectExtent l="0" t="0" r="0" b="0"/>
                            <wp:docPr id="43" name="Image12 – Videó letöltés mp3-ban"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12 – Videó letöltés mp3-ban" descr=""/>
                                    <pic:cNvPicPr>
                                      <a:picLocks noChangeAspect="1" noChangeArrowheads="1"/>
                                    </pic:cNvPicPr>
                                  </pic:nvPicPr>
                                  <pic:blipFill>
                                    <a:blip r:embed="rId42"/>
                                    <a:stretch>
                                      <a:fillRect/>
                                    </a:stretch>
                                  </pic:blipFill>
                                  <pic:spPr bwMode="auto">
                                    <a:xfrm>
                                      <a:off x="0" y="0"/>
                                      <a:ext cx="2970530" cy="2035810"/>
                                    </a:xfrm>
                                    <a:prstGeom prst="rect">
                                      <a:avLst/>
                                    </a:prstGeom>
                                  </pic:spPr>
                                </pic:pic>
                              </a:graphicData>
                            </a:graphic>
                          </wp:inline>
                        </w:drawing>
                      </w:r>
                      <w:r>
                        <w:rPr>
                          <w:color w:val="auto"/>
                        </w:rPr>
                        <w:t>Fényképezés: francia Polgárok Testülete</w:t>
                      </w:r>
                    </w:p>
                  </w:txbxContent>
                </v:textbox>
              </v:rect>
            </w:pict>
          </mc:Fallback>
        </mc:AlternateContent>
      </w:r>
    </w:p>
    <w:p>
      <w:pPr>
        <w:pStyle w:val="Corpsdetexte"/>
        <w:rPr/>
      </w:pPr>
      <w:r>
        <w:rPr/>
        <w:t>2021. szeptemberben és október elején tizennyolc polgári vitafórumot szerveztek Franciaország, a nagyvárosok és a tengerentúl valamennyi régiójában. Mindegyik panelen 30–50 véletlenszerűen kiválasztott polgár vett részt, akik a régiók lakosságának sokféleségét képviselik. A vitacsoportokban összesen több mint 700 polgár vett részt. A regionális panelek munkája 101 törekvést tartalmazott, 515 módosítással és 1 301 konkrét javaslattal.</w:t>
      </w:r>
    </w:p>
    <w:p>
      <w:pPr>
        <w:pStyle w:val="Corpsdetexte"/>
        <w:rPr/>
      </w:pPr>
      <w:r>
        <mc:AlternateContent>
          <mc:Choice Requires="wps">
            <w:drawing>
              <wp:anchor behindDoc="0" distT="0" distB="0" distL="0" distR="0" simplePos="0" locked="0" layoutInCell="1" allowOverlap="1" relativeHeight="30">
                <wp:simplePos x="0" y="0"/>
                <wp:positionH relativeFrom="column">
                  <wp:posOffset>82550</wp:posOffset>
                </wp:positionH>
                <wp:positionV relativeFrom="paragraph">
                  <wp:posOffset>2325370</wp:posOffset>
                </wp:positionV>
                <wp:extent cx="2806700" cy="2136140"/>
                <wp:effectExtent l="0" t="0" r="0" b="0"/>
                <wp:wrapSquare wrapText="largest"/>
                <wp:docPr id="44" name="Keretrendszer10"/>
                <a:graphic xmlns:a="http://schemas.openxmlformats.org/drawingml/2006/main">
                  <a:graphicData uri="http://schemas.microsoft.com/office/word/2010/wordprocessingShape">
                    <wps:wsp>
                      <wps:cNvSpPr/>
                      <wps:spPr>
                        <a:xfrm>
                          <a:off x="0" y="0"/>
                          <a:ext cx="2806200" cy="213552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rPr>
                            </w:pPr>
                            <w:r>
                              <w:rPr>
                                <w:color w:val="auto"/>
                              </w:rPr>
                              <w:drawing>
                                <wp:inline distT="0" distB="0" distL="0" distR="0">
                                  <wp:extent cx="2970530" cy="2040890"/>
                                  <wp:effectExtent l="0" t="0" r="0" b="0"/>
                                  <wp:docPr id="46" name="Kép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Kép13" descr=""/>
                                          <pic:cNvPicPr>
                                            <a:picLocks noChangeAspect="1" noChangeArrowheads="1"/>
                                          </pic:cNvPicPr>
                                        </pic:nvPicPr>
                                        <pic:blipFill>
                                          <a:blip r:embed="rId43"/>
                                          <a:stretch>
                                            <a:fillRect/>
                                          </a:stretch>
                                        </pic:blipFill>
                                        <pic:spPr bwMode="auto">
                                          <a:xfrm>
                                            <a:off x="0" y="0"/>
                                            <a:ext cx="2970530" cy="2040890"/>
                                          </a:xfrm>
                                          <a:prstGeom prst="rect">
                                            <a:avLst/>
                                          </a:prstGeom>
                                        </pic:spPr>
                                      </pic:pic>
                                    </a:graphicData>
                                  </a:graphic>
                                </wp:inline>
                              </w:drawing>
                            </w:r>
                            <w:r>
                              <w:rPr>
                                <w:color w:val="auto"/>
                              </w:rPr>
                              <w:t>Fényképezés: Olasz Polgárok Testülete</w:t>
                            </w:r>
                          </w:p>
                        </w:txbxContent>
                      </wps:txbx>
                      <wps:bodyPr lIns="0" rIns="0" tIns="0" bIns="0">
                        <a:noAutofit/>
                      </wps:bodyPr>
                    </wps:wsp>
                  </a:graphicData>
                </a:graphic>
              </wp:anchor>
            </w:drawing>
          </mc:Choice>
          <mc:Fallback>
            <w:pict>
              <v:rect id="shape_0" ID="Keretrendszer10" fillcolor="white" stroked="f" style="position:absolute;margin-left:6.5pt;margin-top:183.1pt;width:220.9pt;height:168.1pt">
                <w10:wrap type="square"/>
                <v:fill o:detectmouseclick="t" type="solid" color2="black"/>
                <v:stroke color="#3465a4" joinstyle="round" endcap="flat"/>
                <v:textbox>
                  <w:txbxContent>
                    <w:p>
                      <w:pPr>
                        <w:pStyle w:val="P68B1DB1Lgende11"/>
                        <w:spacing w:before="120" w:after="120"/>
                        <w:rPr>
                          <w:color w:val="auto"/>
                        </w:rPr>
                      </w:pPr>
                      <w:r>
                        <w:rPr>
                          <w:color w:val="auto"/>
                        </w:rPr>
                        <w:drawing>
                          <wp:inline distT="0" distB="0" distL="0" distR="0">
                            <wp:extent cx="2970530" cy="2040890"/>
                            <wp:effectExtent l="0" t="0" r="0" b="0"/>
                            <wp:docPr id="47" name="Kép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Kép13" descr=""/>
                                    <pic:cNvPicPr>
                                      <a:picLocks noChangeAspect="1" noChangeArrowheads="1"/>
                                    </pic:cNvPicPr>
                                  </pic:nvPicPr>
                                  <pic:blipFill>
                                    <a:blip r:embed="rId43"/>
                                    <a:stretch>
                                      <a:fillRect/>
                                    </a:stretch>
                                  </pic:blipFill>
                                  <pic:spPr bwMode="auto">
                                    <a:xfrm>
                                      <a:off x="0" y="0"/>
                                      <a:ext cx="2970530" cy="2040890"/>
                                    </a:xfrm>
                                    <a:prstGeom prst="rect">
                                      <a:avLst/>
                                    </a:prstGeom>
                                  </pic:spPr>
                                </pic:pic>
                              </a:graphicData>
                            </a:graphic>
                          </wp:inline>
                        </w:drawing>
                      </w:r>
                      <w:r>
                        <w:rPr>
                          <w:color w:val="auto"/>
                        </w:rPr>
                        <w:t>Fényképezés: Olasz Polgárok Testülete</w:t>
                      </w:r>
                    </w:p>
                  </w:txbxContent>
                </v:textbox>
              </v:rect>
            </w:pict>
          </mc:Fallback>
        </mc:AlternateContent>
      </w:r>
      <w:r>
        <w:rPr/>
        <w:t>A testületeket képviselő 100 polgár 2021. október 16–17-én Párizsban ülésezett, hogy a nemzeti szintéziskonferencián kidolgozzák és elfogadják az ajánlásokat. E folyamat keretében összesen 14 kiemelt ajánlást azonosítottak. A konferencia kilenc témáját illetően az ajánlásokat benyújtották a francia kormánynak, köztük Clément Beaune államtitkárnak, és a francia kormány hozzájárulását képezték a konferenciához.</w:t>
      </w:r>
    </w:p>
    <w:p>
      <w:pPr>
        <w:pStyle w:val="Titre4"/>
        <w:numPr>
          <w:ilvl w:val="3"/>
          <w:numId w:val="2"/>
        </w:numPr>
        <w:rPr/>
      </w:pPr>
      <w:bookmarkStart w:id="24" w:name="__RefHeading___Toc298222_1346298689"/>
      <w:bookmarkEnd w:id="24"/>
      <w:r>
        <w:rPr/>
        <w:t>4)</w:t>
        <w:tab/>
        <w:t>OLASZORSZÁG</w:t>
      </w:r>
    </w:p>
    <w:p>
      <w:pPr>
        <w:pStyle w:val="Corpsdetexte"/>
        <w:rPr/>
      </w:pPr>
      <w:r>
        <w:rPr/>
        <w:t>2022 márciusában egy független harmadik fél szervezett polgári bizottságot a Miniszterek Tanácsa elnökségének Európai Politikák Olasz Főosztálya felügyelete alatt.</w:t>
      </w:r>
    </w:p>
    <w:p>
      <w:pPr>
        <w:pStyle w:val="Corpsdetexte"/>
        <w:rPr/>
      </w:pPr>
      <w:r>
        <w:rPr/>
      </w:r>
    </w:p>
    <w:p>
      <w:pPr>
        <w:pStyle w:val="Corpsdetexte"/>
        <w:rPr/>
      </w:pPr>
      <w:r>
        <w:rPr/>
        <w:t>Összesen 55 véletlenszerűen kiválasztott polgár vett részt, akik az olasz társadalmat és régióit képviselik. A résztvevőket véletlenszerűen választották ki, hogy biztosítsák a különböző nem, életkor, társadalmi származás, lakóhely és szakmai státusz jelenlétét.</w:t>
      </w:r>
    </w:p>
    <w:p>
      <w:pPr>
        <w:pStyle w:val="Corpsdetexte"/>
        <w:rPr/>
      </w:pPr>
      <w:r>
        <w:rPr/>
        <w:t>A polgárok 2022. március 11-én és 12-én online találkoztak, hogy megvitassák a konferencia két témáját:</w:t>
      </w:r>
    </w:p>
    <w:p>
      <w:pPr>
        <w:pStyle w:val="Alineanegatifpuce"/>
        <w:numPr>
          <w:ilvl w:val="0"/>
          <w:numId w:val="3"/>
        </w:numPr>
        <w:rPr/>
      </w:pPr>
      <w:r>
        <w:rPr/>
        <w:t xml:space="preserve"> „</w:t>
      </w:r>
      <w:r>
        <w:rPr/>
        <w:t>Erősebb gazdaság, társadalmi igazságosság és foglalkoztatás”, valamint</w:t>
      </w:r>
    </w:p>
    <w:p>
      <w:pPr>
        <w:pStyle w:val="Alineanegatifpuce"/>
        <w:numPr>
          <w:ilvl w:val="0"/>
          <w:numId w:val="3"/>
        </w:numPr>
        <w:rPr/>
      </w:pPr>
      <w:r>
        <w:rPr/>
        <w:t xml:space="preserve"> „</w:t>
      </w:r>
      <w:r>
        <w:rPr/>
        <w:t>Európa a világban”.</w:t>
      </w:r>
    </w:p>
    <w:p>
      <w:pPr>
        <w:pStyle w:val="Corpsdetexte"/>
        <w:rPr/>
      </w:pPr>
      <w:r>
        <w:rPr/>
        <w:t>2022. március 12-én a testület összesen 58 ajánlást fogadott el, köztük 33 ajánlást „Az erősebb gazdaság, a társadalmi igazságosság és a foglalkoztatás” és 25 ajánlást a „Globális Európa” címmel. Az utolsó napon a résztvevők elvégezték a munka első szakaszában tett ajánlások első tervezetének ellenőrzését és validálását.</w:t>
      </w:r>
    </w:p>
    <w:p>
      <w:pPr>
        <w:pStyle w:val="Corpsdetexte"/>
        <w:rPr/>
      </w:pPr>
      <w:r>
        <w:rPr/>
      </w:r>
    </w:p>
    <w:p>
      <w:pPr>
        <w:pStyle w:val="Titre4"/>
        <w:numPr>
          <w:ilvl w:val="3"/>
          <w:numId w:val="2"/>
        </w:numPr>
        <w:rPr/>
      </w:pPr>
      <w:bookmarkStart w:id="25" w:name="__RefHeading___Toc298224_1346298689"/>
      <w:bookmarkEnd w:id="25"/>
      <w:r>
        <w:rPr/>
        <w:t>5)</w:t>
        <w:tab/>
        <w:t>LITVÁNIA</w:t>
      </w:r>
    </w:p>
    <w:p>
      <w:pPr>
        <w:pStyle w:val="Corpsdetexte"/>
        <w:rPr/>
      </w:pPr>
      <w:r>
        <w:rPr/>
        <w:t>A Külügyminisztérium nevében egy független harmadik fél 2022 januárjában nemzeti polgári bizottságot szervezett.</w:t>
      </w:r>
    </w:p>
    <w:p>
      <w:pPr>
        <w:pStyle w:val="Corpsdetexte"/>
        <w:rPr/>
      </w:pPr>
      <w:r>
        <w:rPr/>
        <mc:AlternateContent>
          <mc:Choice Requires="wps">
            <w:drawing>
              <wp:anchor behindDoc="0" distT="0" distB="0" distL="0" distR="0" simplePos="0" locked="0" layoutInCell="1" allowOverlap="1" relativeHeight="22">
                <wp:simplePos x="0" y="0"/>
                <wp:positionH relativeFrom="column">
                  <wp:align>center</wp:align>
                </wp:positionH>
                <wp:positionV relativeFrom="paragraph">
                  <wp:posOffset>635</wp:posOffset>
                </wp:positionV>
                <wp:extent cx="2971165" cy="2247265"/>
                <wp:effectExtent l="0" t="0" r="0" b="0"/>
                <wp:wrapSquare wrapText="largest"/>
                <wp:docPr id="48" name="Keretrendszer11"/>
                <a:graphic xmlns:a="http://schemas.openxmlformats.org/drawingml/2006/main">
                  <a:graphicData uri="http://schemas.microsoft.com/office/word/2010/wordprocessingShape">
                    <wps:wsp>
                      <wps:cNvSpPr/>
                      <wps:spPr>
                        <a:xfrm>
                          <a:off x="0" y="0"/>
                          <a:ext cx="2970360" cy="224676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rPr>
                            </w:pPr>
                            <w:r>
                              <w:rPr>
                                <w:color w:val="auto"/>
                              </w:rPr>
                              <w:drawing>
                                <wp:inline distT="0" distB="0" distL="0" distR="0">
                                  <wp:extent cx="2970530" cy="2038985"/>
                                  <wp:effectExtent l="0" t="0" r="0" b="0"/>
                                  <wp:docPr id="50" name="Forrás: Image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Forrás: Image14" descr=""/>
                                          <pic:cNvPicPr>
                                            <a:picLocks noChangeAspect="1" noChangeArrowheads="1"/>
                                          </pic:cNvPicPr>
                                        </pic:nvPicPr>
                                        <pic:blipFill>
                                          <a:blip r:embed="rId44"/>
                                          <a:stretch>
                                            <a:fillRect/>
                                          </a:stretch>
                                        </pic:blipFill>
                                        <pic:spPr bwMode="auto">
                                          <a:xfrm>
                                            <a:off x="0" y="0"/>
                                            <a:ext cx="2970530" cy="2038985"/>
                                          </a:xfrm>
                                          <a:prstGeom prst="rect">
                                            <a:avLst/>
                                          </a:prstGeom>
                                        </pic:spPr>
                                      </pic:pic>
                                    </a:graphicData>
                                  </a:graphic>
                                </wp:inline>
                              </w:drawing>
                            </w:r>
                            <w:r>
                              <w:rPr>
                                <w:color w:val="auto"/>
                              </w:rPr>
                              <w:t>Fényképezés: Litván polgári vitacsoport</w:t>
                            </w:r>
                          </w:p>
                        </w:txbxContent>
                      </wps:txbx>
                      <wps:bodyPr lIns="0" rIns="0" tIns="0" bIns="0">
                        <a:noAutofit/>
                      </wps:bodyPr>
                    </wps:wsp>
                  </a:graphicData>
                </a:graphic>
              </wp:anchor>
            </w:drawing>
          </mc:Choice>
          <mc:Fallback>
            <w:pict>
              <v:rect id="shape_0" ID="Keretrendszer11" fillcolor="white" stroked="f" style="position:absolute;margin-left:0pt;margin-top:0.05pt;width:233.85pt;height:176.85pt;mso-position-horizontal:center">
                <w10:wrap type="square"/>
                <v:fill o:detectmouseclick="t" type="solid" color2="black"/>
                <v:stroke color="#3465a4" joinstyle="round" endcap="flat"/>
                <v:textbox>
                  <w:txbxContent>
                    <w:p>
                      <w:pPr>
                        <w:pStyle w:val="P68B1DB1Lgende11"/>
                        <w:spacing w:before="120" w:after="120"/>
                        <w:rPr>
                          <w:color w:val="auto"/>
                        </w:rPr>
                      </w:pPr>
                      <w:r>
                        <w:rPr>
                          <w:color w:val="auto"/>
                        </w:rPr>
                        <w:drawing>
                          <wp:inline distT="0" distB="0" distL="0" distR="0">
                            <wp:extent cx="2970530" cy="2038985"/>
                            <wp:effectExtent l="0" t="0" r="0" b="0"/>
                            <wp:docPr id="51" name="Forrás: Image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Forrás: Image14" descr=""/>
                                    <pic:cNvPicPr>
                                      <a:picLocks noChangeAspect="1" noChangeArrowheads="1"/>
                                    </pic:cNvPicPr>
                                  </pic:nvPicPr>
                                  <pic:blipFill>
                                    <a:blip r:embed="rId44"/>
                                    <a:stretch>
                                      <a:fillRect/>
                                    </a:stretch>
                                  </pic:blipFill>
                                  <pic:spPr bwMode="auto">
                                    <a:xfrm>
                                      <a:off x="0" y="0"/>
                                      <a:ext cx="2970530" cy="2038985"/>
                                    </a:xfrm>
                                    <a:prstGeom prst="rect">
                                      <a:avLst/>
                                    </a:prstGeom>
                                  </pic:spPr>
                                </pic:pic>
                              </a:graphicData>
                            </a:graphic>
                          </wp:inline>
                        </w:drawing>
                      </w:r>
                      <w:r>
                        <w:rPr>
                          <w:color w:val="auto"/>
                        </w:rPr>
                        <w:t>Fényképezés: Litván polgári vitacsoport</w:t>
                      </w:r>
                    </w:p>
                  </w:txbxContent>
                </v:textbox>
              </v:rect>
            </w:pict>
          </mc:Fallback>
        </mc:AlternateContent>
      </w:r>
    </w:p>
    <w:p>
      <w:pPr>
        <w:pStyle w:val="Corpsdetexte"/>
        <w:rPr/>
      </w:pPr>
      <w:r>
        <w:rPr/>
        <w:t>Összesen 25 véletlenszerűen kiválasztott 18–65 éves polgár vett részt, akik Litvánia különböző társadalmi-gazdasági csoportjait és régióit képviselik.</w:t>
      </w:r>
    </w:p>
    <w:p>
      <w:pPr>
        <w:pStyle w:val="Corpsdetexte"/>
        <w:rPr/>
      </w:pPr>
      <w:r>
        <w:rPr/>
        <w:t>2022. január 4-én online nyitóülést szerveztek, és a polgárok két témát vitattak meg:</w:t>
      </w:r>
    </w:p>
    <w:p>
      <w:pPr>
        <w:pStyle w:val="Alineanegatifpuce"/>
        <w:numPr>
          <w:ilvl w:val="0"/>
          <w:numId w:val="3"/>
        </w:numPr>
        <w:rPr/>
      </w:pPr>
      <w:r>
        <w:rPr/>
        <w:t xml:space="preserve"> </w:t>
      </w:r>
      <w:r>
        <w:rPr/>
        <w:t>az EU szerepe és hatásköre a külpolitikában;</w:t>
      </w:r>
    </w:p>
    <w:p>
      <w:pPr>
        <w:pStyle w:val="Alineanegatifpuce"/>
        <w:numPr>
          <w:ilvl w:val="0"/>
          <w:numId w:val="3"/>
        </w:numPr>
        <w:rPr/>
      </w:pPr>
      <w:r>
        <w:rPr/>
        <w:t xml:space="preserve"> </w:t>
      </w:r>
      <w:r>
        <w:rPr/>
        <w:t>az EU gazdasági szerepe.</w:t>
      </w:r>
    </w:p>
    <w:p>
      <w:pPr>
        <w:pStyle w:val="Normal"/>
        <w:rPr/>
      </w:pPr>
      <w:r>
        <w:rPr/>
      </w:r>
    </w:p>
    <w:p>
      <w:pPr>
        <w:pStyle w:val="Corpsdetexte"/>
        <w:rPr/>
      </w:pPr>
      <w:r>
        <w:rPr/>
        <w:t>2022. január 15-én a résztvevők személyesen találkoztak, hogy megfogalmazzák megbeszéléseik főbb következtetéseit. 2022. január 25-én egy virtuális ülésen 21 ajánlást fogadtak el, amelyek közül 10 az EU külpolitikában betöltött szerepére és hatásköreire, 11 pedig az EU gazdasági szerepére összpontosított.</w:t>
      </w:r>
    </w:p>
    <w:p>
      <w:pPr>
        <w:pStyle w:val="Corpsdetexte"/>
        <w:rPr/>
      </w:pPr>
      <w:r>
        <w:rPr/>
      </w:r>
    </w:p>
    <w:p>
      <w:pPr>
        <w:pStyle w:val="Titre4"/>
        <w:numPr>
          <w:ilvl w:val="3"/>
          <w:numId w:val="2"/>
        </w:numPr>
        <w:rPr/>
      </w:pPr>
      <w:bookmarkStart w:id="26" w:name="__RefHeading___Toc298226_1346298689"/>
      <w:bookmarkEnd w:id="26"/>
      <w:r>
        <w:rPr/>
        <w:t>6)</w:t>
        <w:tab/>
        <w:t>HOLLANDIA</w:t>
      </w:r>
    </w:p>
    <w:p>
      <w:pPr>
        <w:pStyle w:val="Corpsdetexte"/>
        <w:rPr/>
      </w:pPr>
      <w:r>
        <w:rPr/>
        <w:t>A polgári vitafórumot egy független harmadik fél szervezte, és szeptember</w:t>
      </w:r>
      <w:r>
        <w:rPr>
          <w:vertAlign w:val="superscript"/>
        </w:rPr>
        <w:t>1</w:t>
      </w:r>
      <w:r>
        <w:rPr/>
        <w:t xml:space="preserve"> -jén kezdődtek az „Európa Látogatásai” című párbeszédek. Több részre osztották őket.</w:t>
      </w:r>
    </w:p>
    <w:p>
      <w:pPr>
        <w:pStyle w:val="Corpsdetexte"/>
        <w:rPr/>
      </w:pPr>
      <w:r>
        <w:rPr/>
        <w:t>A 2021. szeptember</w:t>
      </w:r>
      <w:r>
        <w:rPr>
          <w:vertAlign w:val="superscript"/>
        </w:rPr>
        <w:t>1</w:t>
      </w:r>
      <w:r>
        <w:rPr/>
        <w:t xml:space="preserve"> -jén elindított online szekció tartalmazott egy questio nary-t</w:t>
      </w:r>
      <w:r>
        <w:drawing>
          <wp:anchor behindDoc="0" distT="0" distB="0" distL="0" distR="0" simplePos="0" locked="0" layoutInCell="1" allowOverlap="1" relativeHeight="26">
            <wp:simplePos x="0" y="0"/>
            <wp:positionH relativeFrom="column">
              <wp:posOffset>1356995</wp:posOffset>
            </wp:positionH>
            <wp:positionV relativeFrom="paragraph">
              <wp:posOffset>1277620</wp:posOffset>
            </wp:positionV>
            <wp:extent cx="3610610" cy="2474595"/>
            <wp:effectExtent l="0" t="0" r="0" b="0"/>
            <wp:wrapTopAndBottom/>
            <wp:docPr id="52" name="Kép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Kép16" descr=""/>
                    <pic:cNvPicPr>
                      <a:picLocks noChangeAspect="1" noChangeArrowheads="1"/>
                    </pic:cNvPicPr>
                  </pic:nvPicPr>
                  <pic:blipFill>
                    <a:blip r:embed="rId45"/>
                    <a:stretch>
                      <a:fillRect/>
                    </a:stretch>
                  </pic:blipFill>
                  <pic:spPr bwMode="auto">
                    <a:xfrm>
                      <a:off x="0" y="0"/>
                      <a:ext cx="3610610" cy="2474595"/>
                    </a:xfrm>
                    <a:prstGeom prst="rect">
                      <a:avLst/>
                    </a:prstGeom>
                  </pic:spPr>
                </pic:pic>
              </a:graphicData>
            </a:graphic>
          </wp:anchor>
        </w:drawing>
      </w:r>
      <w:r>
        <w:rPr/>
        <w:t>é</w:t>
      </w:r>
      <w:r>
        <w:rPr/>
        <w:t>s egy egyszerűsített kiválasztási eszközt, amely lehetővé teszi a polgárok számára, hogy kifejezzék preferenciáikat, kívánságaikat és ajánlásaikat a konferencia kilenc témájával kapcsolatban. A kérdőívet egy kiválasztott, 4000 polgárból álló reprezentatív és befogadó csoportnak osztották ki.</w:t>
      </w:r>
    </w:p>
    <w:p>
      <w:pPr>
        <w:pStyle w:val="Corpsdetexte"/>
        <w:rPr/>
      </w:pPr>
      <w:r>
        <w:rPr/>
      </w:r>
    </w:p>
    <w:p>
      <w:pPr>
        <w:pStyle w:val="Corpsdetexte"/>
        <w:rPr/>
      </w:pPr>
      <w:r>
        <w:rPr/>
        <w:t>2021 októberében és novemberében mélyreható vitákra került sor a polgárokkal online és offline, különösen a fiatalok és a nehezen elérhető célcsoportok elérése érdekében.</w:t>
      </w:r>
    </w:p>
    <w:p>
      <w:pPr>
        <w:pStyle w:val="Corpsdetexte"/>
        <w:rPr/>
      </w:pPr>
      <w:r>
        <w:rPr/>
        <w:t>Két jelentést tettek közzé „Európa jövőképe” címmel; vélemények, ötletek és ajánlások (Elze kijk op Europa; Meningen, ideeën en Aanbevelingen) és a konferencia kilenc témájával kapcsolatban a polgárok által tett 30 ajánlás összevonása.</w:t>
      </w:r>
    </w:p>
    <w:p>
      <w:pPr>
        <w:pStyle w:val="Corpsdetexte"/>
        <w:rPr/>
      </w:pPr>
      <w:r>
        <w:rPr/>
        <mc:AlternateContent>
          <mc:Choice Requires="wps">
            <w:drawing>
              <wp:anchor behindDoc="0" distT="0" distB="0" distL="0" distR="0" simplePos="0" locked="0" layoutInCell="1" allowOverlap="1" relativeHeight="67">
                <wp:simplePos x="0" y="0"/>
                <wp:positionH relativeFrom="column">
                  <wp:posOffset>25400</wp:posOffset>
                </wp:positionH>
                <wp:positionV relativeFrom="paragraph">
                  <wp:posOffset>591820</wp:posOffset>
                </wp:positionV>
                <wp:extent cx="2971165" cy="2225675"/>
                <wp:effectExtent l="0" t="0" r="0" b="0"/>
                <wp:wrapSquare wrapText="largest"/>
                <wp:docPr id="53" name="Keretrendszer12"/>
                <a:graphic xmlns:a="http://schemas.openxmlformats.org/drawingml/2006/main">
                  <a:graphicData uri="http://schemas.microsoft.com/office/word/2010/wordprocessingShape">
                    <wps:wsp>
                      <wps:cNvSpPr/>
                      <wps:spPr>
                        <a:xfrm>
                          <a:off x="0" y="0"/>
                          <a:ext cx="2970360" cy="222516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rPr>
                            </w:pPr>
                            <w:r>
                              <w:rPr>
                                <w:color w:val="auto"/>
                              </w:rPr>
                              <w:t>Holland Polgárok</w:t>
                            </w:r>
                            <w:r>
                              <w:rPr>
                                <w:color w:val="auto"/>
                              </w:rPr>
                              <w:drawing>
                                <wp:inline distT="0" distB="0" distL="0" distR="0">
                                  <wp:extent cx="2970530" cy="2017395"/>
                                  <wp:effectExtent l="0" t="0" r="0" b="0"/>
                                  <wp:docPr id="55" name="Kép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Kép15" descr=""/>
                                          <pic:cNvPicPr>
                                            <a:picLocks noChangeAspect="1" noChangeArrowheads="1"/>
                                          </pic:cNvPicPr>
                                        </pic:nvPicPr>
                                        <pic:blipFill>
                                          <a:blip r:embed="rId46"/>
                                          <a:stretch>
                                            <a:fillRect/>
                                          </a:stretch>
                                        </pic:blipFill>
                                        <pic:spPr bwMode="auto">
                                          <a:xfrm>
                                            <a:off x="0" y="0"/>
                                            <a:ext cx="2970530" cy="2017395"/>
                                          </a:xfrm>
                                          <a:prstGeom prst="rect">
                                            <a:avLst/>
                                          </a:prstGeom>
                                        </pic:spPr>
                                      </pic:pic>
                                    </a:graphicData>
                                  </a:graphic>
                                </wp:inline>
                              </w:drawing>
                            </w:r>
                            <w:r>
                              <w:rPr>
                                <w:color w:val="auto"/>
                              </w:rPr>
                              <w:t>Testülete</w:t>
                            </w:r>
                          </w:p>
                        </w:txbxContent>
                      </wps:txbx>
                      <wps:bodyPr lIns="0" rIns="0" tIns="0" bIns="0">
                        <a:noAutofit/>
                      </wps:bodyPr>
                    </wps:wsp>
                  </a:graphicData>
                </a:graphic>
              </wp:anchor>
            </w:drawing>
          </mc:Choice>
          <mc:Fallback>
            <w:pict>
              <v:rect id="shape_0" ID="Keretrendszer12" fillcolor="white" stroked="f" style="position:absolute;margin-left:2pt;margin-top:46.6pt;width:233.85pt;height:175.15pt">
                <w10:wrap type="square"/>
                <v:fill o:detectmouseclick="t" type="solid" color2="black"/>
                <v:stroke color="#3465a4" joinstyle="round" endcap="flat"/>
                <v:textbox>
                  <w:txbxContent>
                    <w:p>
                      <w:pPr>
                        <w:pStyle w:val="P68B1DB1Lgende11"/>
                        <w:spacing w:before="120" w:after="120"/>
                        <w:rPr>
                          <w:color w:val="auto"/>
                        </w:rPr>
                      </w:pPr>
                      <w:r>
                        <w:rPr>
                          <w:color w:val="auto"/>
                        </w:rPr>
                        <w:t>Holland Polgárok</w:t>
                      </w:r>
                      <w:r>
                        <w:rPr>
                          <w:color w:val="auto"/>
                        </w:rPr>
                        <w:drawing>
                          <wp:inline distT="0" distB="0" distL="0" distR="0">
                            <wp:extent cx="2970530" cy="2017395"/>
                            <wp:effectExtent l="0" t="0" r="0" b="0"/>
                            <wp:docPr id="56" name="Kép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Kép15" descr=""/>
                                    <pic:cNvPicPr>
                                      <a:picLocks noChangeAspect="1" noChangeArrowheads="1"/>
                                    </pic:cNvPicPr>
                                  </pic:nvPicPr>
                                  <pic:blipFill>
                                    <a:blip r:embed="rId46"/>
                                    <a:stretch>
                                      <a:fillRect/>
                                    </a:stretch>
                                  </pic:blipFill>
                                  <pic:spPr bwMode="auto">
                                    <a:xfrm>
                                      <a:off x="0" y="0"/>
                                      <a:ext cx="2970530" cy="2017395"/>
                                    </a:xfrm>
                                    <a:prstGeom prst="rect">
                                      <a:avLst/>
                                    </a:prstGeom>
                                  </pic:spPr>
                                </pic:pic>
                              </a:graphicData>
                            </a:graphic>
                          </wp:inline>
                        </w:drawing>
                      </w:r>
                      <w:r>
                        <w:rPr>
                          <w:color w:val="auto"/>
                        </w:rPr>
                        <w:t>Testülete</w:t>
                      </w:r>
                    </w:p>
                  </w:txbxContent>
                </v:textbox>
              </v:rect>
            </w:pict>
          </mc:Fallback>
        </mc:AlternateContent>
      </w:r>
    </w:p>
    <w:p>
      <w:pPr>
        <w:pStyle w:val="Normal"/>
        <w:rPr/>
      </w:pPr>
      <w:r>
        <w:rPr/>
      </w:r>
      <w:r>
        <w:br w:type="page"/>
      </w:r>
    </w:p>
    <w:p>
      <w:pPr>
        <w:pStyle w:val="Titre2"/>
        <w:numPr>
          <w:ilvl w:val="1"/>
          <w:numId w:val="2"/>
        </w:numPr>
        <w:rPr/>
      </w:pPr>
      <w:bookmarkStart w:id="27" w:name="__RefHeading___Toc298228_1346298689"/>
      <w:bookmarkEnd w:id="27"/>
      <w:r>
        <w:rPr/>
        <w:t>C.</w:t>
        <w:tab/>
        <w:t>A konferencia keretében szervezett rendezvények</w:t>
      </w:r>
    </w:p>
    <w:p>
      <w:pPr>
        <w:pStyle w:val="Titre3"/>
        <w:numPr>
          <w:ilvl w:val="2"/>
          <w:numId w:val="2"/>
        </w:numPr>
        <w:rPr/>
      </w:pPr>
      <w:bookmarkStart w:id="28" w:name="__RefHeading___Toc298230_1346298689"/>
      <w:bookmarkEnd w:id="28"/>
      <w:r>
        <w:rPr/>
        <w:t>1.</w:t>
        <w:tab/>
        <w:t>Nemzeti események</w:t>
      </w:r>
    </w:p>
    <w:p>
      <w:pPr>
        <w:pStyle w:val="Corpsdetexte"/>
        <w:rPr/>
      </w:pPr>
      <w:r>
        <w:rPr/>
        <w:t xml:space="preserve">A tagállamok rendezvények és kezdeményezések széles körével járultak hozzá a konferenciához. Az eseményeken több ezer uniós polgár vett részt. A többnyelvű digitális platform </w:t>
      </w:r>
      <w:hyperlink r:id="rId47">
        <w:r>
          <w:rPr>
            <w:rStyle w:val="LienInternet"/>
          </w:rPr>
          <w:t>külön fejezete</w:t>
        </w:r>
      </w:hyperlink>
      <w:r>
        <w:rPr/>
        <w:t xml:space="preserve"> áttekintést nyújt a tagállami hatóságok által szervezett vagy támogatott főbb tevékenységekről. Az eseményeket a 2021. október 23-i és 2022. március 25-i konferencia plenáris közgyűlésein ismertették a nemzeti rendezvények képviselői és/vagy a nemzeti polgári vitacsoportok, de a </w:t>
      </w:r>
      <w:hyperlink r:id="rId48">
        <w:r>
          <w:rPr>
            <w:rStyle w:val="LienInternet"/>
          </w:rPr>
          <w:t>platform jelentéseiben</w:t>
        </w:r>
      </w:hyperlink>
      <w:r>
        <w:rPr/>
        <w:t xml:space="preserve"> is hozzájárultak a konferenciához, ezáltal gazdagítva az európai szintű vitát.</w:t>
      </w:r>
    </w:p>
    <w:p>
      <w:pPr>
        <w:pStyle w:val="Corpsdetexte"/>
        <w:rPr/>
      </w:pPr>
      <w:r>
        <w:rPr/>
        <w:t xml:space="preserve"> </w:t>
      </w:r>
      <w:r>
        <w:rPr/>
        <w:t>E rendezvények és kezdeményezések fő célja az volt, hogy meghallgassák a polgárokat, és bevonják őket az Európai Unióról szóló vitákba. A befogadás és a polgárokkal folytatott párbeszéd szintén prioritás volt, és arra törekedtek, hogy bevonják azokat az embereket, akik általában nem vesznek részt az EU-val kapcsolatos vitákban.</w:t>
      </w:r>
    </w:p>
    <w:p>
      <w:pPr>
        <w:pStyle w:val="Corpsdetexte"/>
        <w:rPr/>
      </w:pPr>
      <w:r>
        <w:rPr/>
        <w:t>Különböző típusú rendezvényekre került sor, összekapcsolva a központosított és decentralizált megközelítéseket, többek között az alulról építkező kezdeményezések különböző támogatási formáival. A tagállamokban különböző intézmények és szereplők, köztük nemzeti, regionális és helyi hatóságok, civil társadalmi szervezetek, szociális partnerek, egyesületek és polgárok szerveztek tevékenységeket és rendezvényeket. Egyes esetekben nem kormányzati szervezetek, kulturális intézmények, agytrösztök, egyetemek és kutatóintézetek is aktívan részt vettek a konferencia rendezvényeinek szervezésében. E tevékenységek és események közül sokban különös hangsúlyt fektettek a fiatalabb generáció részvételére.</w:t>
      </w:r>
    </w:p>
    <w:p>
      <w:pPr>
        <w:pStyle w:val="Corpsdetexte"/>
        <w:rPr/>
      </w:pPr>
      <w:r>
        <w:rPr/>
        <w:drawing>
          <wp:anchor behindDoc="0" distT="0" distB="0" distL="0" distR="0" simplePos="0" locked="0" layoutInCell="1" allowOverlap="1" relativeHeight="68">
            <wp:simplePos x="0" y="0"/>
            <wp:positionH relativeFrom="column">
              <wp:posOffset>31750</wp:posOffset>
            </wp:positionH>
            <wp:positionV relativeFrom="paragraph">
              <wp:posOffset>123190</wp:posOffset>
            </wp:positionV>
            <wp:extent cx="2518410" cy="7244080"/>
            <wp:effectExtent l="0" t="0" r="0" b="0"/>
            <wp:wrapTopAndBottom/>
            <wp:docPr id="57" name="Kép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Kép17" descr=""/>
                    <pic:cNvPicPr>
                      <a:picLocks noChangeAspect="1" noChangeArrowheads="1"/>
                    </pic:cNvPicPr>
                  </pic:nvPicPr>
                  <pic:blipFill>
                    <a:blip r:embed="rId49"/>
                    <a:stretch>
                      <a:fillRect/>
                    </a:stretch>
                  </pic:blipFill>
                  <pic:spPr bwMode="auto">
                    <a:xfrm>
                      <a:off x="0" y="0"/>
                      <a:ext cx="2518410" cy="7244080"/>
                    </a:xfrm>
                    <a:prstGeom prst="rect">
                      <a:avLst/>
                    </a:prstGeom>
                  </pic:spPr>
                </pic:pic>
              </a:graphicData>
            </a:graphic>
          </wp:anchor>
        </w:drawing>
      </w:r>
      <w:r>
        <w:br w:type="page"/>
      </w:r>
    </w:p>
    <w:p>
      <w:pPr>
        <w:pStyle w:val="Titre4"/>
        <w:numPr>
          <w:ilvl w:val="3"/>
          <w:numId w:val="2"/>
        </w:numPr>
        <w:rPr/>
      </w:pPr>
      <w:bookmarkStart w:id="29" w:name="__RefHeading___Toc298232_1346298689"/>
      <w:bookmarkEnd w:id="29"/>
      <w:r>
        <w:rPr/>
        <w:t>A főbb tagállami események és kezdeményezések áttekintése:</w:t>
      </w:r>
    </w:p>
    <w:p>
      <w:pPr>
        <w:pStyle w:val="P68B1DB1Corpsdetexte12"/>
        <w:rPr>
          <w:b/>
          <w:b/>
          <w:i/>
          <w:i/>
          <w:u w:val="single"/>
        </w:rPr>
      </w:pPr>
      <w:r>
        <w:rPr/>
        <w:t>1 Belgium</w:t>
      </w:r>
    </w:p>
    <w:p>
      <w:pPr>
        <w:pStyle w:val="Corpsdetexte"/>
        <w:rPr/>
      </w:pPr>
      <w:r>
        <w:rPr/>
        <w:t>A szövetségi és regionális hatóságok több rendezvényt is szerveztek. Számos vitára került sor a polgárokkal, például az EU-ról a világban, valamint az éghajlatváltozásról és a környezetről. Strukturált párbeszédre került sor a polgárokkal az „Élet egy határ menti régióban” címmel, valamint „Az egészséges életmód és az éghajlatváltozás hatása az életminőségre” és „a fiatalok foglalkoztatásának akadályai” címmel.</w:t>
      </w:r>
    </w:p>
    <w:p>
      <w:pPr>
        <w:pStyle w:val="Corpsdetexte"/>
        <w:rPr/>
      </w:pPr>
      <w:r>
        <w:rPr/>
        <w:t>Emellett rendezvényt szerveztek a digitalizációról és a fenntartható gazdaságról, valamint vitasorozatot tartottak a fiatalok és a politikusok között az „Európa meghallgatja Önt” témában.</w:t>
      </w:r>
    </w:p>
    <w:p>
      <w:pPr>
        <w:pStyle w:val="P68B1DB1Corpsdetexte12"/>
        <w:rPr>
          <w:b/>
          <w:b/>
          <w:i/>
          <w:i/>
          <w:u w:val="single"/>
        </w:rPr>
      </w:pPr>
      <w:r>
        <w:rPr/>
        <w:t>2 Bulgária</w:t>
      </w:r>
    </w:p>
    <w:p>
      <w:pPr>
        <w:pStyle w:val="Corpsdetexte"/>
        <w:rPr/>
      </w:pPr>
      <w:r>
        <w:rPr/>
        <w:t>A bolgár gyakorlat „Hogyan hallható a polgárok hangja az Európa jövőjéről szóló konferencián?” címmel, a hatóságok és a polgárok képviselőinek részvételével tartott ünnepségen indult. A szervezett rendezvények részeként párbeszéd alakult ki a demográfiáról és a demokráciáról.</w:t>
      </w:r>
    </w:p>
    <w:p>
      <w:pPr>
        <w:pStyle w:val="Corpsdetexte"/>
        <w:rPr/>
      </w:pPr>
      <w:r>
        <w:rPr/>
        <w:t>A Europe Direct központok segítségével számos helyi rendezvényre került sor a nagyobb egyetemi városokban.</w:t>
      </w:r>
    </w:p>
    <w:p>
      <w:pPr>
        <w:pStyle w:val="P68B1DB1Corpsdetexte12"/>
        <w:rPr>
          <w:b/>
          <w:b/>
          <w:i/>
          <w:i/>
          <w:u w:val="single"/>
        </w:rPr>
      </w:pPr>
      <w:r>
        <w:rPr/>
        <w:t>3 Cseh Köztársaság</w:t>
      </w:r>
    </w:p>
    <w:p>
      <w:pPr>
        <w:pStyle w:val="Corpsdetexte"/>
        <w:rPr/>
      </w:pPr>
      <w:r>
        <w:rPr/>
        <w:t>A Cseh Köztársaság központi megbeszéléseket szervezett a nyilvánossággal, és tájékoztató rendezvényeket szervezett az érdekelt felek számára. Ezeket az eseményeket ifjúsági rendezvények és nemzetközi részvételű rendezvények egészítették ki. Különösen egy transznacionális rendezvényre került sor német és cseh állampolgárok részvételével. Országszerte számos regionális vitára került sor, valamint regionális szemináriumokra került sor középiskolások számára a „Decide on Europe” témában.</w:t>
      </w:r>
    </w:p>
    <w:p>
      <w:pPr>
        <w:pStyle w:val="Normal"/>
        <w:rPr/>
      </w:pPr>
      <w:r>
        <w:rPr/>
      </w:r>
    </w:p>
    <w:p>
      <w:pPr>
        <w:pStyle w:val="P68B1DB1Corpsdetexte12"/>
        <w:tabs>
          <w:tab w:val="left" w:pos="1391" w:leader="none"/>
        </w:tabs>
        <w:rPr>
          <w:b/>
          <w:b/>
          <w:i/>
          <w:i/>
          <w:u w:val="single"/>
        </w:rPr>
      </w:pPr>
      <w:r>
        <w:rPr/>
        <w:t>4 Dánia</w:t>
      </w:r>
    </w:p>
    <w:p>
      <w:pPr>
        <w:pStyle w:val="Corpsdetexte"/>
        <w:rPr/>
      </w:pPr>
      <w:r>
        <w:rPr/>
        <w:t>Széles körű és inkluzív nemzeti vitát szerveztek, amelyben a civil társadalom és más nem kormányzati szereplők központi szerepet játszottak. Különböző szervezetek, köztük a nem kormányzati szervezetek, a média, az ifjúsági szervezetek, a kulturális intézmények, az agytrösztök és a kutatóintézetek egy csoportja számára kijelölt közpénzkészletet biztosítottak, hogy támogassák a nem kormányzati szervezetek által létrehozott vitákat és kezdeményezéseket. Több mint 180 vitára került sor, amelyek mintegy fele kifejezetten a fiatalokat célozta meg. Emellett a kormány és a parlament számos hivatalos rendezvényt szervezett, például a polgárokkal folytatott konzultációkat és vitákat.</w:t>
      </w:r>
    </w:p>
    <w:p>
      <w:pPr>
        <w:pStyle w:val="P68B1DB1Corpsdetexte12"/>
        <w:rPr>
          <w:b/>
          <w:b/>
          <w:i/>
          <w:i/>
          <w:u w:val="single"/>
        </w:rPr>
      </w:pPr>
      <w:r>
        <w:rPr/>
        <w:t>5 Németország</w:t>
      </w:r>
    </w:p>
    <w:p>
      <w:pPr>
        <w:pStyle w:val="Corpsdetexte"/>
        <w:rPr/>
      </w:pPr>
      <w:r>
        <w:rPr/>
        <w:t>A németországi eseményeken részt vett a szövetségi kormány, a Bundestag, a szövetségi államok és a civil társadalom. A szövetségi kormány által szervezett eseményeken kívül Németország tizenhat szövetségi állama több mint 50 regionális rendezvényt szervezett, és mintegy 300-at a civil társadalom.</w:t>
      </w:r>
    </w:p>
    <w:p>
      <w:pPr>
        <w:pStyle w:val="Corpsdetexte"/>
        <w:rPr/>
      </w:pPr>
      <w:r>
        <w:rPr/>
        <w:t>A határokon átnyúló rendezvények és a diákokkal és fiatalokkal folytatott párbeszédek számos kezdeményezés központi elemét képezik, és a fiatalokat az Európa jövőjének alakítására irányuló viták élvonalába helyezik.</w:t>
      </w:r>
    </w:p>
    <w:p>
      <w:pPr>
        <w:pStyle w:val="P68B1DB1Corpsdetexte12"/>
        <w:rPr>
          <w:b/>
          <w:b/>
          <w:i/>
          <w:i/>
          <w:u w:val="single"/>
        </w:rPr>
      </w:pPr>
      <w:r>
        <w:rPr/>
        <w:t>6 Észtország</w:t>
      </w:r>
    </w:p>
    <w:p>
      <w:pPr>
        <w:pStyle w:val="Corpsdetexte"/>
        <w:rPr/>
      </w:pPr>
      <w:r>
        <w:rPr/>
        <w:t>Az állami kancellária különböző rendezvényeket, szemináriumokat és vitákat szervezett többek között az Európai Bizottság észtországi Képviseletével, a Külügyminisztériummal és más minisztériumokkal, valamint a civil társadalommal és az ifjúsági szervezetekkel együttműködésben. Különösen az éghajlatváltozáshoz, az energiapolitikához és általában a konferenciához kapcsolódó kulcsfontosságú kérdésekről folytattak megbeszélést a középiskolás diákok számára. Vitát kezdeményeztek az „észtdi diplomáciáról a klímacélok eléréséért” címmel is.</w:t>
      </w:r>
    </w:p>
    <w:p>
      <w:pPr>
        <w:pStyle w:val="P68B1DB1Corpsdetexte12"/>
        <w:rPr>
          <w:b/>
          <w:b/>
          <w:i/>
          <w:i/>
          <w:u w:val="single"/>
        </w:rPr>
      </w:pPr>
      <w:r>
        <w:rPr/>
        <w:t>7 Írország</w:t>
      </w:r>
    </w:p>
    <w:p>
      <w:pPr>
        <w:pStyle w:val="Corpsdetexte"/>
        <w:rPr/>
      </w:pPr>
      <w:r>
        <w:rPr/>
        <w:t>Az Írországban szervezett tevékenységek központi témája a befogadás és a párbeszéd volt az egész lakossággal, különösen a fiatalokkal.</w:t>
      </w:r>
    </w:p>
    <w:p>
      <w:pPr>
        <w:pStyle w:val="Corpsdetexte"/>
        <w:rPr/>
      </w:pPr>
      <w:r>
        <w:rPr/>
        <w:t>Az Írország Európai Mozgalommal (EMI) együttműködve 2021-ben és 2022-ben regionális és ágazati kötelezettségvállalási program indult. A regionális ülések első szakaszára júniusban és júliusban került sor virtuális konzultációk formájában. A regionális rendezvények második szakasza a 2022 eleji nyilvános találkozók formájában valósult meg. Július óta folyamatban van a kormány által vezetett események programja.</w:t>
      </w:r>
    </w:p>
    <w:p>
      <w:pPr>
        <w:pStyle w:val="P68B1DB1Corpsdetexte12"/>
        <w:rPr>
          <w:b/>
          <w:b/>
          <w:i/>
          <w:i/>
          <w:u w:val="single"/>
        </w:rPr>
      </w:pPr>
      <w:r>
        <w:rPr/>
        <w:t>8 Görögország</w:t>
      </w:r>
    </w:p>
    <w:p>
      <w:pPr>
        <w:pStyle w:val="Corpsdetexte"/>
        <w:rPr/>
      </w:pPr>
      <w:r>
        <w:rPr/>
        <w:t>A Külügyminisztérium feladata a nemzeti párbeszéd koordinálása volt. A központi és helyi kormányzati szerveket és a civil társadalmat határozottan ösztönözték arra, hogy megbeszéléseket és egyéb rendezvényeket szervezzenek. Rendezvényekre került sor például az euromediterrán együttműködéssel, a Nyugat-Balkánnal, a demográfiai kihívással, a migrációval és a demokráciával kapcsolatban, a polgárok és a különböző érdekelt felek bevonásával.</w:t>
      </w:r>
    </w:p>
    <w:p>
      <w:pPr>
        <w:pStyle w:val="P68B1DB1Corpsdetexte12"/>
        <w:rPr>
          <w:b/>
          <w:b/>
          <w:i/>
          <w:i/>
          <w:u w:val="single"/>
        </w:rPr>
      </w:pPr>
      <w:r>
        <w:rPr/>
        <w:t>9 Spanyolország</w:t>
      </w:r>
    </w:p>
    <w:p>
      <w:pPr>
        <w:pStyle w:val="Corpsdetexte"/>
        <w:rPr/>
      </w:pPr>
      <w:r>
        <w:rPr/>
        <w:t>A spanyol keret hat nemzeti szintű rendezvényt tartalmazott (pl. konzultáció a spanyol polgárokkal Európa jövőjéről), és körülbelül 20 regionális szinten. A portugál és a spanyol polgárok részvételével rendezvényt is szerveztek, hogy megvitassák a régióik és az EU jövője szempontjából fontos kulcsfontosságú témákat. Regionális és helyi szinten a hatóságok számos témában szerveztek rendezvényeket, mint például a határokon átnyúló együttműködés, a demográfiai változások hatása, a fenntartható közlekedés és mobilitás, az éghajlatváltozás, a migráció és a legkülső régiók jövője.</w:t>
      </w:r>
    </w:p>
    <w:p>
      <w:pPr>
        <w:pStyle w:val="Normal"/>
        <w:rPr/>
      </w:pPr>
      <w:r>
        <w:rPr/>
      </w:r>
    </w:p>
    <w:p>
      <w:pPr>
        <w:pStyle w:val="P68B1DB1Corpsdetexte12"/>
        <w:rPr>
          <w:b/>
          <w:b/>
          <w:i/>
          <w:i/>
          <w:u w:val="single"/>
        </w:rPr>
      </w:pPr>
      <w:r>
        <w:rPr/>
        <w:t>10 Franciaország</w:t>
      </w:r>
    </w:p>
    <w:p>
      <w:pPr>
        <w:pStyle w:val="Corpsdetexte"/>
        <w:rPr/>
      </w:pPr>
      <w:r>
        <w:rPr/>
        <w:t>A francia kormány 2021 májusa és júliusa között kiterjedt online konzultációt folytatott a fiatalok számára. Ötvenezer francia fiatal fejtette ki nézeteit, támogatva tizenhat fő elképzelést Európa jövőjével kapcsolatban. E gyakorlat eredményeit a francia polgári munkacsoport eredményeivel együtt egy zárójelentésben állították össze, amely Franciaország hozzájárulását jelenti a konferenciához. A francia kormány emellett minden olyan francia szereplőt (egyesületek, helyi hatóságok, választott tisztviselők, civil társadalom képviselői) is ösztönzött, hogy szervezzenek rendezvényeket.</w:t>
      </w:r>
    </w:p>
    <w:p>
      <w:pPr>
        <w:pStyle w:val="P68B1DB1Corpsdetexte12"/>
        <w:rPr>
          <w:b/>
          <w:b/>
          <w:i/>
          <w:i/>
          <w:u w:val="single"/>
        </w:rPr>
      </w:pPr>
      <w:r>
        <w:rPr/>
        <w:t>11 Horvátország</w:t>
      </w:r>
    </w:p>
    <w:p>
      <w:pPr>
        <w:pStyle w:val="Corpsdetexte"/>
        <w:rPr/>
      </w:pPr>
      <w:r>
        <w:rPr/>
        <w:t>Létrehoztak egy, a tevékenységek összehangolásával foglalkozó munkacsoportot, amely összegyűjtötte a nemzeti szintű tevékenységek elvégzésére vonatkozó elképzeléseket és terveket. A minisztériumok, a központi állami hivatalok, a regionális fejlesztési ügynökségek, az egyetemek, a nem kormányzati szervezetek és az intézetek konferenciák, civil párbeszédek és a polgárokkal folytatott viták, nyilvános viták és oktatási munkaértekezletek formájában szerveznek rendezvényeket, különös tekintettel a fiatalokra.</w:t>
      </w:r>
    </w:p>
    <w:p>
      <w:pPr>
        <w:pStyle w:val="Corpsdetexte"/>
        <w:rPr/>
      </w:pPr>
      <w:r>
        <w:rPr/>
        <w:t>Az érintett témák közé tartozik a migráció, a demográfia, a klímasemlegesség és a körforgásos gazdaság. Néhány rendezvényt más tagállamokkal és a szomszédos nem uniós országokkal közösen szerveztek.</w:t>
      </w:r>
    </w:p>
    <w:p>
      <w:pPr>
        <w:pStyle w:val="P68B1DB1Corpsdetexte12"/>
        <w:rPr>
          <w:b/>
          <w:b/>
          <w:i/>
          <w:i/>
          <w:u w:val="single"/>
        </w:rPr>
      </w:pPr>
      <w:r>
        <w:rPr/>
        <w:t>12 Olaszország</w:t>
      </w:r>
    </w:p>
    <w:p>
      <w:pPr>
        <w:pStyle w:val="Corpsdetexte"/>
        <w:rPr/>
      </w:pPr>
      <w:r>
        <w:rPr/>
        <w:t>Számos, különösen a fiatalokra összpontosító rendezvényt hoztak létre, hogy a lehető legtöbb polgárt elérjék, többek között a helyi hatóságok aktív támogatásával. Médiakampányt indítottak annak érdekében, hogy a lehető legnagyobb mértékben felhívják a figyelmet ezekre az eseményekre. E tevékenységek közé tartozik a nyugat-balkáni fiatalokkal közösen szervezett EU-Balkan Ifjúsági Fórum, a déli szomszédságból érkező fiatalok részvételével megrendezett „Med Dialogues” ifjúsági fórum, valamint az „Európa az Önök kezében van” című, közép- és egyetemi hallgatóknak szóló versenyek.</w:t>
      </w:r>
    </w:p>
    <w:p>
      <w:pPr>
        <w:pStyle w:val="P68B1DB1Corpsdetexte12"/>
        <w:rPr>
          <w:b/>
          <w:b/>
          <w:i/>
          <w:i/>
          <w:u w:val="single"/>
        </w:rPr>
      </w:pPr>
      <w:r>
        <w:rPr/>
        <w:t>13 Ciprus</w:t>
      </w:r>
    </w:p>
    <w:p>
      <w:pPr>
        <w:pStyle w:val="Corpsdetexte"/>
        <w:rPr/>
      </w:pPr>
      <w:r>
        <w:rPr/>
        <w:t>Számos, a fiatalokra összpontosító tevékenységet szerveztek, számos szereplő részvételével. Nyitórendezvényre került sor, amelynek keretében megbeszélést folytattak a fiatalabb generációval az EU-n belüli európai és ciprusi elvárásokról, aggodalmaikról és jövőképükről. Nyílt párbeszédre került sor a fiataloknak az Európáról szóló vitában betöltött szerepéről, valamint azokról a problémákról, amelyekkel nemzeti és európai szinten szembesülnek. Rendezvényre került sor az európai biztonság és védelem jövőjéről is.</w:t>
      </w:r>
    </w:p>
    <w:p>
      <w:pPr>
        <w:pStyle w:val="P68B1DB1Corpsdetexte12"/>
        <w:rPr>
          <w:b/>
          <w:b/>
          <w:i/>
          <w:i/>
          <w:u w:val="single"/>
        </w:rPr>
      </w:pPr>
      <w:r>
        <w:rPr/>
        <w:t>14 Lettország</w:t>
      </w:r>
    </w:p>
    <w:p>
      <w:pPr>
        <w:pStyle w:val="Corpsdetexte"/>
        <w:rPr/>
      </w:pPr>
      <w:r>
        <w:rPr/>
        <w:t>Számos rendezvényre került sor, többek között egy országos online beszélgetésre a diákokkal „A jövő a kezedben” címmel gazdasági, társadalmi és biztonsági kérdésekről. Nemzeti felmérést és agytrösztökben folytatott megbeszéléseket hoztak létre annak érdekében, hogy a konferencia valamennyi témájával kapcsolatban összegyűjtsék a polgárok véleményét az Európai Unió jövőbeli prioritásairól. Regionális személyes megbeszélésekre került sor annak érdekében, hogy felhívják a figyelmet a konferenciára az 55 éves és idősebbek körében, és személyes megbeszéléseket folytattak a középiskolás diákokkal.</w:t>
      </w:r>
    </w:p>
    <w:p>
      <w:pPr>
        <w:pStyle w:val="P68B1DB1Corpsdetexte12"/>
        <w:rPr>
          <w:b/>
          <w:b/>
          <w:i/>
          <w:i/>
          <w:u w:val="single"/>
        </w:rPr>
      </w:pPr>
      <w:r>
        <w:rPr/>
        <w:t>15 Litvánia</w:t>
      </w:r>
    </w:p>
    <w:p>
      <w:pPr>
        <w:pStyle w:val="Corpsdetexte"/>
        <w:rPr/>
      </w:pPr>
      <w:r>
        <w:rPr/>
        <w:t>Az eseményeket főként decentralizált alapon szervezték, és a hangsúlyt Litvánia és a fiatalok különböző régióira helyezték (pl. a balti államok ifjúsági vitája keretében). Számos civil párbeszédre került sor (demokráciáról, digitalizációról, éghajlatváltozásról stb.), transznacionális párbeszédekről (pl. Franciaországgal, Írországgal és Olaszországgal) és civil társadalmi eseményekről. Emellett az iskolákat arra ösztönözték, hogy foglalkozzanak Európa jövőjének kérdésével.</w:t>
      </w:r>
    </w:p>
    <w:p>
      <w:pPr>
        <w:pStyle w:val="Normal"/>
        <w:rPr/>
      </w:pPr>
      <w:r>
        <w:rPr/>
      </w:r>
    </w:p>
    <w:p>
      <w:pPr>
        <w:pStyle w:val="P68B1DB1Corpsdetexte12"/>
        <w:rPr>
          <w:b/>
          <w:b/>
          <w:i/>
          <w:i/>
          <w:u w:val="single"/>
        </w:rPr>
      </w:pPr>
      <w:r>
        <w:rPr/>
        <w:t>16 Luxemburg</w:t>
      </w:r>
    </w:p>
    <w:p>
      <w:pPr>
        <w:pStyle w:val="Corpsdetexte"/>
        <w:rPr/>
      </w:pPr>
      <w:r>
        <w:rPr/>
        <w:t>Nemzeti szinten számos rendezvényt szerveztek nyílt, inkluzív és átlátható megközelítéssel. A parlament például számos eseményt szervezett új formában, például „bisztrot-tárgyalásokat”. A diákok és a fiatal vállalkozók számára hackathont is szerveztek, hogy megvitassák a digitális iránytűt és az uniós iparstratégiát.</w:t>
      </w:r>
    </w:p>
    <w:p>
      <w:pPr>
        <w:pStyle w:val="Corpsdetexte"/>
        <w:rPr/>
      </w:pPr>
      <w:r>
        <w:rPr/>
        <w:t>Ezen túlmenően a német, a francia és a luxemburgi középiskolások között trinacionális cserére került sor.</w:t>
      </w:r>
    </w:p>
    <w:p>
      <w:pPr>
        <w:pStyle w:val="P68B1DB1Corpsdetexte12"/>
        <w:rPr>
          <w:b/>
          <w:b/>
          <w:i/>
          <w:i/>
          <w:u w:val="single"/>
        </w:rPr>
      </w:pPr>
      <w:r>
        <w:rPr/>
        <w:t>17 Magyarország</w:t>
      </w:r>
    </w:p>
    <w:p>
      <w:pPr>
        <w:pStyle w:val="Corpsdetexte"/>
        <w:rPr/>
      </w:pPr>
      <w:r>
        <w:rPr/>
        <w:t>Számos rendezvényt szerveztek (több mint 800) a társadalomban. Az intézményi rendezvények közé tartoznak a több minisztérium által szervezett magas szintű nemzetközi konferenciák (pl. az EU bővítéséről és a digitális menetrendről), valamint a diákok és ifjúsági szervezetek részvételével tartott kerekasztal-beszélgetések (pl. az európai integrációról). Számos szervezet tartott vitafórumot a következő témák megvitatására: az uniós intézmények; erősebb gazdaság, társadalmi igazságosság és foglalkoztatás, digitális átalakulás, oktatás, kultúra, ifjúság és sport; értékek és jogok, jogállamiság és biztonság; Nem kormányzati szervezetek; migráció; valamint a demográfia, a család, az egészségügy, az éghajlatváltozás és a környezet.</w:t>
      </w:r>
    </w:p>
    <w:p>
      <w:pPr>
        <w:pStyle w:val="P68B1DB1Corpsdetexte12"/>
        <w:rPr>
          <w:b/>
          <w:b/>
          <w:i/>
          <w:i/>
          <w:u w:val="single"/>
        </w:rPr>
      </w:pPr>
      <w:r>
        <w:rPr/>
        <w:t>18 Málta</w:t>
      </w:r>
    </w:p>
    <w:p>
      <w:pPr>
        <w:pStyle w:val="Corpsdetexte"/>
        <w:rPr/>
      </w:pPr>
      <w:r>
        <w:rPr/>
        <w:t>Egy nyitórendezvényt követően nemzeti koordinációs bizottságot hoztak létre azzal a céllal, hogy különböző kommunikációs csatornákon keresztül népszerűsítsék a kezdeményezést, és segítették a vitát nemzeti és helyi rendezvényeken keresztül.</w:t>
      </w:r>
    </w:p>
    <w:p>
      <w:pPr>
        <w:pStyle w:val="Corpsdetexte"/>
        <w:rPr/>
      </w:pPr>
      <w:r>
        <w:rPr/>
        <w:t>Tematikus nyilvános párbeszédeket (pl. az egészségügyről, az európai értékekről és a tisztességes társadalomért végzett munka jövőjéről), sajtókonferenciákat, az érintett ágazatok érdekelt feleivel folytatott konzultációkat, valamint interaktív üléseket szerveztek a gyermekekkel és a diákokkal fizikai vagy hibrid formában.</w:t>
      </w:r>
    </w:p>
    <w:p>
      <w:pPr>
        <w:pStyle w:val="Corpsdetexte"/>
        <w:rPr/>
      </w:pPr>
      <w:r>
        <w:rPr/>
      </w:r>
    </w:p>
    <w:p>
      <w:pPr>
        <w:pStyle w:val="P68B1DB1Corpsdetexte12"/>
        <w:rPr>
          <w:b/>
          <w:b/>
          <w:i/>
          <w:i/>
          <w:u w:val="single"/>
        </w:rPr>
      </w:pPr>
      <w:r>
        <w:rPr/>
        <w:t>19 Hollandia</w:t>
      </w:r>
    </w:p>
    <w:p>
      <w:pPr>
        <w:pStyle w:val="Corpsdetexte"/>
        <w:rPr/>
      </w:pPr>
      <w:r>
        <w:rPr/>
        <w:t>Hollandiában hangsúlyt fektettek az „Európa-látogatások – Kijk op Europa” nemzeti polgári vitafórum megszervezésére, amelyre online és személyesen is sor került. Kétfázisú megközelítésen alapult: az első az volt, hogy összegyűjtsék a polgárok gondolatait és véleményét a „miről”, nevezetesen arról, hogy mit vártak és mit akartak; a második szakasz ezután arra törekedett, hogy csoportos párbeszédeken keresztül megértse a mögöttes nézeteiket (a „miért” és a „hogyan”).</w:t>
      </w:r>
    </w:p>
    <w:p>
      <w:pPr>
        <w:pStyle w:val="Corpsdetexte"/>
        <w:rPr/>
      </w:pPr>
      <w:r>
        <w:rPr/>
      </w:r>
    </w:p>
    <w:p>
      <w:pPr>
        <w:pStyle w:val="P68B1DB1Corpsdetexte12"/>
        <w:rPr>
          <w:b/>
          <w:b/>
          <w:i/>
          <w:i/>
          <w:u w:val="single"/>
        </w:rPr>
      </w:pPr>
      <w:r>
        <w:rPr/>
        <w:t>20 Ausztria</w:t>
      </w:r>
    </w:p>
    <w:p>
      <w:pPr>
        <w:pStyle w:val="Corpsdetexte"/>
        <w:rPr/>
      </w:pPr>
      <w:r>
        <w:rPr/>
        <w:t>A megbeszélések különböző formátumokban zajlottak szövetségi, regionális és helyi szinten. A „jövőbeli laboratóriumok” és a „jövőbeli párbeszédek” lehetővé tették a magas szintű szakértőkkel folytatott mélyreható eszmecserét különböző témákban, és átfogóbb megoldásokat kerestek a jövőre nézve. Emellett az európai ügyekért felelős osztrák önkormányzati képviselők több rendezvényt is szerveztek. Számos esemény közvetlenül a fiataloknak és a diákoknak szól.</w:t>
      </w:r>
    </w:p>
    <w:p>
      <w:pPr>
        <w:pStyle w:val="P68B1DB1Corpsdetexte12"/>
        <w:rPr>
          <w:b/>
          <w:b/>
          <w:i/>
          <w:i/>
          <w:u w:val="single"/>
        </w:rPr>
      </w:pPr>
      <w:r>
        <w:rPr/>
        <w:t>21 Lengyelország</w:t>
      </w:r>
    </w:p>
    <w:p>
      <w:pPr>
        <w:pStyle w:val="Corpsdetexte"/>
        <w:rPr/>
      </w:pPr>
      <w:r>
        <w:rPr/>
        <w:t>Az eseményeket főként decentralizált megközelítés keretében szervezték meg. Regionális szinten a nemzetközi vita regionális központjai a 16 lengyel régióban fizikai és virtuális formában nyilvános rendezvényeket szerveztek. A megvitatandó témák a konferencia tematikus területeire terjedtek ki, mint például a szolidaritás válság idején, a mezőgazdaság és az új technológiák.</w:t>
      </w:r>
    </w:p>
    <w:p>
      <w:pPr>
        <w:pStyle w:val="Corpsdetexte"/>
        <w:rPr/>
      </w:pPr>
      <w:r>
        <w:rPr/>
        <w:t>Nemzeti vitára került sor az éghajlatváltozásról, a digitalizációról, a belső piacról, az egészségügyről, az EU-ról a világban és a migrációról is.</w:t>
      </w:r>
    </w:p>
    <w:p>
      <w:pPr>
        <w:pStyle w:val="P68B1DB1Corpsdetexte12"/>
        <w:rPr>
          <w:b/>
          <w:b/>
          <w:i/>
          <w:i/>
          <w:u w:val="single"/>
        </w:rPr>
      </w:pPr>
      <w:r>
        <w:rPr/>
        <w:t>22 Portugália</w:t>
      </w:r>
    </w:p>
    <w:p>
      <w:pPr>
        <w:pStyle w:val="Corpsdetexte"/>
        <w:rPr/>
      </w:pPr>
      <w:r>
        <w:rPr/>
        <w:t>Az első lisszaboni polgári rendezvényt követően, amely elindította a polgárok részvételét a konferencián, számos rendezvényre került sor többek között a helyi hatóságokkal, egyetemekkel, iskolákkal, szociális partnerekkel, ifjúsági szervezetekkel és helyi civil társadalmi szervezetekkel partnerségben. Spanyolországgal például transznacionális rendezvényt szerveztek, hogy megvitassák a két ország és az EU régióinak jövője szempontjából fontos kulcsfontosságú témákat. Emellett decentralizált nemzeti rendezvényekre is sor került olyan témákban, mint a migráció és a nemzetközi partnerségek, az európai demokrácia jövője és a digitális átalakulás.</w:t>
      </w:r>
    </w:p>
    <w:p>
      <w:pPr>
        <w:pStyle w:val="P68B1DB1Corpsdetexte12"/>
        <w:rPr>
          <w:b/>
          <w:b/>
          <w:i/>
          <w:i/>
          <w:u w:val="single"/>
        </w:rPr>
      </w:pPr>
      <w:r>
        <w:rPr/>
        <w:t>23 Románia</w:t>
      </w:r>
    </w:p>
    <w:p>
      <w:pPr>
        <w:pStyle w:val="Corpsdetexte"/>
        <w:rPr/>
      </w:pPr>
      <w:r>
        <w:rPr/>
        <w:t>A rendezvényeket elsősorban a közigazgatás és az intézetek szervezték vagy szervezték, a civil társadalom és az ifjúsági szervezetek aktív részvételével.</w:t>
      </w:r>
    </w:p>
    <w:p>
      <w:pPr>
        <w:pStyle w:val="Corpsdetexte"/>
        <w:rPr/>
      </w:pPr>
      <w:r>
        <w:rPr/>
        <w:t>A megbeszélések számos témára összpontosítottak, így például a digitális átállásra, az oktatásra, az egészségügyre, a környezetvédelemre, a fenntartható fejlődésre, a gazdaságra, a mezőgazdaságra és az EU stratégiai partnerségeire. Az eseményekre a fővárosban és helyi szinten került sor, és minden korosztály részt vett.</w:t>
      </w:r>
    </w:p>
    <w:p>
      <w:pPr>
        <w:pStyle w:val="P68B1DB1Corpsdetexte12"/>
        <w:rPr>
          <w:b/>
          <w:b/>
          <w:i/>
          <w:i/>
          <w:u w:val="single"/>
        </w:rPr>
      </w:pPr>
      <w:r>
        <w:rPr/>
        <w:t>24 Szlovénia</w:t>
      </w:r>
    </w:p>
    <w:p>
      <w:pPr>
        <w:pStyle w:val="Corpsdetexte"/>
        <w:rPr/>
      </w:pPr>
      <w:r>
        <w:rPr/>
        <w:t>Az ötlet egy olyan széles körű vita ösztönzése volt, amelyben a civil társadalom központi szerepet játszott, valamint különösen a fiatalok részvételét.</w:t>
      </w:r>
    </w:p>
    <w:p>
      <w:pPr>
        <w:pStyle w:val="Corpsdetexte"/>
        <w:rPr/>
      </w:pPr>
      <w:r>
        <w:rPr/>
        <w:t>A kormány nyitórendezvényt szervezett, amelyet számos kezdeményezés követett, például a Bled Stratégiai Fórum, amelynek fő témája Európa jövője volt, különös tekintettel az EU bővítésére és a Nyugat-Balkánra. Más rendezvények olyan témákkal foglalkoztak, mint a monetáris politika, a klímasemlegesség, az ifjúság és az EU szerepe a többpólusú nemzetközi környezetben.</w:t>
      </w:r>
    </w:p>
    <w:p>
      <w:pPr>
        <w:pStyle w:val="P68B1DB1Corpsdetexte12"/>
        <w:rPr>
          <w:b/>
          <w:b/>
          <w:i/>
          <w:i/>
          <w:u w:val="single"/>
        </w:rPr>
      </w:pPr>
      <w:r>
        <w:rPr/>
        <w:t>25 Szlovákia</w:t>
      </w:r>
    </w:p>
    <w:p>
      <w:pPr>
        <w:pStyle w:val="Corpsdetexte"/>
        <w:rPr/>
      </w:pPr>
      <w:r>
        <w:rPr/>
        <w:t>A szervezett rendezvények két fő pillér köré szerveződtek. Az első pillér a „WeAreEU” projekt volt, amely a nagyközönségre összpontosított, beleértve a diákokkal folytatott megbeszéléseket és a nyilvános konzultációkat, valamint a WeAreEU Road Show keretében szervezett regionális rendezvények sorozatát. A második pillér az EU-ról szóló nemzeti egyezmény volt, amely az olyan témákkal kapcsolatos szakértői hozzászólásokra és elemzésekre összpontosított, mint az egységes piac, a dezinformáció és a populizmus, valamint a digitális és ökológiai átállás.</w:t>
      </w:r>
    </w:p>
    <w:p>
      <w:pPr>
        <w:pStyle w:val="P68B1DB1Corpsdetexte12"/>
        <w:rPr>
          <w:b/>
          <w:b/>
          <w:i/>
          <w:i/>
          <w:u w:val="single"/>
        </w:rPr>
      </w:pPr>
      <w:r>
        <w:rPr/>
        <w:t>26 Finnország</w:t>
      </w:r>
    </w:p>
    <w:p>
      <w:pPr>
        <w:pStyle w:val="Corpsdetexte"/>
        <w:rPr/>
      </w:pPr>
      <w:r>
        <w:rPr/>
        <w:t>A kormány regionális konzultációk sorozatát, többek között „az EU legészakibb konferenciájának eseményét” szervezte különböző témákban, például a fenntartható növekedésről, az oktatásról és a jogállamiságról. A vita alapjául szolgáló felmérést is készítettek.</w:t>
      </w:r>
    </w:p>
    <w:p>
      <w:pPr>
        <w:pStyle w:val="Corpsdetexte"/>
        <w:spacing w:before="6264" w:after="57"/>
        <w:rPr/>
      </w:pPr>
      <w:r>
        <w:rPr/>
        <w:t xml:space="preserve">A kormány rendezvényeket szervezett a városokkal, helyi hatóságokkal, egyetemekkel, nem kormányzati szervezetekkel és ifjúsági szervezetekkel, valamint a finn parlamenttel, az Európai Parlamenttel és az Európai Bizottság finnországi tájékoztatási </w:t>
      </w:r>
      <w:r>
        <w:drawing>
          <wp:anchor behindDoc="0" distT="0" distB="0" distL="0" distR="0" simplePos="0" locked="0" layoutInCell="1" allowOverlap="1" relativeHeight="23">
            <wp:simplePos x="0" y="0"/>
            <wp:positionH relativeFrom="column">
              <wp:posOffset>5080</wp:posOffset>
            </wp:positionH>
            <wp:positionV relativeFrom="paragraph">
              <wp:posOffset>3077845</wp:posOffset>
            </wp:positionV>
            <wp:extent cx="6120130" cy="3977640"/>
            <wp:effectExtent l="0" t="0" r="0" b="0"/>
            <wp:wrapSquare wrapText="largest"/>
            <wp:docPr id="58" name="Kép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Kép18" descr=""/>
                    <pic:cNvPicPr>
                      <a:picLocks noChangeAspect="1" noChangeArrowheads="1"/>
                    </pic:cNvPicPr>
                  </pic:nvPicPr>
                  <pic:blipFill>
                    <a:blip r:embed="rId50"/>
                    <a:stretch>
                      <a:fillRect/>
                    </a:stretch>
                  </pic:blipFill>
                  <pic:spPr bwMode="auto">
                    <a:xfrm>
                      <a:off x="0" y="0"/>
                      <a:ext cx="6120130" cy="3977640"/>
                    </a:xfrm>
                    <a:prstGeom prst="rect">
                      <a:avLst/>
                    </a:prstGeom>
                  </pic:spPr>
                </pic:pic>
              </a:graphicData>
            </a:graphic>
          </wp:anchor>
        </w:drawing>
      </w:r>
      <w:r>
        <w:rPr/>
        <w:t>i</w:t>
      </w:r>
      <w:r>
        <w:rPr/>
        <w:t>rodáival együttműködésben.</w:t>
      </w:r>
    </w:p>
    <w:p>
      <w:pPr>
        <w:pStyle w:val="Normal"/>
        <w:rPr/>
      </w:pPr>
      <w:r>
        <w:rPr/>
      </w:r>
    </w:p>
    <w:p>
      <w:pPr>
        <w:pStyle w:val="P68B1DB1Corpsdetexte12"/>
        <w:rPr>
          <w:b/>
          <w:b/>
          <w:i/>
          <w:i/>
          <w:u w:val="single"/>
        </w:rPr>
      </w:pPr>
      <w:r>
        <w:rPr/>
        <w:t>27 Svédország</w:t>
      </w:r>
    </w:p>
    <w:p>
      <w:pPr>
        <w:pStyle w:val="Corpsdetexte"/>
        <w:rPr/>
      </w:pPr>
      <w:r>
        <w:rPr/>
        <w:t>Az eseményeket főként decentralizált alapon szervezték meg a kormány, a nemzeti parlament, a politikai pártok, a szociális partnerek, a helyi és regionális képviselők, a civil társadalmi szervezetek és a társadalom egyéb érintett szereplői közös gyakorlatként.</w:t>
      </w:r>
    </w:p>
    <w:p>
      <w:pPr>
        <w:pStyle w:val="Corpsdetexte"/>
        <w:rPr/>
      </w:pPr>
      <w:r>
        <w:rPr/>
        <w:t>Például a svéd európai ügyekért felelős miniszter különböző iskolák diákjaival megvitatta Európa jövőjét, és részt vett az önkormányzati szintű találkozókon, hogy megvitassák Európa jövőjét és a demokráciát a polgárokkal. A digitális médiát arra is használták, hogy részt vegyenek a polgárokkal folytatott párbeszédekben, például kérdések és válaszok formájában.</w:t>
      </w:r>
    </w:p>
    <w:p>
      <w:pPr>
        <w:pStyle w:val="Corpsdetexte"/>
        <w:rPr/>
      </w:pPr>
      <w:r>
        <w:rPr/>
        <w:t>A fenti leírások nem kimerítőek. A nemzeti rendezvényekre vonatkozó további információk a többnyelvű digitális platform külön részében találhatók.</w:t>
      </w:r>
    </w:p>
    <w:p>
      <w:pPr>
        <w:pStyle w:val="Corpsdetexte"/>
        <w:rPr/>
      </w:pPr>
      <w:r>
        <w:rPr/>
      </w:r>
    </w:p>
    <w:p>
      <w:pPr>
        <w:pStyle w:val="Corpsdetexte"/>
        <w:rPr/>
      </w:pPr>
      <w:r>
        <w:rPr/>
      </w:r>
      <w:r>
        <w:br w:type="page"/>
      </w:r>
    </w:p>
    <w:p>
      <w:pPr>
        <w:pStyle w:val="Titre3"/>
        <w:numPr>
          <w:ilvl w:val="2"/>
          <w:numId w:val="2"/>
        </w:numPr>
        <w:rPr/>
      </w:pPr>
      <w:bookmarkStart w:id="30" w:name="__RefHeading___Toc298234_1346298689"/>
      <w:bookmarkEnd w:id="30"/>
      <w:r>
        <w:rPr/>
        <w:t>2.</w:t>
        <w:tab/>
        <w:t xml:space="preserve">Az európai fiatalok találkozója </w:t>
      </w:r>
    </w:p>
    <w:p>
      <w:pPr>
        <w:pStyle w:val="Normal"/>
        <w:rPr/>
      </w:pPr>
      <w:r>
        <w:rPr/>
        <w:t xml:space="preserve">Az </w:t>
      </w:r>
      <w:hyperlink r:id="rId51">
        <w:r>
          <w:rPr>
            <w:rStyle w:val="LienInternet"/>
          </w:rPr>
          <w:t>európai ifjúsági rendezvényre (EYE 2021)</w:t>
        </w:r>
      </w:hyperlink>
      <w:r>
        <w:rPr/>
        <w:t xml:space="preserve"> 2021. október 8–9-én került sor, amelyen 10 000 online fiatal és az Európai Parlament képviselői vettek részt Strasbourgban az Európa jövőjéről szóló elképzelések kialakítása és cseréje céljából. Az EYE </w:t>
      </w:r>
      <w:r>
        <w:rPr>
          <w:i/>
        </w:rPr>
        <w:t>egyedülálló lehetőséget jelentett a 16 és 30 év közötti fiatalok számára, hogy személyesen és online kapcsolatba lépjenek egymással, inspirálják egymást, és eszmecserét folytassanak szakértőkkel, aktivistákkal, befolyásosokkal és döntéshozókkal, az európai demokrácia középpontjában</w:t>
      </w:r>
      <w:r>
        <w:rPr/>
        <w:t>.</w:t>
      </w:r>
    </w:p>
    <w:p>
      <w:pPr>
        <w:pStyle w:val="Normal"/>
        <w:spacing w:before="6132" w:after="57"/>
        <w:rPr/>
      </w:pPr>
      <w:r>
        <w:rPr/>
        <w:t xml:space="preserve">2021 májusa óta a páneurópai ifjúsági szervezetekkel együttműködve több mint 2000 javaslatot gyűjtöttek össze az Európai Unió minden tájáról származó fiatal </w:t>
      </w:r>
      <w:r>
        <w:drawing>
          <wp:anchor behindDoc="0" distT="0" distB="0" distL="0" distR="0" simplePos="0" locked="0" layoutInCell="1" allowOverlap="1" relativeHeight="24">
            <wp:simplePos x="0" y="0"/>
            <wp:positionH relativeFrom="column">
              <wp:posOffset>53340</wp:posOffset>
            </wp:positionH>
            <wp:positionV relativeFrom="paragraph">
              <wp:posOffset>2400300</wp:posOffset>
            </wp:positionV>
            <wp:extent cx="5980430" cy="3893820"/>
            <wp:effectExtent l="0" t="0" r="0" b="0"/>
            <wp:wrapTopAndBottom/>
            <wp:docPr id="59" name="Kép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Kép19" descr=""/>
                    <pic:cNvPicPr>
                      <a:picLocks noChangeAspect="1" noChangeArrowheads="1"/>
                    </pic:cNvPicPr>
                  </pic:nvPicPr>
                  <pic:blipFill>
                    <a:blip r:embed="rId52"/>
                    <a:stretch>
                      <a:fillRect/>
                    </a:stretch>
                  </pic:blipFill>
                  <pic:spPr bwMode="auto">
                    <a:xfrm>
                      <a:off x="0" y="0"/>
                      <a:ext cx="5980430" cy="3893820"/>
                    </a:xfrm>
                    <a:prstGeom prst="rect">
                      <a:avLst/>
                    </a:prstGeom>
                  </pic:spPr>
                </pic:pic>
              </a:graphicData>
            </a:graphic>
          </wp:anchor>
        </w:drawing>
      </w:r>
      <w:r>
        <w:rPr/>
        <w:t>p</w:t>
      </w:r>
      <w:r>
        <w:rPr/>
        <w:t xml:space="preserve">olgároktól. Emellett a rendezvény előtt és az EYE strasbourgi rendezvénye során több ülés is az Európa jövőjéről szóló konferenciára összpontosított. A rendezvényt követően a résztvevők által felvetett 20 fő ötlet, a konferencia témája szerint két ötlet gyűlt össze az Európa jövőjéről szóló konferenciára </w:t>
      </w:r>
      <w:hyperlink r:id="rId53">
        <w:r>
          <w:rPr>
            <w:rStyle w:val="LienInternet"/>
          </w:rPr>
          <w:t>vonatkozó ifjúsági ötletek jelentésében</w:t>
        </w:r>
      </w:hyperlink>
      <w:r>
        <w:rPr/>
        <w:t>, amelyet 23 nyelven tettek közzé.</w:t>
      </w:r>
    </w:p>
    <w:p>
      <w:pPr>
        <w:pStyle w:val="Normal"/>
        <w:rPr/>
      </w:pPr>
      <w:r>
        <w:rPr/>
        <w:t xml:space="preserve">Az ifjúsági ötletekről szóló jelentést október 23-án mutatták be a konferencia plenáris ülésén az európai polgári vitacsoportok fiatal résztvevői, akik szintén részt vettek az EYE 2021-ben. Az összegyűjtött ötletek a következő címen érhetők el: </w:t>
      </w:r>
      <w:hyperlink r:id="rId54">
        <w:r>
          <w:rPr>
            <w:rStyle w:val="LienInternet"/>
          </w:rPr>
          <w:t>Search.youthideas.eu.</w:t>
        </w:r>
      </w:hyperlink>
    </w:p>
    <w:p>
      <w:pPr>
        <w:pStyle w:val="Titre3"/>
        <w:numPr>
          <w:ilvl w:val="2"/>
          <w:numId w:val="2"/>
        </w:numPr>
        <w:rPr/>
      </w:pPr>
      <w:bookmarkStart w:id="31" w:name="__RefHeading___Toc298236_1346298689"/>
      <w:bookmarkEnd w:id="31"/>
      <w:r>
        <w:rPr/>
        <w:t>3.</w:t>
        <w:tab/>
        <w:t>Egyéb események</w:t>
      </w:r>
    </w:p>
    <w:p>
      <w:pPr>
        <w:pStyle w:val="Normal"/>
        <w:rPr/>
      </w:pPr>
      <w:r>
        <w:rPr/>
        <w:t>A fenti események mellett számos más intézmény és érdekelt fél is összehívta a polgárokat, hogy megvitassák Európa jövőjét</w:t>
      </w:r>
      <w:r>
        <w:rPr>
          <w:rStyle w:val="Ancredenotedebasdepage"/>
          <w:rStyle w:val="Ancredenotedebasdepage"/>
        </w:rPr>
        <w:footnoteReference w:id="6"/>
      </w:r>
      <w:r>
        <w:rPr/>
        <w:t>.</w:t>
      </w:r>
    </w:p>
    <w:p>
      <w:pPr>
        <w:pStyle w:val="Normal"/>
        <w:rPr/>
      </w:pPr>
      <w:r>
        <w:rPr/>
        <w:t>Az Európa jövőjéről szóló konferencia során az Európai Gazdasági és Szociális Bizottság (EGSZB) arra törekedett, hogy ismertesse és segítse a tagállamokban működő civil társadalmi szervezetek kiterjedt hálózatát a nemzeti konzultációk megszervezésében. Összesen 75 esemény telepítését támogatta, ebből 33 nemzeti szinten és 42 központi szinten. Ezen események 60%-a tett közzé jelentést a konferenciaplatformon, és ez a 45 esemény több mint 7300 résztvevőt vonzott. Az EGSZB 2021 júniusában kezdte meg tevékenységeit egy nagyszabású konferenciával –</w:t>
      </w:r>
      <w:hyperlink r:id="rId55">
        <w:r>
          <w:rPr>
            <w:rStyle w:val="LienInternet"/>
          </w:rPr>
          <w:t>Az európai projekt visszajuttatása a polgárokhoz – és 2021 novemberében Lisszabonban szemináriumot szervezett „AzEU összekapcsolása</w:t>
        </w:r>
      </w:hyperlink>
      <w:r>
        <w:rPr/>
        <w:t>” címmel, majd 2022 februárjában Brüsszelben magas szintű rendezvényt szervezett „</w:t>
      </w:r>
      <w:hyperlink r:id="rId56">
        <w:r>
          <w:rPr>
            <w:rStyle w:val="LienInternet"/>
          </w:rPr>
          <w:t>Európa együtt alakítása” címmel</w:t>
        </w:r>
      </w:hyperlink>
      <w:r>
        <w:rPr/>
        <w:t>. Az EGSZB arra is ösztönözte az online platform használatát, ahol 60 új ötletet töltött fel, és csak a Twitteren 32 millió potenciális közönséggel elindított egy kiterjedt közösségimédia-kommunikációs kampányt, hogy népszerűsítse a nemzeti rendezvényeket angolul és a helyi nyelven, valamint tájékoztatást nyújtott minden plenáris ülés és konferencia-ülés előtt és után.</w:t>
      </w:r>
    </w:p>
    <w:p>
      <w:pPr>
        <w:pStyle w:val="Normal"/>
        <w:rPr/>
      </w:pPr>
      <w:r>
        <w:rPr/>
        <w:t xml:space="preserve">A Régiók Európai Bizottsága (RB) szakbizottságaiban és plenáris ülésein tematikus vitákat, valamint 140 helyi, határokon átnyúló és régióközi rendezvényt szervezett 10 000 polgár és 200 helyi politikus részvételével. Emellett 2021 októberében közzétették </w:t>
      </w:r>
      <w:hyperlink r:id="rId57">
        <w:r>
          <w:rPr>
            <w:rStyle w:val="LienInternet"/>
          </w:rPr>
          <w:t>az első felmérést, amelyben 1,2 millió helyi politikus</w:t>
        </w:r>
      </w:hyperlink>
      <w:r>
        <w:rPr/>
        <w:t xml:space="preserve"> vett részt az Európa jövőjéről alkotott nézeteikről az EU-27-ben. Emellett a koordinátor </w:t>
      </w:r>
      <w:hyperlink r:id="rId58">
        <w:r>
          <w:rPr>
            <w:rStyle w:val="LienInternet"/>
          </w:rPr>
          <w:t>44 ötletet</w:t>
        </w:r>
      </w:hyperlink>
      <w:r>
        <w:rPr/>
        <w:t xml:space="preserve"> javasolt a többnyelvű digitális platformon. 2022 elején</w:t>
      </w:r>
      <w:hyperlink r:id="rId59">
        <w:r>
          <w:rPr>
            <w:rStyle w:val="LienInternet"/>
          </w:rPr>
          <w:t xml:space="preserve"> egy független, az európai demokráciával foglalkozó magas szintű csoport ismertette</w:t>
        </w:r>
      </w:hyperlink>
      <w:r>
        <w:rPr/>
        <w:t xml:space="preserve"> elképzeléseit arról, hogyan lehetne javítani a demokráciát az EU-ban. Az RB elfogadta a konferencia zárójelentésére vonatkozó javaslatokat tartalmazó állásfoglalást, és a </w:t>
      </w:r>
      <w:hyperlink r:id="rId60">
        <w:r>
          <w:rPr>
            <w:rStyle w:val="LienInternet"/>
          </w:rPr>
          <w:t>régiók és városok 2022. márciusi európai csúcstalálkozóján jóváhagyták az EU millió helyi és</w:t>
        </w:r>
      </w:hyperlink>
      <w:r>
        <w:rPr/>
        <w:t xml:space="preserve"> regionális politikusa nevében kidolgozott </w:t>
      </w:r>
      <w:hyperlink r:id="rId61">
        <w:r>
          <w:rPr>
            <w:rStyle w:val="LienInternet"/>
          </w:rPr>
          <w:t>12 pontos manifesztumot</w:t>
        </w:r>
      </w:hyperlink>
      <w:r>
        <w:rPr/>
        <w:t>. A</w:t>
      </w:r>
      <w:hyperlink r:id="rId62">
        <w:r>
          <w:rPr>
            <w:rStyle w:val="LienInternet"/>
          </w:rPr>
          <w:t>„Polgárok, helyi politikusok és Európa jövője” című</w:t>
        </w:r>
      </w:hyperlink>
      <w:r>
        <w:rPr/>
        <w:t>jelentés (2022. március) összefoglalja a konferencia keretében végzett RB-s tevékenységeket.</w:t>
      </w:r>
    </w:p>
    <w:p>
      <w:pPr>
        <w:pStyle w:val="Normal"/>
        <w:rPr/>
      </w:pPr>
      <w:r>
        <w:rPr/>
      </w:r>
    </w:p>
    <w:p>
      <w:pPr>
        <w:pStyle w:val="Normal"/>
        <w:rPr/>
      </w:pPr>
      <w:r>
        <w:rPr/>
        <w:t xml:space="preserve">Az EU szociális partnerségéhez, a </w:t>
      </w:r>
      <w:hyperlink r:id="rId63">
        <w:r>
          <w:rPr>
            <w:rStyle w:val="LienInternet"/>
          </w:rPr>
          <w:t>BusinessEurope</w:t>
        </w:r>
      </w:hyperlink>
      <w:r>
        <w:rPr/>
        <w:t xml:space="preserve"> -hoz, az </w:t>
      </w:r>
      <w:hyperlink r:id="rId64">
        <w:r>
          <w:rPr>
            <w:rStyle w:val="LienInternet"/>
          </w:rPr>
          <w:t>SGI Europe</w:t>
        </w:r>
      </w:hyperlink>
      <w:r>
        <w:rPr/>
        <w:t xml:space="preserve"> -hoz és az </w:t>
      </w:r>
      <w:hyperlink r:id="rId65">
        <w:r>
          <w:rPr>
            <w:rStyle w:val="LienInternet"/>
          </w:rPr>
          <w:t>UEAPME</w:t>
        </w:r>
      </w:hyperlink>
      <w:r>
        <w:rPr/>
        <w:t xml:space="preserve"> -hez kapcsolódó három munkáltatói szervezet mindegyike közzétette prioritásait és hozzájárulásait a digitális platformon, és bemutatta őket az érintett munkacsoportoknak és plenáris üléseknek. Emellett valamennyien népszerűsítették a konferenciát, mind belső, mind külső szinten, valamint rendezvényeket szerveztek, és párbeszédet folytattak az érdekelt felekkel különböző fórumokon. Az Európai Szakszervezeti Szövetség (ESZSZ) mozgósította a konferenciát, és részt vett a Közgyűlés és a munkacsoportok ülésein. Az ESZSZ azonosította a méltányosabb európai jövőt célzó szakszervezeti javaslatokat, és közzétette azokat az online platformon (ezek voltak a leginkább támogatott javaslatok). Az ESZSZ és leányvállalatai rendezvényeket és kommunikációs tevékenységeket szerveztek a szakszervezeti javaslatok bemutatására és megvitatására.</w:t>
      </w:r>
    </w:p>
    <w:p>
      <w:pPr>
        <w:pStyle w:val="Normal"/>
        <w:rPr/>
      </w:pPr>
      <w:r>
        <w:rPr/>
        <w:t xml:space="preserve">A civil társadalom képviselői – </w:t>
      </w:r>
      <w:hyperlink r:id="rId66">
        <w:r>
          <w:rPr>
            <w:rStyle w:val="LienInternet"/>
          </w:rPr>
          <w:t>az Európa jövőjéről szóló konferencia civil társadalmi konventje és az</w:t>
        </w:r>
      </w:hyperlink>
      <w:r>
        <w:rPr/>
        <w:t xml:space="preserve"> </w:t>
      </w:r>
      <w:hyperlink r:id="rId67">
        <w:r>
          <w:rPr>
            <w:rStyle w:val="LienInternet"/>
          </w:rPr>
          <w:t>Európai Nemzetközi Mozgalom</w:t>
        </w:r>
      </w:hyperlink>
      <w:r>
        <w:rPr/>
        <w:t xml:space="preserve"> – </w:t>
      </w:r>
      <w:hyperlink r:id="rId68">
        <w:r>
          <w:rPr>
            <w:rStyle w:val="LienInternet"/>
          </w:rPr>
          <w:t>számos rendezvényt</w:t>
        </w:r>
      </w:hyperlink>
      <w:r>
        <w:rPr/>
        <w:t xml:space="preserve"> szerveztek Európa-szerte, és </w:t>
      </w:r>
      <w:hyperlink r:id="rId69">
        <w:r>
          <w:rPr>
            <w:rStyle w:val="LienInternet"/>
          </w:rPr>
          <w:t>plenáris szinten is aktívak</w:t>
        </w:r>
      </w:hyperlink>
      <w:r>
        <w:rPr/>
        <w:t xml:space="preserve"> voltak. A civil társadalom </w:t>
      </w:r>
      <w:hyperlink r:id="rId70">
        <w:r>
          <w:rPr>
            <w:rStyle w:val="LienInternet"/>
          </w:rPr>
          <w:t>tematikus csoportokon</w:t>
        </w:r>
      </w:hyperlink>
      <w:r>
        <w:rPr/>
        <w:t xml:space="preserve"> keresztül több száz civil társadalmi szervezetet vont be alulról felfelé építkező megközelítésbe, hogy közös és átfogó javaslatokat dolgozzanak ki a </w:t>
      </w:r>
      <w:hyperlink r:id="rId71">
        <w:r>
          <w:rPr>
            <w:rStyle w:val="LienInternet"/>
          </w:rPr>
          <w:t>konferencia által lefedett különböző szakpolitikai területeken</w:t>
        </w:r>
      </w:hyperlink>
      <w:r>
        <w:rPr/>
        <w:t>. Az ötletek a platformon, munkacsoportokon, plenáris üléseken, valamint az ügyvezető testülettel, a társelnökökkel és a közös titkársággal való közvetlen kapcsolatfelvételen keresztül táplálták a konferenciát.</w:t>
      </w:r>
    </w:p>
    <w:p>
      <w:pPr>
        <w:pStyle w:val="Normal"/>
        <w:rPr/>
      </w:pPr>
      <w:r>
        <w:rPr/>
        <w:t>Az Európai Bizottság tagállami képviseletei, a Europe Direct központok, az európai dokumentációs központok és az EP kapcsolattartó irodái aktívan tájékoztatták a polgárokat az Európa jövőjéről szóló konferenciáról. Az Európai Bizottság képviseletei 1400 olyan tevékenységről számoltak be, amelyek Európa-szerte segítették a konferencia kommunikációját és végrehajtását. Több mint 850 rendezvényt szerveztek vagy vettek aktívan részt, amelyek mintegy 65%-a fiatalokat és nőket célozott meg a konferencián való részvételük ösztönzésére. Az EP kapcsolattartó irodái több mint 1300 promóciós tevékenységet szerveztek a tagállamokban.</w:t>
      </w:r>
    </w:p>
    <w:p>
      <w:pPr>
        <w:pStyle w:val="Normal"/>
        <w:rPr/>
      </w:pPr>
      <w:r>
        <w:rPr/>
        <w:t>A konferencia láthatóságának növelése érdekében tematikus munkaértekezleteket is szerveztek a konferencia fő témáiról az európai parlamenti képviselők, a polgárok, az érdekelt felek, a nemzeti és regionális hatóságok, valamint a helyi média jelenlétében. Az Európai Dokumentációs Központok több mint 120 fellépésről számoltak be a konferencia kommunikációjával kapcsolatban.</w:t>
      </w:r>
    </w:p>
    <w:p>
      <w:pPr>
        <w:pStyle w:val="Normal"/>
        <w:rPr/>
      </w:pPr>
      <w:r>
        <w:rPr/>
        <w:t>A Europe Direct központok több mint 1000 tematikus eseményről számoltak be a konferenciáról és több mint 600 promóciós tevékenységről, köztük ifjúsági csoportok és szervezetek széles köréről. Az Európai Dokumentációs Központok több mint 120 fellépésről számoltak be a konferencia kommunikációjával kapcsolatban.</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1"/>
        <w:numPr>
          <w:ilvl w:val="0"/>
          <w:numId w:val="2"/>
        </w:numPr>
        <w:rPr/>
      </w:pPr>
      <w:bookmarkStart w:id="32" w:name="__RefHeading___Toc298238_1346298689"/>
      <w:bookmarkEnd w:id="32"/>
      <w:r>
        <w:rPr/>
        <w:t>III. RÉSZ. A konferencia plenáris ülése</w:t>
      </w:r>
    </w:p>
    <w:p>
      <w:pPr>
        <w:pStyle w:val="Normal"/>
        <w:rPr/>
      </w:pPr>
      <w:r>
        <w:rPr/>
      </w:r>
      <w:r>
        <w:br w:type="page"/>
      </w:r>
    </w:p>
    <w:p>
      <w:pPr>
        <w:pStyle w:val="Titre2"/>
        <w:numPr>
          <w:ilvl w:val="1"/>
          <w:numId w:val="2"/>
        </w:numPr>
        <w:rPr/>
      </w:pPr>
      <w:bookmarkStart w:id="33" w:name="__RefHeading___Toc298240_1346298689"/>
      <w:bookmarkEnd w:id="33"/>
      <w:r>
        <w:rPr/>
        <w:t>A. A Közgyűlés szerepe és működése</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Corpsdetexte"/>
        <w:rPr/>
      </w:pPr>
      <w:r>
        <w:rPr/>
        <w:t>A konferencia plenáris ülését hozták létre, hogy megvitassák a nemzeti és európai polgári vitacsoportok által megfogalmazott, téma szerint csoportosított ajánlásokat, anélkül, hogy a viták kimenetelét előzetesen meghatároznák, vagy hogy azok hatóköre előre meghatározott szakpolitikai területekre korlátozódjon.</w:t>
      </w:r>
    </w:p>
    <w:p>
      <w:pPr>
        <w:pStyle w:val="Corpsdetexte"/>
        <w:rPr/>
      </w:pPr>
      <w:r>
        <w:rPr/>
        <w:t>Adott esetben megvitatták a többnyelvű platformon begyűjtött hozzászólásokat is. A plenáris ülésnek egyedülálló összetétele volt: ez volt az első alkalom, hogy az európai és nemzeti polgári rendezvényeket és testületeket képviselő polgárok, az uniós intézmények és tanácsadó szerveik képviselői, nemzeti, regionális és helyi szinten megválasztott képviselők, valamint a civil társadalom és a szociális partnerek képviselői voltak.</w:t>
      </w:r>
    </w:p>
    <w:p>
      <w:pPr>
        <w:pStyle w:val="Corpsdetexte"/>
        <w:rPr/>
      </w:pPr>
      <w:r>
        <w:rPr/>
        <w:t>Az ajánlásokat a polgárok ismertették és megvitatták velük; ezt követően a plenáris ülésnek konszenzusos alapon be kellett nyújtania javaslatait</w:t>
      </w:r>
      <w:r>
        <w:rPr>
          <w:rStyle w:val="Ancredenotedebasdepage"/>
          <w:rStyle w:val="Ancredenotedebasdepage"/>
        </w:rPr>
        <w:footnoteReference w:id="7"/>
      </w:r>
      <w:r>
        <w:rPr/>
        <w:t xml:space="preserve"> az igazgatótanácsnak. A konferencia plenáris ülése 2021 júniusa és 2022 áprilisa között hét alkalommal ülésezett.</w:t>
      </w:r>
    </w:p>
    <w:p>
      <w:pPr>
        <w:pStyle w:val="Corpsdetexte"/>
        <w:rPr/>
      </w:pPr>
      <w:r>
        <w:rPr/>
        <w:t>A konferencia plenáris ülése az Európai Parlament 108 képviselőjéből, a Tanács 54 képviselőjéből és az</w:t>
      </w:r>
      <w:r>
        <w:rPr>
          <w:rStyle w:val="Ancredenotedebasdepage"/>
          <w:rStyle w:val="Ancredenotedebasdepage"/>
        </w:rPr>
        <w:footnoteReference w:id="8"/>
      </w:r>
      <w:r>
        <w:rPr/>
        <w:t>Európai Bizottság három képviselőjéből, valamint az összes nemzeti parlament 108 egyenrangú képviselőjéből és a polgárokból állt.</w:t>
      </w:r>
    </w:p>
    <w:p>
      <w:pPr>
        <w:pStyle w:val="Corpsdetexte"/>
        <w:rPr/>
      </w:pPr>
      <w:r>
        <w:rPr/>
        <w:t>Az európai polgári vitacsoportok nyolcvan képviselője, akiknek legalább egyharmada 25 év alatti volt, az Európai Ifjúsági Fórum elnöke és 27</w:t>
      </w:r>
      <w:r>
        <w:rPr>
          <w:rStyle w:val="Ancredenotedebasdepage"/>
          <w:rStyle w:val="Ancredenotedebasdepage"/>
        </w:rPr>
        <w:footnoteReference w:id="9"/>
      </w:r>
      <w:r>
        <w:rPr/>
        <w:t xml:space="preserve"> nemzeti rendezvény és/vagy nemzeti polgári testület is részt vett.</w:t>
      </w:r>
    </w:p>
    <w:p>
      <w:pPr>
        <w:pStyle w:val="Corpsdetexte"/>
        <w:rPr/>
      </w:pPr>
      <w:r>
        <w:rPr/>
        <w:t>Szintén részt vett a Régiók Bizottsága tizennyolc képviselője, a Gazdasági és Szociális Bizottság 18 képviselője, a regionális önkormányzatok hat választott képviselője és a helyi önkormányzatok hat választott képviselője, a szociális partnerek 12 képviselője és a civil társadalom nyolc képviselője is. Az Unió külügyi és biztonságpolitikai főképviselőjét felkérték, hogy vitassa meg az EU nemzetközi szerepét.</w:t>
      </w:r>
    </w:p>
    <w:p>
      <w:pPr>
        <w:pStyle w:val="Corpsdetexte"/>
        <w:rPr/>
      </w:pPr>
      <w:r>
        <w:rPr/>
        <w:t>Meghívták a legfontosabb érdekelt felek, például a nyugat-balkáni, ukrán, vallási, világnézeti és nem világnézeti csoportok képviselőit is.</w:t>
      </w:r>
    </w:p>
    <w:p>
      <w:pPr>
        <w:pStyle w:val="Corpsdetexte"/>
        <w:rPr/>
      </w:pPr>
      <w:r>
        <w:rPr/>
        <w:t>A Közgyűlés ülésein a konferencia társelnökei közösen elnökölnek. A konferencia plenáris üléseire az Európai Parlament strasbourgi épületeiben került sor. Az alkalmazandó egészségvédelmi és biztonsági szabályok miatt a konferencia plenáris ülésének első öt ülésére hibrid formában, az utolsó kettőre pedig személyesen került sor. A konferencia plenáris üléseit élőben közvetítették, és az ülések dokumentumait a többnyelvű digitális platformon hozzáférhetővé tették a nyilvánosság számára.</w:t>
      </w:r>
    </w:p>
    <w:p>
      <w:pPr>
        <w:pStyle w:val="Normal"/>
        <w:rPr/>
      </w:pPr>
      <w:r>
        <w:rPr/>
      </w:r>
    </w:p>
    <w:p>
      <w:pPr>
        <w:pStyle w:val="Normal"/>
        <w:rPr/>
      </w:pPr>
      <w:r>
        <w:rPr/>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2"/>
        <w:numPr>
          <w:ilvl w:val="1"/>
          <w:numId w:val="2"/>
        </w:numPr>
        <w:rPr/>
      </w:pPr>
      <w:bookmarkStart w:id="34" w:name="__RefHeading___Toc298242_1346298689"/>
      <w:bookmarkEnd w:id="34"/>
      <w:r>
        <w:rPr/>
        <w:t>B. Munkacsoportok</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A konferencia eljárási szabályzatával összhangban a társelnökök azt javasolják a konferencia plenáris ülésének, hogy a többnyelvű digitális platform témái alapján kilenc tematikus munkacsoportot hozzanak létre annak érdekében, hogy az együttes nyilatkozat paramétereivel összhangban hozzájáruljanak a konferencia plenáris ülése vitáinak és javaslatainak előkészítéséhez. A társelnökök 2021 októberében megállapodtak a munkacsoportok megbízatásáról. A különböző munkacsoportok a következő témákkal foglalkoztak: Az éghajlatváltozás és a környezet; Egészség; Erősebb gazdaság, társadalmi igazságosság és foglalkoztatás; Az EU a világban; Értékek és jogok, jogállamiság, biztonság; Digitális transzformáció; Az európai demokrácia; Migráció; oktatás, kultúra, ifjúság és sport.</w:t>
      </w:r>
    </w:p>
    <w:p>
      <w:pPr>
        <w:pStyle w:val="Normal"/>
        <w:rPr/>
      </w:pPr>
      <w:r>
        <w:rPr/>
        <w:t>A munkacsoportok az adott nemzeti és európai polgári vitacsoportok ajánlásainak, valamint a konferencia keretében összegyűjtött kilenc témáról a többnyelvű digitális platformon közzétett hozzászólásoknak a megvizsgálásával ismertették a konferencia plenáris üléséhez való hozzájárulásukat. A konferencia plenáris ülésének tagjait a következőképpen osztották fel a kilenc munkacsoport között: az Európai Parlament és a nemzeti parlamentek munkacsoportonként tizenkét tagja, hat a Tanács, három a nemzeti polgári bizottságok vagy nemzeti rendezvények képviselői, kettő a Régiók Bizottsága, kettő a Gazdasági és Szociális Bizottság, egy vagy két a szociális partnerek, egy vagy két a civil társadalom, egy a helyi és regionális önkormányzatok választott tagjai, valamint az európai polgári panelek képviselői. Az európai polgári vitacsoportok képviselői részt vettek a testületükért felelős munkacsoport munkájában. Emellett külön intézkedéseket hoztak annak érdekében, hogy a biztosi testület tagjai portfóliójuknak megfelelően részt vehessenek a munkacsoportokban.</w:t>
      </w:r>
    </w:p>
    <w:p>
      <w:pPr>
        <w:pStyle w:val="Normal"/>
        <w:rPr/>
      </w:pPr>
      <w:r>
        <w:rPr/>
        <w:t>A munkacsoportok élénk vitákat folytattak, és az elnök és a szóvivő irányítása alatt kidolgozott javaslattervezeteken dolgoztak, akiket a munkacsoport európai polgári testületeinek képviselői közül választottak ki, a közös titkárság segítségével. A munkacsoportoknak a konferencia eljárási szabályzatának 17. cikkében meghatározott konszenzus alapján kell dolgozniuk. Ezt követően az elnök és a szóvivő ismerteti a munkacsoport eredményeit a Közgyűlés előtt. A munkacsoport elnökét a közös titkárság segítette. A konferencia közös titkársága az elnök irányítása mellett és a munkacsoport tagjaival konzultálva összefoglaló jelentéseket készített a munkacsoport minden üléséről.</w:t>
      </w:r>
    </w:p>
    <w:p>
      <w:pPr>
        <w:pStyle w:val="Normal"/>
        <w:rPr/>
      </w:pPr>
      <w:r>
        <w:rPr/>
        <w:t>A munkacsoportok a konferencia plenáris üléseinek alkalmával üléseztek 2021 októbere és 2022. április 8. között, valamint 2021 decemberében online. Egyes munkacsoportok további üléseket tartottak. A munkacsoport üléseit 2022. január 20-tól élőben közvetítették. Összefoglaló jelentéseiket a többnyelvű digitális platform „konferencia plenáris ülése” szekciójában megfelelően közzétették.</w:t>
      </w:r>
    </w:p>
    <w:p>
      <w:pPr>
        <w:pStyle w:val="Normal"/>
        <w:rPr/>
      </w:pPr>
      <w:r>
        <w:rPr/>
      </w:r>
    </w:p>
    <w:p>
      <w:pPr>
        <w:pStyle w:val="Normal"/>
        <w:rPr/>
      </w:pPr>
      <w:r>
        <w:rPr/>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2"/>
        <w:numPr>
          <w:ilvl w:val="1"/>
          <w:numId w:val="2"/>
        </w:numPr>
        <w:rPr/>
      </w:pPr>
      <w:bookmarkStart w:id="35" w:name="__RefHeading___Toc298244_1346298689"/>
      <w:bookmarkEnd w:id="35"/>
      <w:r>
        <w:rPr/>
        <w:t>C. Kronológiai összefoglaló</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A KONFERENCIA ALAKULÓ PLENÁRIS ÜLÉSE, 2021. JÚNIUS 19.</w:t>
      </w:r>
    </w:p>
    <w:p>
      <w:pPr>
        <w:pStyle w:val="Normal"/>
        <w:rPr/>
      </w:pPr>
      <w:r>
        <w:rPr/>
        <w:t>A konferencia alakuló plenáris ülésére 2021. június 19-én került sor hibrid formában</w:t>
      </w:r>
      <w:r>
        <w:rPr>
          <w:rStyle w:val="Ancredenotedebasdepage"/>
          <w:rStyle w:val="Ancredenotedebasdepage"/>
        </w:rPr>
        <w:footnoteReference w:id="10"/>
      </w:r>
      <w:r>
        <w:rPr/>
        <w:t>. Lehetővé tette a plenáris ülés tagjai számára, hogy előadást hallgassanak meg, és általános vitát tartsanak a konferencia céljairól és elvárásairól. A társelnökök hangsúlyozták az uniós szintű deliberatív demokrácia példa nélküli jellegét, amely megerősítette a képviseleti demokráciát, és a polgárokat helyezi a politikai döntéshozatal középpontjába az Európai Unióban. A társelnökök felvázolták a konferencia három pillérének működését is: a többnyelvű digitális platform, az európai és nemzeti polgári vitacsoportok és a plenáris ülés.</w:t>
      </w:r>
    </w:p>
    <w:p>
      <w:pPr>
        <w:pStyle w:val="Normal"/>
        <w:rPr/>
      </w:pPr>
      <w:r>
        <w:rPr/>
        <w:t>Emellett a plenáris ülés tagjait tájékoztatták arról a szándékról, hogy kilenc tematikus munkacsoportot hoznak létre, valamint a konferencia naptárát. Az ezt követő vitában, amelyben több mint 150 résztvevő szólalt fel, számos témát vitattak meg. Mivel az európai polgári vitacsoportok résztvevőinek kiválasztása még nem zárult le, az Európai Ifjúsági Fórum elnöke és a nemzeti rendezvények 27 képviselője és/vagy a nemzeti polgári vitacsoportok 27 képviselője vett részt a polgári elem képviseletében.</w:t>
      </w:r>
    </w:p>
    <w:p>
      <w:pPr>
        <w:pStyle w:val="Normal"/>
        <w:rPr/>
      </w:pPr>
      <w:r>
        <w:rPr>
          <w:b/>
          <w:i/>
          <w:u w:val="single"/>
        </w:rPr>
        <w:t>A KONFERENCIA MÁSODIK PLENÁRIS ÜLÉSE, 2021. OKTÓBER 22–23.</w:t>
      </w:r>
      <w:r>
        <w:rPr/>
        <w:t xml:space="preserve"> </w:t>
      </w:r>
    </w:p>
    <w:p>
      <w:pPr>
        <w:pStyle w:val="Normal"/>
        <w:rPr/>
      </w:pPr>
      <w:r>
        <w:rPr/>
        <w:t>A konferencia második plenáris ülésére 2021. október 22–23-án került sor hibrid formában, első alkalommal az európai polgári vitacsoportok képviselőinek részvételével. A plenáris tagoknak lehetőségük nyílt arra, hogy előadást tartsanak a négy európai polgári vitacsoport aktuális helyzetéről, és vitát tartsanak. Emellett a nemzeti rendezvények és panelek képviselői bemutathatták a nemzeti szinten szervezett eseményeket. Az európai ifjúsági rendezvényről (EYE) szóló jelentést a konferencia plenáris ülése elé terjesztették; áttekintést nyújtott az ülésen részt vevő fiatalok által kiválasztott 20 konkrét ötletről.</w:t>
      </w:r>
    </w:p>
    <w:p>
      <w:pPr>
        <w:pStyle w:val="Normal"/>
        <w:rPr/>
      </w:pPr>
      <w:r>
        <w:rPr/>
        <w:t>Az ezt követő vitában hangsúlyt fektettek a többnyelvű digitális platform innovatív jellegére, amely a polgároknak hangot adott a fejezetben, és teret adott a vitának az EU valamennyi hivatalos nyelvén. Ez a vita a platformról szóló második időközi jelentésen alapult. A nyugat-balkáni partnereket felkérték, hogy kulcsfontosságú érdekelt felekként vegyenek részt ezen a plenáris ülésen.</w:t>
      </w:r>
    </w:p>
    <w:p>
      <w:pPr>
        <w:pStyle w:val="Normal"/>
        <w:rPr/>
      </w:pPr>
      <w:r>
        <w:rPr>
          <w:b/>
          <w:i/>
          <w:u w:val="single"/>
        </w:rPr>
        <w:t>A KONFERENCIA HARMADIK PLENÁRIS ÜLÉSE, 2022. JANUÁR 21–22.</w:t>
      </w:r>
      <w:r>
        <w:rPr/>
        <w:t xml:space="preserve"> </w:t>
      </w:r>
    </w:p>
    <w:p>
      <w:pPr>
        <w:pStyle w:val="Normal"/>
        <w:rPr/>
      </w:pPr>
      <w:r>
        <w:rPr/>
        <w:t>A konferencia harmadik plenáris ülése, amelyre 2022. január 21–22-én került sor, elsőként az európai polgári panelek és a kapcsolódó nemzeti polgári panelek ajánlásainak hivatalos bemutatására irányult. Ez a plenáris ülés volt az első, amelyre néhány európai polgári testület ajánlásainak véglegesítése után került sor, nevezetesen: panelek (Európai Demokrácia; értékek és jogok, jogállamiság, biztonság) és 3 (Éghajlatváltozás és környezetvédelem; egészség). A plenáris ülésre hibrid formában került sor, és a konferencia plenáris ülésének több mint 400 tagja vett részt a helyszínen vagy távolról.</w:t>
      </w:r>
    </w:p>
    <w:p>
      <w:pPr>
        <w:pStyle w:val="Normal"/>
        <w:rPr/>
      </w:pPr>
      <w:r>
        <w:rPr/>
        <w:t>Ezen a plenáris ülésen David Maria Sassoli, az Európai Parlament elnöke röviddel korábban elhunyt. A társelnökök az ülés megnyitásakor tisztelegnek emlékezete előtt. A plenáris ülés vitáit témánként szervezték, a 2. és 3. európai polgári vitacsoport által tárgyalt témákról.</w:t>
      </w:r>
    </w:p>
    <w:p>
      <w:pPr>
        <w:pStyle w:val="Normal"/>
        <w:rPr/>
      </w:pPr>
      <w:r>
        <w:rPr/>
        <w:t>A megbeszélésekre innovatív interaktív formában került sor, beleértve a polgárok visszajelzéseinek szentelt pillanatokat, valamint a „kék kártya” kérdések speciális rendszerét, amely spontán és élénk eszmecserét tett lehetővé a polgárok ajánlásairól.</w:t>
      </w:r>
    </w:p>
    <w:p>
      <w:pPr>
        <w:pStyle w:val="Normal"/>
        <w:rPr/>
      </w:pPr>
      <w:r>
        <w:rPr>
          <w:b/>
          <w:i/>
          <w:u w:val="single"/>
        </w:rPr>
        <w:t>A KONFERENCIA NEGYEDIK PLENÁRIS ÜLÉSE, 2022. MÁRCIUS 11–12.</w:t>
      </w:r>
      <w:r>
        <w:rPr/>
        <w:t xml:space="preserve"> </w:t>
      </w:r>
    </w:p>
    <w:p>
      <w:pPr>
        <w:pStyle w:val="Normal"/>
        <w:rPr/>
      </w:pPr>
      <w:r>
        <w:rPr/>
        <w:t>A konferencia negyedik plenáris közgyűlése az európai polgári vitacsoportok és a kapcsolódó nemzeti polgári panelek ajánlásainak bemutatásával is foglalkozott. A plenáris ülésre a fennmaradó két európai polgári vitacsoport ajánlásainak véglegesítését követően került sor, nevezetesen: panelek (Erősebb gazdaság, társadalmi igazságosság és foglalkoztatás; oktatás, kultúra, ifjúság és sport; digitális átalakulás) és 4 (az EU a világban; migráció).</w:t>
      </w:r>
    </w:p>
    <w:p>
      <w:pPr>
        <w:pStyle w:val="Normal"/>
        <w:rPr/>
      </w:pPr>
      <w:r>
        <w:rPr/>
        <w:t>A januári plenáris üléshez hasonlóan a plenáris ülés vitáit téma szerint szervezték. Az ezúttal megvitatott témák az 1. és 4. európai polgári vitacsoport témái voltak. A polgárok ajánlásairól folytatott megbeszélések ismét élénk és mélyreható eszmecseréket eredményeztek, amelyeket innovatív interaktív formátum támogat.</w:t>
      </w:r>
    </w:p>
    <w:p>
      <w:pPr>
        <w:pStyle w:val="Normal"/>
        <w:rPr/>
      </w:pPr>
      <w:r>
        <w:rPr>
          <w:b/>
          <w:i/>
          <w:u w:val="single"/>
        </w:rPr>
        <w:t>A KONFERENCIA ÖTÖDIK PLENÁRIS ÜLÉSE, 2022. MÁRCIUS 25–26.</w:t>
      </w:r>
      <w:r>
        <w:rPr/>
        <w:t xml:space="preserve"> </w:t>
      </w:r>
    </w:p>
    <w:p>
      <w:pPr>
        <w:pStyle w:val="Normal"/>
        <w:rPr/>
      </w:pPr>
      <w:r>
        <w:rPr/>
        <w:t>Az ötödik plenáris ülés a konferencia következő szakaszába lépett, és elindította a plenáris ülés javaslatainak a polgárok által tett ajánlások alapján történő meghatározására irányuló folyamatot. Ezért a plenáris ülés tagjai, miután felkészültek a munkacsoportok kisebb tematikus keretébe, első ízben tartottak vitát a konferencia kilenc témájáról: erősebb gazdaság, társadalmi igazságosság és foglalkoztatás; oktatás, kultúra, ifjúság és sport; digitális transzformáció; Az európai demokrácia; értékek és jogok, jogállamiság, biztonság; az éghajlatváltozás és a környezet; egészség; az EU a világban; a migráció. Ez a plenáris ülés lehetőséget biztosított a 27 uniós tagállamban szervezett nemzeti rendezvények képviselői számára is, hogy ismertessék kezdeményezéseik eredményeit.</w:t>
      </w:r>
    </w:p>
    <w:p>
      <w:pPr>
        <w:pStyle w:val="Normal"/>
        <w:rPr/>
      </w:pPr>
      <w:r>
        <w:rPr>
          <w:b/>
          <w:i/>
          <w:u w:val="single"/>
        </w:rPr>
        <w:t>A KONFERENCIA HATODIK PLENÁRIS ÜLÉSE, 2022. ÁPRILIS 8–9.</w:t>
      </w:r>
      <w:r>
        <w:rPr/>
        <w:t xml:space="preserve"> </w:t>
      </w:r>
    </w:p>
    <w:p>
      <w:pPr>
        <w:pStyle w:val="Normal"/>
        <w:rPr/>
      </w:pPr>
      <w:r>
        <w:rPr/>
        <w:t>A konferencia hatodik plenáris ülésén lezárult a plenáris ülés javaslattervezeteinek véglegesítése.</w:t>
      </w:r>
    </w:p>
    <w:p>
      <w:pPr>
        <w:pStyle w:val="Normal"/>
        <w:rPr/>
      </w:pPr>
      <w:r>
        <w:rPr/>
        <w:t>Miután a tematikus munkacsoportok legutóbbi ülései lezárultak, a plenáris ülés valamennyi tagja kilenc érdemi vita keretében kifejtette nézeteit és észrevételeit az elmúlt hónapokban elkészített javaslattervezetekkel kapcsolatban. Ez a csere alkalmat nyújtott számukra arra is, hogy elgondolkodjanak a plenáris ülések javaslatainak a polgárok ajánlásain alapuló kidolgozásának egyedülálló folyamatáról, valamint a megfogalmazásuk óta végzett munkáról. A polgárok különösen hangsúlyozták e tanácskozási folyamat egyedülálló emberi tapasztalatát és hozzáadott értékét, amely egyesítette őket e közös projekt körül. Ez a vita beépült a konferencia legutóbbi plenáris ülése elé terjesztendő végleges javaslattervezetekbe.</w:t>
      </w:r>
    </w:p>
    <w:p>
      <w:pPr>
        <w:pStyle w:val="Normal"/>
        <w:rPr/>
      </w:pPr>
      <w:r>
        <w:rPr>
          <w:b/>
          <w:i/>
          <w:u w:val="single"/>
        </w:rPr>
        <w:t>A KONFERENCIA HETEDIK PLENÁRIS ÜLÉSE, 2022. ÁPRILIS 29–30.</w:t>
      </w:r>
      <w:r>
        <w:rPr/>
        <w:t xml:space="preserve"> </w:t>
      </w:r>
    </w:p>
    <w:p>
      <w:pPr>
        <w:pStyle w:val="Normal"/>
        <w:rPr/>
      </w:pPr>
      <w:r>
        <w:rPr/>
        <w:t>Az Európa jövőjéről szóló konferencia hetedik és egyben utolsó plenáris ülése fontos mérföldkő volt, amely 49 javaslat megfogalmazásával több hónapig tartó intenzív tanácskozási folyamatot zárt le. A 49 javaslatot a plenáris ülés konszenzussal terjesztette elő és fogalmazta meg az igazgatótanácsnak. Ez a konszenzus az Európai Parlament, a Tanács, az Európai Bizottság és a nemzeti parlamentek képviselői között jött létre.</w:t>
      </w:r>
    </w:p>
    <w:p>
      <w:pPr>
        <w:pStyle w:val="Normal"/>
        <w:rPr/>
      </w:pPr>
      <w:r>
        <w:rPr/>
        <w:t xml:space="preserve">A Régiók Bizottsága és az Európai Gazdasági és Szociális Bizottság képviselői, a regionális és helyi választott képviselők, valamint a szociális partnerek és a civil társadalom képviselői is kifejezték támogatásukat a folyamat iránt, és támogatták a javaslatokat. </w:t>
      </w:r>
    </w:p>
    <w:p>
      <w:pPr>
        <w:pStyle w:val="Normal"/>
        <w:rPr/>
      </w:pPr>
      <w:r>
        <w:rPr/>
        <w:t>A polgári komponens ismertette a javaslatokkal kapcsolatos végleges álláspontját (lásd alább a legfontosabb üzeneteket).</w:t>
      </w:r>
    </w:p>
    <w:p>
      <w:pPr>
        <w:sectPr>
          <w:footnotePr>
            <w:numFmt w:val="upperRoman"/>
          </w:footnotePr>
          <w:type w:val="continuous"/>
          <w:pgSz w:w="11906" w:h="16838"/>
          <w:pgMar w:left="1134" w:right="1134" w:header="1134" w:top="1700" w:footer="1134" w:bottom="1727" w:gutter="0"/>
          <w:cols w:num="2" w:space="170" w:equalWidth="true" w:sep="false"/>
          <w:formProt w:val="false"/>
          <w:textDirection w:val="lrTb"/>
          <w:docGrid w:type="default" w:linePitch="312" w:charSpace="0"/>
        </w:sectPr>
      </w:pPr>
    </w:p>
    <w:p>
      <w:pPr>
        <w:pStyle w:val="Normal"/>
        <w:rPr/>
      </w:pPr>
      <w:r>
        <w:rPr/>
      </w:r>
    </w:p>
    <w:p>
      <w:pPr>
        <w:pStyle w:val="P68B1DB1Normal13"/>
        <w:shd w:val="clear" w:fill="EEEEEE"/>
        <w:rPr>
          <w:i/>
          <w:i/>
          <w:sz w:val="20"/>
        </w:rPr>
      </w:pPr>
      <w:r>
        <w:rPr/>
        <w:t>A záró plenáris ülésen (2022. április 29–30.) a polgárok komponensének 108 polgára ismertette végleges álláspontját a plenáris ülés javaslataival kapcsolatban. Előadásukat közösen fogalmazták meg, és közülük 17-en mutattak be narratív beszéd formájában, a záró vita során. Az alábbi szöveg a felszólalásaik legfontosabb üzeneteinek összefoglalását tartalmazza.</w:t>
      </w:r>
    </w:p>
    <w:p>
      <w:pPr>
        <w:pStyle w:val="P68B1DB1Normal14"/>
        <w:shd w:val="clear" w:fill="EEEEEE"/>
        <w:jc w:val="center"/>
        <w:rPr>
          <w:sz w:val="20"/>
        </w:rPr>
      </w:pPr>
      <w:r>
        <w:rPr/>
        <w:t>**</w:t>
      </w:r>
    </w:p>
    <w:p>
      <w:pPr>
        <w:pStyle w:val="P68B1DB1Normal14"/>
        <w:shd w:val="clear" w:fill="EEEEEE"/>
        <w:rPr>
          <w:sz w:val="20"/>
        </w:rPr>
      </w:pPr>
      <w:r>
        <w:rPr/>
        <w:t>Először is köszönetet mondunk az Európai Parlamentnek, a Tanácsnak és a Bizottságnak, hogy lehetőséget adtunk arra, hogy segítsünk Európa jövőjének alakításában. Különböző vitacsoportokból és rendezvényekről, politikai képviselőkkel és társadalmi szereplőkkel találkoztunk az Unió egész területéről érkező európai kollégákkal, és kiterjesztettük látókörünket. Európaiként nőttünk fel. Ezért mindannyian áldozatokat hoztunk: kivettek minket a mindennapi életünkből, szabadnapokat vettünk ki, és az európai polgári vitacsoportok tagjai számára kilenc hétvégét töltöttünk el családjainktól. Hihetetlen és egyedülálló élményben volt részünk. Számunkra ez nem időpocsékolás volt.</w:t>
      </w:r>
    </w:p>
    <w:p>
      <w:pPr>
        <w:pStyle w:val="P68B1DB1Normal14"/>
        <w:shd w:val="clear" w:fill="EEEEEE"/>
        <w:rPr>
          <w:sz w:val="20"/>
        </w:rPr>
      </w:pPr>
      <w:r>
        <w:rPr/>
        <w:t>Voltak felfelé és lefelé az út mentén. Kérdéseinkre nem mindig kaptunk választ. Tudjuk, hogy időbe telik a javaslatok végrehajtása. Meg vagyunk azonban győződve arról, hogy a közös munkánk iránti tiszteletből mindent megtesztek ennek elérése érdekében. Ha mi, a polgárok képesek voltunk leküzdeni nézeteltéréseinket, nyelvi akadályainkat, hogy együtt dolgozzunk és az Önök szintjére emeljük magunkat, akkor ti is megtehetjük.</w:t>
      </w:r>
    </w:p>
    <w:p>
      <w:pPr>
        <w:pStyle w:val="P68B1DB1Normal14"/>
        <w:shd w:val="clear" w:fill="EEEEEE"/>
        <w:jc w:val="center"/>
        <w:rPr>
          <w:sz w:val="20"/>
        </w:rPr>
      </w:pPr>
      <w:r>
        <w:rPr/>
        <w:t>**</w:t>
      </w:r>
    </w:p>
    <w:p>
      <w:pPr>
        <w:pStyle w:val="P68B1DB1Normal14"/>
        <w:shd w:val="clear" w:fill="EEEEEE"/>
        <w:rPr>
          <w:sz w:val="20"/>
        </w:rPr>
      </w:pPr>
      <w:r>
        <w:rPr/>
        <w:t>Mindannyian hosszú utat tettünk meg, és most, hogy a plenáris ülésen végzett munkánknak vége, büszkék lehetünk rá. Nyolc olyan átfogó témát látunk, amelyek egyértelmű és határozott mandátumot adnak Európa jövőjére nézve.</w:t>
      </w:r>
    </w:p>
    <w:p>
      <w:pPr>
        <w:pStyle w:val="P68B1DB1Normal14"/>
        <w:shd w:val="clear" w:fill="EEEEEE"/>
        <w:rPr>
          <w:sz w:val="20"/>
        </w:rPr>
      </w:pPr>
      <w:r>
        <w:rPr>
          <w:b/>
        </w:rPr>
        <w:t>Először is</w:t>
      </w:r>
      <w:r>
        <w:rPr/>
        <w:t>, a szolidaritáson, a társadalmi igazságosságon és az egyenlőségen alapuló Európai Unió. A polgárok számára komoly aggodalomra ad okot, hogy a különböző területeken egyenlő feltételeket és jogokat találjanak: egészségügyi ellátás, szociális szolgáltatások, egész életen át tartó tanulás, a vidéki és városi területeken élők esélyegyenlősége, figyelembe véve a demográfiai szempontokat. A jövőben az összes tagállamban és régióban az európai polgárokat már nem lehet életkoruk, lakóhelyük, állampolgárságuk, nemük, vallásuk vagy politikai preferenciáik alapján hátrányos megkülönböztetésben részesíteni. Tisztességes életszínvonalat, béreket és munkakörülményeket kell biztosítani számukra. Az EU-nak többnek kell lennie, mint gazdasági uniónak. A tagállamoknak nagyobb szolidaritást kell tanúsítaniuk egymással. Egy család vagyunk, és így kell viselkednünk válsághelyzetekben.</w:t>
      </w:r>
    </w:p>
    <w:p>
      <w:pPr>
        <w:pStyle w:val="P68B1DB1Normal14"/>
        <w:shd w:val="clear" w:fill="EEEEEE"/>
        <w:rPr>
          <w:sz w:val="20"/>
        </w:rPr>
      </w:pPr>
      <w:r>
        <w:rPr>
          <w:b/>
        </w:rPr>
        <w:t>Másodszor</w:t>
      </w:r>
      <w:r>
        <w:rPr/>
        <w:t>, az EU-nak bátran és gyorsan fel kell lépnie ahhoz, hogy vezető szerepet töltsön be a környezet és az éghajlat terén, felgyorsítva a zöld energiára való átállást, javítva vasúti hálózatát, ösztönözve a fenntartható közlekedést és a valóban körforgásos gazdaságot. Nincs vesztegetni való időnk. Az EU-nak számos szakpolitikai területen ösztönöznie kell a változásokat: mezőgazdaság, biológiai sokféleség, gazdaság, energia, közlekedés, oktatás, egészségügy, digitális átalakulás és klímadiplomácia. Ehhez megvan a kutatási képességünk, gazdasági erőnk és geopolitikai befolyásunk. Ha az éghajlatot prioritássá tesszük, reménykedhetünk egy virágzó jövőben.</w:t>
      </w:r>
    </w:p>
    <w:p>
      <w:pPr>
        <w:pStyle w:val="P68B1DB1Normal14"/>
        <w:shd w:val="clear" w:fill="EEEEEE"/>
        <w:rPr>
          <w:sz w:val="20"/>
        </w:rPr>
      </w:pPr>
      <w:r>
        <w:rPr>
          <w:b/>
        </w:rPr>
        <w:t>Harmadszor</w:t>
      </w:r>
      <w:r>
        <w:rPr/>
        <w:t>, Európának demokratikusabb Unióra van szüksége. Az európai polgárok szeretik az EU-t, de legyünk őszinték: nem mindig könnyű. Megkértél minket, hogy segítsünk, és azt kérdezted: hogyan fog kinézni az európai demokrácia a jövőben? És mi azt feleltük: Mi, polgárok olyan Európát akarunk, amelyben a döntéseket átlátható és gyors módon hozzák meg, ahol újragondolják az egyhangúság elvét, és amelyben mi, a polgárok rendszeresen és komolyan részt veszünk.</w:t>
      </w:r>
    </w:p>
    <w:p>
      <w:pPr>
        <w:pStyle w:val="P68B1DB1Normal14"/>
        <w:shd w:val="clear" w:fill="EEEEEE"/>
        <w:rPr>
          <w:sz w:val="20"/>
        </w:rPr>
      </w:pPr>
      <w:r>
        <w:rPr>
          <w:b/>
        </w:rPr>
        <w:t>Negyedszer</w:t>
      </w:r>
      <w:r>
        <w:rPr/>
        <w:t>, az EU-nak több harmonizációra van szüksége egyes területeken, és ahhoz, hogy Unióként közelebb kerüljön egymáshoz. A háború keleti kapuinknál csap le, ami arra szólít fel, hogy minden eddiginél egységesebbek legyünk, és az EU-nak több külpolitikai készséget adjunk. Ez a konferencia alapul szolgálhat egy egységesebb és politikailag koherensebb Európa megteremtéséhez. Minden ebből a szóból fakad: Ez az Unió. Nem nevezhetjük magunkat ilyennek, ha nem érjük el azt az együttműködést, amit ez a konferencia szemléltetett.</w:t>
      </w:r>
    </w:p>
    <w:p>
      <w:pPr>
        <w:pStyle w:val="P68B1DB1Normal14"/>
        <w:shd w:val="clear" w:fill="EEEEEE"/>
        <w:rPr>
          <w:sz w:val="20"/>
        </w:rPr>
      </w:pPr>
      <w:r>
        <w:rPr>
          <w:b/>
        </w:rPr>
        <w:t>Ötödször</w:t>
      </w:r>
      <w:r>
        <w:rPr/>
        <w:t>, az EU-nak autonómiát kell szereznie, és biztosítania kell globális versenyképességét. E folyamat során arról beszéltünk, hogy ezt a célt kulcsfontosságú stratégiai területeken érjük el: mezőgazdaság, energia, ipar, egészségügy. Számos érzékeny termék esetében el kell kerülnünk, hogy harmadik országoktól függjünk. A munkaerő tehetségére kell építenünk, meg kell akadályoznunk az agyelszívást, és megfelelő szakképzést kell biztosítanunk a polgárok számára életük minden szakaszában, függetlenül attól, hogy hol élnek az EU-ban. Nem létezhetnek hatalmas különbségek az EU-n belül és a fiatalok között anélkül, hogy az egyik országban perspektívát ne látnánk, és arra kényszerülnénk, hogy egy másikba menjenek.</w:t>
      </w:r>
    </w:p>
    <w:p>
      <w:pPr>
        <w:pStyle w:val="P68B1DB1Normal14"/>
        <w:shd w:val="clear" w:fill="EEEEEE"/>
        <w:rPr>
          <w:sz w:val="20"/>
        </w:rPr>
      </w:pPr>
      <w:r>
        <w:rPr>
          <w:b/>
        </w:rPr>
        <w:t>Hatodszor</w:t>
      </w:r>
      <w:r>
        <w:rPr/>
        <w:t>, az EU jövője az uniós értékeken alapul. Ezek vezérelték munkánkat. Amikor elkezdtük, senki sem gondolta volna, hogy háború tör ki a kontinensünkön. Ez a szabadságharc tudatosítja bennünk a lehetőséget, hogy békés unióban éljünk. Javaslataink mögött ezek az értékek nyilvánulnak meg: a migránsok emberséges és méltóságteljes befogadása, az egészségügyi ellátáshoz való egyenlő hozzáférés, a korrupció elleni küzdelem, a természet és a biológiai sokféleség védelmére irányuló felhívás, valamint egy demokratikusabb Unió.</w:t>
      </w:r>
    </w:p>
    <w:p>
      <w:pPr>
        <w:pStyle w:val="P68B1DB1Normal14"/>
        <w:shd w:val="clear" w:fill="EEEEEE"/>
        <w:rPr>
          <w:sz w:val="20"/>
        </w:rPr>
      </w:pPr>
      <w:r>
        <w:rPr>
          <w:b/>
        </w:rPr>
        <w:t>Hetedszer</w:t>
      </w:r>
      <w:r>
        <w:rPr/>
        <w:t>, a jövőben a polgároknak európaibbnak kell lenniük, és jobban meg kell ismerniük az EU-t. Ez egy átfogó kérdés, amely valamennyi panel munkáját alátámasztotta. A digitális átalakulás, az oktatás, a mobilitás és a cserék tartalommal ruházhatják fel ezt az európai identitást, amely – anélkül, hogy megkérdőjelezné őket – kiegészíti nemzeti identitásainkat. Sokan közülünk nem érezték európainak ezt a konferenciát: lassan, egymást váltva jelent meg itt. Szerencsénk volt, hogy ilyen lehetőségünk volt, de sokan nem. Ezért olyan fontos az információ, a kommunikáció és a tudatosság.</w:t>
      </w:r>
    </w:p>
    <w:p>
      <w:pPr>
        <w:pStyle w:val="P68B1DB1Normal14"/>
        <w:shd w:val="clear" w:fill="EEEEEE"/>
        <w:rPr>
          <w:sz w:val="20"/>
        </w:rPr>
      </w:pPr>
      <w:r>
        <w:rPr/>
        <w:t xml:space="preserve">Végül a </w:t>
      </w:r>
      <w:r>
        <w:rPr>
          <w:b/>
        </w:rPr>
        <w:t>nyolcadik</w:t>
      </w:r>
      <w:r>
        <w:rPr/>
        <w:t>, számunkra rendkívül fontos horizontális téma az oktatás és általában a polgárok szerepvállalásának növelése. Erre a konferenciára úgy döntött, hogy 16 éves kortól meghívja a polgárokat. Hálásak vagyunk ezért, mert minden eddiginél nagyobb szükség van a fiatalok szerepvállalására. A fiatalok tartózkodásának magas aránya azt mutatja, hogy az ifjúság és a politika közötti kapcsolatot újra össze kell kapcsolni. Gazdaságilag és társadalmilag is elszámoltathatónak kell lenniük: még mindig túl nehéz belépni a munkaerőpiacra, és érvényesíteni a szociális jogokat. A Covid19-világjárvány alatt elhagyatottnak érezték magukat, és sokan még mindig szenvednek a mentális egészségükre gyakorolt következményektől. De minden európainak képesnek kell lennie, nem csak a fiataloknak: a mobilitási programok és az egész életen át tartó tanulás révén valamennyi európai polgár látókörét ki kell szélesítenünk. A polgárokat is ki kell képeznünk a demokráciára, a polgári részvételre és a médiaműveltségre. Valóban holisztikus megközelítésre van szükség.</w:t>
      </w:r>
    </w:p>
    <w:p>
      <w:pPr>
        <w:pStyle w:val="P68B1DB1Normal14"/>
        <w:shd w:val="clear" w:fill="EEEEEE"/>
        <w:jc w:val="center"/>
        <w:rPr>
          <w:sz w:val="20"/>
        </w:rPr>
      </w:pPr>
      <w:r>
        <w:rPr/>
        <w:t>**</w:t>
      </w:r>
    </w:p>
    <w:p>
      <w:pPr>
        <w:pStyle w:val="P68B1DB1Normal14"/>
        <w:shd w:val="clear" w:fill="EEEEEE"/>
        <w:rPr>
          <w:sz w:val="20"/>
        </w:rPr>
      </w:pPr>
      <w:r>
        <w:rPr/>
        <w:t>Senki sem tudta, mi lesz az eredmény. 27 ország, 24 nyelv, különböző korúak. És mégis, amikor együtt dolgoztunk, úgy éreztük, hogy kapcsolatban vagyunk: az agyunk, a gondolataink, a tapasztalataink. Nem vagyunk az EU szakértői vagy a konferencia egyik témája, hanem valós szakértők vagyunk, és megvannak a történeteink. Munkába megyünk, vidéken és külvárosban élünk, éjjel dolgozunk, tanulunk, gyerekeink vannak, tömegközlekedéssel utazunk. Számíthatunk a sokszínűségünkre. Konszenzus született a javaslatokkal kapcsolatban a négy különböző összetevő között, valamint a polgári komponensen belül. Egyetértünk és támogatunk minden olyan javaslatot, amely most az Ön kezében van. Eltérő álláspontot képviselünk a 38.4. intézkedés harmadik pontjával kapcsolatban, mivel az nem európai vagy nemzeti munkacsoportokból származik, és nem került megfelelően megvitatásra az Egész Munkacsoportban. Ezért nem kommentáljuk az intézkedés lényegét vagy relevanciáját. Ezt szem előtt tartva arra kérjük Önöket, hogy fontolják meg ezeket a javaslatokat, és ne csak azokat, amelyek a leginkább megfelelnek Önnek és könnyen alkalmazhatóak. Tegye átláthatóan. Elkötelezetten és szenvedéllyel dolgoztunk ezeken a javaslatokon, büszkék vagyunk a munkánkra: tiszteld őt.</w:t>
      </w:r>
    </w:p>
    <w:p>
      <w:pPr>
        <w:pStyle w:val="P68B1DB1Normal14"/>
        <w:shd w:val="clear" w:fill="EEEEEE"/>
        <w:rPr>
          <w:sz w:val="20"/>
        </w:rPr>
      </w:pPr>
      <w:r>
        <w:rPr/>
        <w:t>Az Európa jövőjéről szóló konferencia világjárványon ment keresztül, és Európában háborúnak volt szemtanúja, amely teljes szolidaritást tanúsított az ukrán néppel. Az év hektikus volt a résztvevők és minden európai számára. De a konferencia folytatta munkáját a szél és a dagály ellen. A konferencia polgárai nevében engedje meg, hogy egyszerű üzenetet küldjünk Önnek: európainak érezzük magunkat, elkötelezettnek érezzük magunkat és meghallgatjuk a demokratizálódás folyamatát, hiszünk az EU-ban, és továbbra is hinni akarunk benne. Tehát szívünk mélyéből jól olvassa el a javaslatokat, és hajtsa végre azokat Európa jövője érdekében.</w:t>
      </w:r>
    </w:p>
    <w:p>
      <w:pPr>
        <w:pStyle w:val="Normal"/>
        <w:shd w:val="clear" w:fill="EEEEEE"/>
        <w:rPr/>
      </w:pPr>
      <w:r>
        <w:rPr/>
      </w:r>
    </w:p>
    <w:p>
      <w:pPr>
        <w:pStyle w:val="Corpsdetexte"/>
        <w:rPr/>
      </w:pPr>
      <w:r>
        <w:rPr/>
        <w:t>A plenáris ülés tanácsi komponensének</w:t>
      </w:r>
      <w:r>
        <w:br w:type="page"/>
      </w:r>
    </w:p>
    <w:p>
      <w:pPr>
        <w:pStyle w:val="Normal"/>
        <w:rPr/>
      </w:pPr>
      <w:r>
        <w:rPr/>
        <w:t>képviselői tartózkodtak a javaslatok lényegével kapcsolatos észrevételektől, ehelyett támogatták és ösztönözték a polgárok tevékenységeit, és tudomásul vették ajánlásaikat. 2022. május 9. után a Tanács meghatározza, hogy saját hatáskörén belül és a Szerződésekkel összhangban hogyan kövesse nyomon a konferencia eredményeit.</w:t>
      </w:r>
    </w:p>
    <w:p>
      <w:pPr>
        <w:pStyle w:val="Normal"/>
        <w:rPr/>
      </w:pPr>
      <w:r>
        <w:rPr/>
      </w:r>
    </w:p>
    <w:p>
      <w:pPr>
        <w:pStyle w:val="Corpsdetexte"/>
        <w:rPr/>
      </w:pPr>
      <w:r>
        <w:rPr/>
        <w:t>Az Európa jövőjéről szóló konferencia végrehajtó testülete tudomásul veszi a Közgyűlés által tett javaslatokat, és azokat a konferencia végső eredményének tekinti. Az Európa jövőjével kapcsolatos iránymutatást nyújtó javaslatok csaknem egy évnyi tanácskozást követően érkeztek be, az együttes nyilatkozatban és a konferencia eljárási szabályzatában meghatározott keretek között.</w:t>
      </w:r>
    </w:p>
    <w:p>
      <w:pPr>
        <w:pStyle w:val="Normal"/>
        <w:rPr/>
      </w:pPr>
      <w:r>
        <w:rPr/>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spacing w:before="9574" w:after="57"/>
        <w:rPr/>
      </w:pPr>
      <w:r>
        <w:rPr/>
        <w:drawing>
          <wp:anchor behindDoc="0" distT="0" distB="0" distL="0" distR="0" simplePos="0" locked="0" layoutInCell="1" allowOverlap="1" relativeHeight="5">
            <wp:simplePos x="0" y="0"/>
            <wp:positionH relativeFrom="column">
              <wp:align>center</wp:align>
            </wp:positionH>
            <wp:positionV relativeFrom="paragraph">
              <wp:posOffset>635</wp:posOffset>
            </wp:positionV>
            <wp:extent cx="6120130" cy="6079490"/>
            <wp:effectExtent l="0" t="0" r="0" b="0"/>
            <wp:wrapSquare wrapText="largest"/>
            <wp:docPr id="60" name="Képgaléria"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Képgaléria" descr=""/>
                    <pic:cNvPicPr>
                      <a:picLocks noChangeAspect="1" noChangeArrowheads="1"/>
                    </pic:cNvPicPr>
                  </pic:nvPicPr>
                  <pic:blipFill>
                    <a:blip r:embed="rId72"/>
                    <a:stretch>
                      <a:fillRect/>
                    </a:stretch>
                  </pic:blipFill>
                  <pic:spPr bwMode="auto">
                    <a:xfrm>
                      <a:off x="0" y="0"/>
                      <a:ext cx="6120130" cy="6079490"/>
                    </a:xfrm>
                    <a:prstGeom prst="rect">
                      <a:avLst/>
                    </a:prstGeom>
                  </pic:spPr>
                </pic:pic>
              </a:graphicData>
            </a:graphic>
          </wp:anchor>
        </w:drawing>
      </w:r>
      <w:r>
        <w:br w:type="page"/>
      </w:r>
    </w:p>
    <w:p>
      <w:pPr>
        <w:pStyle w:val="Titre1"/>
        <w:numPr>
          <w:ilvl w:val="0"/>
          <w:numId w:val="2"/>
        </w:numPr>
        <w:rPr/>
      </w:pPr>
      <w:bookmarkStart w:id="36" w:name="__RefHeading___Toc298246_1346298689"/>
      <w:bookmarkEnd w:id="36"/>
      <w:r>
        <w:rPr/>
        <w:t xml:space="preserve">IV. – IGEN. A Közgyűlés javaslatai </w:t>
      </w:r>
      <w:r>
        <w:br w:type="page"/>
      </w:r>
    </w:p>
    <w:p>
      <w:pPr>
        <w:pStyle w:val="Normal"/>
        <w:rPr/>
      </w:pPr>
      <w:r>
        <w:rPr/>
        <w:drawing>
          <wp:anchor behindDoc="0" distT="0" distB="0" distL="0" distR="0" simplePos="0" locked="0" layoutInCell="1" allowOverlap="1" relativeHeight="3">
            <wp:simplePos x="0" y="0"/>
            <wp:positionH relativeFrom="column">
              <wp:posOffset>1270</wp:posOffset>
            </wp:positionH>
            <wp:positionV relativeFrom="paragraph">
              <wp:posOffset>635</wp:posOffset>
            </wp:positionV>
            <wp:extent cx="913765" cy="913765"/>
            <wp:effectExtent l="0" t="0" r="0" b="0"/>
            <wp:wrapSquare wrapText="largest"/>
            <wp:docPr id="61" name="Kép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Kép21" descr=""/>
                    <pic:cNvPicPr>
                      <a:picLocks noChangeAspect="1" noChangeArrowheads="1"/>
                    </pic:cNvPicPr>
                  </pic:nvPicPr>
                  <pic:blipFill>
                    <a:blip r:embed="rId73"/>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37" w:name="__RefHeading___Toc298248_1346298689"/>
      <w:bookmarkEnd w:id="37"/>
      <w:r>
        <w:rPr/>
        <w:t>Éghajlatváltozás és környezetvédelem</w:t>
      </w:r>
    </w:p>
    <w:p>
      <w:pPr>
        <w:pStyle w:val="Titre3"/>
        <w:numPr>
          <w:ilvl w:val="2"/>
          <w:numId w:val="2"/>
        </w:numPr>
        <w:rPr/>
      </w:pPr>
      <w:bookmarkStart w:id="38" w:name="__RefHeading___Toc298250_1346298689"/>
      <w:bookmarkEnd w:id="38"/>
      <w:r>
        <w:rPr/>
        <w:t>1. Javaslat: Mezőgazdaság, élelmiszer-termelés, biológiai sokféleség és ökoszisztémák, szennyezés</w:t>
      </w:r>
    </w:p>
    <w:p>
      <w:pPr>
        <w:pStyle w:val="P68B1DB1Normal15"/>
        <w:rPr>
          <w:b/>
          <w:b/>
        </w:rPr>
      </w:pPr>
      <w:r>
        <w:rPr/>
        <w:t>A cél: Biztonságos, fenntartható, méltányos, éghajlatra reagáló és megfizethető élelmiszer-termelés, amely tiszteletben tartja a fenntarthatóság és a környezet elveit, valamint védi a biológiai sokféleséget és az ökoszisztémákat, miközben biztosítja az élelmezésbiztonságot.</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Intézkedések:</w:t>
      </w:r>
    </w:p>
    <w:p>
      <w:pPr>
        <w:pStyle w:val="Puce3"/>
        <w:rPr/>
      </w:pPr>
      <w:r>
        <w:rPr/>
        <w:t>1.</w:t>
        <w:tab/>
        <w:t>A zöld és kék gazdaság koncepcióinak előtérbe helyezése azáltal, hogy előmozdítja a hatékony, környezetvédelmi és éghajlatbarát mezőgazdaságot és halászatot az EU-ban és világszerte, beleértve a biogazdálkodást és más innovatív és fenntartható mezőgazdasági formákat, például a vertikális mezőgazdaságot, amelyek több termelést tesznek lehetővé kevesebb ráfordítással, miközben csökkentik a kibocsátásokat és a környezeti hatásokat, de továbbra is biztosítják a termelékenységet és az élelmezésbiztonságot (3., 1., 2. és 10. ajánlás); panel – 4. ajánlás).</w:t>
      </w:r>
    </w:p>
    <w:p>
      <w:pPr>
        <w:pStyle w:val="Puce3"/>
        <w:rPr/>
      </w:pPr>
      <w:r>
        <w:rPr/>
        <w:t>2.</w:t>
        <w:tab/>
        <w:t>A támogatások átirányítása és az olyan ökológiai és fenntartható mezőgazdaságra irányuló ösztönzők megerősítése, amelyek megfelelnek a konkrét környezetvédelmi normáknak, és hozzájárulnak a globális éghajlat-politikai célok eléréséhez (3. testület – 1. és 12. ajánlás).</w:t>
      </w:r>
    </w:p>
    <w:p>
      <w:pPr>
        <w:pStyle w:val="Puce3"/>
        <w:rPr/>
      </w:pPr>
      <w:r>
        <w:rPr/>
        <w:t>3.</w:t>
        <w:tab/>
        <w:t>A körforgásos gazdaság elveinek alkalmazása a mezőgazdaságban és az élelmiszer-pazarlás elleni küzdelemre irányuló intézkedések ösztönzése (vita a munkacsoportban, többnyelvű digitális platform – NPC).</w:t>
      </w:r>
    </w:p>
    <w:p>
      <w:pPr>
        <w:pStyle w:val="Puce3"/>
        <w:rPr/>
      </w:pPr>
      <w:r>
        <w:rPr/>
        <w:t>4.</w:t>
        <w:tab/>
        <w:t>A meglévő célkitűzésekkel összhangban jelentősen csökkentse a peszticidek és műtrágyák használatát, miközben továbbra is biztosítja az élelmiszer-biztonságot, és támogatja a fenntarthatóbb és természetalapú alternatívák kifejlesztésére irányuló kutatást (3. panel – 10. ajánlás, vita a munkacsoportban).</w:t>
      </w:r>
    </w:p>
    <w:p>
      <w:pPr>
        <w:pStyle w:val="Puce3"/>
        <w:rPr/>
      </w:pPr>
      <w:r>
        <w:rPr/>
        <w:t>5.</w:t>
        <w:tab/>
        <w:t>A szén-dioxid-eltávolítás megbízható, megbízható és átlátható szén-dioxid-elszámoláson alapuló tanúsításának bevezetése (plenáris vita).</w:t>
      </w:r>
    </w:p>
    <w:p>
      <w:pPr>
        <w:pStyle w:val="Puce3"/>
        <w:rPr/>
      </w:pPr>
      <w:r>
        <w:rPr/>
        <w:t>6.</w:t>
        <w:tab/>
        <w:t>A kutatás és az innováció fokozása, különösen a fenntartható termeléshez, a kártevőkkel szembeni ellenálló képességhez és a precíziós mezőgazdasághoz kapcsolódó technológiai megoldások, valamint a mezőgazdasági termelők és a mezőgazdasági termelők kommunikációs, tanácsadó rendszerei és képzése terén (3. panel – 10. ajánlás, vita a munkacsoportban, plenáris vita).</w:t>
      </w:r>
    </w:p>
    <w:p>
      <w:pPr>
        <w:pStyle w:val="Puce3"/>
        <w:rPr/>
      </w:pPr>
      <w:r>
        <w:rPr/>
        <w:t>7.</w:t>
        <w:tab/>
        <w:t>Meg kell szüntetni a szociális dömpinget, és elő kell mozdítani a mezőgazdasági ágazatban a minőségi biztonsági, egészségügyi és munkakörülmények melletti jobb munkahelyekre való méltányos zöld átállást (vita a munkacsoportban).</w:t>
      </w:r>
    </w:p>
    <w:p>
      <w:pPr>
        <w:pStyle w:val="Puce3"/>
        <w:rPr/>
      </w:pPr>
      <w:r>
        <w:rPr/>
        <w:t>8.</w:t>
        <w:tab/>
        <w:t>Olyan szempontok megvitatása, mint a műanyag mezőgazdasági filmekben való felhasználása és a vízfogyasztás csökkentésének módjai a mezőgazdaságban (PNM).</w:t>
      </w:r>
    </w:p>
    <w:p>
      <w:pPr>
        <w:pStyle w:val="Puce3"/>
        <w:rPr/>
      </w:pPr>
      <w:r>
        <w:rPr/>
        <w:t>9.</w:t>
        <w:tab/>
        <w:t>Az indokolt hústenyésztés és -termelés az állatjólétre és a fenntarthatóságra összpontosított olyan intézkedések révén, mint az egyértelmű címkézés, a magas színvonalú és közös állattenyésztési és -szállítási előírások, valamint az állatok és a takarmányok közötti kapcsolat megerősítése (3. panel – 16. és 30. ajánlás).</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39" w:name="__RefHeading___Toc298252_1346298689"/>
      <w:bookmarkEnd w:id="39"/>
      <w:r>
        <w:rPr/>
        <w:t>2. Javaslat: Mezőgazdaság, élelmiszer-termelés, biológiai sokféleség és ökoszisztémák, szennyezés</w:t>
      </w:r>
    </w:p>
    <w:p>
      <w:pPr>
        <w:pStyle w:val="P68B1DB1Normal15"/>
        <w:rPr>
          <w:b/>
          <w:b/>
        </w:rPr>
      </w:pPr>
      <w:r>
        <w:rPr/>
        <w:t>A cél: A biológiai sokféleség, a táj és az óceánok védelme és helyreállítása, valamint a szennyezés felszámolása.</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40" w:name="__RefHeading___Toc298254_1346298689"/>
      <w:bookmarkEnd w:id="40"/>
      <w:r>
        <w:rPr/>
        <w:t>Intézkedések:</w:t>
      </w:r>
    </w:p>
    <w:p>
      <w:pPr>
        <w:pStyle w:val="Puce3"/>
        <w:tabs>
          <w:tab w:val="clear" w:pos="720"/>
        </w:tabs>
        <w:rPr/>
      </w:pPr>
      <w:r>
        <w:rPr/>
        <w:t>1.</w:t>
        <w:tab/>
        <w:t>Védett területek létrehozása, helyreállítása, kezelése és bővítése a biológiai sokféleség megőrzése érdekében (FR ajánlás, 3. panel – 11. ajánlás).</w:t>
      </w:r>
    </w:p>
    <w:p>
      <w:pPr>
        <w:pStyle w:val="Puce3"/>
        <w:tabs>
          <w:tab w:val="clear" w:pos="720"/>
        </w:tabs>
        <w:rPr/>
      </w:pPr>
      <w:r>
        <w:rPr/>
        <w:t>2.</w:t>
        <w:tab/>
        <w:t>Kényszerítő és jutalmazási rendszer létrehozása a szennyezés elleni küzdelem érdekében, a „szennyező fizet” elv alkalmazásával, amelyet szintén be kell építeni az adóintézkedésekbe, valamint nagyobb tudatossággal és ösztönzőkkel (3. panel – 32. ajánlás, FR ajánlás, plenáris vita).</w:t>
      </w:r>
    </w:p>
    <w:p>
      <w:pPr>
        <w:pStyle w:val="Puce3"/>
        <w:tabs>
          <w:tab w:val="clear" w:pos="720"/>
        </w:tabs>
        <w:rPr/>
      </w:pPr>
      <w:r>
        <w:rPr/>
        <w:t>3.</w:t>
        <w:tab/>
        <w:t>A települések szerepének bővítése a várostervezésben és a kék és zöld infrastruktúrát támogató új épületek építésében, a földterületek további lezárásának elkerülése és megszüntetése, az új építkezések kötelező zöldterületei a biológiai sokféleség és a városi erdők előmozdítása érdekében (3. panel – 5. ajánlás, 1. panel – 18. ajánlás, FR ajánlás).</w:t>
      </w:r>
    </w:p>
    <w:p>
      <w:pPr>
        <w:pStyle w:val="Puce3"/>
        <w:tabs>
          <w:tab w:val="clear" w:pos="720"/>
        </w:tabs>
        <w:rPr/>
      </w:pPr>
      <w:r>
        <w:rPr/>
        <w:t>4.</w:t>
        <w:tab/>
        <w:t>A rovarok, különösen az őshonos és beporzó fajok védelme, többek között az invazív fajok elleni védelem és a meglévő szabályok jobb érvényesítése révén (1. panel – 18. ajánlás).</w:t>
      </w:r>
    </w:p>
    <w:p>
      <w:pPr>
        <w:pStyle w:val="Puce3"/>
        <w:tabs>
          <w:tab w:val="clear" w:pos="720"/>
        </w:tabs>
        <w:rPr/>
      </w:pPr>
      <w:r>
        <w:rPr/>
        <w:t>5.</w:t>
        <w:tab/>
        <w:t>Támogatja az erdőtelepítést és az újraerdősítést, beleértve a tűz által elpusztított erdőket is, felelős erdőgazdálkodást alkalmaz, és ösztönzi a fa jobb felhasználását más anyagok helyettesítésére. Valamennyi uniós tagállamban kötelező nemzeti célokat határoz meg az őshonos fák és a helyi növényzet újraerdősítésére vonatkozóan, figyelembe véve a különböző nemzeti helyzeteket és sajátosságokat (3. panel – 14. ajánlás, 1. panel – 18. ajánlás).</w:t>
      </w:r>
    </w:p>
    <w:p>
      <w:pPr>
        <w:pStyle w:val="Puce3"/>
        <w:tabs>
          <w:tab w:val="clear" w:pos="720"/>
        </w:tabs>
        <w:rPr/>
      </w:pPr>
      <w:r>
        <w:rPr/>
        <w:t>6.</w:t>
        <w:tab/>
        <w:t>Az egyszer használatos műanyagokra (SMP) vonatkozó tilalom érvényesítése és kiterjesztése.</w:t>
      </w:r>
    </w:p>
    <w:p>
      <w:pPr>
        <w:pStyle w:val="Puce3"/>
        <w:tabs>
          <w:tab w:val="clear" w:pos="720"/>
        </w:tabs>
        <w:rPr/>
      </w:pPr>
      <w:r>
        <w:rPr/>
        <w:t>7.</w:t>
        <w:tab/>
        <w:t>A vízforrások védelme, valamint a folyó- és óceánszennyezés elleni küzdelem, többek között a kutatás és a mikroműanyag-szennyezés elleni küzdelem révén, valamint a környezetbarát közlekedés előmozdítása a rendelkezésre álló legjobb technológiák felhasználásával, valamint az alternatív tengeri üzemanyagok és technológiák uniós kutatásának és finanszírozásának létrehozása (NMP, vita a munkacsoportban).</w:t>
      </w:r>
    </w:p>
    <w:p>
      <w:pPr>
        <w:pStyle w:val="Puce3"/>
        <w:tabs>
          <w:tab w:val="clear" w:pos="720"/>
        </w:tabs>
        <w:rPr/>
      </w:pPr>
      <w:r>
        <w:rPr/>
        <w:t>8.</w:t>
        <w:tab/>
        <w:t>A fényszennyezés korlátozása (vita a munkacsoportban).</w:t>
      </w:r>
    </w:p>
    <w:p>
      <w:pPr>
        <w:pStyle w:val="Normal"/>
        <w:rPr/>
      </w:pPr>
      <w:r>
        <w:rPr/>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41" w:name="__RefHeading___Toc298256_1346298689"/>
      <w:bookmarkEnd w:id="41"/>
      <w:r>
        <w:rPr/>
        <w:t>3. Javaslat: Éghajlatváltozás, energia, közlekedés</w:t>
      </w:r>
    </w:p>
    <w:p>
      <w:pPr>
        <w:pStyle w:val="P68B1DB1Normal15"/>
        <w:rPr>
          <w:b/>
          <w:b/>
        </w:rPr>
      </w:pPr>
      <w:r>
        <w:rPr/>
        <w:t>A cél: Az európai energiabiztonság növelése és az Unió energiafüggetlenségének elérése a méltányos átállás biztosítása és az európaiak számára elegendő fenntartható és megfizethető energia biztosítása mellett. Az éghajlatváltozás kezelése azáltal, hogy az EU globális vezető szerepet tölt be a fenntartható energiapolitikában, és tiszteletben tartja a globális éghajlatvédelmi célkitűzéseket.</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42" w:name="__RefHeading___Toc298258_1346298689"/>
      <w:bookmarkEnd w:id="42"/>
      <w:r>
        <w:rPr/>
        <w:t>Intézkedések:</w:t>
      </w:r>
    </w:p>
    <w:p>
      <w:pPr>
        <w:pStyle w:val="Puce3"/>
        <w:tabs>
          <w:tab w:val="clear" w:pos="720"/>
        </w:tabs>
        <w:rPr/>
      </w:pPr>
      <w:r>
        <w:rPr/>
        <w:t>1.</w:t>
        <w:tab/>
        <w:t>A zöld átállás megvalósítása és – amennyiben lehetséges – felgyorsítása, többek között a megújuló energiába történő beruházások révén, a külső energiafüggőség csökkentése érdekében, elismerve a helyi és regionális önkormányzatok zöld átállásban betöltött szerepét is (vita a munkacsoportban).</w:t>
      </w:r>
    </w:p>
    <w:p>
      <w:pPr>
        <w:pStyle w:val="Puce3"/>
        <w:tabs>
          <w:tab w:val="clear" w:pos="720"/>
        </w:tabs>
        <w:rPr/>
      </w:pPr>
      <w:r>
        <w:rPr/>
        <w:t>2.</w:t>
        <w:tab/>
        <w:t>Az energiapolitikán belül vizsgálja meg a harmadik országok összes energiaszolgáltatójának geopolitikai és biztonsági vonatkozásait, különösen az emberi jogok, az ökológia, a jó kormányzás és a jogállamiság tekintetében (vita a munkacsoportban).</w:t>
      </w:r>
    </w:p>
    <w:p>
      <w:pPr>
        <w:pStyle w:val="Puce3"/>
        <w:tabs>
          <w:tab w:val="clear" w:pos="720"/>
        </w:tabs>
        <w:rPr/>
      </w:pPr>
      <w:r>
        <w:rPr/>
        <w:t>3.</w:t>
        <w:tab/>
        <w:t>Az olaj- és gázimporttól való függőség csökkentése energiahatékonysági projektek, megfizethető tömegközlekedés támogatása, nagy sebességű árufuvarozási vasúthálózat, valamint a tiszta és megújuló energiaellátás bővítése révén (4. panel – 2. ajánlás, 1. panel – 10. ajánlás, FR és DE ajánlások).</w:t>
      </w:r>
    </w:p>
    <w:p>
      <w:pPr>
        <w:pStyle w:val="Puce3"/>
        <w:tabs>
          <w:tab w:val="clear" w:pos="720"/>
        </w:tabs>
        <w:rPr/>
      </w:pPr>
      <w:r>
        <w:rPr/>
        <w:t>4.</w:t>
        <w:tab/>
        <w:t>A minőség és az összekapcsolhatóság javítása, a villamosenergia-infrastruktúra és a villamosenergia-hálózatok karbantartásának és átalakításának biztosítása a biztonság fokozása és a megújuló energiaforrásokra való átállás lehetővé tétele érdekében (1. panel – 10. ajánlás, vita a munkacsoportban).</w:t>
      </w:r>
    </w:p>
    <w:p>
      <w:pPr>
        <w:pStyle w:val="Puce3"/>
        <w:tabs>
          <w:tab w:val="clear" w:pos="720"/>
        </w:tabs>
        <w:rPr/>
      </w:pPr>
      <w:r>
        <w:rPr/>
        <w:t>5.</w:t>
        <w:tab/>
        <w:t>Beruházás a megújuló energia előállítására alkalmas technológiákba, például a zöld hidrogén hatékony előállításába, különösen a nehezen villamosítható ágazatokban (3. panel – 31. ajánlás, vita a munkacsoportban).</w:t>
      </w:r>
    </w:p>
    <w:p>
      <w:pPr>
        <w:pStyle w:val="Puce3"/>
        <w:tabs>
          <w:tab w:val="clear" w:pos="720"/>
        </w:tabs>
        <w:rPr/>
      </w:pPr>
      <w:r>
        <w:rPr/>
        <w:t>6.</w:t>
        <w:tab/>
        <w:t>Fektessenek be új energiaforrások és környezetbarát tárolási módszerek feltárásába, és a kézzelfogható megoldásig további beruházásokat eszközöljenek a meglévő optimális energiatermelési és -tárolási megoldásokba (3. testület – 9. és 31. ajánlás).</w:t>
      </w:r>
    </w:p>
    <w:p>
      <w:pPr>
        <w:pStyle w:val="Puce3"/>
        <w:tabs>
          <w:tab w:val="clear" w:pos="720"/>
        </w:tabs>
        <w:rPr/>
      </w:pPr>
      <w:r>
        <w:rPr/>
        <w:t>7.</w:t>
        <w:tab/>
        <w:t>A szén-dioxid-szűrők</w:t>
      </w:r>
      <w:r>
        <w:rPr>
          <w:vertAlign w:val="subscript"/>
        </w:rPr>
        <w:t>kötelezővé</w:t>
      </w:r>
      <w:r>
        <w:rPr/>
        <w:t xml:space="preserve"> tétele a fosszilis tüzelésű erőművekben, és pénzügyi támogatás nyújtása azon tagállamoknak, amelyek nem rendelkeznek pénzügyi forrásokkal a CO2-szűrők alkalmazásához (3.</w:t>
      </w:r>
      <w:r>
        <w:rPr>
          <w:vertAlign w:val="subscript"/>
        </w:rPr>
        <w:t>panel</w:t>
      </w:r>
      <w:r>
        <w:rPr/>
        <w:t xml:space="preserve"> – 29. ajánlás).</w:t>
      </w:r>
    </w:p>
    <w:p>
      <w:pPr>
        <w:pStyle w:val="Puce3"/>
        <w:tabs>
          <w:tab w:val="clear" w:pos="720"/>
        </w:tabs>
        <w:rPr/>
      </w:pPr>
      <w:r>
        <w:rPr/>
        <w:t>8.</w:t>
        <w:tab/>
        <w:t>Az igazságos átmenet biztosítása, a munkavállalók és a munkahelyek védelme az átmenet és a további kutatás megfelelő finanszírozása révén, az adórendszer reformja méltányosabb adózás és adócsalás elleni intézkedések révén, valamint a kormányzás inkluzív megközelítésének biztosítása a politikai döntéshozatalban minden szinten (pl. ambiciózus átképzési és továbbképzési intézkedések, erős szociális védelem, a közszolgáltatások állami kézben tartása, a munkahelyi egészségvédelmi és biztonsági szabályok fenntartása) (Plenáris vita, vita a munkacsoportban, az NPC-ben).</w:t>
      </w:r>
    </w:p>
    <w:p>
      <w:pPr>
        <w:pStyle w:val="Puce3"/>
        <w:tabs>
          <w:tab w:val="clear" w:pos="720"/>
        </w:tabs>
        <w:rPr/>
      </w:pPr>
      <w:r>
        <w:rPr/>
        <w:t>9.</w:t>
        <w:tab/>
        <w:t>Az éghajlatbarát technológiákra és innovációkra irányuló beruházási csomag bevezetése, amelyet az éghajlattal kapcsolatos behozatali vámok és az éghajlattal kapcsolatos szén-dioxid-kiigazítási illetékek révén kell finanszírozni (DE-ajánlás).</w:t>
      </w:r>
    </w:p>
    <w:p>
      <w:pPr>
        <w:pStyle w:val="Puce3"/>
        <w:tabs>
          <w:tab w:val="clear" w:pos="720"/>
        </w:tabs>
        <w:rPr/>
      </w:pPr>
      <w:r>
        <w:rPr/>
        <w:t>10.</w:t>
        <w:tab/>
        <w:t>Az átmeneti időszak végén a fosszilis tüzelőanyagok többé nem részesülhetnek támogatásban, és nem kerülhet sor a hagyományos gázinfrastruktúra finanszírozására (vita a munkacsoportban).</w:t>
      </w:r>
    </w:p>
    <w:p>
      <w:pPr>
        <w:pStyle w:val="Puce3"/>
        <w:tabs>
          <w:tab w:val="clear" w:pos="720"/>
        </w:tabs>
        <w:rPr/>
      </w:pPr>
      <w:r>
        <w:rPr/>
        <w:t>11.</w:t>
        <w:tab/>
        <w:t>Az EU vezető szerepének, szerepének és felelősségének növelése az ambiciózus éghajlat-politikai fellépés és a méltányos átállás előmozdítása terén, valamint hozzájárulás a veszteségekre és károkra való reagáláshoz a nemzetközi színtéren, ahol az ENSZ-nek kell a fellépés középpontjában állnia (NL-ajánlás, munkacsoporti vita).</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43" w:name="__RefHeading___Toc298260_1346298689"/>
      <w:bookmarkEnd w:id="43"/>
      <w:r>
        <w:rPr/>
        <w:t>4. Javaslat: Éghajlatváltozás, energia, közlekedés</w:t>
      </w:r>
    </w:p>
    <w:p>
      <w:pPr>
        <w:pStyle w:val="P68B1DB1Normal15"/>
        <w:rPr>
          <w:b/>
          <w:b/>
        </w:rPr>
      </w:pPr>
      <w:r>
        <w:rPr/>
        <w:t>A cél: Korszerű, biztonságos, ökológiai és minőségi infrastruktúra biztosítása, amely biztosítja a konnektivitást, többek között a vidéki és szigeti területeken, többek között megfizethető tömegközlekedés révén.</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44" w:name="__RefHeading___Toc298262_1346298689"/>
      <w:bookmarkEnd w:id="44"/>
      <w:r>
        <w:rPr/>
        <w:t>Intézkedések:</w:t>
      </w:r>
    </w:p>
    <w:p>
      <w:pPr>
        <w:pStyle w:val="Puce3"/>
        <w:tabs>
          <w:tab w:val="clear" w:pos="720"/>
        </w:tabs>
        <w:rPr/>
      </w:pPr>
      <w:r>
        <w:rPr/>
        <w:t>1.</w:t>
        <w:tab/>
        <w:t>Támogassa a tömegközlekedést, és fejlesszen ki egy hatékony, megbízható és megfizethető európai tömegközlekedési hálózatot, különösen a vidéki és szigeti területeken, a tömegközlekedés használatára irányuló további ösztönzők révén (3. panel – 36. ajánlás, 4. panel – 2. ajánlás).</w:t>
      </w:r>
    </w:p>
    <w:p>
      <w:pPr>
        <w:pStyle w:val="Puce3"/>
        <w:tabs>
          <w:tab w:val="clear" w:pos="720"/>
        </w:tabs>
        <w:rPr/>
      </w:pPr>
      <w:r>
        <w:rPr/>
        <w:t>2.</w:t>
        <w:tab/>
        <w:t>Fektessen be nagy sebességű éjszakai vonatokba, és egységes szabványt állapítson meg a környezetbarát vasúti technológia terén Európában, hogy hiteles alternatívát kínáljon, és megkönnyítse a rövid távú járatok cseréjének és elrettentésének lehetőségét (vita a munkacsoportban, az NPM-ben).</w:t>
      </w:r>
    </w:p>
    <w:p>
      <w:pPr>
        <w:pStyle w:val="Puce3"/>
        <w:tabs>
          <w:tab w:val="clear" w:pos="720"/>
        </w:tabs>
        <w:rPr/>
      </w:pPr>
      <w:r>
        <w:rPr/>
        <w:t>3.</w:t>
        <w:tab/>
        <w:t>Ösztönözni kell a vásárlást, figyelembe véve azok megfizethetőségét a háztartások számára, valamint a megfelelő akkumulátor-élettartamnak megfelelő elektromos járművek (közös) használatát, valamint a szükséges töltőinfrastruktúrába történő beruházásokat, valamint a villamosítás nehezen megvalósítható egyéb tiszta technológiák kifejlesztésébe történő beruházásokat (3. panel – 38. ajánlás).</w:t>
      </w:r>
    </w:p>
    <w:p>
      <w:pPr>
        <w:pStyle w:val="Puce3"/>
        <w:tabs>
          <w:tab w:val="clear" w:pos="720"/>
        </w:tabs>
        <w:rPr/>
      </w:pPr>
      <w:r>
        <w:rPr/>
        <w:t>4.</w:t>
        <w:tab/>
        <w:t>Széles sávú internet- és mobilhálózat létrehozása vidéki és szigeti területeken (3. panel – 36. ajánlás).</w:t>
      </w:r>
    </w:p>
    <w:p>
      <w:pPr>
        <w:pStyle w:val="Puce3"/>
        <w:tabs>
          <w:tab w:val="clear" w:pos="720"/>
        </w:tabs>
        <w:rPr/>
      </w:pPr>
      <w:r>
        <w:rPr/>
        <w:t>5.</w:t>
        <w:tab/>
        <w:t>A meglévő közlekedési infrastruktúra ökológiai szempontból történő javítása (3. panel – 37. ajánlás).</w:t>
      </w:r>
    </w:p>
    <w:p>
      <w:pPr>
        <w:pStyle w:val="Puce3"/>
        <w:tabs>
          <w:tab w:val="clear" w:pos="720"/>
        </w:tabs>
        <w:rPr/>
      </w:pPr>
      <w:r>
        <w:rPr/>
        <w:t>6.</w:t>
        <w:tab/>
        <w:t>Városfejlesztési programok előírása a kisebb kibocsátású „zöldebb” városok számára, ahol a városokban nincsenek autók, és nem károsítják a kereskedelmi területeket (3. panel – 6. ajánlás).</w:t>
      </w:r>
    </w:p>
    <w:p>
      <w:pPr>
        <w:pStyle w:val="Puce3"/>
        <w:tabs>
          <w:tab w:val="clear" w:pos="720"/>
        </w:tabs>
        <w:rPr/>
      </w:pPr>
      <w:r>
        <w:rPr/>
        <w:t>7.</w:t>
        <w:tab/>
        <w:t>A kerékpárok infrastruktúrájának javítása, valamint több jog és jogi védelem biztosítása a kerékpárosok és a gyalogosok számára, különösen gépjárműbalesetek esetén, a közúti biztonság garantálása és az útszabályzatra vonatkozó képzés biztosítása (3. testület – 4. ajánlás).</w:t>
      </w:r>
    </w:p>
    <w:p>
      <w:pPr>
        <w:pStyle w:val="Puce3"/>
        <w:tabs>
          <w:tab w:val="clear" w:pos="720"/>
        </w:tabs>
        <w:rPr/>
      </w:pPr>
      <w:r>
        <w:rPr/>
        <w:t>8.</w:t>
        <w:tab/>
        <w:t>Szabályozza a kriptovaluták bányászatát, amelyek jelentős mennyiségű energiát (PNM) használnak.</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Normal"/>
        <w:rPr/>
      </w:pPr>
      <w:r>
        <w:rPr/>
      </w:r>
      <w:r>
        <w:br w:type="page"/>
      </w:r>
    </w:p>
    <w:p>
      <w:pPr>
        <w:pStyle w:val="Titre3"/>
        <w:numPr>
          <w:ilvl w:val="2"/>
          <w:numId w:val="2"/>
        </w:numPr>
        <w:rPr/>
      </w:pPr>
      <w:bookmarkStart w:id="45" w:name="__RefHeading___Toc298264_1346298689"/>
      <w:bookmarkEnd w:id="45"/>
      <w:r>
        <w:rPr/>
        <w:t>5. Javaslat: Fenntartható fogyasztás, csomagolás és termelés</w:t>
      </w:r>
    </w:p>
    <w:p>
      <w:pPr>
        <w:pStyle w:val="P68B1DB1Normal15"/>
        <w:rPr>
          <w:b/>
          <w:b/>
        </w:rPr>
      </w:pPr>
      <w:r>
        <w:rPr/>
        <w:t>A cél: Az anyagok Unión belüli felhasználásának és kezelésének javítása a körforgásos gazdaság előmozdítása, önállóbbá válása és kevésbé függővé tétele érdekében. Körforgásos gazdaság kialakítása a fenntartható termelés és termékek Unión belüli ösztönzése révén. Annak biztosítása, hogy az uniós piacon forgalomba hozott valamennyi termék megfeleljen a közös uniós környezetvédelmi előírásoknak.</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46" w:name="__RefHeading___Toc298266_1346298689"/>
      <w:bookmarkEnd w:id="46"/>
      <w:r>
        <w:rPr/>
        <w:t>Intézkedések:</w:t>
      </w:r>
    </w:p>
    <w:p>
      <w:pPr>
        <w:pStyle w:val="Puce3"/>
        <w:tabs>
          <w:tab w:val="clear" w:pos="720"/>
        </w:tabs>
        <w:rPr/>
      </w:pPr>
      <w:r>
        <w:rPr/>
        <w:t>1.</w:t>
        <w:tab/>
        <w:t>Szigorúbb és harmonizált uniós termelési szabványok és átlátható címkézési rendszer az uniós piacon értékesített valamennyi termék esetében, tekintettel azok fenntarthatóságára/környezeti lábnyomára és hosszú élettartamára a QR-kód és az öko- vagy digitális termékútlevél révén (3. panel – 8., 13., 20. és 21. ajánlás, 1. panel – 16. ajánlás, 4. panel – 13. ajánlás – 13. ajánlás).</w:t>
      </w:r>
    </w:p>
    <w:p>
      <w:pPr>
        <w:pStyle w:val="Puce3"/>
        <w:tabs>
          <w:tab w:val="clear" w:pos="720"/>
        </w:tabs>
        <w:rPr/>
      </w:pPr>
      <w:r>
        <w:rPr/>
        <w:t>2.</w:t>
        <w:tab/>
        <w:t>A globális ellátási láncok felülvizsgálata, beleértve a mezőgazdasági termelést is, az EU függőségének csökkentése és az áramkörök lerövidítése érdekében.</w:t>
      </w:r>
    </w:p>
    <w:p>
      <w:pPr>
        <w:pStyle w:val="Puce3"/>
        <w:tabs>
          <w:tab w:val="clear" w:pos="720"/>
        </w:tabs>
        <w:rPr/>
      </w:pPr>
      <w:r>
        <w:rPr/>
        <w:t>3.</w:t>
        <w:tab/>
        <w:t>A hulladékkeletkezés további megelőzése megelőzési és újrafelhasználási célok meghatározásával, valamint a hulladékválogatási rendszerekre vonatkozó minőségi előírások meghatározásával (vita a munkacsoport FR ajánlásában).</w:t>
      </w:r>
    </w:p>
    <w:p>
      <w:pPr>
        <w:pStyle w:val="Puce3"/>
        <w:tabs>
          <w:tab w:val="clear" w:pos="720"/>
        </w:tabs>
        <w:rPr/>
      </w:pPr>
      <w:r>
        <w:rPr/>
        <w:t>4.</w:t>
        <w:tab/>
        <w:t>Fokozatosan szüntesse meg a nem fenntartható csomagolási formákat, szabályozza a környezetbarát csomagolást, és pénzügyi ösztönzőkkel és szankciókkal, valamint az alternatív kutatásba való beruházással elkerülje a csomagolóanyag-pazarlást (3. panel – 15. és 25. ajánlás, 1. panel – 12. ajánlás, 4. panel – 16. ajánlás).</w:t>
      </w:r>
    </w:p>
    <w:p>
      <w:pPr>
        <w:pStyle w:val="Puce3"/>
        <w:tabs>
          <w:tab w:val="clear" w:pos="720"/>
        </w:tabs>
        <w:rPr/>
      </w:pPr>
      <w:r>
        <w:rPr/>
        <w:t>5.</w:t>
        <w:tab/>
        <w:t>Vezesse be az európai csomagolási betéti rendszert és a konténerekre vonatkozó fejlett szabványokat (3. panel – 22. és 23. ajánlás, NPC).</w:t>
      </w:r>
    </w:p>
    <w:p>
      <w:pPr>
        <w:pStyle w:val="Puce3"/>
        <w:tabs>
          <w:tab w:val="clear" w:pos="720"/>
        </w:tabs>
        <w:rPr/>
      </w:pPr>
      <w:r>
        <w:rPr/>
        <w:t>6.</w:t>
        <w:tab/>
        <w:t>Uniós tudásplatform létrehozása a termékek fenntartható és hosszú távú használatának biztosításáról és azok javításának módjáról, beleértve a fogyasztói szervezetektől származó információkat is (3. panel – 20. ajánlás).</w:t>
      </w:r>
    </w:p>
    <w:p>
      <w:pPr>
        <w:pStyle w:val="Puce3"/>
        <w:tabs>
          <w:tab w:val="clear" w:pos="720"/>
        </w:tabs>
        <w:rPr/>
      </w:pPr>
      <w:r>
        <w:rPr/>
        <w:t>7.</w:t>
        <w:tab/>
        <w:t>Intézkedések bevezetése a korai vagy idő előtti elavulás leküzdésére, beleértve a tervezett elavulást is, hosszabb biztosítékok biztosítása, a javításhoz való jog előmozdítása, valamint a kompatibilis pótalkatrészek rendelkezésre állásának és hozzáférhetőségének biztosítása (3. panel – 20. ajánlás, FR ajánlás, DE ajánlás, 1. panel – 14. ajánlás).</w:t>
      </w:r>
    </w:p>
    <w:p>
      <w:pPr>
        <w:pStyle w:val="Puce3"/>
        <w:tabs>
          <w:tab w:val="clear" w:pos="720"/>
        </w:tabs>
        <w:rPr/>
      </w:pPr>
      <w:r>
        <w:rPr/>
        <w:t>8.</w:t>
        <w:tab/>
        <w:t>A másodlagos nyersanyagok piacának létrehozása, figyelembe véve az újrafeldolgozott tartalom kötelező arányát a nyersanyagok felhasználásának csökkentésével (vita a munkacsoportban).</w:t>
      </w:r>
    </w:p>
    <w:p>
      <w:pPr>
        <w:pStyle w:val="Puce3"/>
        <w:tabs>
          <w:tab w:val="clear" w:pos="720"/>
        </w:tabs>
        <w:rPr/>
      </w:pPr>
      <w:r>
        <w:rPr/>
        <w:t>9.</w:t>
        <w:tab/>
        <w:t>Ambiciózus textilstratégia gyors végrehajtása és egy olyan mechanizmus meghatározása, amelynek segítségével a fogyasztók megismerhetik, hogy a termék megfelel a fenntarthatósági kritériumoknak (3. panel – 28. ajánlás, vita a munkacsoportban).</w:t>
      </w:r>
    </w:p>
    <w:p>
      <w:pPr>
        <w:pStyle w:val="Puce3"/>
        <w:tabs>
          <w:tab w:val="clear" w:pos="720"/>
        </w:tabs>
        <w:rPr/>
      </w:pPr>
      <w:r>
        <w:rPr/>
        <w:t>10.</w:t>
        <w:tab/>
        <w:t>Uniós intézkedések annak érdekében, hogy a fogyasztók hosszabb ideig használhassák a termékeket, és erre ösztönözzék őket (3. panel – 20. ajánlás).</w:t>
      </w:r>
    </w:p>
    <w:p>
      <w:pPr>
        <w:pStyle w:val="Puce3"/>
        <w:tabs>
          <w:tab w:val="clear" w:pos="720"/>
        </w:tabs>
        <w:rPr/>
      </w:pPr>
      <w:r>
        <w:rPr/>
        <w:t>11.</w:t>
        <w:tab/>
        <w:t>A környezetvédelmi előírások megerősítése és a hulladékok EU-n belüli és harmadik országokba történő kivitelére vonatkozó szabályozások érvényesítése (4. panel – 15. ajánlás, NPC).</w:t>
      </w:r>
    </w:p>
    <w:p>
      <w:pPr>
        <w:pStyle w:val="Puce3"/>
        <w:tabs>
          <w:tab w:val="clear" w:pos="720"/>
        </w:tabs>
        <w:rPr/>
      </w:pPr>
      <w:r>
        <w:rPr/>
        <w:t>12.</w:t>
        <w:tab/>
        <w:t>A környezetre káros termékek reklámozásának korlátozására irányuló intézkedések bevezetése a környezetre különösen káros termékekre vonatkozó kötelező nyilatkozat bevezetésével (3. panel – 22. ajánlás).</w:t>
      </w:r>
    </w:p>
    <w:p>
      <w:pPr>
        <w:pStyle w:val="Puce3"/>
        <w:tabs>
          <w:tab w:val="clear" w:pos="720"/>
        </w:tabs>
        <w:rPr/>
      </w:pPr>
      <w:r>
        <w:rPr/>
        <w:t>13.</w:t>
        <w:tab/>
        <w:t>Szigorúbb gyártási szabványok és tisztességes munkakörülmények alkalmazása a teljes termelési és értékláncban (3. panel – 21. ajánlás).</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47" w:name="__RefHeading___Toc298268_1346298689"/>
      <w:bookmarkEnd w:id="47"/>
      <w:r>
        <w:rPr/>
        <w:t>6. Javaslat: Tájékoztatás, tudatosság, párbeszéd és életmód</w:t>
      </w:r>
    </w:p>
    <w:p>
      <w:pPr>
        <w:pStyle w:val="P68B1DB1Normal15"/>
        <w:rPr>
          <w:b/>
          <w:b/>
        </w:rPr>
      </w:pPr>
      <w:r>
        <w:rPr/>
        <w:t>A cél: A környezetvédelemről, az éghajlatváltozásról, az energiafelhasználásról és a fenntarthatóságról szóló ismeretek, tudatosság, oktatás és párbeszéd ösztönzése.</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48" w:name="__RefHeading___Toc298270_1346298689"/>
      <w:bookmarkEnd w:id="48"/>
      <w:r>
        <w:rPr/>
        <w:t>Intézkedések:</w:t>
      </w:r>
    </w:p>
    <w:p>
      <w:pPr>
        <w:pStyle w:val="Puce3"/>
        <w:tabs>
          <w:tab w:val="clear" w:pos="720"/>
        </w:tabs>
        <w:rPr/>
      </w:pPr>
      <w:r>
        <w:rPr/>
        <w:t>1.</w:t>
        <w:tab/>
        <w:t>Hozzon létre egy interaktív platformot, amelynek tényeit ellenőrizték annak érdekében, hogy változatos és rendszeresen frissített tudományos információkat nyújtson a környezetvédelem területén (3. panel – 33. ajánlás).</w:t>
      </w:r>
    </w:p>
    <w:p>
      <w:pPr>
        <w:pStyle w:val="Puce3"/>
        <w:tabs>
          <w:tab w:val="clear" w:pos="720"/>
        </w:tabs>
        <w:rPr/>
      </w:pPr>
      <w:r>
        <w:rPr/>
        <w:t>2.</w:t>
        <w:tab/>
        <w:t>Környezettudatos figyelemfelkeltő kampányok támogatása, beleértve egy hosszú távú európai kampányt a fenntartható fogyasztásért és életmódért (DE, NL és FR ajánlás, 3. panel – 7. ajánlás).</w:t>
      </w:r>
    </w:p>
    <w:p>
      <w:pPr>
        <w:pStyle w:val="Puce3"/>
        <w:tabs>
          <w:tab w:val="clear" w:pos="720"/>
        </w:tabs>
        <w:rPr/>
      </w:pPr>
      <w:r>
        <w:rPr/>
        <w:t>3.</w:t>
        <w:tab/>
        <w:t>A párbeszéd és a konzultációk ösztönzése és megkönnyítése a döntéshozatal valamennyi szintje között, különösen a fiatalokkal és helyi szinten (DE, NL és FR ajánlásai, 3. panel – 27. és 35. ajánlás, plenáris vita).</w:t>
      </w:r>
    </w:p>
    <w:p>
      <w:pPr>
        <w:pStyle w:val="Puce3"/>
        <w:tabs>
          <w:tab w:val="clear" w:pos="720"/>
        </w:tabs>
        <w:rPr/>
      </w:pPr>
      <w:r>
        <w:rPr/>
        <w:t>4.</w:t>
        <w:tab/>
        <w:t>Az Unió a tagállamok segítségével közös európai chartát határoz meg a környezetvédelmi kérdésekre és a környezettudatosság előmozdítására valamennyi polgár körében (3. panel – 7. ajánlás).</w:t>
      </w:r>
    </w:p>
    <w:p>
      <w:pPr>
        <w:pStyle w:val="Puce3"/>
        <w:tabs>
          <w:tab w:val="clear" w:pos="720"/>
        </w:tabs>
        <w:rPr/>
      </w:pPr>
      <w:r>
        <w:rPr/>
        <w:t>5.</w:t>
        <w:tab/>
        <w:t>Képzéseket és tananyagokat biztosít mindenki számára az éghajlattal és a fenntarthatósággal kapcsolatos ismeretek javítása, valamint a környezetvédelmi kérdésekkel kapcsolatos egész életen át tartó tanulás lehetővé tétele érdekében (1. panel – 15. és 35. ajánlás, 3. panel – 24. ajánlás, munkacsoporti vita).</w:t>
      </w:r>
    </w:p>
    <w:p>
      <w:pPr>
        <w:pStyle w:val="Puce3"/>
        <w:tabs>
          <w:tab w:val="clear" w:pos="720"/>
        </w:tabs>
        <w:rPr/>
      </w:pPr>
      <w:r>
        <w:rPr/>
        <w:t>6.</w:t>
        <w:tab/>
        <w:t>Integrálja az élelmiszertermelést és a biológiai sokféleség védelmét az oktatási rendszerbe, beleértve a feldolgozatlan élelmiszerek előnyeit a feldolgozott élelmiszerekkel szemben, és ösztönözze iskolai kertek létrehozását, valamint a városi kertészeti projektek és a vertikális mezőgazdaság számára nyújtott támogatások létrehozását (3. panel – 5. ajánlás, 1. panel – 18. ajánlás). Mérlegelje, hogy a biológiai sokféleség az iskolákban kötelező téma legyen, és médiakampányok és EU-szerte népszerűsített „versenyek” révén növelje a biológiai sokféleséggel kapcsolatos tudatosságot (helyi kormányzati versenyek) (3. panel – 5. ajánlás, 1. panel – 18. ajánlás).</w:t>
      </w:r>
    </w:p>
    <w:p>
      <w:pPr>
        <w:pStyle w:val="Puce3"/>
        <w:tabs>
          <w:tab w:val="clear" w:pos="720"/>
        </w:tabs>
        <w:rPr/>
      </w:pPr>
      <w:r>
        <w:rPr/>
        <w:t>7.</w:t>
        <w:tab/>
        <w:t>Az Unió szerepének és fellépésének megerősítése a környezetvédelem és az oktatás területén azáltal, hogy kiterjeszti az Unió hatásköreit az éghajlatváltozással és a környezettel kapcsolatos oktatás területén, valamint azáltal, hogy a minősített többséggel történő döntéshozatalt kiterjeszti az „európai érdekként” meghatározott témákra, például a környezetvédelemre (NL és FR ajánlások).</w:t>
      </w:r>
    </w:p>
    <w:p>
      <w:pPr>
        <w:pStyle w:val="Puce3"/>
        <w:tabs>
          <w:tab w:val="clear" w:pos="720"/>
        </w:tabs>
        <w:rPr/>
      </w:pPr>
      <w:r>
        <w:rPr/>
        <w:t>8.</w:t>
        <w:tab/>
        <w:t>A növénytáp népszerűsítése éghajlatvédelmi és környezetvédelmi okokból (PNM).</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Normal"/>
        <w:rPr/>
      </w:pPr>
      <w:r>
        <w:rPr/>
      </w:r>
      <w:r>
        <w:br w:type="page"/>
      </w:r>
    </w:p>
    <w:p>
      <w:pPr>
        <w:pStyle w:val="Normal"/>
        <w:rPr/>
      </w:pPr>
      <w:r>
        <w:rPr/>
        <w:drawing>
          <wp:anchor behindDoc="0" distT="0" distB="0" distL="0" distR="0" simplePos="0" locked="0" layoutInCell="1" allowOverlap="1" relativeHeight="20">
            <wp:simplePos x="0" y="0"/>
            <wp:positionH relativeFrom="column">
              <wp:posOffset>23495</wp:posOffset>
            </wp:positionH>
            <wp:positionV relativeFrom="paragraph">
              <wp:posOffset>51435</wp:posOffset>
            </wp:positionV>
            <wp:extent cx="913765" cy="913765"/>
            <wp:effectExtent l="0" t="0" r="0" b="0"/>
            <wp:wrapSquare wrapText="largest"/>
            <wp:docPr id="62" name="Kép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Kép22" descr=""/>
                    <pic:cNvPicPr>
                      <a:picLocks noChangeAspect="1" noChangeArrowheads="1"/>
                    </pic:cNvPicPr>
                  </pic:nvPicPr>
                  <pic:blipFill>
                    <a:blip r:embed="rId74"/>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49" w:name="__RefHeading___Toc298272_1346298689"/>
      <w:bookmarkEnd w:id="49"/>
      <w:r>
        <w:rPr/>
        <w:t>„</w:t>
      </w:r>
      <w:r>
        <w:rPr/>
        <w:t>Egészség”</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Titre2"/>
        <w:numPr>
          <w:ilvl w:val="1"/>
          <w:numId w:val="2"/>
        </w:numPr>
        <w:rPr/>
      </w:pPr>
      <w:r>
        <w:rPr/>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Titre3"/>
        <w:numPr>
          <w:ilvl w:val="2"/>
          <w:numId w:val="2"/>
        </w:numPr>
        <w:rPr/>
      </w:pPr>
      <w:bookmarkStart w:id="50" w:name="__RefHeading___Toc298274_1346298689"/>
      <w:bookmarkEnd w:id="50"/>
      <w:r>
        <w:rPr/>
        <w:t xml:space="preserve">7.Javaslat: Egészséges étrend és egészséges életmód </w:t>
      </w:r>
    </w:p>
    <w:p>
      <w:pPr>
        <w:pStyle w:val="P68B1DB1Normal15"/>
        <w:rPr>
          <w:b/>
          <w:b/>
        </w:rPr>
      </w:pPr>
      <w:r>
        <w:rPr/>
        <w:t>A cél: Annak biztosítása, hogy minden európai polgár hozzáférjen az egészséges táplálkozással kapcsolatos oktatáshoz, valamint az egészséges és megfizethető élelmiszerekhez az egészséges életmód alapjaként, különösen a következő intézkedések révén:</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51" w:name="__RefHeading___Toc298276_1346298689"/>
      <w:bookmarkEnd w:id="51"/>
      <w:r>
        <w:rPr/>
        <w:t>Intézkedések</w:t>
      </w:r>
      <w:r>
        <w:rPr>
          <w:rStyle w:val="Ancredenotedefin"/>
          <w:rStyle w:val="Ancredenotedefin"/>
        </w:rPr>
        <w:endnoteReference w:id="2"/>
      </w:r>
      <w:r>
        <w:rPr/>
        <w:t>:</w:t>
      </w:r>
    </w:p>
    <w:p>
      <w:pPr>
        <w:pStyle w:val="Puce3"/>
        <w:tabs>
          <w:tab w:val="clear" w:pos="720"/>
        </w:tabs>
        <w:rPr/>
      </w:pPr>
      <w:r>
        <w:rPr/>
        <w:t>1.</w:t>
        <w:tab/>
        <w:t>Minimumkövetelményeket állapít meg az élelmiszerek minőségére és nyomonkövethetőségére vonatkozóan, különösen azáltal, hogy az antibiotikumok és más állatgyógyászati készítmények használatát az állatok egészségének és jólétének védelméhez feltétlenül szükséges mértékre korlátozza ahelyett, hogy azokat megelőző módon felhasználná, valamint hogy biztosítsa az e tekintetben végzett ellenőrzések megerősítését. [#23, #17]</w:t>
      </w:r>
    </w:p>
    <w:p>
      <w:pPr>
        <w:pStyle w:val="Puce3"/>
        <w:tabs>
          <w:tab w:val="clear" w:pos="720"/>
        </w:tabs>
        <w:rPr/>
      </w:pPr>
      <w:r>
        <w:rPr/>
        <w:t>2.</w:t>
        <w:tab/>
        <w:t>A polgárok oktatása az egészséges szokásokról a korai életkortól kezdve, és bátorítani őket arra, hogy biztonságos és egészséges döntéseket hozzanak azáltal, hogy megadóztatják a nem feldolgozott élelmiszereket, és könnyen hozzáférhetővé teszik az élelmiszerekkel kapcsolatos egészségügyi információkat; e célból létre kell hozni a feldolgozott élelmiszerek európai szintű, tudományos és független szakértelemen alapuló értékelési rendszerét, valamint a hormonális anyagok és az endokrin károsító anyagok élelmiszer-termelésben való felhasználásának címkéjét, és e tekintetben meg kell erősíteni a meglévő szabályok nyomon követését és érvényesítését, és fontolóra kell venni azok megerősítését. [#18, #19, GT]</w:t>
      </w:r>
    </w:p>
    <w:p>
      <w:pPr>
        <w:pStyle w:val="Puce3"/>
        <w:tabs>
          <w:tab w:val="clear" w:pos="720"/>
        </w:tabs>
        <w:rPr/>
      </w:pPr>
      <w:r>
        <w:rPr/>
        <w:t>3.</w:t>
        <w:tab/>
        <w:t>Ösztönözzék a párbeszédet az élelmiszerlánc szereplőivel, a termeléstől az értékesítésig, az egészséges élelmiszerekért való vállalati társadalmi felelősségvállalás részeként. [#19, GT]</w:t>
      </w:r>
    </w:p>
    <w:p>
      <w:pPr>
        <w:pStyle w:val="Puce3"/>
        <w:tabs>
          <w:tab w:val="clear" w:pos="720"/>
        </w:tabs>
        <w:rPr/>
      </w:pPr>
      <w:r>
        <w:rPr/>
        <w:t>4.</w:t>
        <w:tab/>
        <w:t>Uniós szinten támogatja az egészséges, változatos és megfizethető élelmiszerek biztosítását a közszolgáltatási intézményekben, például iskolai étkezdékben, kórházakban vagy egészségügyi létesítményekben, többek között egyedi finanszírozás révén. [#3, plenáris ülés, WG]</w:t>
      </w:r>
    </w:p>
    <w:p>
      <w:pPr>
        <w:pStyle w:val="Puce3"/>
        <w:tabs>
          <w:tab w:val="clear" w:pos="720"/>
        </w:tabs>
        <w:rPr/>
      </w:pPr>
      <w:r>
        <w:rPr/>
        <w:t>5.</w:t>
        <w:tab/>
        <w:t>Fektessenek be az antibiotikumok használatának, valamint a hormonális anyagok és az endokrin károsító anyagok emberi egészségre gyakorolt hatásainak kutatásába. [#17, #18]</w:t>
      </w:r>
      <w:r>
        <w:rPr>
          <w:rStyle w:val="Ancredenotedefin"/>
          <w:rStyle w:val="Ancredenotedefin"/>
        </w:rPr>
        <w:endnoteReference w:id="3"/>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52" w:name="__RefHeading___Toc298278_1346298689"/>
      <w:bookmarkEnd w:id="52"/>
      <w:r>
        <w:rPr/>
        <w:t>8. Javaslat: Az egészségügyi rendszer megerősítése</w:t>
      </w:r>
    </w:p>
    <w:p>
      <w:pPr>
        <w:pStyle w:val="P68B1DB1Normal15"/>
        <w:rPr>
          <w:b/>
          <w:b/>
        </w:rPr>
      </w:pPr>
      <w:r>
        <w:rPr/>
        <w:t>A cél: Egészségügyi rendszereink rezilienciájának és minőségének megerősítése, többek között az alábbiak révén:</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53" w:name="__RefHeading___Toc298280_1346298689"/>
      <w:bookmarkEnd w:id="53"/>
      <w:r>
        <w:rPr/>
        <w:t>Intézkedések</w:t>
      </w:r>
      <w:r>
        <w:rPr>
          <w:rStyle w:val="Ancredenotedefin"/>
          <w:rStyle w:val="Ancredenotedefin"/>
        </w:rPr>
        <w:endnoteReference w:id="4"/>
      </w:r>
      <w:r>
        <w:rPr/>
        <w:t>:</w:t>
      </w:r>
    </w:p>
    <w:p>
      <w:pPr>
        <w:pStyle w:val="Puce3"/>
        <w:tabs>
          <w:tab w:val="clear" w:pos="720"/>
        </w:tabs>
        <w:rPr/>
      </w:pPr>
      <w:r>
        <w:rPr/>
        <w:t>1.</w:t>
        <w:tab/>
        <w:t>Egy európai egészségügyi adattér létrehozása, amely megkönnyítené az egészségügyi adatok cseréjét; az egyéni egészségügyi nyilvántartásokat önkéntes alapon, az adatvédelmi szabályokkal összhangban, uniós egyéni elektronikus egészségügyi útlevéllel lehetne hozzáférhetővé tenni. [#41, GT]</w:t>
      </w:r>
    </w:p>
    <w:p>
      <w:pPr>
        <w:pStyle w:val="Puce3"/>
        <w:tabs>
          <w:tab w:val="clear" w:pos="720"/>
        </w:tabs>
        <w:rPr/>
      </w:pPr>
      <w:r>
        <w:rPr/>
        <w:t>2.</w:t>
        <w:tab/>
        <w:t>Megfelelő munkakörülmények, különösen erős szociális párbeszéd révén, beleértve a béreket és a munkafeltételeket, valamint az egészségügyi szakemberek képzési és képesítési normáinak harmonizációját; hálózatépítési és csereprogramokat kell kidolgozni, például az orvosi iskoláknak szóló Erasmus programot, amely jelentősen hozzájárulna a készségfejlesztéshez. Annak érdekében, hogy megőrizzük a tehetségeket Európában, és lehetővé tegyük a fiatal szakemberek számára tudásuk bővítését és szakmai tapasztalatszerzést, uniós csereprogramokat kell bevezetni annak biztosítása érdekében, hogy legjobb élettudományi agyunk ne vonzódjon harmadik országokhoz. [#39, GT]</w:t>
      </w:r>
    </w:p>
    <w:p>
      <w:pPr>
        <w:pStyle w:val="Puce3"/>
        <w:tabs>
          <w:tab w:val="clear" w:pos="720"/>
        </w:tabs>
        <w:rPr/>
      </w:pPr>
      <w:r>
        <w:rPr/>
        <w:t>3.</w:t>
        <w:tab/>
        <w:t>Uniós szintű stratégiai autonómia biztosítása a</w:t>
      </w:r>
      <w:r>
        <w:rPr>
          <w:rStyle w:val="Ancredenotedefin"/>
          <w:rStyle w:val="Ancredenotedefin"/>
        </w:rPr>
        <w:endnoteReference w:id="5"/>
      </w:r>
      <w:r>
        <w:rPr/>
        <w:t xml:space="preserve"> gyógyszerek (különösen a hatóanyagok) és az orvostechnikai eszközök (beleértve a nyersanyagokat is) harmadik országoktól való függőségének elkerülése érdekében; különösen az alapvető és prioritást élvező gyógyszerek és kezelések, valamint az innovatív gyógyszerek és kezelések (például biotechnológiai megoldások) jegyzékét kell uniós szinten összeállítani, a meglévő európai ügynökségekre és a HERA-ra építve annak biztosítása érdekében, hogy a polgárok számára rendelkezésre álljanak. Mérlegelje egy összehangolt stratégiai tárolás megszervezését az egész Unióban. A szükséges összehangolt és hosszú távú uniós szintű fellépés megvalósítása érdekében az egészségügyet és az egészségügyi ellátást az EUMSZ 4. cikkének módosításával az Unió és tagállamai között megosztott hatáskörök közé kell sorolni. [#40, #49, plenáris ülés, WG]</w:t>
      </w:r>
    </w:p>
    <w:p>
      <w:pPr>
        <w:pStyle w:val="Puce3"/>
        <w:tabs>
          <w:tab w:val="clear" w:pos="720"/>
        </w:tabs>
        <w:rPr/>
      </w:pPr>
      <w:r>
        <w:rPr/>
        <w:t>4.</w:t>
        <w:tab/>
        <w:t>Folytatni kell a meglévő egészségügyi kutatási és innovációs programok kidolgozását, koordinálását és finanszírozását anélkül, hogy ez veszélyeztetné más, az egészséggel kapcsolatos programokat, különösen az európai referenciahálózatok esetében, mivel ezek képezik a magasan specializált és összetett kezelésekre szolgáló egészségügyi hálózatok fejlesztésének alapját. [#42, #43, GT]</w:t>
      </w:r>
    </w:p>
    <w:p>
      <w:pPr>
        <w:pStyle w:val="Puce3"/>
        <w:tabs>
          <w:tab w:val="clear" w:pos="720"/>
        </w:tabs>
        <w:rPr/>
      </w:pPr>
      <w:r>
        <w:rPr/>
        <w:t>5.</w:t>
        <w:tab/>
        <w:t>Fektessenek be az egészségügyi rendszerekbe, különösen a köz- és nonprofit területeken, az infrastruktúrába és a digitális egészségügybe, és biztosítsák, hogy az egészségügyi szolgáltatók tiszteletben tartsák a szolgáltatások teljes körű hozzáférhetőségének, megfizethetőségének és minőségének elvét, ezáltal biztosítva, hogy az erőforrásokat a közérdeket alig vagy egyáltalán nem érdeklő egészségügyi szakemberek szívják el. [#51, GT]</w:t>
      </w:r>
    </w:p>
    <w:p>
      <w:pPr>
        <w:pStyle w:val="Puce3"/>
        <w:tabs>
          <w:tab w:val="clear" w:pos="720"/>
        </w:tabs>
        <w:rPr/>
      </w:pPr>
      <w:r>
        <w:rPr/>
        <w:t>6.</w:t>
        <w:tab/>
        <w:t>Határozott ajánlásokat tesz a tagállamoknak a hatékony, hozzáférhető, megfizethető, minőségi és reziliens egészségügyi rendszerekbe való beruházásra, többek között az európai szemeszter keretében. Az ukrajnai háború közegészségre gyakorolt hatása azt mutatja, hogy szükség van a reziliens egészségügyi rendszerek és a szolidaritási mechanizmusok további fejlesztésére. [#51, GT]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54" w:name="__RefHeading___Toc298282_1346298689"/>
      <w:bookmarkEnd w:id="54"/>
      <w:r>
        <w:rPr/>
        <w:t>9. Javaslat: Az egészség szélesebb látóköre</w:t>
      </w:r>
    </w:p>
    <w:p>
      <w:pPr>
        <w:pStyle w:val="P68B1DB1Normal15"/>
        <w:rPr>
          <w:b/>
          <w:b/>
        </w:rPr>
      </w:pPr>
      <w:r>
        <w:rPr/>
        <w:t>A cél: A betegségek és kezelések mellett az egészségügyi kultúra és megelőzés, valamint a betegek és fogyatékkal élők problémáinak közös értelmezésének előmozdítása révén holisztikus megközelítést kell alkalmazni az egészségügy terén, összhangban az egységes egészségügyi megközelítéssel, amelyet az összes uniós szakpolitikát átfogó és alapvető elvként kell hangsúlyozni.</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55" w:name="__RefHeading___Toc298284_1346298689"/>
      <w:bookmarkEnd w:id="55"/>
      <w:r>
        <w:rPr/>
        <w:t>Intézkedések</w:t>
      </w:r>
      <w:r>
        <w:rPr>
          <w:rStyle w:val="Ancredenotedefin"/>
          <w:rStyle w:val="Ancredenotedefin"/>
        </w:rPr>
        <w:endnoteReference w:id="6"/>
      </w:r>
      <w:r>
        <w:rPr/>
        <w:t>:</w:t>
      </w:r>
    </w:p>
    <w:p>
      <w:pPr>
        <w:pStyle w:val="Puce3"/>
        <w:tabs>
          <w:tab w:val="clear" w:pos="720"/>
        </w:tabs>
        <w:rPr/>
      </w:pPr>
      <w:r>
        <w:rPr/>
        <w:t>1.</w:t>
        <w:tab/>
        <w:t>A mentális egészséggel kapcsolatos kérdések és azok kezelésének – többek között a kora gyermekkor és a korai diagnózis – jobb megértése, az Unió-szerte kialakított bevált gyakorlatokra építve, amelyeket a népegészségügyi bevált gyakorlatok portálján keresztül könnyen hozzáférhetővé kell tenni. A figyelemfelkeltés érdekében az uniós intézményeknek és az érdekelt feleknek rendezvényeket kell szervezniük a bevált gyakorlatok cseréjére, és segíteniük kell tagjaikat abban, hogy saját választókörzetükben terjesszék azokat. Uniós cselekvési tervet kell kidolgozni a mentális egészséggel kapcsolatban, amely hosszú távú stratégiát biztosít a mentális egészségre vonatkozóan, beleértve a kutatást is, és foglalkozik a szakemberek – többek között kiskorúak – elérhetőségével, valamint a mentális egészség európai évének a közeljövőben történő létrehozásával.</w:t>
      </w:r>
    </w:p>
    <w:p>
      <w:pPr>
        <w:pStyle w:val="Puce3"/>
        <w:tabs>
          <w:tab w:val="clear" w:pos="720"/>
        </w:tabs>
        <w:rPr/>
      </w:pPr>
      <w:r>
        <w:rPr/>
        <w:t>2.</w:t>
        <w:tab/>
        <w:t>Uniós szinten dolgozzon ki egy, az egészséges életmódra vonatkozó általános oktatási programot, amely kiterjed a szexuális nevelésre is. A programnak magában kell foglalnia az egészséges életmódot és a környezet védelmét egyaránt célzó intézkedéseket, valamint azt, hogy ezek hogyan segíthetnek számos betegség megelőzésében, például a kerékpározás mint a mindennapi utazás egészséges eszköze. Ingyenesen hozzáférhető lenne a tagállamok és az iskolák számára, amelyek adott esetben felhasználhatnák azt programjaikban. Egy ilyen program foglalkozik a sztereotípiák az emberek, akik beteg vagy fogyatékos. [#46, GT]</w:t>
      </w:r>
    </w:p>
    <w:p>
      <w:pPr>
        <w:pStyle w:val="Puce3"/>
        <w:tabs>
          <w:tab w:val="clear" w:pos="720"/>
        </w:tabs>
        <w:rPr/>
      </w:pPr>
      <w:r>
        <w:rPr/>
        <w:t>3.</w:t>
        <w:tab/>
        <w:t>Dolgozzon ki gyakorlati elsősegély-képzést, amelyet minden polgár számára ingyenesen kínálnának, és mérlegelje a rendszeres tanfolyamok lehetőségét, mint a diákok és a munkahelyek általános gyakorlatát. A defibrillátorok minimális számát valamennyi tagállamban nyilvános helyeken is elérhetővé kell tenni. [#50]</w:t>
      </w:r>
    </w:p>
    <w:p>
      <w:pPr>
        <w:pStyle w:val="Puce3"/>
        <w:tabs>
          <w:tab w:val="clear" w:pos="720"/>
        </w:tabs>
        <w:rPr/>
      </w:pPr>
      <w:r>
        <w:rPr/>
        <w:t>4.</w:t>
        <w:tab/>
        <w:t>Bővítse ki az Egészségügyi Hét kezdeményezést, amelyre az egész Unióban ugyanazon a héten kerülne sor, és amelynek során valamennyi egészségügyi kérdéssel foglalkozni kell és meg kell vitatni azokat. Fontolja meg az egészség évének kezdeményezéseit is, kezdve a mentális egészség évével. [#44, GT]</w:t>
      </w:r>
    </w:p>
    <w:p>
      <w:pPr>
        <w:pStyle w:val="Puce3"/>
        <w:tabs>
          <w:tab w:val="clear" w:pos="720"/>
        </w:tabs>
        <w:rPr/>
      </w:pPr>
      <w:r>
        <w:rPr/>
        <w:t>5.</w:t>
        <w:tab/>
        <w:t>Ismerje el, mint egy rendszeres orvosi kezelés adózási hormonális fogamzásgátló termékek orvosi okokból, például a fibromyalgia és endometriosis, valamint a női higiéniai termékek. A reprodukciós kezelésekhez való hozzáférés biztosítása minden termékenységi problémával küzdő személy számára. [#45, GT]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56" w:name="__RefHeading___Toc298286_1346298689"/>
      <w:bookmarkEnd w:id="56"/>
      <w:r>
        <w:rPr/>
        <w:t>10. Javaslat: Mindenki számára egyenlő hozzáférés az egészséghez</w:t>
      </w:r>
    </w:p>
    <w:p>
      <w:pPr>
        <w:pStyle w:val="Normal"/>
        <w:rPr/>
      </w:pPr>
      <w:r>
        <w:rPr/>
        <w:t>A cél: Az egészséghez való jog megteremtése azáltal, hogy minden európai polgár egyenlő és egyetemes hozzáférést biztosít a megfizethető, megelőző, gyógyító és minőségi egészségügyi ellátáshoz.</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Intézkedések</w:t>
      </w:r>
      <w:r>
        <w:rPr>
          <w:rStyle w:val="Ancredenotedefin"/>
          <w:rStyle w:val="Ancredenotedefin"/>
        </w:rPr>
        <w:endnoteReference w:id="7"/>
      </w:r>
      <w:r>
        <w:rPr/>
        <w:t>:</w:t>
      </w:r>
    </w:p>
    <w:p>
      <w:pPr>
        <w:pStyle w:val="Puce3"/>
        <w:tabs>
          <w:tab w:val="clear" w:pos="720"/>
        </w:tabs>
        <w:rPr/>
      </w:pPr>
      <w:r>
        <w:rPr/>
        <w:t>1.</w:t>
        <w:tab/>
        <w:t>Uniós szinten közös egészségügyi minimumkövetelményeket állapítanak meg, amelyek kiterjednek az ellátás megelőzésére és hozzáférhetőségére, valamint az ellátáshoz való közelségre is, és támogatást nyújtanak az ilyen előírások kialakításához. [#39, GT]</w:t>
      </w:r>
    </w:p>
    <w:p>
      <w:pPr>
        <w:pStyle w:val="Puce3"/>
        <w:tabs>
          <w:tab w:val="clear" w:pos="720"/>
        </w:tabs>
        <w:rPr/>
      </w:pPr>
      <w:r>
        <w:rPr/>
        <w:t>2.</w:t>
        <w:tab/>
        <w:t>Ismerjék el, hogy teljes mértékben figyelembe kell venni a szubszidiaritás elvét és a helyi, regionális és nemzeti egészségügyi szereplők kulcsszerepét [NL3] annak biztosítása érdekében, hogy az egészséghez való jog megfelelőbb kezelése esetén uniós szintű intézkedéseket lehessen hozni. Gyorsabb és határozottabb döntéshozatalt kell lehetővé tenni a kulcsfontosságú kérdésekben, és javítani kell az európai kormányzás hatékonyságát az európai egészségügyi unió (pl. világjárvány vagy ritka betegségek) fejlesztése érdekében. [#49, FRsouhait11, digitális platform]</w:t>
      </w:r>
    </w:p>
    <w:p>
      <w:pPr>
        <w:pStyle w:val="Puce3"/>
        <w:tabs>
          <w:tab w:val="clear" w:pos="720"/>
        </w:tabs>
        <w:rPr/>
      </w:pPr>
      <w:r>
        <w:rPr/>
        <w:t>3.</w:t>
        <w:tab/>
        <w:t>Az európai egészségügyi unió megerősítése a jelenlegi keretben rejlő lehetőségek teljes körű kiaknázása révén, valamint az Unió és tagállamai között megosztott hatáskörök közé az egészségügy és az egészségügyi ellátás felvétele az EUMSZ 4. cikkének módosításával. [#49, FRsouhait11, digitális platform, GT]</w:t>
      </w:r>
      <w:r>
        <w:rPr>
          <w:rStyle w:val="Ancredenotedefin"/>
          <w:rStyle w:val="Ancredenotedefin"/>
        </w:rPr>
        <w:endnoteReference w:id="8"/>
      </w:r>
      <w:r>
        <w:rPr/>
        <w:t>.</w:t>
      </w:r>
    </w:p>
    <w:p>
      <w:pPr>
        <w:pStyle w:val="Puce3"/>
        <w:tabs>
          <w:tab w:val="clear" w:pos="720"/>
        </w:tabs>
        <w:rPr/>
      </w:pPr>
      <w:r>
        <w:rPr/>
        <w:t>4.</w:t>
        <w:tab/>
        <w:t>Annak biztosítása, hogy bárki hozzáférjen a meglévő kezelésekhez abban az uniós országban, ahol rendelkezésre áll; e célból javítsa a határokon átnyúló együttműködést, különösen a ritka betegségek, a rák, a szív- és érrendszeri betegségek és a rendkívül speciális kezelések, például a szervátültetés és a súlyos égési sérülések kezelése terén. Az átültetésre szoruló európai betegek számára létre kell hozni a szervátültetés és -adományozás európai hálózatát. [plenary és GT]</w:t>
      </w:r>
    </w:p>
    <w:p>
      <w:pPr>
        <w:pStyle w:val="Puce3"/>
        <w:tabs>
          <w:tab w:val="clear" w:pos="720"/>
        </w:tabs>
        <w:rPr/>
      </w:pPr>
      <w:r>
        <w:rPr/>
        <w:t>5.</w:t>
        <w:tab/>
        <w:t>A megfizethető ellátás biztosítása az egészségügyi ellátásba, különösen a fogászati ellátásba való nagyobb beruházások révén, beleértve a profilaxist is, valamint annak biztosítása, hogy a megfizethető fogászati ellátás 15–20 éven belül mindenki számára hozzáférhető legyen. [#48, GT]</w:t>
      </w:r>
    </w:p>
    <w:p>
      <w:pPr>
        <w:pStyle w:val="Puce3"/>
        <w:tabs>
          <w:tab w:val="clear" w:pos="720"/>
        </w:tabs>
        <w:rPr/>
      </w:pPr>
      <w:r>
        <w:rPr/>
        <w:t>6.</w:t>
        <w:tab/>
        <w:t>Annak biztosítása, hogy a kezelések és a gyógyszerek Unió-szerte azonos minőségűek és méltányos helyi költségekkel rendelkezzenek, többek között a belső piac jelenlegi széttagoltságának kezelése révén. [#40, NL3, WG, plenáris ülés]</w:t>
      </w:r>
    </w:p>
    <w:p>
      <w:pPr>
        <w:pStyle w:val="Puce3"/>
        <w:tabs>
          <w:tab w:val="clear" w:pos="720"/>
        </w:tabs>
        <w:rPr/>
      </w:pPr>
      <w:r>
        <w:rPr/>
        <w:t>7.</w:t>
        <w:tab/>
        <w:t>Az egészségügyi bizonytalanság elleni küzdelem azáltal, hogy ösztönzi a gyermekek, az alacsony jövedelmű csoportok és más kiszolgáltatott csoportok, például a fogyatékossággal élő személyek ingyenes fogászati ellátását. Tanulmányozza a rossz lakhatás egészségügyi következményeit is. [#48, GT]</w:t>
      </w:r>
    </w:p>
    <w:p>
      <w:pPr>
        <w:pStyle w:val="Puce3"/>
        <w:tabs>
          <w:tab w:val="clear" w:pos="720"/>
        </w:tabs>
        <w:rPr/>
      </w:pPr>
      <w:r>
        <w:rPr/>
        <w:t>8.</w:t>
        <w:tab/>
        <w:t>Vegyék figyelembe az egészségügy nemzetközi dimenzióját, és ismerjék el, hogy a gyógyszereknek egyetemesen rendelkezésre kell állniuk, többek között a legszegényebb országokban is. [NL2]</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Normal"/>
        <w:rPr/>
      </w:pPr>
      <w:r>
        <w:rPr/>
        <w:drawing>
          <wp:anchor behindDoc="0" distT="0" distB="0" distL="0" distR="0" simplePos="0" locked="0" layoutInCell="1" allowOverlap="1" relativeHeight="15">
            <wp:simplePos x="0" y="0"/>
            <wp:positionH relativeFrom="column">
              <wp:posOffset>44450</wp:posOffset>
            </wp:positionH>
            <wp:positionV relativeFrom="paragraph">
              <wp:posOffset>43180</wp:posOffset>
            </wp:positionV>
            <wp:extent cx="913765" cy="913765"/>
            <wp:effectExtent l="0" t="0" r="0" b="0"/>
            <wp:wrapSquare wrapText="largest"/>
            <wp:docPr id="63" name="Kép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Kép23" descr=""/>
                    <pic:cNvPicPr>
                      <a:picLocks noChangeAspect="1" noChangeArrowheads="1"/>
                    </pic:cNvPicPr>
                  </pic:nvPicPr>
                  <pic:blipFill>
                    <a:blip r:embed="rId75"/>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57" w:name="__RefHeading___Toc298288_1346298689"/>
      <w:bookmarkEnd w:id="57"/>
      <w:r>
        <w:rPr/>
        <w:t>Erősebb gazdaság, társadalmi igazságosság és foglalkoztatás</w:t>
      </w:r>
    </w:p>
    <w:p>
      <w:pPr>
        <w:pStyle w:val="P68B1DB1Normal15"/>
        <w:rPr>
          <w:b/>
          <w:b/>
        </w:rPr>
      </w:pPr>
      <w:r>
        <w:rPr/>
        <w:t>Bevezetés</w:t>
      </w:r>
    </w:p>
    <w:p>
      <w:pPr>
        <w:pStyle w:val="Normal"/>
        <w:rPr/>
      </w:pPr>
      <w:r>
        <w:rPr/>
        <w:t>Kivételes körülmények között élünk, és az Európai Uniót a jelenlegi válságokból való erősebb kilábalásra irányuló erőfeszítései alapján ítélik meg, fenntarthatóbb, inkluzívabb, versenyképesebb és ellenállóbb növekedési modell mellett. Az Ukrajna elleni orosz invázió és a Covid19-világjárvány megváltoztatta az EU arcát. A konferenciának a háború társadalmi és gazdasági következményeivel is foglalkoznia kell egy már nagyon nehéz, a világjárványt követő kontextusban. Ugyanakkor az éghajlatváltozás továbbra is veszélyt jelent az emberiségre, és drámai hatással lesz a gazdaságra és társadalmainkra. A beérkezett ajánlásokból egyértelműen kiderül, hogy a polgárok határozottabb uniós fellépést sürgetnek. A megoldatlan transznacionális kihívások – például az egyenlőtlenség, a versenyképesség, az egészségügy, az éghajlatváltozás, a migráció, a digitalizáció vagy a méltányos adóztatás – megfelelő európai megoldásokat igényelnek. Az ajánlásokból és a megbeszélésekből az is egyértelmű, hogy átfogó stratégiára van szükségünk annak érdekében, hogy életük különböző aspektusaiban nagyobb jólétet biztosítsunk az európai polgárok számára. E stratégia egyes elemei szerepelnek a meglévő szakpolitikákban, és a meglévő európai és nemzeti szintű intézményi keret teljes körű kihasználásával érhetők el; mások új politikákat és bizonyos esetekben a szerződések módosítását igénylik. Az új politikákat és a szerződések módosításait azonban a jólét javításának eszközének kell tekinteni, nem pedig önmagukban való céloknak. Lehetséges és szükséges az Unió újradefiniálása annak érdekében, hogy garantált legyen stratégiai autonómiája, fenntartható növekedése, az élet- és munkakörülmények javítása, valamint az emberi fejlődés anélkül, hogy bolygónk erőforrásait kimerítenék vagy tönkretennék, megújított társadalmi szerződés keretében. Ezek az ajánlások e célkitűzések elérését célozzák. Az alábbi javaslatokat annak figyelembevételével kell értelmezni, hogy a polgárok Európa-szerte különböző véleményeket és ajánlásokat fogalmaztak meg. A nézetek sokfélesége Európa egyik összehasonlíthatatlan eszköze.</w:t>
      </w:r>
    </w:p>
    <w:p>
      <w:pPr>
        <w:pStyle w:val="Normal"/>
        <w:rPr/>
      </w:pPr>
      <w:r>
        <w:rPr/>
      </w:r>
      <w:r>
        <w:br w:type="page"/>
      </w:r>
    </w:p>
    <w:p>
      <w:pPr>
        <w:pStyle w:val="Titre3"/>
        <w:numPr>
          <w:ilvl w:val="2"/>
          <w:numId w:val="2"/>
        </w:numPr>
        <w:rPr/>
      </w:pPr>
      <w:bookmarkStart w:id="58" w:name="__RefHeading___Toc298290_1346298689"/>
      <w:bookmarkEnd w:id="58"/>
      <w:r>
        <w:rPr/>
        <w:t>11. Javaslat: Fenntartható növekedés és innováció</w:t>
      </w:r>
    </w:p>
    <w:p>
      <w:pPr>
        <w:pStyle w:val="P68B1DB1Normal15"/>
        <w:rPr>
          <w:b/>
          <w:b/>
        </w:rPr>
      </w:pPr>
      <w:r>
        <w:rPr/>
        <w:t>A cél: Javasoljuk, hogy az EU támogassa a fenntartható és reziliens növekedési modellre való átállást, figyelembe véve az európai szemeszter keretében az erős szociális dimenzióval rendelkező zöld és digitális átállást, valamint a polgárok, a szakszervezetek és a vállalkozások szerepvállalását. A hagyományos makrogazdasági mutatókat és a GDP-t új mutatókkal lehetne kiegészíteni, hogy reagáljanak az új európai prioritásokra, például az európai zöld megállapodásra vagy a szociális jogok európai pillérére, és jobban tükrözzék a zöld és digitális átállást és az emberek jólétét. Ez a következő intézkedésekkel érhető el:</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Intézkedések</w:t>
      </w:r>
      <w:r>
        <w:rPr>
          <w:rStyle w:val="Ancredenotedefin"/>
          <w:rStyle w:val="Ancredenotedefin"/>
        </w:rPr>
        <w:endnoteReference w:id="9"/>
      </w:r>
      <w:r>
        <w:rPr/>
        <w:t>:</w:t>
      </w:r>
    </w:p>
    <w:p>
      <w:pPr>
        <w:pStyle w:val="Puce3"/>
        <w:rPr/>
      </w:pPr>
      <w:r>
        <w:rPr/>
        <w:t>1.</w:t>
        <w:tab/>
        <w:t>Mozdítsa elő a vállalatok környezetbarátabb termelési folyamatait, segítse a vállalatokat a legjobb megoldások megtalálásában, valamint pozitív és negatív ösztönzőket nyújtson. (PCE 11 és 12), valamint a helyi termelés és fogyasztás növelése (vita).</w:t>
      </w:r>
    </w:p>
    <w:p>
      <w:pPr>
        <w:pStyle w:val="Puce3"/>
        <w:tabs>
          <w:tab w:val="clear" w:pos="720"/>
        </w:tabs>
        <w:rPr/>
      </w:pPr>
      <w:r>
        <w:rPr/>
        <w:t>2.</w:t>
        <w:tab/>
        <w:t>Fenntarthatóbb és körforgásos gazdaság kialakítása a tervezett elavulás problémájának kezelése és a jóvátételhez való jog biztosítása révén (PCE 14).</w:t>
      </w:r>
    </w:p>
    <w:p>
      <w:pPr>
        <w:pStyle w:val="Puce3"/>
        <w:tabs>
          <w:tab w:val="clear" w:pos="720"/>
        </w:tabs>
        <w:rPr/>
      </w:pPr>
      <w:r>
        <w:rPr/>
        <w:t>3.</w:t>
        <w:tab/>
        <w:t>Vizsgálja meg az Unió gazdasági kormányzását és az európai szemesztert annak biztosítása érdekében, hogy a zöld és digitális átállás, a társadalmi igazságosság és a társadalmi haladás együtt járjon a gazdasági versenyképességgel, anélkül, hogy figyelmen kívül hagyná az európai szemeszter gazdasági és költségvetési jellegét. Ezenkívül jobban be kell vonni a szociális partnereket, valamint a helyi és regionális önkormányzatokat az európai szemeszter végrehajtásába annak érdekében, hogy javuljon a szemeszter alkalmazása és elszámoltathatósága (e-platform, megbeszélések).</w:t>
      </w:r>
    </w:p>
    <w:p>
      <w:pPr>
        <w:pStyle w:val="Puce3"/>
        <w:tabs>
          <w:tab w:val="clear" w:pos="720"/>
        </w:tabs>
        <w:rPr/>
      </w:pPr>
      <w:r>
        <w:rPr/>
        <w:t>4.</w:t>
        <w:tab/>
        <w:t>Az egyszer használatos műanyag csomagolások/konténerek használata elleni küzdelem (PCE 12).</w:t>
      </w:r>
    </w:p>
    <w:p>
      <w:pPr>
        <w:pStyle w:val="Puce3"/>
        <w:tabs>
          <w:tab w:val="clear" w:pos="720"/>
        </w:tabs>
        <w:rPr/>
      </w:pPr>
      <w:r>
        <w:rPr/>
        <w:t>5.</w:t>
        <w:tab/>
        <w:t>Az európai technológia használatának kiterjesztése és a külföldi technológia életképes alternatívája (viták).</w:t>
      </w:r>
    </w:p>
    <w:p>
      <w:pPr>
        <w:pStyle w:val="Puce3"/>
        <w:tabs>
          <w:tab w:val="clear" w:pos="720"/>
        </w:tabs>
        <w:rPr/>
      </w:pPr>
      <w:r>
        <w:rPr/>
        <w:t>6.</w:t>
        <w:tab/>
        <w:t>Az új anyagok és technológiák kutatásának, valamint a meglévő anyagok innovatív felhasználásának előmozdítása, elkerülve ugyanakkor a kutatási erőfeszítések megkettőzését (PCE 9, NL 1).</w:t>
      </w:r>
    </w:p>
    <w:p>
      <w:pPr>
        <w:pStyle w:val="Puce3"/>
        <w:tabs>
          <w:tab w:val="clear" w:pos="720"/>
        </w:tabs>
        <w:rPr/>
      </w:pPr>
      <w:r>
        <w:rPr/>
        <w:t>7.</w:t>
        <w:tab/>
        <w:t>Az energia fenntarthatóságának, megfizethetőségének és hozzáférhetőségének mérlegelése, figyelembe véve az energiaszegénységet és a harmadik országoktól való függőséget a fenntartható módon előállított energia arányának növelése révén (CEP 10, LT 3, IT 1.1).</w:t>
      </w:r>
    </w:p>
    <w:p>
      <w:pPr>
        <w:pStyle w:val="Puce3"/>
        <w:tabs>
          <w:tab w:val="clear" w:pos="720"/>
        </w:tabs>
        <w:rPr/>
      </w:pPr>
      <w:r>
        <w:rPr/>
        <w:t>8.</w:t>
        <w:tab/>
        <w:t>Felhívja a vállalkozások és a polgárok figyelmét arra, hogy fenntarthatóbb magatartást tanúsítanak, és biztosítják a társadalmi párbeszéden és a minőségi munkahelyeken alapuló méltányos átállást (CEP 12 és online platform).</w:t>
      </w:r>
    </w:p>
    <w:p>
      <w:pPr>
        <w:pStyle w:val="Puce3"/>
        <w:tabs>
          <w:tab w:val="clear" w:pos="720"/>
        </w:tabs>
        <w:rPr/>
      </w:pPr>
      <w:r>
        <w:rPr/>
        <w:t>9.</w:t>
        <w:tab/>
        <w:t>Az új uniós kereskedelmi megállapodásokba foglalják bele az ambiciózus szociális, munkaügyi és egészségügyi normákat, beleértve a munkahelyi egészségvédelmet és biztonságot is. (LT8)</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59" w:name="__RefHeading___Toc298292_1346298689"/>
      <w:bookmarkEnd w:id="59"/>
      <w:r>
        <w:rPr/>
        <w:t>12. Javaslat: Az Unió versenyképességének megerősítése és az egységes piac további elmélyítése</w:t>
      </w:r>
    </w:p>
    <w:p>
      <w:pPr>
        <w:pStyle w:val="Normal"/>
        <w:rPr/>
      </w:pPr>
      <w:r>
        <w:rPr/>
        <w:t>A cél: Javasoljuk az uniós gazdaság, az egységes piac és az ipar versenyképességének és rezilienciájának megerősítését, valamint a stratégiai függőségek kezelését. Elő kell mozdítanunk a vállalkozói kultúrát az EU-ban, amelyben ösztönözni kell a különböző méretű innovatív vállalkozásokat, különösen a mikro-, kis- és középvállalkozásokat és az induló vállalkozásokat, hogy hozzájáruljunk az ellenállóbb és befogadóbb társadalmakhoz. Erős és életképes piacgazdaságra van szükség a szociálisabb Európa jövőképének előmozdításához. Ez a következő intézkedésekkel érhető el:</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Intézkedések</w:t>
      </w:r>
      <w:r>
        <w:rPr>
          <w:rStyle w:val="Ancredenotedefin"/>
          <w:rStyle w:val="Ancredenotedefin"/>
        </w:rPr>
        <w:endnoteReference w:id="10"/>
      </w:r>
      <w:r>
        <w:rPr/>
        <w:t>:</w:t>
      </w:r>
    </w:p>
    <w:p>
      <w:pPr>
        <w:pStyle w:val="Puce3"/>
        <w:tabs>
          <w:tab w:val="clear" w:pos="720"/>
        </w:tabs>
        <w:rPr/>
      </w:pPr>
      <w:r>
        <w:rPr/>
        <w:t>1.</w:t>
        <w:tab/>
        <w:t>Világos jövőkép kialakítása az európai gazdaságról, és Európa erősségeire, minőségére és sokszínűségére építve, figyelembe véve a tagállamok közötti gazdasági és egyéb különbségeket, valamint előmozdítva a vállalkozások közötti együttműködést és versenyt. (NL 1 &amp; 2)</w:t>
      </w:r>
    </w:p>
    <w:p>
      <w:pPr>
        <w:pStyle w:val="Puce3"/>
        <w:tabs>
          <w:tab w:val="clear" w:pos="720"/>
        </w:tabs>
        <w:rPr/>
      </w:pPr>
      <w:r>
        <w:rPr/>
        <w:t>2.</w:t>
        <w:tab/>
        <w:t>A közös valutával, valamint a fizetési rendszerek és a távközlés összekapcsolásával kapcsolatban tett intézkedések megszilárdítása. (4.a.2. pont)</w:t>
      </w:r>
    </w:p>
    <w:p>
      <w:pPr>
        <w:pStyle w:val="Puce3"/>
        <w:tabs>
          <w:tab w:val="clear" w:pos="720"/>
        </w:tabs>
        <w:rPr/>
      </w:pPr>
      <w:r>
        <w:rPr/>
        <w:t>3.</w:t>
        <w:tab/>
        <w:t>A termékek szabványosításának csökkentése, valamint a kultúra és a termelés helyi és regionális sajátosságainak elismerése (a termelési hagyományok tiszteletben tartása). (2.2)</w:t>
      </w:r>
    </w:p>
    <w:p>
      <w:pPr>
        <w:pStyle w:val="Puce3"/>
        <w:tabs>
          <w:tab w:val="clear" w:pos="720"/>
        </w:tabs>
        <w:rPr/>
      </w:pPr>
      <w:r>
        <w:rPr/>
        <w:t>4.</w:t>
        <w:tab/>
        <w:t>Az egységes piacon belüli felfelé irányuló társadalmi és gazdasági konvergencia megerősítése, a meglévő kezdeményezések – például a bankunió és a tőkepiaci unió – befejezése, valamint gazdasági és monetáris uniónk előretekintő reformjának végrehajtása (viták).</w:t>
      </w:r>
    </w:p>
    <w:p>
      <w:pPr>
        <w:pStyle w:val="Puce3"/>
        <w:tabs>
          <w:tab w:val="clear" w:pos="720"/>
        </w:tabs>
        <w:rPr/>
      </w:pPr>
      <w:r>
        <w:rPr/>
        <w:t>5.</w:t>
        <w:tab/>
        <w:t>Mozdítsák elő az erős ipari bázist és innovációt a kulcsfontosságú alaptechnológiákban, valamint az előretekintő éghajlat-politikát, amelyhez az ipari versenyképesség és az erős szociális dimenzió társul, amely a szociális párbeszéden és a jól működő ipari kapcsolatokon (vita) alapul.</w:t>
      </w:r>
    </w:p>
    <w:p>
      <w:pPr>
        <w:pStyle w:val="Puce3"/>
        <w:tabs>
          <w:tab w:val="clear" w:pos="720"/>
        </w:tabs>
        <w:rPr/>
      </w:pPr>
      <w:r>
        <w:rPr/>
        <w:t>6.</w:t>
        <w:tab/>
        <w:t>Minden új kezdeményezésben különös figyelmet kell fordítani a kkv-kra, amelyek gazdaságunk gerincét képezik. Valamennyi uniós jogalkotási javaslatban tiszteletben kell tartani az „első a kkv-k gondolkodásának” elvét, és a Bizottság hatásvizsgálataiban meg kell erősíteni a kkv-tesztet, az egyértelmű elvekkel összhangban, teljes mértékben tiszteletben tartva a szociális és környezetvédelmi normákat és a fogyasztói jogokat (viták).</w:t>
      </w:r>
    </w:p>
    <w:p>
      <w:pPr>
        <w:pStyle w:val="Puce3"/>
        <w:tabs>
          <w:tab w:val="clear" w:pos="720"/>
        </w:tabs>
        <w:rPr/>
      </w:pPr>
      <w:r>
        <w:rPr/>
        <w:t>7.</w:t>
        <w:tab/>
        <w:t>Biztosítani kell a kkv-k részvételét a finanszírozási kérelmekben, ajánlati felhívásokban és hálózatokban, a lehető legkevesebb adminisztratív erőfeszítéssel. A magas kockázatú innovációs projektekkel rendelkező kkv-k finanszírozáshoz való hozzáférését olyan szervezeteknek kell továbbfejleszteniük, mint az Európai Innovációs Tanács és az Európai Beruházási Bank (megbeszélések).</w:t>
      </w:r>
    </w:p>
    <w:p>
      <w:pPr>
        <w:pStyle w:val="Puce3"/>
        <w:tabs>
          <w:tab w:val="clear" w:pos="720"/>
        </w:tabs>
        <w:rPr/>
      </w:pPr>
      <w:r>
        <w:rPr/>
        <w:t>8.</w:t>
        <w:tab/>
        <w:t>A fenntarthatóbb és a biológiai sokféleségben gazdagabb üzleti modellek kialakítása érdekében jobb keret létrehozása a K+I-be történő beruházásokhoz (CEP 10, 11 és 14); fókuszban a technológia és az innováció, mint a növekedés mozgatórugói. (AZ 1.3. PONT)</w:t>
      </w:r>
    </w:p>
    <w:p>
      <w:pPr>
        <w:pStyle w:val="Puce3"/>
        <w:tabs>
          <w:tab w:val="clear" w:pos="720"/>
        </w:tabs>
        <w:rPr/>
      </w:pPr>
      <w:r>
        <w:rPr/>
        <w:t>9.</w:t>
        <w:tab/>
        <w:t>A kollektív gazdasági teljesítmény előmozdítása egy autonóm és versenyképes iparágon keresztül. (FR3)</w:t>
      </w:r>
    </w:p>
    <w:p>
      <w:pPr>
        <w:pStyle w:val="Puce3"/>
        <w:tabs>
          <w:tab w:val="clear" w:pos="720"/>
        </w:tabs>
        <w:rPr/>
      </w:pPr>
      <w:r>
        <w:rPr/>
        <w:t>10.</w:t>
        <w:tab/>
        <w:t>Stratégiai ágazatok azonosítása és fejlesztése, beleértve az űrkutatást, a robotikát és a mesterséges intelligenciát. (En 3 &amp; 9)</w:t>
      </w:r>
    </w:p>
    <w:p>
      <w:pPr>
        <w:pStyle w:val="Puce3"/>
        <w:tabs>
          <w:tab w:val="clear" w:pos="720"/>
        </w:tabs>
        <w:rPr/>
      </w:pPr>
      <w:r>
        <w:rPr/>
        <w:t>11.</w:t>
        <w:tab/>
        <w:t>Fektessen be az idegenforgalomba és a kulturális gazdaságba, és értékelje Európa számos kis úti célját is. (AZ 1.2. PONT)</w:t>
      </w:r>
    </w:p>
    <w:p>
      <w:pPr>
        <w:pStyle w:val="Puce3"/>
        <w:tabs>
          <w:tab w:val="clear" w:pos="720"/>
        </w:tabs>
        <w:rPr/>
      </w:pPr>
      <w:r>
        <w:rPr/>
        <w:t>12.</w:t>
        <w:tab/>
        <w:t>Az ellátás biztonságának biztosítása a bemeneti/nyersanyag-források diverzifikálásával és az alapvető áruk – például az egészségügy, az élelmiszerek, az energia, a védelem és a közlekedés – gyártásának növelésével Európában. (EN 9, LT 1, 1.4)</w:t>
      </w:r>
    </w:p>
    <w:p>
      <w:pPr>
        <w:pStyle w:val="Puce3"/>
        <w:tabs>
          <w:tab w:val="clear" w:pos="720"/>
        </w:tabs>
        <w:rPr/>
      </w:pPr>
      <w:r>
        <w:rPr/>
        <w:t>13.</w:t>
        <w:tab/>
        <w:t>Az európai vállalkozások digitalizációjának előmozdítása, például egy külön eredménytábla révén, amely lehetővé teszi a vállalatok számára, hogy összehasonlítsák digitalizálásuk mértékét azzal az általános céllal, hogy növeljék versenyképességüket. (A 2.1. PONTTÓL)</w:t>
      </w:r>
    </w:p>
    <w:p>
      <w:pPr>
        <w:pStyle w:val="Puce3"/>
        <w:tabs>
          <w:tab w:val="clear" w:pos="720"/>
        </w:tabs>
        <w:rPr/>
      </w:pPr>
      <w:r>
        <w:rPr/>
        <w:t>14.</w:t>
        <w:tab/>
        <w:t>A digitális kohézió előmozdítása az Európai Unió működéséről szóló szerződésben meghatározott gazdasági, társadalmi és területi kohézióhoz való hozzájárulás érdekében (viták).</w:t>
      </w:r>
    </w:p>
    <w:p>
      <w:pPr>
        <w:pStyle w:val="Puce3"/>
        <w:tabs>
          <w:tab w:val="clear" w:pos="720"/>
        </w:tabs>
        <w:rPr/>
      </w:pPr>
      <w:r>
        <w:rPr/>
        <w:t>15.</w:t>
        <w:tab/>
        <w:t>A határokon átnyúló együttműködés megerősítése a régiókon belüli és kívüli kohézió és reziliencia erősítése érdekében, a határokon átnyúló európai mechanizmus és hasonló eszközök (viták) ösztönzése révén.</w:t>
      </w:r>
    </w:p>
    <w:p>
      <w:pPr>
        <w:pStyle w:val="Puce3"/>
        <w:tabs>
          <w:tab w:val="clear" w:pos="720"/>
        </w:tabs>
        <w:rPr/>
      </w:pPr>
      <w:r>
        <w:rPr/>
        <w:t>16.</w:t>
        <w:tab/>
        <w:t>Erősítse meg és mozdítsa elő a határokon átnyúló képzési lehetőségeket az európai munkaerő készségeinek fejlesztése és a versenyképesség növelése érdekében, miközben erősíti a polgárok készségeit a gazdaság területén. (DE 2.2, LT7). Az európai munkavállalók közötti kereskedelem előmozdítása az Európai Foglalkoztatási Központon keresztül; (IT 6.1) ösztönzik a fiatalokat, hogy tanulmányozzák a tudományos témákat. (1,5)</w:t>
      </w:r>
    </w:p>
    <w:p>
      <w:pPr>
        <w:pStyle w:val="Puce3"/>
        <w:tabs>
          <w:tab w:val="clear" w:pos="720"/>
        </w:tabs>
        <w:rPr/>
      </w:pPr>
      <w:r>
        <w:rPr/>
        <w:t>17.</w:t>
        <w:tab/>
        <w:t>Csökkentse a bürokráciát (engedélyek, tanúsítványok), ahol ez nem alapvető fontosságú. (IT 2.1)</w:t>
      </w:r>
    </w:p>
    <w:p>
      <w:pPr>
        <w:pStyle w:val="Puce3"/>
        <w:tabs>
          <w:tab w:val="clear" w:pos="720"/>
        </w:tabs>
        <w:rPr/>
      </w:pPr>
      <w:r>
        <w:rPr/>
        <w:t>18.</w:t>
        <w:tab/>
        <w:t>A hamisítás és a tisztességtelen verseny elleni küzdelem. (IT 2.4)</w:t>
      </w:r>
    </w:p>
    <w:p>
      <w:pPr>
        <w:pStyle w:val="Puce3"/>
        <w:tabs>
          <w:tab w:val="clear" w:pos="720"/>
        </w:tabs>
        <w:rPr/>
      </w:pPr>
      <w:r>
        <w:rPr/>
        <w:t>19.</w:t>
        <w:tab/>
        <w:t>Az induló vállalkozások és a kkv-k nagyobb mértékű részvételének biztosítása az innovációs projektekben, mivel ez erősíti innovációs erejüket, versenyképességüket és hálózatépítésüket (e-platform, megbeszélések).</w:t>
      </w:r>
    </w:p>
    <w:p>
      <w:pPr>
        <w:pStyle w:val="Puce3"/>
        <w:tabs>
          <w:tab w:val="clear" w:pos="720"/>
        </w:tabs>
        <w:rPr/>
      </w:pPr>
      <w:r>
        <w:rPr/>
        <w:t>20.</w:t>
        <w:tab/>
        <w:t>Az egységes piac megszilárdítását és védelmét továbbra is prioritásként kell kezelni; a nemzeti és uniós szinten hozott intézkedések és kezdeményezések nem sérthetik az egységes piacot, és hozzájárulhatnak a személyek, az áruk, a szolgáltatások és a tőke szabad mozgásához (viták).</w:t>
      </w:r>
    </w:p>
    <w:p>
      <w:pPr>
        <w:pStyle w:val="Puce3"/>
        <w:tabs>
          <w:tab w:val="clear" w:pos="720"/>
        </w:tabs>
        <w:rPr/>
      </w:pPr>
      <w:r>
        <w:rPr/>
        <w:t>21.</w:t>
        <w:tab/>
        <w:t>Az új uniós szakpolitikai kezdeményezéseket „versenyképesség-ellenőrzésnek” kell alávetni annak érdekében, hogy elemezzék a vállalkozásokra és üzleti környezetre gyakorolt hatásukat (gazdasági tevékenység költségei, innovációs kapacitás, nemzetközi versenyképesség, egyenlő versenyfeltételek stb.). Ez a nyomon követés összhangban van a Párizsi Megállapodással és a fenntartható fejlődési célokkal, beleértve a nemek közötti egyenlőséget is, és nem ássa alá az emberi jogok, a szociális és munkavállalói jogok, illetve a környezetvédelmi és fogyasztóvédelmi normák védelmét. E célból javasoljuk egy európai versenyképességi tanácsadó testület létrehozását is, amely nyomon követi a versenyképesség nyomon követését és különösen a jogszabályok kumulatív hatásainak értékelését, valamint javaslatokat terjeszt elő az uniós vállalkozások versenyképességének megfelelő keretfeltételeinek javítására. E szerv irányításába be kell vonni a szervezett civil társadalmat és a szociális partnereket; (megbeszélések)</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60" w:name="__RefHeading___Toc298294_1346298689"/>
      <w:bookmarkEnd w:id="60"/>
      <w:r>
        <w:rPr/>
        <w:t>13. Javaslat: Befogadó munkaerőpiacok</w:t>
      </w:r>
    </w:p>
    <w:p>
      <w:pPr>
        <w:pStyle w:val="P68B1DB1Normal15"/>
        <w:rPr>
          <w:b/>
          <w:b/>
        </w:rPr>
      </w:pPr>
      <w:r>
        <w:rPr/>
        <w:t>A cél: Javasoljuk a munkaerőpiacok működésének javítását a tisztességesebb munkakörülmények biztosítása, valamint a nemek közötti egyenlőség és a foglalkoztatás előmozdítása érdekében, különösen a fiatalok és a kiszolgáltatott csoportok számára. Az EU-nak, a tagállamoknak és a szociális partnereknek dolgozniuk kell a munkavállalók szegénységének felszámolása, a platform-munkavállalók jogainak megerősítése, a fizetés nélküli szakmai gyakorlatok betiltása és az Unión belüli tisztességes munkavállalói mobilitás biztosítása érdekében. Elő kell mozdítanunk a szociális párbeszédet és a kollektív tárgyalásokat. Biztosítanunk kell a szociális jogok európai pillérének – többek között annak 2030-ra vonatkozó kiemelt céljainak – teljes körű végrehajtását európai, nemzeti, regionális és helyi szinten az „egyenlő esélyek és a munkaerőpiachoz való hozzáférés” és a „méltányos munkakörülmények” területén, tiszteletben tartva a szubszidiaritás és az arányosság hatásköreit és elveit, és be kell építenünk a Szerződésekbe a társadalmi haladásról szóló jegyzőkönyvet. Ennek során tiszteletben kell tartani a nemzeti hagyományokat és a szociális partnerek autonómiáját, és együtt kell működni a civil társadalommal. Ez a következő intézkedésekkel érhető el:</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Intézkedések</w:t>
      </w:r>
      <w:r>
        <w:rPr>
          <w:rStyle w:val="Ancredenotedefin"/>
          <w:rStyle w:val="Ancredenotedefin"/>
        </w:rPr>
        <w:endnoteReference w:id="11"/>
      </w:r>
      <w:r>
        <w:rPr/>
        <w:t>:</w:t>
      </w:r>
    </w:p>
    <w:p>
      <w:pPr>
        <w:pStyle w:val="Puce3"/>
        <w:tabs>
          <w:tab w:val="clear" w:pos="720"/>
        </w:tabs>
        <w:rPr/>
      </w:pPr>
      <w:r>
        <w:rPr/>
        <w:t>1.</w:t>
        <w:tab/>
        <w:t>Annak biztosítása, hogy a jogszabályban előírt minimálbérek minden munkavállaló számára tisztességes és hasonló életminőséget biztosítsanak valamennyi tagállamban. Egyértelmű kritériumokat (pl. megélhetési költségek, infláció, a szegénységi küszöb feletti szint, nemzeti szinten az átlag és medián bérek) kell meghatározni, amelyeket figyelembe kell venni a minimálbér szintjének meghatározásakor. E kritériumok fényében rendszeresen felül kell vizsgálni a jogszabályban előírt minimálbérek szintjét a megfelelőségük biztosítása érdekében. Különös figyelmet kell fordítani e szabályok hatékony végrehajtására, valamint az életszínvonal javulásának nyomon követésére és nyomon követésére. Ugyanakkor az egész Unióban meg kell erősíteni és elő kell mozdítani a kollektív tárgyalásokat (1. és 30. PCE; 4.2. online platform).</w:t>
      </w:r>
    </w:p>
    <w:p>
      <w:pPr>
        <w:pStyle w:val="Puce3"/>
        <w:tabs>
          <w:tab w:val="clear" w:pos="720"/>
        </w:tabs>
        <w:rPr/>
      </w:pPr>
      <w:r>
        <w:rPr/>
        <w:t>2.</w:t>
        <w:tab/>
        <w:t>Számba veszi és tovább erősíti a munkaidőről szóló irányelv (2003/88/EK irányelv) és más vonatkozó jogszabályok végrehajtását, amelyek biztosítják a munka és a magánélet közötti egészséges egyensúlyt, ugyanakkor mérlegelik az e területre vonatkozó új nemzeti politikákat (CEP 2).</w:t>
      </w:r>
    </w:p>
    <w:p>
      <w:pPr>
        <w:pStyle w:val="Puce3"/>
        <w:tabs>
          <w:tab w:val="clear" w:pos="720"/>
        </w:tabs>
        <w:rPr/>
      </w:pPr>
      <w:r>
        <w:rPr/>
        <w:t>3.</w:t>
        <w:tab/>
        <w:t>Vezesse be vagy erősítse meg az „intelligens munkára” vonatkozó meglévő jogszabályokat, és ösztönözze a vállalatokat arra, hogy támogassák ezt az új munkamódszert. (PCE 7) Az Uniónak garantálnia kell a kijelentkezéshez való jogot, többet kell tennie a munkahelyi digitális szakadék kezelése érdekében, és értékelnie kell a távmunka egészségügyi, munkaidő- és teljesítményre gyakorolt hatásait. Biztosítani kell az emberi jogokon, a jobb munkakörülményeken és a kollektív tárgyalásokon alapuló méltányos digitalizációt (megbeszélések).</w:t>
      </w:r>
    </w:p>
    <w:p>
      <w:pPr>
        <w:pStyle w:val="Puce3"/>
        <w:tabs>
          <w:tab w:val="clear" w:pos="720"/>
        </w:tabs>
        <w:rPr/>
      </w:pPr>
      <w:r>
        <w:rPr/>
        <w:t>4.</w:t>
        <w:tab/>
        <w:t>A foglalkoztatáspolitikák uniós szintű integrálása, ahol az aktív munkaerő-piaci politikák továbbra is központi szerepet töltenek be és egyre inkább összehangoltak (IT 6.2), míg a tagállamok további reformtörekvésekre összpontosítanak a minőségi munkahelyteremtés kedvező feltételeinek megteremtése érdekében (viták).</w:t>
      </w:r>
    </w:p>
    <w:p>
      <w:pPr>
        <w:pStyle w:val="Puce3"/>
        <w:tabs>
          <w:tab w:val="clear" w:pos="720"/>
        </w:tabs>
        <w:rPr/>
      </w:pPr>
      <w:r>
        <w:rPr/>
        <w:t>5.</w:t>
        <w:tab/>
        <w:t>Hozzon intézkedéseket annak biztosítására, hogy konfliktus esetén a szociális jogok teljes mértékben védelemben részesüljenek, és elsőbbséget élvezzenek a gazdasági szabadságokkal szemben, többek között a társadalmi haladásról szóló jegyzőkönyvnek a szerződésekben való bevezetése révén (online platform, megbeszélések).</w:t>
      </w:r>
    </w:p>
    <w:p>
      <w:pPr>
        <w:pStyle w:val="Puce3"/>
        <w:tabs>
          <w:tab w:val="clear" w:pos="720"/>
        </w:tabs>
        <w:rPr/>
      </w:pPr>
      <w:r>
        <w:rPr/>
        <w:t>6.</w:t>
        <w:tab/>
        <w:t>A nemek közötti egyenlőség biztosítása az EU 2020–2025 közötti időszakra szóló nemi esélyegyenlőségi stratégiájával összhangban. Az Uniónak folytatnia kell a nemek közötti egyenlőség mérését a nemek közötti egyenlőség mutatója (képességek, bérszakadék, foglalkoztatás, vezetés stb.) révén, évente nyomon kell követnie a stratégiát, átláthatónak kell lennie az elért eredmények tekintetében, ösztönöznie kell a szakértelem és a bevált gyakorlatok megosztását, és létre kell hoznia a polgárok visszajelzésére szolgáló lehetséges közvetlen mechanizmust (pl. ombudsman) (ECP 28); 5.a.1). Foglalkozni kell a nemek közötti bérszakadékkal, és kvótákat kell bevezetni a felsővezetői álláshelyekre. A női vállalkozóknak fokozott támogatásban kell részesülniük az üzleti környezetben, csakúgy, mint a természettudományok, a technológia, a mérnöki tudományok és a matematika területén (viták).</w:t>
      </w:r>
    </w:p>
    <w:p>
      <w:pPr>
        <w:pStyle w:val="Puce3"/>
        <w:tabs>
          <w:tab w:val="clear" w:pos="720"/>
        </w:tabs>
        <w:rPr/>
      </w:pPr>
      <w:r>
        <w:rPr/>
        <w:t>7.</w:t>
        <w:tab/>
        <w:t>A fiatalok foglalkoztatásának előmozdítása, többek között a vállalkozások pénzügyi támogatása révén, de a munkáltatóknak és a munkavállalóknak nyújtott kiegészítő támogatás (4. fejezet), valamint a fiatal vállalkozók és a fiatal önfoglalkoztatók támogatása révén is, például oktatási eszközök és tanfolyamok (beszélgetések) révén.</w:t>
      </w:r>
    </w:p>
    <w:p>
      <w:pPr>
        <w:pStyle w:val="Puce3"/>
        <w:tabs>
          <w:tab w:val="clear" w:pos="720"/>
        </w:tabs>
        <w:rPr/>
      </w:pPr>
      <w:r>
        <w:rPr/>
        <w:t>8.</w:t>
        <w:tab/>
        <w:t>A hátrányos helyzetű csoportok foglalkoztatásának előmozdítása (4. fejezet), különösen a fogyatékkal élők számára (online platform).</w:t>
      </w:r>
    </w:p>
    <w:p>
      <w:pPr>
        <w:pStyle w:val="Puce3"/>
        <w:tabs>
          <w:tab w:val="clear" w:pos="720"/>
        </w:tabs>
        <w:rPr/>
      </w:pPr>
      <w:r>
        <w:rPr/>
        <w:t>9.</w:t>
        <w:tab/>
        <w:t>A foglalkoztatás és a társadalmi mobilitás előmozdítása annak érdekében, hogy az embereknek minden lehetőségük legyen a személyes fejlődésre és az önrendelkezésre. (IT 5.a.4 és IT 6.1) Létezhetne egy hosszú távú stratégia annak biztosítására, hogy társadalmunkban mindenki rendelkezzen a megfelelő készségekkel ahhoz, hogy munkát találjon és tehetségét növelje, különösen a fiatalabb generáció (vita) számára. Fontos beruházni a változó munkaerő-piaci igényekhez igazodó készségekbe, és elő kell mozdítani az egész életen át tartó tanulást, többek között egy csereprogram révén az élet minden szakaszában, valamint garantálni kell az egész életen át tartó tanuláshoz való jogot és a képzéshez való jogot. (FR 6; E célból meg kell erősíteni a vállalkozások, a szakszervezetek és a szakoktatási és szakképzési szolgáltatók közötti együttműködést (megbeszélések).</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61" w:name="__RefHeading___Toc298296_1346298689"/>
      <w:bookmarkEnd w:id="61"/>
      <w:r>
        <w:rPr/>
        <w:t>14. Javaslat: Erősebb szociálpolitikák</w:t>
      </w:r>
    </w:p>
    <w:p>
      <w:pPr>
        <w:pStyle w:val="Normal"/>
        <w:rPr/>
      </w:pPr>
      <w:r>
        <w:rPr/>
        <w:t>A cél: Javasoljuk az egyenlőtlenségek csökkentését, a társadalmi kirekesztés és a szegénység elleni küzdelmet. Átfogó szegénységellenes stratégiát kell létrehoznunk, amely magában foglalhatja többek között a gyermekgarancia és az ifjúsági garancia megerősítését, a minimálbérek bevezetését, a minimáljövedelem-rendszerek közös európai keretét és a tisztességes szociális lakhatást. Biztosítanunk kell a szociális jogok európai pillérének – többek között annak 2030-ra vonatkozó kiemelt céljainak – teljes körű végrehajtását európai, nemzeti, regionális és helyi szinten a „szociális védelem és befogadás” területén, tiszteletben tartva a vonatkozó hatásköröket, valamint a szubszidiaritás és az arányosság elvét, és be kell építenünk a Szerződésekbe a társadalmi haladásról szóló jegyzőkönyvet. Ez a következő intézkedésekkel érhető el:</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Intézkedések</w:t>
      </w:r>
      <w:r>
        <w:rPr>
          <w:rStyle w:val="Ancredenotedefin"/>
          <w:rStyle w:val="Ancredenotedefin"/>
        </w:rPr>
        <w:endnoteReference w:id="12"/>
      </w:r>
      <w:r>
        <w:rPr/>
        <w:t>:</w:t>
      </w:r>
    </w:p>
    <w:p>
      <w:pPr>
        <w:pStyle w:val="Puce3"/>
        <w:tabs>
          <w:tab w:val="clear" w:pos="720"/>
        </w:tabs>
        <w:rPr/>
      </w:pPr>
      <w:r>
        <w:rPr/>
        <w:t>1.</w:t>
        <w:tab/>
        <w:t>Erősítse meg az Unió hatásköreit a szociálpolitikák területén, és javaslatot tegyen harmonizált uniós szintű jogszabályokra a szociálpolitikák előmozdítása és az egyenlő jogok – többek között az egészségügyi jogok – biztosítása érdekében, figyelembe véve az elfogadott rendeleteket és minimumkövetelményeket az egész területen. (CEP 19 &amp; 21) Az EU támogathatná és kiegészíthetné a tagállamok politikáit, többek között azáltal, hogy közös keretet javasol a minimáljövedelem biztosítására, hogy senki se maradjon le. Ezeket a fellépéseket a szociális jogok európai pillérének és cselekvési tervének (megbeszélések) teljes körű végrehajtásának részeként kell végrehajtani.</w:t>
      </w:r>
    </w:p>
    <w:p>
      <w:pPr>
        <w:pStyle w:val="Puce3"/>
        <w:tabs>
          <w:tab w:val="clear" w:pos="720"/>
        </w:tabs>
        <w:rPr/>
      </w:pPr>
      <w:r>
        <w:rPr/>
        <w:t>2.</w:t>
        <w:tab/>
        <w:t>Ne kössenek kompromisszumot a szociális jogok (közegészségügy, közoktatás, munkapolitika) tekintetében. (4.a.1. pont)</w:t>
      </w:r>
    </w:p>
    <w:p>
      <w:pPr>
        <w:pStyle w:val="Puce3"/>
        <w:tabs>
          <w:tab w:val="clear" w:pos="720"/>
        </w:tabs>
        <w:rPr/>
      </w:pPr>
      <w:r>
        <w:rPr/>
        <w:t>3.</w:t>
        <w:tab/>
        <w:t>A szociális és egészségügyi kutatás előmozdítása az EU-ban, a közérdeket szolgáló és a tagállamok által jóváhagyott prioritási vonalakat követve, és megfelelő finanszírozás biztosítása. Ez részben a szakterületek, az országok és a tanulmányi központok (egyetemek stb.) közötti együttműködés megerősítésével érhető el (CEP 20).</w:t>
      </w:r>
    </w:p>
    <w:p>
      <w:pPr>
        <w:pStyle w:val="Puce3"/>
        <w:tabs>
          <w:tab w:val="clear" w:pos="720"/>
        </w:tabs>
        <w:rPr/>
      </w:pPr>
      <w:r>
        <w:rPr/>
        <w:t>4.</w:t>
        <w:tab/>
        <w:t>Az egészségügyi szolgáltatásokhoz való hozzáférés biztosítása minden 16 év alatti személy számára az EU-ban, amennyiben ezek a szolgáltatások nemzeti összefüggésben nem állnak rendelkezésre (megbeszélések).</w:t>
      </w:r>
    </w:p>
    <w:p>
      <w:pPr>
        <w:pStyle w:val="Puce3"/>
        <w:tabs>
          <w:tab w:val="clear" w:pos="720"/>
        </w:tabs>
        <w:rPr/>
      </w:pPr>
      <w:r>
        <w:rPr/>
        <w:t>5.</w:t>
        <w:tab/>
        <w:t>Biztosítsa, hogy az EU a szociális partnerekkel és a nemzeti kormányokkal együtt támogassa a polgárok számára a tisztességes szociális lakhatáshoz való célzott hozzáférést, sajátos igényeiknek megfelelően; a pénzügyi erőfeszítéseket meg kell osztani a magánadományozók, a lakástulajdonosok, a lakhatás kedvezményezettjei, a tagállamok központi és helyi szintű kormányai, valamint az Európai Unió (ECP 25) között.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62" w:name="__RefHeading___Toc298298_1346298689"/>
      <w:bookmarkEnd w:id="62"/>
      <w:r>
        <w:rPr/>
        <w:t>15. Javaslat: Demográfiai átmenet</w:t>
      </w:r>
    </w:p>
    <w:p>
      <w:pPr>
        <w:pStyle w:val="P68B1DB1Normal15"/>
        <w:rPr>
          <w:b/>
          <w:b/>
        </w:rPr>
      </w:pPr>
      <w:r>
        <w:rPr/>
        <w:t>A cél: javasoljuk, hogy Európa általános ellenálló képességének kritikus elemeként kezeljék a demográfiai átmenetből eredő kihívásokat, különösen az alacsony születési arányt és a népesség állandó elöregedését, és egész életük során támogatást nyújtsanak az embereknek. Ennek átfogó fellépésnek kell lennie minden generáció számára, a gyermekektől és fiataloktól a családokig, a munkaképes korú népességig, a munkára még kész idősekig és a nyugdíjasoktól vagy gondozásra szorulóktól. Ez a következő intézkedésekkel érhető el:</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Intézkedések</w:t>
      </w:r>
      <w:r>
        <w:rPr>
          <w:rStyle w:val="Ancredenotedefin"/>
          <w:rStyle w:val="Ancredenotedefin"/>
        </w:rPr>
        <w:endnoteReference w:id="13"/>
      </w:r>
      <w:r>
        <w:rPr/>
        <w:t>:</w:t>
      </w:r>
    </w:p>
    <w:p>
      <w:pPr>
        <w:pStyle w:val="Puce3"/>
        <w:tabs>
          <w:tab w:val="clear" w:pos="720"/>
        </w:tabs>
        <w:rPr/>
      </w:pPr>
      <w:r>
        <w:rPr/>
        <w:t>1.</w:t>
        <w:tab/>
        <w:t>Minőségi, megfizethető és hozzáférhető gyermekgondozási szolgáltatások biztosítása az EU-ban annak érdekében, hogy az anyák és az apák magabiztosan egyeztethessék a munkát és a családi életet. Adott esetben ez magában foglalhatja a munkahelyen vagy annak közelében történő gyermekgondozási lehetőségeket is. Néhány tagállamban az éjszakai gyermekgondozás is rendelkezésre áll, aminek példaként kell szolgálnia. Ezen túlmenően ezeket az intézkedéseket olyan támogatási intézkedések kísérhetik, mint például a gyermekek számára szükséges felszerelésekre vonatkozó kedvezményes héakulcsok. Alapvető fontosságú a gyermekszegénység és a társadalmi kirekesztés megelőzése. (CEP 22–26) E cél elérésének eszköze lehet a gyermekgarancia megerősítése azáltal, hogy biztosítja a rászoruló gyermekek számára az olyan szolgáltatásokhoz való hozzáférést, mint az oktatás és a gyermekgondozás, az egészségügyi ellátás, a táplálkozás és a lakhatás.</w:t>
      </w:r>
    </w:p>
    <w:p>
      <w:pPr>
        <w:pStyle w:val="Puce3"/>
        <w:tabs>
          <w:tab w:val="clear" w:pos="720"/>
        </w:tabs>
        <w:rPr/>
      </w:pPr>
      <w:r>
        <w:rPr/>
        <w:t>2.</w:t>
        <w:tab/>
        <w:t>Külön támogatást és védelmet biztosít a fiatalok számára. A munkaképes korú népességet célzó intézkedéseknek magukban kell foglalniuk az anyák és apák számára a munkába való visszatérést követően az ismeretekhez való hozzáférést (CEP 22). Az ifjúsági garancia megerősítése olyan eszköz lehet, amely javíthatja a 30 év alatti fiatalok jó minőségű állásajánlathoz, folyamatos oktatáshoz, tanulószerződéses gyakorlati képzéshez vagy szakmai gyakorlathoz való hozzáférését. (megbeszélések)</w:t>
      </w:r>
    </w:p>
    <w:p>
      <w:pPr>
        <w:pStyle w:val="Puce3"/>
        <w:tabs>
          <w:tab w:val="clear" w:pos="720"/>
        </w:tabs>
        <w:rPr/>
      </w:pPr>
      <w:r>
        <w:rPr/>
        <w:t>3.</w:t>
        <w:tab/>
        <w:t>Az oktatás Unión belüli szabad mozgásához való jog előmozdítása, különösen az oklevelek, besorolási fokozatok, kompetenciák és képesítések kölcsönös elismerése révén. (megbeszélések)</w:t>
      </w:r>
    </w:p>
    <w:p>
      <w:pPr>
        <w:pStyle w:val="Puce3"/>
        <w:tabs>
          <w:tab w:val="clear" w:pos="720"/>
        </w:tabs>
        <w:rPr/>
      </w:pPr>
      <w:r>
        <w:rPr/>
        <w:t>4.</w:t>
        <w:tab/>
        <w:t>Javítsa a jogszabályokat és azok végrehajtását annak érdekében, hogy minden tagállamban támogatást nyújtson a családoknak, például a szülői szabadság, a szülési és a gyermekgondozási támogatások tekintetében. (PCE 26 és IT 5.a.1) A lakhatás kulcsfontosságú szerepet játszik a családok támogatásában, és foglalkozni kell vele (online platform, megbeszélések).</w:t>
      </w:r>
    </w:p>
    <w:p>
      <w:pPr>
        <w:pStyle w:val="Puce3"/>
        <w:tabs>
          <w:tab w:val="clear" w:pos="720"/>
        </w:tabs>
        <w:rPr/>
      </w:pPr>
      <w:r>
        <w:rPr/>
        <w:t>5.</w:t>
        <w:tab/>
        <w:t>Hozzon intézkedéseket annak biztosítására, hogy minden család minden tagállamban azonos családjogokat élvezzen. Ennek magában kell foglalnia a házassághoz és az örökbefogadáshoz való jogot. (PCE 27)</w:t>
      </w:r>
    </w:p>
    <w:p>
      <w:pPr>
        <w:pStyle w:val="Puce3"/>
        <w:tabs>
          <w:tab w:val="clear" w:pos="720"/>
        </w:tabs>
        <w:rPr/>
      </w:pPr>
      <w:r>
        <w:rPr/>
        <w:t>6.</w:t>
        <w:tab/>
        <w:t>Mozdítsák elő a rugalmas nyugdíjkorhatárt, figyelembe véve az idősek sajátos helyzetét. A nyugdíjkorhatár meghatározásakor a szakma szerint különbséget kell tenni, és ezért figyelembe kell venni a különösen igényes – mind mentális, mind fizikai – munkát. (PCE 21 és IT 5.a.1)</w:t>
      </w:r>
    </w:p>
    <w:p>
      <w:pPr>
        <w:pStyle w:val="Puce3"/>
        <w:tabs>
          <w:tab w:val="clear" w:pos="720"/>
        </w:tabs>
        <w:rPr/>
      </w:pPr>
      <w:r>
        <w:rPr/>
        <w:t>7.</w:t>
        <w:tab/>
        <w:t>Az idősek szegénységének megelőzése a minimális nyugdíjak bevezetésével. E minimumszinteknek figyelembe kell venniük az érintett tagállam életszínvonalát, szegénységi küszöbét és vásárlóerejét. (PCE 21)</w:t>
      </w:r>
    </w:p>
    <w:p>
      <w:pPr>
        <w:pStyle w:val="Puce3"/>
        <w:tabs>
          <w:tab w:val="clear" w:pos="720"/>
        </w:tabs>
        <w:rPr/>
      </w:pPr>
      <w:r>
        <w:rPr/>
        <w:t>8.</w:t>
        <w:tab/>
        <w:t>Biztosítani kell az idősek megfelelő szociális ellátását és egészségügyi ellátását. Ennek során fontos, hogy mind a közösségi ellátásra, mind a bentlakásos ellátásra összpontosítsunk. Hasonlóképpen, az intézkedéseknek figyelembe kell venniük mind az ellátásban részesülőket, mind a gondozást nyújtókat. (PCE 23)</w:t>
      </w:r>
    </w:p>
    <w:p>
      <w:pPr>
        <w:pStyle w:val="Puce3"/>
        <w:tabs>
          <w:tab w:val="clear" w:pos="720"/>
        </w:tabs>
        <w:rPr/>
      </w:pPr>
      <w:r>
        <w:rPr/>
        <w:t>9.</w:t>
        <w:tab/>
        <w:t>A lemaradó régiók fenntartható fejlődésének és demográfiai rezilienciájának biztosítása dinamikusabbá és vonzóbbá tétele érdekében, többek között a kohéziós politika révén. (online platform és megbeszélések)</w:t>
      </w:r>
    </w:p>
    <w:p>
      <w:pPr>
        <w:pStyle w:val="Puce3"/>
        <w:tabs>
          <w:tab w:val="clear" w:pos="720"/>
        </w:tabs>
        <w:rPr/>
      </w:pPr>
      <w:r>
        <w:rPr/>
        <w:t>10.</w:t>
        <w:tab/>
        <w:t>Összehangolt európai szintű fellépés az olyan tényezőkre lebontott adatok gyűjtése érdekében, mint a nemek közötti egyenlőség és a demográfiai tendenciák elemzése, a bevált gyakorlatok és ismeretek megosztása, valamint a tagállamok támogatása a megfelelő szakpolitikák kidolgozásában és végrehajtásában, többek között egy erre a területre szakosodott uniós szerv létrehozása révén. (online platform és vita).</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63" w:name="__RefHeading___Toc298300_1346298689"/>
      <w:bookmarkEnd w:id="63"/>
      <w:r>
        <w:rPr/>
        <w:t>16. Javaslat: Fiskális és fiskális politikák</w:t>
      </w:r>
    </w:p>
    <w:p>
      <w:pPr>
        <w:pStyle w:val="P68B1DB1Normal15"/>
        <w:rPr>
          <w:b/>
          <w:b/>
        </w:rPr>
      </w:pPr>
      <w:r>
        <w:rPr/>
        <w:t>A cél: javasoljuk, hogy az EU ösztönözze az erőteljes szociális és nemi dimenzióval rendelkező zöld és digitális átállásra összpontosító előretekintő beruházásokat, figyelembe véve a Next Generation EU és a szükséghelyzeti munkanélküliségi kockázatok enyhítését célzó ideiglenes támogatás európai eszköze (SURE) példáit. Az Uniónak figyelembe kell vennie az Ukrajna elleni háború társadalmi és gazdasági hatásait, valamint a gazdasági kormányzása és az új geopolitikai környezet közötti kapcsolatot, saját költségvetésének új saját forrásokkal történő megerősítése révén. A polgárok azt szeretnék, ha az adózás elfordulna a polgároktól és a kkv-któl, és megcélozná az adócsalást végzőket, a nagy szennyezőket és a digitális óriásokat, miközben azt akarják, hogy az EU támogassa a tagállamok és a helyi hatóságok azon képességét, hogy maguk finanszírozzák és felhasználják az uniós forrásokat. Ezt a célkitűzést a következő intézkedésekkel kell elérni:</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Intézkedések</w:t>
      </w:r>
      <w:r>
        <w:rPr>
          <w:rStyle w:val="Ancredenotedefin"/>
          <w:rStyle w:val="Ancredenotedefin"/>
        </w:rPr>
        <w:endnoteReference w:id="14"/>
      </w:r>
      <w:r>
        <w:rPr/>
        <w:t>:</w:t>
      </w:r>
    </w:p>
    <w:p>
      <w:pPr>
        <w:pStyle w:val="Puce3"/>
        <w:tabs>
          <w:tab w:val="clear" w:pos="720"/>
        </w:tabs>
        <w:rPr/>
      </w:pPr>
      <w:r>
        <w:rPr/>
        <w:t>1.</w:t>
        <w:tab/>
        <w:t>Harmonizálja és összehangolja az adópolitikákat az uniós tagállamokon belül az adókijátszás és adókikerülés megelőzése, az Unión belüli adóparadicsomok elkerülése és az Európán belüli áthelyezések megcélzása érdekében, többek között annak biztosításával, hogy az EU Tanácsában minősített többséggel lehessen adóügyi döntéseket hozni. Másrészt a polgárok munkacsoportjai ajánlásokat fogalmaznak meg arra vonatkozóan, hogy az adózás különböző országok hatáskörébe tartozik, amelyeknek saját célkitűzéseik és körülményeik vannak. (PCE 13 és 31, IT 4.b.3., NL 2.3)</w:t>
      </w:r>
    </w:p>
    <w:p>
      <w:pPr>
        <w:pStyle w:val="Puce3"/>
        <w:tabs>
          <w:tab w:val="clear" w:pos="720"/>
        </w:tabs>
        <w:rPr/>
      </w:pPr>
      <w:r>
        <w:rPr/>
        <w:t>2.</w:t>
        <w:tab/>
        <w:t>Mozdítsa elő az uniós tagállamok közötti együttműködést annak biztosítása érdekében, hogy valamennyi uniós vállalkozás méltányos részt fizessen az adóból; közös társaságiadó-alap (KTA) vagy minimális effektív adómérték bevezetése. (NL 3)</w:t>
      </w:r>
    </w:p>
    <w:p>
      <w:pPr>
        <w:pStyle w:val="Puce3"/>
        <w:tabs>
          <w:tab w:val="clear" w:pos="720"/>
        </w:tabs>
        <w:rPr/>
      </w:pPr>
      <w:r>
        <w:rPr/>
        <w:t>3.</w:t>
        <w:tab/>
        <w:t>Biztosítani kell, hogy a vállalatok ott fizessenek adót, ahol nyereséget termelnek. (PCE 13)</w:t>
      </w:r>
    </w:p>
    <w:p>
      <w:pPr>
        <w:pStyle w:val="Puce3"/>
        <w:tabs>
          <w:tab w:val="clear" w:pos="720"/>
        </w:tabs>
        <w:rPr/>
      </w:pPr>
      <w:r>
        <w:rPr/>
        <w:t>4.</w:t>
        <w:tab/>
        <w:t>Annak biztosítása, hogy az adópolitika támogassa az európai ipart, és megakadályozza a munkahelyek megszűnését Európában. (PCE 13 és 31)</w:t>
      </w:r>
    </w:p>
    <w:p>
      <w:pPr>
        <w:pStyle w:val="Puce3"/>
        <w:tabs>
          <w:tab w:val="clear" w:pos="720"/>
        </w:tabs>
        <w:rPr/>
      </w:pPr>
      <w:r>
        <w:rPr/>
        <w:t>5.</w:t>
        <w:tab/>
        <w:t>Részletesebben vizsgálja meg az uniós szintű közös hitelfelvétel lehetőségét annak érdekében, hogy kedvezőbb hitelfelvételi feltételeket teremtsenek, a tagállami szintű felelősségteljes költségvetési politikák fenntartása mellett. (LT 9)</w:t>
      </w:r>
    </w:p>
    <w:p>
      <w:pPr>
        <w:pStyle w:val="Puce3"/>
        <w:tabs>
          <w:tab w:val="clear" w:pos="720"/>
        </w:tabs>
        <w:rPr/>
      </w:pPr>
      <w:r>
        <w:rPr/>
        <w:t>6.</w:t>
        <w:tab/>
        <w:t>Az uniós források felhasználásának és felhasználásának nyomon követése, többek között helyi és önkormányzati szinten is.(LT 10)</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Normal"/>
        <w:rPr/>
      </w:pPr>
      <w:r>
        <w:rPr/>
        <w:drawing>
          <wp:anchor behindDoc="0" distT="0" distB="0" distL="0" distR="0" simplePos="0" locked="0" layoutInCell="1" allowOverlap="1" relativeHeight="14">
            <wp:simplePos x="0" y="0"/>
            <wp:positionH relativeFrom="column">
              <wp:posOffset>14605</wp:posOffset>
            </wp:positionH>
            <wp:positionV relativeFrom="paragraph">
              <wp:posOffset>8890</wp:posOffset>
            </wp:positionV>
            <wp:extent cx="913765" cy="913765"/>
            <wp:effectExtent l="0" t="0" r="0" b="0"/>
            <wp:wrapSquare wrapText="largest"/>
            <wp:docPr id="64" name="Image24 – Videó letöltés mp3-ban"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24 – Videó letöltés mp3-ban" descr=""/>
                    <pic:cNvPicPr>
                      <a:picLocks noChangeAspect="1" noChangeArrowheads="1"/>
                    </pic:cNvPicPr>
                  </pic:nvPicPr>
                  <pic:blipFill>
                    <a:blip r:embed="rId76"/>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64" w:name="__RefHeading___Toc298302_1346298689"/>
      <w:bookmarkEnd w:id="64"/>
      <w:r>
        <w:rPr/>
        <w:t>„</w:t>
      </w:r>
      <w:r>
        <w:rPr/>
        <w:t>Az EU a világban”</w:t>
      </w:r>
    </w:p>
    <w:p>
      <w:pPr>
        <w:pStyle w:val="Titre3"/>
        <w:numPr>
          <w:ilvl w:val="2"/>
          <w:numId w:val="2"/>
        </w:numPr>
        <w:rPr/>
      </w:pPr>
      <w:bookmarkStart w:id="65" w:name="__RefHeading___Toc298304_1346298689"/>
      <w:bookmarkEnd w:id="65"/>
      <w:r>
        <w:rPr/>
        <w:t>17. Javaslat: Az EU stratégiai ágazatok külföldi szereplőitől való függőségének csökkentése gazdasági szempontból</w:t>
      </w:r>
    </w:p>
    <w:p>
      <w:pPr>
        <w:pStyle w:val="P68B1DB1Normal15"/>
        <w:rPr>
          <w:b/>
          <w:b/>
        </w:rPr>
      </w:pPr>
      <w:r>
        <w:rPr/>
        <w:t>A cél: Javasoljuk, hogy az EU tegyen lépéseket autonómiájának megerősítése érdekében az olyan kulcsfontosságú stratégiai ágazatokban, mint a mezőgazdasági termékek, a stratégiai gazdasági termékek, a félvezetők, az orvosi termékek, az innovatív digitális és környezetvédelmi technológiák és az energia, az alábbi intézkedések révén:</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Intézkedések:</w:t>
      </w:r>
    </w:p>
    <w:p>
      <w:pPr>
        <w:pStyle w:val="Puce3"/>
        <w:tabs>
          <w:tab w:val="clear" w:pos="720"/>
        </w:tabs>
        <w:rPr/>
      </w:pPr>
      <w:r>
        <w:rPr/>
        <w:t>1.</w:t>
        <w:tab/>
        <w:t>A kutatási, fejlesztési és innovációs tevékenységek, valamint az állami és magánpartnerek közötti együttműködés előmozdítása ezen a területen.</w:t>
      </w:r>
    </w:p>
    <w:p>
      <w:pPr>
        <w:pStyle w:val="Puce3"/>
        <w:tabs>
          <w:tab w:val="clear" w:pos="720"/>
        </w:tabs>
        <w:rPr/>
      </w:pPr>
      <w:r>
        <w:rPr/>
        <w:t>2.</w:t>
        <w:tab/>
        <w:t>A kereskedelmi tárgyalások ambiciózus menetrendjének fenntartása, amely hozzájárulhat az ellátási láncok ellenálló képességének és diverzifikációjának megerősítéséhez, különösen a nyersanyagok tekintetében, miközben méltányosabban és több partnerrel osztja meg a kereskedelem előnyeit, ezáltal korlátozva a kockázatot jelentő kis számú szállítótól való kitettségünket és függőségünket</w:t>
      </w:r>
      <w:r>
        <w:rPr>
          <w:rStyle w:val="Ancredenotedefin"/>
          <w:rStyle w:val="Ancredenotedefin"/>
        </w:rPr>
        <w:endnoteReference w:id="15"/>
      </w:r>
      <w:r>
        <w:rPr/>
        <w:t>.</w:t>
      </w:r>
    </w:p>
    <w:p>
      <w:pPr>
        <w:pStyle w:val="Puce3"/>
        <w:tabs>
          <w:tab w:val="clear" w:pos="720"/>
        </w:tabs>
        <w:rPr/>
      </w:pPr>
      <w:r>
        <w:rPr/>
        <w:t>3.</w:t>
        <w:tab/>
        <w:t>Az uniós ellátási láncok nagyobb rezilienciája az Unió stratégiai ágazataiba történő beruházások előmozdítása, a kritikus fontosságú termelés és eszközök tárolása, valamint a kritikus fontosságú nyersanyagok ellátási forrásainak diverzifikálása révén.</w:t>
      </w:r>
    </w:p>
    <w:p>
      <w:pPr>
        <w:pStyle w:val="Puce3"/>
        <w:tabs>
          <w:tab w:val="clear" w:pos="720"/>
        </w:tabs>
        <w:rPr/>
      </w:pPr>
      <w:r>
        <w:rPr/>
        <w:t>4.</w:t>
        <w:tab/>
        <w:t>Új beruházások a belső piac kiteljesítésére és az egyenlő versenyfeltételek megteremtésére annak érdekében, hogy e termékek előállítása és beszerzése vonzóbbá váljon az Európai Unióban.</w:t>
      </w:r>
    </w:p>
    <w:p>
      <w:pPr>
        <w:pStyle w:val="Puce3"/>
        <w:tabs>
          <w:tab w:val="clear" w:pos="720"/>
        </w:tabs>
        <w:rPr/>
      </w:pPr>
      <w:r>
        <w:rPr/>
        <w:t>5.</w:t>
        <w:tab/>
        <w:t>Olyan támogatás, amely lehetővé teszi, hogy ezek a termékek elérhetők és megfizethetőek legyenek az európai fogyasztók számára, és hozzájáruljon a külső függőségek csökkentéséhez, például strukturális és regionális politikák, adókedvezmények, támogatások, infrastrukturális és kutatási beruházások révén, a kkv-k versenyképességének fokozásával, valamint az alapvető szükségletek biztosításához szükséges megfelelő készségek és munkahelyek fenntartását célzó oktatási programok révén Európában</w:t>
      </w:r>
      <w:r>
        <w:rPr>
          <w:rStyle w:val="Ancredenotedefin"/>
          <w:rStyle w:val="Ancredenotedefin"/>
        </w:rPr>
        <w:endnoteReference w:id="16"/>
      </w:r>
      <w:r>
        <w:rPr/>
        <w:t>.</w:t>
      </w:r>
    </w:p>
    <w:p>
      <w:pPr>
        <w:pStyle w:val="Puce3"/>
        <w:tabs>
          <w:tab w:val="clear" w:pos="720"/>
        </w:tabs>
        <w:rPr/>
      </w:pPr>
      <w:r>
        <w:rPr/>
        <w:t>6.</w:t>
        <w:tab/>
        <w:t>Egy európai program, amely valamennyi</w:t>
      </w:r>
      <w:r>
        <w:rPr>
          <w:rStyle w:val="Ancredenotedefin"/>
          <w:rStyle w:val="Ancredenotedefin"/>
        </w:rPr>
        <w:endnoteReference w:id="17"/>
      </w:r>
      <w:r>
        <w:rPr/>
        <w:t>tagállam stratégiai ágazataiban támogatja a kis helyi termelőket, nagyobb mértékben kihasználva az uniós programokat és pénzügyi eszközöket, például az InvestEU-t.</w:t>
      </w:r>
    </w:p>
    <w:p>
      <w:pPr>
        <w:pStyle w:val="Puce3"/>
        <w:tabs>
          <w:tab w:val="clear" w:pos="720"/>
        </w:tabs>
        <w:rPr/>
      </w:pPr>
      <w:r>
        <w:rPr/>
        <w:t>7.</w:t>
        <w:tab/>
        <w:t>A tagállamok közötti jobb együttműködés az ellátási lánc kockázatkezelésének kezelése érdekében.</w:t>
      </w:r>
      <w:r>
        <w:rPr>
          <w:rStyle w:val="Ancredenotedefin"/>
          <w:rStyle w:val="Ancredenotedefin"/>
        </w:rPr>
        <w:endnoteReference w:id="18"/>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66" w:name="__RefHeading___Toc298306_1346298689"/>
      <w:bookmarkEnd w:id="66"/>
      <w:r>
        <w:rPr/>
        <w:t>18. Javaslat: Az EU külföldi energetikai szereplőktől való függőségének csökkentése</w:t>
      </w:r>
    </w:p>
    <w:p>
      <w:pPr>
        <w:pStyle w:val="P68B1DB1Normal15"/>
        <w:rPr>
          <w:b/>
          <w:b/>
        </w:rPr>
      </w:pPr>
      <w:r>
        <w:rPr/>
        <w:t>A cél: Javasoljuk, hogy a folyamatban lévő ökológiai átállással összefüggésben az EU nagyobb autonómiát érjen el az energiatermelés és -ellátás tekintetében a következő intézkedések révén:</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Intézkedések:</w:t>
      </w:r>
    </w:p>
    <w:p>
      <w:pPr>
        <w:pStyle w:val="Puce3"/>
        <w:tabs>
          <w:tab w:val="clear" w:pos="720"/>
        </w:tabs>
        <w:rPr/>
      </w:pPr>
      <w:r>
        <w:rPr/>
        <w:t>1.</w:t>
        <w:tab/>
        <w:t>Egy olyan stratégia elfogadása, amelynek célja, hogy autonómabbá tegye az energiatermelést. Egy európai szervnek integrálnia kell a meglévő európai energiaügynökségeket, koordinálnia kell a megújuló energia fejlesztését és elő kell mozdítania a tudásmegosztást</w:t>
      </w:r>
      <w:r>
        <w:rPr>
          <w:rStyle w:val="Ancredenotedefin"/>
          <w:rStyle w:val="Ancredenotedefin"/>
        </w:rPr>
        <w:endnoteReference w:id="19"/>
      </w:r>
      <w:r>
        <w:rPr/>
        <w:t>.</w:t>
      </w:r>
    </w:p>
    <w:p>
      <w:pPr>
        <w:pStyle w:val="Puce3"/>
        <w:tabs>
          <w:tab w:val="clear" w:pos="720"/>
        </w:tabs>
        <w:rPr/>
      </w:pPr>
      <w:r>
        <w:rPr/>
        <w:t>2.</w:t>
        <w:tab/>
        <w:t>Aktív támogatás a tömegközlekedési és energiahatékonysági projektekhez, a nagy sebességű európai teherszállítási vasúthálózathoz, a tiszta és megújuló energiaellátás bővítéséhez (beleértve a nap- és szélenergiát is), az alternatív technológiákhoz (például a hidrogénhez vagy a hulladék energetikai hasznosításához), valamint a városi térségekben az egységes gépjárműkultúráról a tömegközlekedés kultúrájára, az elektromos autók megosztására és a kerékpározásra való áttéréshez</w:t>
      </w:r>
      <w:r>
        <w:rPr>
          <w:rStyle w:val="Ancredenotedefin"/>
          <w:rStyle w:val="Ancredenotedefin"/>
        </w:rPr>
        <w:endnoteReference w:id="20"/>
      </w:r>
      <w:r>
        <w:rPr/>
        <w:t>.</w:t>
      </w:r>
    </w:p>
    <w:p>
      <w:pPr>
        <w:pStyle w:val="Puce3"/>
        <w:tabs>
          <w:tab w:val="clear" w:pos="720"/>
        </w:tabs>
        <w:rPr/>
      </w:pPr>
      <w:r>
        <w:rPr/>
        <w:t>3.</w:t>
        <w:tab/>
        <w:t>Az igazságos és méltányos átállás biztosítása, különösen a kiszolgáltatott helyzetben lévő polgárok támogatása révén, akik a klímasemlegességre való átállás során a legnagyobb kihívásokkal szembesülnek, és akik az energiafüggőség és az energiaárak közelmúltbeli megháromszorozása miatt már most is magasabb energiaáraktól szenvednek.</w:t>
      </w:r>
    </w:p>
    <w:p>
      <w:pPr>
        <w:pStyle w:val="Normal"/>
        <w:rPr/>
      </w:pPr>
      <w:r>
        <w:rPr/>
      </w:r>
    </w:p>
    <w:p>
      <w:pPr>
        <w:pStyle w:val="Puce3"/>
        <w:tabs>
          <w:tab w:val="clear" w:pos="720"/>
        </w:tabs>
        <w:rPr/>
      </w:pPr>
      <w:r>
        <w:rPr/>
        <w:t>4.</w:t>
        <w:tab/>
        <w:t>Fokozott együttműködés az atomenergia használatának értékelésében a megújuló energiára való, folyamatban lévő zöld átállás összefüggésében, megvizsgálva azokat a kollektív kérdéseket, amelyeket megoldhat vagy létrehozhat, mivel számos tagállam még mindig használja</w:t>
      </w:r>
      <w:r>
        <w:rPr>
          <w:rStyle w:val="Ancredenotedefin"/>
          <w:rStyle w:val="Ancredenotedefin"/>
        </w:rPr>
        <w:endnoteReference w:id="21"/>
      </w:r>
      <w:r>
        <w:rPr/>
        <w:t>.</w:t>
      </w:r>
    </w:p>
    <w:p>
      <w:pPr>
        <w:pStyle w:val="Puce3"/>
        <w:tabs>
          <w:tab w:val="clear" w:pos="720"/>
        </w:tabs>
        <w:rPr/>
      </w:pPr>
      <w:r>
        <w:rPr/>
        <w:t>5.</w:t>
        <w:tab/>
        <w:t>Együttműködés a nemzetközi partnerekkel annak érdekében, hogy elkötelezzék magukat amellett, hogy ambiciózusabb éghajlat-változási célokat érjenek el különböző nemzetközi fórumokon, beleértve a G7-eket és a G20-akat is.</w:t>
      </w:r>
    </w:p>
    <w:p>
      <w:pPr>
        <w:pStyle w:val="Puce3"/>
        <w:tabs>
          <w:tab w:val="clear" w:pos="720"/>
        </w:tabs>
        <w:rPr/>
      </w:pPr>
      <w:r>
        <w:rPr/>
        <w:t>6.</w:t>
        <w:tab/>
        <w:t>A külkereskedelem és az éghajlatváltozással kapcsolatos szakpolitikai intézkedések összekapcsolása (pl. az éghajlatbarát technológiákra és innovációkra irányuló beruházási intézkedéscsomag elindítása, beleértve a finanszírozási programokat is)</w:t>
      </w:r>
      <w:r>
        <w:rPr>
          <w:rStyle w:val="Ancredenotedefin"/>
          <w:rStyle w:val="Ancredenotedefin"/>
        </w:rPr>
        <w:endnoteReference w:id="22"/>
      </w:r>
      <w:r>
        <w:rPr/>
        <w:t>.</w:t>
      </w:r>
    </w:p>
    <w:p>
      <w:pPr>
        <w:pStyle w:val="Puce3"/>
        <w:tabs>
          <w:tab w:val="clear" w:pos="720"/>
        </w:tabs>
        <w:rPr/>
      </w:pPr>
      <w:r>
        <w:rPr/>
        <w:t>7.</w:t>
        <w:tab/>
        <w:t>Importált energia és fenntartható energiaügyi partnerségek közös beszerzése Európa energiaimporttól való függőségének csökkentése érdekében, különösen a gáz és az olaj területén, valamint az EU hazai energiaforrásainak fejlesztése érdekében.</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67" w:name="__RefHeading___Toc298308_1346298689"/>
      <w:bookmarkEnd w:id="67"/>
      <w:r>
        <w:rPr/>
        <w:t>19. Javaslat: Normák meghatározása az EU-n belül és kívül a kereskedelmi és beruházási kapcsolatok terén</w:t>
      </w:r>
    </w:p>
    <w:p>
      <w:pPr>
        <w:pStyle w:val="P68B1DB1Normal15"/>
        <w:rPr>
          <w:b/>
          <w:b/>
        </w:rPr>
      </w:pPr>
      <w:r>
        <w:rPr/>
        <w:t>A cél: Javasoljuk, hogy az EU a következő intézkedések révén erősítse meg kereskedelmi és beruházási kapcsolatai etikai dimenzióját:</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Intézkedések:</w:t>
      </w:r>
    </w:p>
    <w:p>
      <w:pPr>
        <w:pStyle w:val="Puce3"/>
        <w:tabs>
          <w:tab w:val="clear" w:pos="720"/>
        </w:tabs>
        <w:rPr/>
      </w:pPr>
      <w:r>
        <w:rPr/>
        <w:t>1.</w:t>
        <w:tab/>
        <w:t>A szabályokon alapuló többoldalú nemzetközi kereskedelmi architektúránk megőrzése és reformja, valamint a hasonló gondolkodású demokráciákkal való partnerség.</w:t>
      </w:r>
    </w:p>
    <w:p>
      <w:pPr>
        <w:pStyle w:val="Puce3"/>
        <w:tabs>
          <w:tab w:val="clear" w:pos="720"/>
        </w:tabs>
        <w:rPr/>
      </w:pPr>
      <w:r>
        <w:rPr/>
        <w:t>2.</w:t>
        <w:tab/>
        <w:t>Hatékony és arányos uniós jogszabályok annak biztosítása érdekében, hogy a tisztességes munkára vonatkozó normákat teljes mértékben alkalmazzák a globális értékláncokban, többek között az uniós termelési és ellátási folyamatokban, valamint hogy az importált áruk megfeleljenek a minőségi etikai normáknak, a fenntartható fejlődésnek és az emberi jogi normáknak, ideértve a munkaügyi és szakszervezeti jogokat is, azáltal, hogy ezen uniós jogszabályokkal összhangban tanúsítást kínálnak a termékek számára,</w:t>
      </w:r>
      <w:r>
        <w:rPr>
          <w:rStyle w:val="Ancredenotedefin"/>
          <w:rStyle w:val="Ancredenotedefin"/>
        </w:rPr>
        <w:endnoteReference w:id="23"/>
      </w:r>
      <w:r>
        <w:rPr/>
        <w:t xml:space="preserve"> és részt vesznek egy, a nemzetközi kereskedelem stratégiai változásainak környezeti és etikai hatásaival kapcsolatos tájékoztatásra és oktatásra irányuló uniós szintű párbeszédben.</w:t>
      </w:r>
    </w:p>
    <w:p>
      <w:pPr>
        <w:pStyle w:val="Normal"/>
        <w:rPr/>
      </w:pPr>
      <w:r>
        <w:rPr/>
      </w:r>
    </w:p>
    <w:p>
      <w:pPr>
        <w:pStyle w:val="Puce3"/>
        <w:tabs>
          <w:tab w:val="clear" w:pos="720"/>
        </w:tabs>
        <w:rPr/>
      </w:pPr>
      <w:r>
        <w:rPr/>
        <w:t>3.</w:t>
        <w:tab/>
        <w:t>A kényszermunkát és gyermekmunkát lehetővé tevő országokból származó termékek behozatalának és értékesítésének korlátozása, a vállalkozások rendszeresen frissített feketelistája és a gyermekmunkával kapcsolatos fogyasztói tudatosság a hivatalos uniós csatornákon keresztül közzétett információk révén</w:t>
      </w:r>
      <w:r>
        <w:rPr>
          <w:rStyle w:val="Ancredenotedefin"/>
          <w:rStyle w:val="Ancredenotedefin"/>
        </w:rPr>
        <w:endnoteReference w:id="24"/>
      </w:r>
      <w:r>
        <w:rPr/>
        <w:t>.</w:t>
      </w:r>
    </w:p>
    <w:p>
      <w:pPr>
        <w:pStyle w:val="Puce3"/>
        <w:tabs>
          <w:tab w:val="clear" w:pos="720"/>
        </w:tabs>
        <w:rPr/>
      </w:pPr>
      <w:r>
        <w:rPr/>
        <w:t>4.</w:t>
        <w:tab/>
        <w:t>Az uniós szabadkereskedelmi megállapodások végrehajtható kereskedelemre és fenntartható fejlődésre vonatkozó fejezeteinek nyomon követése és érvényesítése, beleértve a végső megoldásként alkalmazott szankcióalapú mechanizmus lehetőségét is.</w:t>
      </w:r>
    </w:p>
    <w:p>
      <w:pPr>
        <w:pStyle w:val="Puce3"/>
        <w:tabs>
          <w:tab w:val="clear" w:pos="720"/>
        </w:tabs>
        <w:rPr/>
      </w:pPr>
      <w:r>
        <w:rPr/>
        <w:t>5.</w:t>
        <w:tab/>
        <w:t>Az EU általános preferenciarendszerének (GSP) reformja, amely szigorú kölcsönös megfeleltetési rendelkezéseket, valamint hatékony és megfelelő nyomon követési, jelentéstételi és párbeszédi folyamatokat foglal magában annak érdekében, hogy javítsa a GSP által a partnerországok kereskedelemre, emberi jogokra és fejlődésre gyakorolt hatását, a meg nem felelés esetén pedig a kereskedelmi preferenciák visszavonásának lehetőségével.</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68" w:name="__RefHeading___Toc298310_1346298689"/>
      <w:bookmarkEnd w:id="68"/>
      <w:r>
        <w:rPr/>
        <w:t>20. Javaslat: A környezetvédelmi politikákra vonatkozó előírások meghatározása az EU-n belül és kívül</w:t>
      </w:r>
    </w:p>
    <w:p>
      <w:pPr>
        <w:pStyle w:val="P68B1DB1Normal15"/>
        <w:rPr>
          <w:b/>
          <w:b/>
        </w:rPr>
      </w:pPr>
      <w:r>
        <w:rPr/>
        <w:t>A cél: Javasoljuk, hogy az EU a következő intézkedésekkel erősítse meg kereskedelmi kapcsolatainak környezetvédelmi dimenzióját:</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Intézkedések:</w:t>
      </w:r>
    </w:p>
    <w:p>
      <w:pPr>
        <w:pStyle w:val="Puce3"/>
        <w:tabs>
          <w:tab w:val="clear" w:pos="720"/>
        </w:tabs>
        <w:rPr/>
      </w:pPr>
      <w:r>
        <w:rPr/>
        <w:t>1.</w:t>
        <w:tab/>
        <w:t>Az ökocímkézés harmonizálása és megerősítése, valamint az európai környezeti hatásmutató (ecoscore) kötelező feltüntetése valamennyi fogyasztási cikken. Az ökopontszám kiszámítása a termelésből és a szállításból származó kibocsátások, valamint a tartalom káros volta alapján, a veszélyes termékek listája alapján történne. Az Ecoscore-t egy európai hatóságnak kell irányítania és nyomon követnie</w:t>
      </w:r>
      <w:r>
        <w:rPr>
          <w:rStyle w:val="Ancredenotedefin"/>
          <w:rStyle w:val="Ancredenotedefin"/>
        </w:rPr>
        <w:endnoteReference w:id="25"/>
      </w:r>
      <w:r>
        <w:rPr/>
        <w:t>.</w:t>
      </w:r>
    </w:p>
    <w:p>
      <w:pPr>
        <w:pStyle w:val="Puce3"/>
        <w:tabs>
          <w:tab w:val="clear" w:pos="720"/>
        </w:tabs>
        <w:rPr/>
      </w:pPr>
      <w:r>
        <w:rPr/>
        <w:t>2.</w:t>
        <w:tab/>
        <w:t>Szigorúbb környezetvédelmi normák a hulladékexportra, valamint szigorúbb ellenőrzések és szankciók az illegális kivitel megállítása érdekében. Az Uniónak ösztönöznie kell a tagállamokat arra, hogy saját hulladékaikat újrahasznosítsák, és azt energiatermelésre használják fel</w:t>
      </w:r>
      <w:r>
        <w:rPr>
          <w:rStyle w:val="Ancredenotedefin"/>
          <w:rStyle w:val="Ancredenotedefin"/>
        </w:rPr>
        <w:endnoteReference w:id="26"/>
      </w:r>
      <w:r>
        <w:rPr/>
        <w:t>.</w:t>
      </w:r>
    </w:p>
    <w:p>
      <w:pPr>
        <w:pStyle w:val="Puce3"/>
        <w:tabs>
          <w:tab w:val="clear" w:pos="720"/>
        </w:tabs>
        <w:rPr/>
      </w:pPr>
      <w:r>
        <w:rPr/>
        <w:t>3.</w:t>
        <w:tab/>
        <w:t>Annak a célkitűzésnek a meghatározása, hogy a kevésbé szennyező vagy környezetbarátabb csomagolás előmozdítása révén megszüntessék a szennyező csomagolást,</w:t>
      </w:r>
      <w:r>
        <w:rPr>
          <w:rStyle w:val="Ancredenotedefin"/>
          <w:rStyle w:val="Ancredenotedefin"/>
        </w:rPr>
        <w:endnoteReference w:id="27"/>
      </w:r>
      <w:r>
        <w:rPr/>
        <w:t xml:space="preserve"> valamint partnerségeket alakítsanak ki a fejlődő országokkal az infrastruktúrájuk támogatása és a kölcsönösen előnyös kereskedelmi megállapodások mérlegelése révén annak érdekében, hogy segítsék őket a zöld energiaforrásokra való átállásban</w:t>
      </w:r>
      <w:r>
        <w:rPr>
          <w:rStyle w:val="Ancredenotedefin"/>
          <w:rStyle w:val="Ancredenotedefin"/>
        </w:rPr>
        <w:endnoteReference w:id="28"/>
      </w:r>
      <w:r>
        <w:rPr/>
        <w:t>.</w:t>
      </w:r>
    </w:p>
    <w:p>
      <w:pPr>
        <w:pStyle w:val="Puce3"/>
        <w:tabs>
          <w:tab w:val="clear" w:pos="720"/>
        </w:tabs>
        <w:rPr/>
      </w:pPr>
      <w:r>
        <w:rPr/>
        <w:t>4.</w:t>
        <w:tab/>
        <w:t>Annak lehetősége, hogy az országokat magas fenntarthatósági normákkal jutalmazzák azáltal, hogy tartós termékeik és szolgáltatásaik számára további hozzáférést biztosítanak az uniós piachoz, akár egyoldalúan a GSP+ általános preferenciarendszerén keresztül, akár kétoldalúan tárgyalásos kereskedelmi megállapodások révén, vagy többoldalúan a Kereskedelmi Világszervezeten belüli kezdeményezések révén.</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69" w:name="__RefHeading___Toc298312_1346298689"/>
      <w:bookmarkEnd w:id="69"/>
      <w:r>
        <w:rPr/>
        <w:t>21. Javaslat: Döntéshozatal és kohézió az Unión belül</w:t>
      </w:r>
    </w:p>
    <w:p>
      <w:pPr>
        <w:pStyle w:val="P68B1DB1Normal15"/>
        <w:rPr>
          <w:b/>
          <w:b/>
        </w:rPr>
      </w:pPr>
      <w:r>
        <w:rPr/>
        <w:t>A cél: Azt javasoljuk, hogy az EU javítsa azon képességét, hogy a közös kül- és biztonságpolitika (KKBP) keretében gyors és hatékony döntéseket hozzon azáltal, hogy egységes álláspontot képvisel, és valóban globális szereplőként lép fel annak érdekében, hogy pozitív szerepet töltsön be a világban, és változást hozzon a válságokra adott válaszlépésekben, beleértve az alábbiakat:</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Intézkedések:</w:t>
      </w:r>
    </w:p>
    <w:p>
      <w:pPr>
        <w:pStyle w:val="Puce3"/>
        <w:tabs>
          <w:tab w:val="clear" w:pos="720"/>
        </w:tabs>
        <w:rPr/>
      </w:pPr>
      <w:r>
        <w:rPr/>
        <w:t>1.</w:t>
        <w:tab/>
        <w:t>Annak biztosítása révén, hogy – különösen a KKBP területén – a jelenleg egyhangú döntést hozó kérdéseket általában minősített többséggel fogadják el</w:t>
      </w:r>
      <w:r>
        <w:rPr>
          <w:rStyle w:val="Ancredenotedefin"/>
          <w:rStyle w:val="Ancredenotedefin"/>
        </w:rPr>
        <w:endnoteReference w:id="29"/>
      </w:r>
      <w:r>
        <w:rPr/>
        <w:t>.</w:t>
      </w:r>
    </w:p>
    <w:p>
      <w:pPr>
        <w:pStyle w:val="Puce3"/>
        <w:tabs>
          <w:tab w:val="clear" w:pos="720"/>
        </w:tabs>
        <w:rPr/>
      </w:pPr>
      <w:r>
        <w:rPr/>
        <w:t>2.</w:t>
        <w:tab/>
        <w:t>A biztonság- és védelempolitikára irányuló együttműködésnek a nemrégiben jóváhagyott stratégiai iránytűre való alapozása és az Európai Békekeret igénybevétele</w:t>
      </w:r>
      <w:r>
        <w:rPr>
          <w:rStyle w:val="Ancredenotedefin"/>
          <w:rStyle w:val="Ancredenotedefin"/>
        </w:rPr>
        <w:endnoteReference w:id="30"/>
      </w:r>
      <w:r>
        <w:rPr/>
        <w:t>.</w:t>
      </w:r>
    </w:p>
    <w:p>
      <w:pPr>
        <w:pStyle w:val="Puce3"/>
        <w:tabs>
          <w:tab w:val="clear" w:pos="720"/>
        </w:tabs>
        <w:rPr/>
      </w:pPr>
      <w:r>
        <w:rPr/>
        <w:t>3.</w:t>
        <w:tab/>
        <w:t>A főképviselő szerepének megerősítése annak biztosításában, hogy az EU egységesen szólaljon fel</w:t>
      </w:r>
      <w:r>
        <w:rPr>
          <w:rStyle w:val="Ancredenotedefin"/>
          <w:rStyle w:val="Ancredenotedefin"/>
        </w:rPr>
        <w:endnoteReference w:id="31"/>
      </w:r>
      <w:r>
        <w:rPr/>
        <w:t>.</w:t>
      </w:r>
    </w:p>
    <w:p>
      <w:pPr>
        <w:pStyle w:val="Puce3"/>
        <w:tabs>
          <w:tab w:val="clear" w:pos="720"/>
        </w:tabs>
        <w:rPr/>
      </w:pPr>
      <w:r>
        <w:rPr/>
        <w:t>4.</w:t>
        <w:tab/>
        <w:t>Határozott jövőkép és közös stratégia elfogadása az EU egységének és döntéshozatali kapacitásának megszilárdítására annak érdekében, hogy felkészítse az Uniót a további bővítésekre</w:t>
      </w:r>
      <w:r>
        <w:rPr>
          <w:rStyle w:val="Ancredenotedefin"/>
          <w:rStyle w:val="Ancredenotedefin"/>
        </w:rPr>
        <w:endnoteReference w:id="32"/>
      </w:r>
      <w:r>
        <w:rPr/>
        <w:t>.</w:t>
      </w:r>
    </w:p>
    <w:p>
      <w:pPr>
        <w:pStyle w:val="Puce3"/>
        <w:tabs>
          <w:tab w:val="clear" w:pos="720"/>
        </w:tabs>
        <w:rPr/>
      </w:pPr>
      <w:r>
        <w:rPr/>
        <w:t>5.</w:t>
        <w:tab/>
        <w:t>A közelmúltban megkötött kereskedelmi megállapodások gyors ratifikálásával, a megfelelő mérlegelésről és megbeszélésről való lemondás nélkül.</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70" w:name="__RefHeading___Toc298314_1346298689"/>
      <w:bookmarkEnd w:id="70"/>
      <w:r>
        <w:rPr/>
        <w:t>22. Javaslat: Az EU átláthatósága és a polgárokhoz fűződő kapcsolatai</w:t>
      </w:r>
    </w:p>
    <w:p>
      <w:pPr>
        <w:pStyle w:val="P68B1DB1Normal15"/>
        <w:rPr>
          <w:b/>
          <w:b/>
        </w:rPr>
      </w:pPr>
      <w:r>
        <w:rPr/>
        <w:t>A cél: javasoljuk, hogy az EU – különösen nemzetközi szintű fellépései során, ideértve a kereskedelmi tárgyalásokat is – javítsa a polgárokhoz való hozzáférését a tájékoztatás, az oktatás, a polgárok részvételének és átláthatóságának javítása révén, különösen az alábbiak révén:</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Intézkedések:</w:t>
      </w:r>
    </w:p>
    <w:p>
      <w:pPr>
        <w:pStyle w:val="Puce3"/>
        <w:tabs>
          <w:tab w:val="clear" w:pos="720"/>
        </w:tabs>
        <w:rPr/>
      </w:pPr>
      <w:r>
        <w:rPr/>
        <w:t>1.</w:t>
        <w:tab/>
        <w:t>A polgárokkal és a helyi intézményekkel fenntartott kapcsolatok megerősítése az átláthatóság javítása, a polgárok elérése, valamint a konkrét nemzetközi szintű uniós kezdeményezésekről való jobb kommunikáció és kapcsolattartás érdekében</w:t>
      </w:r>
      <w:r>
        <w:rPr>
          <w:rStyle w:val="Ancredenotedefin"/>
          <w:rStyle w:val="Ancredenotedefin"/>
        </w:rPr>
        <w:endnoteReference w:id="33"/>
      </w:r>
      <w:r>
        <w:rPr/>
        <w:t>.</w:t>
      </w:r>
    </w:p>
    <w:p>
      <w:pPr>
        <w:pStyle w:val="Puce3"/>
        <w:tabs>
          <w:tab w:val="clear" w:pos="720"/>
        </w:tabs>
        <w:rPr/>
      </w:pPr>
      <w:r>
        <w:rPr/>
        <w:t>2.</w:t>
        <w:tab/>
        <w:t>A polgárok nagyobb mértékű részvétele az EU nemzetközi politikájában és a polgárok közvetlen részvételére irányuló rendezvényeken, például az Európa jövőjéről szóló konferencián, amelyet nemzeti, helyi és európai szinten</w:t>
      </w:r>
      <w:r>
        <w:rPr>
          <w:rStyle w:val="Ancredenotedefin"/>
          <w:rStyle w:val="Ancredenotedefin"/>
        </w:rPr>
        <w:endnoteReference w:id="34"/>
      </w:r>
      <w:r>
        <w:rPr/>
        <w:t xml:space="preserve"> és a szervezett civil társadalom aktív részvételével szerveznek</w:t>
      </w:r>
      <w:r>
        <w:rPr>
          <w:rStyle w:val="Ancredenotedefin"/>
          <w:rStyle w:val="Ancredenotedefin"/>
        </w:rPr>
        <w:endnoteReference w:id="35"/>
      </w:r>
      <w:r>
        <w:rPr/>
        <w:t>.</w:t>
      </w:r>
    </w:p>
    <w:p>
      <w:pPr>
        <w:pStyle w:val="Puce3"/>
        <w:tabs>
          <w:tab w:val="clear" w:pos="720"/>
        </w:tabs>
        <w:rPr/>
      </w:pPr>
      <w:r>
        <w:rPr/>
        <w:t>3.</w:t>
        <w:tab/>
        <w:t>Valamennyi érdekelt fél teljes körű támogatása azon polgárok számára, akik úgy döntenek, hogy részt vesznek a szervezett civil társadalmi szervezetekben, ahogy az a Covid19 és Ukrajna esetében is történt.</w:t>
      </w:r>
    </w:p>
    <w:p>
      <w:pPr>
        <w:pStyle w:val="Puce3"/>
        <w:tabs>
          <w:tab w:val="clear" w:pos="720"/>
        </w:tabs>
        <w:rPr/>
      </w:pPr>
      <w:r>
        <w:rPr/>
        <w:t>4.</w:t>
        <w:tab/>
        <w:t>Külön költségvetés elkülönítése az EU működéséről és értékeiről szóló oktatási programok kidolgozására, amelyeket a tagállamoknak javasolhat, ha úgy kívánják, hogy azokat beépíthessék tanterveikbe (elsődleges, középiskolai és egyetemi). Emellett az Erasmus program keretében az Unióról és annak működéséről szóló külön tanfolyamot is fel lehetne ajánlani azoknak a hallgatóknak, akik egy másik európai országban kívánnak tanulni. Azok a diákok, akik ezt a kurzust választják, elsőbbséget élveznek annak érdekében, hogy részesülhessenek az Erasmus programok előnyeiből.</w:t>
      </w:r>
    </w:p>
    <w:p>
      <w:pPr>
        <w:pStyle w:val="Puce3"/>
        <w:tabs>
          <w:tab w:val="clear" w:pos="720"/>
        </w:tabs>
        <w:rPr/>
      </w:pPr>
      <w:r>
        <w:rPr/>
        <w:t>5.</w:t>
        <w:tab/>
        <w:t>Az EU médiastratégiájának javítása a közösségi médiában való nagyobb láthatóság és a tartalom aktív népszerűsítése révén; az innováció előmozdítása az EU közösségi médiában való jelenlétéhez való hozzáférés javítása révén</w:t>
      </w:r>
      <w:r>
        <w:rPr>
          <w:rStyle w:val="Ancredenotedefin"/>
          <w:rStyle w:val="Ancredenotedefin"/>
        </w:rPr>
        <w:endnoteReference w:id="36"/>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71" w:name="__RefHeading___Toc298316_1346298689"/>
      <w:bookmarkEnd w:id="71"/>
      <w:r>
        <w:rPr/>
        <w:t>23. Javaslat: Az EU mint világelső a béke és a biztonság terén</w:t>
      </w:r>
    </w:p>
    <w:p>
      <w:pPr>
        <w:pStyle w:val="P68B1DB1Normal15"/>
        <w:rPr>
          <w:b/>
          <w:b/>
        </w:rPr>
      </w:pPr>
      <w:r>
        <w:rPr/>
        <w:t>A cél: azt javasoljuk, hogy az EU továbbra is lépjen fel a párbeszéd előmozdítása, valamint a béke és a szabályokon alapuló nemzetközi rend biztosítása érdekében, megerősítve a multilateralizmust, és építve azokra a régóta fennálló uniós békekezdeményezésekre, amelyek hozzájárultak a Nobel-díj 2012-es odaítéléséhez, ugyanakkor a következő intézkedések révén erősítse meg közös biztonságát:</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Intézkedések</w:t>
      </w:r>
      <w:r>
        <w:rPr>
          <w:rStyle w:val="Ancredenotedefin"/>
          <w:rStyle w:val="Ancredenotedefin"/>
          <w:b/>
        </w:rPr>
        <w:endnoteReference w:id="37"/>
      </w:r>
      <w:r>
        <w:rPr>
          <w:rStyle w:val="Ancredenotedefin"/>
          <w:rStyle w:val="Ancredenotedefin"/>
          <w:b/>
        </w:rPr>
        <w:endnoteReference w:id="38"/>
      </w:r>
      <w:r>
        <w:rPr/>
        <w:t>:</w:t>
      </w:r>
    </w:p>
    <w:p>
      <w:pPr>
        <w:pStyle w:val="Puce3"/>
        <w:tabs>
          <w:tab w:val="clear" w:pos="720"/>
        </w:tabs>
        <w:rPr/>
      </w:pPr>
      <w:r>
        <w:rPr/>
        <w:t>1.</w:t>
        <w:tab/>
        <w:t>Közös fegyveres erők, amelyeket önvédelmi célokra használnak, és amelyek célja bármilyen agresszív katonai fellépés megakadályozása, válság idején, beleértve a természeti katasztrófákat is, segítségnyújtási képességgel rendelkeznek. Az európai határokon kívül kivételes körülmények között is bevethetők, lehetőleg az Egyesült Nemzetek Biztonsági Tanácsának jogi felhatalmazása alapján, következésképpen a nemzetközi joggal összhangban,</w:t>
      </w:r>
      <w:r>
        <w:rPr>
          <w:rStyle w:val="Ancredenotedefin"/>
          <w:rStyle w:val="Ancredenotedefin"/>
        </w:rPr>
        <w:endnoteReference w:id="39"/>
      </w:r>
      <w:r>
        <w:rPr/>
        <w:t>anélkül, hogy versenyeznének a NATO-val vagy megkettőznék a NATO-t, és tiszteletben tartanák a NATO-val fennálló különböző nemzeti kapcsolatokat; e tekintetben az EU és a NATO közötti kapcsolatok értékelését az EU stratégiai autonómiájáról szóló vita keretében kell elvégezni.</w:t>
      </w:r>
    </w:p>
    <w:p>
      <w:pPr>
        <w:pStyle w:val="Normal"/>
        <w:rPr/>
      </w:pPr>
      <w:r>
        <w:rPr/>
      </w:r>
    </w:p>
    <w:p>
      <w:pPr>
        <w:pStyle w:val="Puce3"/>
        <w:tabs>
          <w:tab w:val="clear" w:pos="720"/>
        </w:tabs>
        <w:rPr/>
      </w:pPr>
      <w:r>
        <w:rPr/>
        <w:t>2.</w:t>
        <w:tab/>
        <w:t>Vezető szerepet tölt be a háború utáni globális biztonsági rend kiépítésében Ukrajnában, a közelmúltban elfogadott uniós stratégiai iránytű alapján.</w:t>
      </w:r>
    </w:p>
    <w:p>
      <w:pPr>
        <w:pStyle w:val="Puce3"/>
        <w:tabs>
          <w:tab w:val="clear" w:pos="720"/>
        </w:tabs>
        <w:rPr/>
      </w:pPr>
      <w:r>
        <w:rPr/>
        <w:t>3.</w:t>
        <w:tab/>
        <w:t>Stratégiai kutatásainak és képességeinek védelme az olyan kiemelt ágazatokban, mint az űrágazat, a kiberbiztonság, az egészségügyi ágazat és a környezet</w:t>
      </w:r>
      <w:r>
        <w:rPr>
          <w:rStyle w:val="Ancredenotedefin"/>
          <w:rStyle w:val="Ancredenotedefin"/>
        </w:rPr>
        <w:endnoteReference w:id="40"/>
      </w:r>
      <w:r>
        <w:rPr/>
        <w:t>.</w:t>
      </w:r>
    </w:p>
    <w:p>
      <w:pPr>
        <w:pStyle w:val="Puce3"/>
        <w:tabs>
          <w:tab w:val="clear" w:pos="720"/>
        </w:tabs>
        <w:rPr/>
      </w:pPr>
      <w:r>
        <w:rPr/>
        <w:t>4.</w:t>
        <w:tab/>
        <w:t>Az Európai Unióról szóló szerződés 42. cikkének (7) bekezdésében előírt kölcsönös segítségnyújtási záradék hatékonyságának biztosításához szükséges operatív kapacitások megerősítése, amely megfelelő uniós védelmet biztosít bármely harmadik ország által megtámadott tagállam számára.</w:t>
      </w:r>
    </w:p>
    <w:p>
      <w:pPr>
        <w:pStyle w:val="Puce3"/>
        <w:tabs>
          <w:tab w:val="clear" w:pos="720"/>
        </w:tabs>
        <w:rPr/>
      </w:pPr>
      <w:r>
        <w:rPr/>
        <w:t>5.</w:t>
        <w:tab/>
        <w:t>A félretájékoztatás és a propaganda elleni küzdelem tárgyilagos és tényszerű megközelítése.</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72" w:name="__RefHeading___Toc298318_1346298689"/>
      <w:bookmarkEnd w:id="72"/>
      <w:r>
        <w:rPr/>
        <w:t>24. Javaslat: Az EU mint a kapcsolatok kiépítésének vezető globális szereplője</w:t>
      </w:r>
    </w:p>
    <w:p>
      <w:pPr>
        <w:pStyle w:val="P68B1DB1Normal15"/>
        <w:rPr>
          <w:b/>
          <w:b/>
        </w:rPr>
      </w:pPr>
      <w:r>
        <w:rPr/>
        <w:t>A cél: Javasoljuk, hogy az EU a harmadik országokkal fenntartott kapcsolataiban:</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Intézkedések:</w:t>
      </w:r>
    </w:p>
    <w:p>
      <w:pPr>
        <w:pStyle w:val="Puce3"/>
        <w:tabs>
          <w:tab w:val="clear" w:pos="720"/>
        </w:tabs>
        <w:rPr/>
      </w:pPr>
      <w:r>
        <w:rPr/>
        <w:t>1.</w:t>
        <w:tab/>
        <w:t>Nagyobb mértékben használja ki kollektív politikai és gazdasági súlyát, egységesen szólaljon meg és egységesen lépjen fel anélkül, hogy néhány tagállam nem megfelelő kétoldalú beavatkozásokkal osztaná fel az Uniót</w:t>
      </w:r>
      <w:r>
        <w:rPr>
          <w:rStyle w:val="Ancredenotedefin"/>
          <w:rStyle w:val="Ancredenotedefin"/>
        </w:rPr>
        <w:endnoteReference w:id="41"/>
      </w:r>
      <w:r>
        <w:rPr/>
        <w:t>.</w:t>
      </w:r>
    </w:p>
    <w:p>
      <w:pPr>
        <w:pStyle w:val="Puce3"/>
        <w:tabs>
          <w:tab w:val="clear" w:pos="720"/>
        </w:tabs>
        <w:rPr/>
      </w:pPr>
      <w:r>
        <w:rPr/>
        <w:t>2.</w:t>
        <w:tab/>
        <w:t>Megerősíti azon képességét, hogy szankcionálja azokat az államokat, kormányokat, szervezeteket, csoportokat vagy szervezeteket, valamint azokat az egyéneket, amelyek nem felelnek meg alapelveinek, megállapodásainak és jogszabályainak, és biztosítja a meglévő szankciók gyors végrehajtását és végrehajtását. A harmadik országokkal szemben kiszabott szankcióknak arányosaknak kell lenniük az azokat kiváltó intézkedésekkel, hatékonyaknak kell lenniük, és azokat időben alkalmazni kell</w:t>
      </w:r>
      <w:r>
        <w:rPr>
          <w:rStyle w:val="Ancredenotedefin"/>
          <w:rStyle w:val="Ancredenotedefin"/>
        </w:rPr>
        <w:endnoteReference w:id="42"/>
      </w:r>
      <w:r>
        <w:rPr/>
        <w:t>.</w:t>
      </w:r>
    </w:p>
    <w:p>
      <w:pPr>
        <w:pStyle w:val="Puce3"/>
        <w:tabs>
          <w:tab w:val="clear" w:pos="720"/>
        </w:tabs>
        <w:rPr/>
      </w:pPr>
      <w:r>
        <w:rPr/>
        <w:t>3.</w:t>
        <w:tab/>
        <w:t>Előmozdítja a fenntartható és szabályokon alapuló kereskedelmet, miközben új kereskedelmi és beruházási lehetőségeket nyit meg az európai vállalkozások számára. Míg az európai versenyképesség előmozdításához elengedhetetlenek a kétoldalú kereskedelmi és beruházási megállapodások, az egyenlő versenyfeltételek biztosításához szabványokra és szabályokra van szükség. Az EU-nak továbbra is aktív és megbízható partnernek kell maradnia a magas szintű fenntarthatósági normákat megállapító kereskedelmi megállapodások tárgyalásában, megkötésében és végrehajtásában.</w:t>
      </w:r>
    </w:p>
    <w:p>
      <w:pPr>
        <w:pStyle w:val="Puce3"/>
        <w:tabs>
          <w:tab w:val="clear" w:pos="720"/>
        </w:tabs>
        <w:rPr/>
      </w:pPr>
      <w:r>
        <w:rPr/>
        <w:t>4.</w:t>
        <w:tab/>
        <w:t>A főbb nemzetközi együttműködési megállapodásokat az Európai Unió, nem pedig az egyes országok képviseletével kötötte meg</w:t>
      </w:r>
      <w:r>
        <w:rPr>
          <w:rStyle w:val="Ancredenotedefin"/>
          <w:rStyle w:val="Ancredenotedefin"/>
        </w:rPr>
        <w:endnoteReference w:id="43"/>
      </w:r>
      <w:r>
        <w:rPr/>
        <w:t>.</w:t>
      </w:r>
    </w:p>
    <w:p>
      <w:pPr>
        <w:pStyle w:val="Puce3"/>
        <w:tabs>
          <w:tab w:val="clear" w:pos="720"/>
        </w:tabs>
        <w:rPr/>
      </w:pPr>
      <w:r>
        <w:rPr/>
        <w:t>5.</w:t>
        <w:tab/>
        <w:t>Az EU kereskedelmi és beruházási politikájának reformja a globális multilateralizmus újraindítása érdekében, amelynek célja a tisztességes munkahelyek teremtése és az alapvető emberi jogok – többek között a munkavállalói jogok és a szakszervezeti jogok – védelme, a környezet és a biológiai sokféleség megőrzése, valamint az éghajlatváltozásról szóló Párizsi Megállapodás tiszteletben tartása, a minőségi közszolgáltatások biztosítása és Európa ipari bázisának megerősítése. Az EU-nak hozzá kell járulnia a globális multilateralizmus újraindításához a demokrácián és a békén, a szolidaritáson és az emberi jogok tiszteletben tartásán, valamint a szociális és környezetvédelmi jogok tiszteletben tartásán alapuló mélyreható reform, valamint az ILO szerepének megerősítése révén.</w:t>
      </w:r>
    </w:p>
    <w:p>
      <w:pPr>
        <w:pStyle w:val="Puce3"/>
        <w:tabs>
          <w:tab w:val="clear" w:pos="720"/>
        </w:tabs>
        <w:rPr/>
      </w:pPr>
      <w:r>
        <w:rPr/>
        <w:t>6.</w:t>
        <w:tab/>
        <w:t>Magában foglalja az emberkereskedelem és az irreguláris bevándorlás elleni küzdelmet, valamint a lehetséges visszatérési műveletekben, valamint a harmadik országokkal kötött együttműködési és beruházási megállapodásokban való együttműködést.</w:t>
      </w:r>
    </w:p>
    <w:p>
      <w:pPr>
        <w:pStyle w:val="Puce3"/>
        <w:tabs>
          <w:tab w:val="clear" w:pos="720"/>
        </w:tabs>
        <w:rPr/>
      </w:pPr>
      <w:r>
        <w:rPr/>
        <w:t>7.</w:t>
        <w:tab/>
        <w:t>Partnerségeket kell kialakítani a fejlődő országokkal infrastruktúrájuk támogatása érdekében, és mérlegelni kell a kölcsönösen előnyös kereskedelmi megállapodásokat annak érdekében, hogy segítsék őket a zöld energiaforrásokra való átállásban</w:t>
      </w:r>
      <w:r>
        <w:rPr>
          <w:rStyle w:val="Ancredenotedefin"/>
          <w:rStyle w:val="Ancredenotedefin"/>
        </w:rPr>
        <w:endnoteReference w:id="44"/>
      </w:r>
      <w:r>
        <w:rPr/>
        <w:t>.</w:t>
      </w:r>
    </w:p>
    <w:p>
      <w:pPr>
        <w:pStyle w:val="Puce3"/>
        <w:tabs>
          <w:tab w:val="clear" w:pos="720"/>
        </w:tabs>
        <w:rPr/>
      </w:pPr>
      <w:r>
        <w:rPr/>
        <w:t>8.</w:t>
        <w:tab/>
        <w:t>Hatékonyabb és egységesebb politikát alakít ki az autokratikus és hibrid rendszerekre vonatkozóan, és partnerségeket alakít ki ezen országok civil társadalmi szervezeteivel.</w:t>
      </w:r>
    </w:p>
    <w:p>
      <w:pPr>
        <w:pStyle w:val="Puce3"/>
        <w:tabs>
          <w:tab w:val="clear" w:pos="720"/>
        </w:tabs>
        <w:rPr/>
      </w:pPr>
      <w:r>
        <w:rPr/>
        <w:t>9.</w:t>
        <w:tab/>
        <w:t>Növeli az uniós választási megfigyelő missziók erőforrásait.</w:t>
      </w:r>
    </w:p>
    <w:p>
      <w:pPr>
        <w:pStyle w:val="Puce3"/>
        <w:tabs>
          <w:tab w:val="clear" w:pos="720"/>
        </w:tabs>
        <w:rPr/>
      </w:pPr>
      <w:r>
        <w:rPr/>
        <w:t>10.</w:t>
        <w:tab/>
        <w:t>Hiteles kilátást kínál a tagjelölt és potenciális tagjelölt országok számára az európai béke és stabilitás előmozdítása, valamint európaiak millióinak jóléte érdekében</w:t>
      </w:r>
      <w:r>
        <w:rPr>
          <w:rStyle w:val="Ancredenotedefin"/>
          <w:rStyle w:val="Ancredenotedefin"/>
        </w:rPr>
        <w:endnoteReference w:id="45"/>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t>MEGJEGYZÉS: A munkacsoport több tagja úgy véli, hogy „Az EU energiaágazatbeli külföldi szereplőktől való függőségének csökkentése” és „Az EU átláthatósága és a polgárokkal fenntartott kapcsolatai” című javaslatok más munkacsoportok hatáskörébe tartoznak. Néhány tag a minősített többségi szavazás mellett a Tanácson belüli egyhangúság alternatíváit is meg kívánja említeni, például a változó geometriát, a részvétel hiányára vonatkozó záradékokat és a megerősített együttműködést. A munkacsoport egyes tagjai a „Kereskedelmi és beruházási kapcsolatokban az EU-n belüli és kívüli normák meghatározása” javaslatban a „fenntartható” kifejezés használatát szorgalmazták az „etikai” helyett. Nézeteltérés van azzal kapcsolatban, hogy az új tagállamok csatlakozásához továbbra is szükség van-e a jelenlegi tagállamok egyhangú egyetértésére. Különböző nézetek merültek fel a közös fegyveres erők kívánatos mértékéről. Két tag utal az ír egység lehetőségére abban az esetben, ha Észak-Írország a nagypénteki megállapodás rendelkezéseivel összhangban ebbe az irányba fog szavazni, és hogy az Uniónak fel kell készülnie erre az eshetőségre.</w:t>
      </w:r>
    </w:p>
    <w:p>
      <w:pPr>
        <w:pStyle w:val="Normal"/>
        <w:rPr/>
      </w:pPr>
      <w:r>
        <w:rPr/>
      </w:r>
      <w:r>
        <w:br w:type="page"/>
      </w:r>
    </w:p>
    <w:p>
      <w:pPr>
        <w:pStyle w:val="Normal"/>
        <w:rPr/>
      </w:pPr>
      <w:r>
        <w:rPr/>
        <w:drawing>
          <wp:anchor behindDoc="0" distT="0" distB="0" distL="0" distR="0" simplePos="0" locked="0" layoutInCell="1" allowOverlap="1" relativeHeight="11">
            <wp:simplePos x="0" y="0"/>
            <wp:positionH relativeFrom="column">
              <wp:posOffset>19050</wp:posOffset>
            </wp:positionH>
            <wp:positionV relativeFrom="paragraph">
              <wp:posOffset>17145</wp:posOffset>
            </wp:positionV>
            <wp:extent cx="913765" cy="913765"/>
            <wp:effectExtent l="0" t="0" r="0" b="0"/>
            <wp:wrapSquare wrapText="largest"/>
            <wp:docPr id="65" name="Kép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Kép25" descr=""/>
                    <pic:cNvPicPr>
                      <a:picLocks noChangeAspect="1" noChangeArrowheads="1"/>
                    </pic:cNvPicPr>
                  </pic:nvPicPr>
                  <pic:blipFill>
                    <a:blip r:embed="rId77"/>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73" w:name="__RefHeading___Toc298320_1346298689"/>
      <w:bookmarkEnd w:id="73"/>
      <w:r>
        <w:rPr/>
        <w:t>Értékek és jogok, jogállamiság, biztonság</w:t>
      </w:r>
    </w:p>
    <w:p>
      <w:pPr>
        <w:pStyle w:val="Titre3"/>
        <w:numPr>
          <w:ilvl w:val="2"/>
          <w:numId w:val="2"/>
        </w:numPr>
        <w:rPr/>
      </w:pPr>
      <w:bookmarkStart w:id="74" w:name="__RefHeading___Toc298322_1346298689"/>
      <w:bookmarkEnd w:id="74"/>
      <w:r>
        <w:rPr/>
        <w:t>25. Javaslat: Jogállamiság, demokratikus értékek és európai identitás</w:t>
      </w:r>
    </w:p>
    <w:p>
      <w:pPr>
        <w:pStyle w:val="P68B1DB1Normal15"/>
        <w:rPr>
          <w:b/>
          <w:b/>
        </w:rPr>
      </w:pPr>
      <w:r>
        <w:rPr/>
        <w:t>A cél: A jogállamiság szisztematikus fenntartása valamennyi tagállamban, beleértve a következőket:</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Intézkedések</w:t>
      </w:r>
      <w:r>
        <w:rPr>
          <w:rStyle w:val="Ancredenotedefin"/>
          <w:rStyle w:val="Ancredenotedefin"/>
        </w:rPr>
        <w:endnoteReference w:id="46"/>
      </w:r>
      <w:r>
        <w:rPr/>
        <w:t>:</w:t>
      </w:r>
    </w:p>
    <w:p>
      <w:pPr>
        <w:pStyle w:val="Puce3"/>
        <w:tabs>
          <w:tab w:val="clear" w:pos="720"/>
        </w:tabs>
        <w:rPr/>
      </w:pPr>
      <w:r>
        <w:rPr/>
        <w:t>1.</w:t>
        <w:tab/>
        <w:t>Annak biztosítása, hogy az uniós szerződésekben és az Európai Unió Alapjogi Chartájában rögzített értékek és elvek megtárgyalhatatlanok és visszafordíthatatlanok legyenek, és elengedhetetlen feltétele legyen a tagságnak és az Unióhoz való csatlakozásnak. Az uniós értékeket valamennyi tagállamban teljes mértékben tiszteletben kell tartani; nemzetközi szabványként is kell működniük, és a diplomácia és a párbeszéd révén a vonzás pólusát kell képviselniük. Az Unió bővítése nem áshatja alá az alapvető értékekre és a polgárok jogaira vonatkozó uniós vívmányokat</w:t>
      </w:r>
      <w:r>
        <w:rPr>
          <w:rStyle w:val="Ancredenotedefin"/>
          <w:rStyle w:val="Ancredenotedefin"/>
        </w:rPr>
        <w:endnoteReference w:id="47"/>
      </w:r>
      <w:r>
        <w:rPr/>
        <w:t>.</w:t>
      </w:r>
    </w:p>
    <w:p>
      <w:pPr>
        <w:pStyle w:val="Puce3"/>
        <w:tabs>
          <w:tab w:val="clear" w:pos="720"/>
        </w:tabs>
        <w:rPr/>
      </w:pPr>
      <w:r>
        <w:rPr/>
        <w:t>2.</w:t>
        <w:tab/>
        <w:t>Azáltal, hogy az európai értékeket kézzelfoghatóvá tesszük az uniós polgárok számára, különösen interaktívabb és közvetlenebb részvétel révén, meg kell erősíteni az európai polgárságot, például a polgárok jogaival és szabadságaival rendelkező uniós polgárok jogállása, valamint a határokon átnyúló európai egyesületek és nonprofit szervezetek statútuma révén. Hasonlóképpen az európai értékeket egy „beilleszkedési aktatáskával” kell előmozdítani, amely oktatási elemeket és tájékoztató anyagokat tartalmaz a polgárok számára. Végezetül új uniós beruházások, a meglévő médiaplatformok fejlesztése és a helyi szinten jelen lévő több mint 500 európai kapcsolattartó iroda fokozott támogatása révén létre kell hozni az audiovizuális és online média európai nyilvános szféráját</w:t>
      </w:r>
      <w:r>
        <w:rPr>
          <w:rStyle w:val="Ancredenotedefin"/>
          <w:rStyle w:val="Ancredenotedefin"/>
        </w:rPr>
        <w:endnoteReference w:id="48"/>
      </w:r>
      <w:r>
        <w:rPr/>
        <w:t xml:space="preserve">. </w:t>
      </w:r>
    </w:p>
    <w:p>
      <w:pPr>
        <w:pStyle w:val="Puce3"/>
        <w:tabs>
          <w:tab w:val="clear" w:pos="720"/>
        </w:tabs>
        <w:rPr/>
      </w:pPr>
      <w:r>
        <w:rPr/>
        <w:t>3.</w:t>
        <w:tab/>
        <w:t>Az Európai Unió Alapjogi Chartájának egyetemesen alkalmazandónak kell lennie. Ezenkívül (a Bizottság jogállamisági jelentését követően) éves jogállamisági konferenciákat kell szervezni, amelyeken véletlenszerűen és sokrétű módon kiválasztott valamennyi tagállam küldöttségei vesznek részt a polgárokból, tisztviselőkből, parlamenti képviselőkből, helyi hatóságokból, szociális partnerekből és civil társadalomból álló küldöttségek részvételével. Fontos továbbá a helyi jogállamiságot előmozdító szervezetek, köztük a civil társadalom szervezeteinek további támogatása is</w:t>
      </w:r>
      <w:r>
        <w:rPr>
          <w:rStyle w:val="Ancredenotedefin"/>
          <w:rStyle w:val="Ancredenotedefin"/>
        </w:rPr>
        <w:endnoteReference w:id="49"/>
      </w:r>
      <w:r>
        <w:rPr/>
        <w:t>.</w:t>
      </w:r>
    </w:p>
    <w:p>
      <w:pPr>
        <w:pStyle w:val="Puce3"/>
        <w:tabs>
          <w:tab w:val="clear" w:pos="720"/>
        </w:tabs>
        <w:rPr/>
      </w:pPr>
      <w:r>
        <w:rPr/>
        <w:t>4.</w:t>
        <w:tab/>
        <w:t>Az úgynevezett kölcsönös megfeleltetési rendelet hatékony alkalmazása, az említett rendelet és más jogállamisági eszközök hatályának értékelése, valamint hatályuk új területekre való kiterjesztésének mérlegelése, függetlenül azok uniós költségvetésre való relevanciájától. Minden szükséges jogorvoslati lehetőséget – beleértve a Szerződések módosításait is – figyelembe kell venni a jogállamiság megsértésének szankcionálása céljából</w:t>
      </w:r>
      <w:r>
        <w:rPr>
          <w:rStyle w:val="Ancredenotedefin"/>
          <w:rStyle w:val="Ancredenotedefin"/>
        </w:rPr>
        <w:endnoteReference w:id="50"/>
      </w:r>
      <w:r>
        <w:rPr/>
        <w:t>.</w:t>
      </w:r>
    </w:p>
    <w:p>
      <w:pPr>
        <w:pStyle w:val="Puce3"/>
        <w:tabs>
          <w:tab w:val="clear" w:pos="720"/>
        </w:tabs>
        <w:rPr/>
      </w:pPr>
      <w:r>
        <w:rPr/>
        <w:t>5.</w:t>
        <w:tab/>
        <w:t>Olyan oktatási és médiaprogramok előmozdítása, amelyek az uniós értékeket helyezik a migránsok integrációs folyamatának középpontjába, és ösztönzik az uniós polgárok és a migránsok közötti interakciót azzal a céllal, hogy lehetővé tegyék sikeres beilleszkedésüket az uniós társadalmakba, és felhívják a figyelmet a migrációs kérdésekre az uniós polgárok körében.</w:t>
      </w:r>
      <w:r>
        <w:rPr>
          <w:rStyle w:val="Ancredenotedefin"/>
          <w:rStyle w:val="Ancredenotedefin"/>
        </w:rPr>
        <w:endnoteReference w:id="51"/>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75" w:name="__RefHeading___Toc298324_1346298689"/>
      <w:bookmarkEnd w:id="75"/>
      <w:r>
        <w:rPr/>
        <w:t>26. Javaslat: Adatvédelem</w:t>
      </w:r>
    </w:p>
    <w:p>
      <w:pPr>
        <w:pStyle w:val="Corpsdetexte"/>
        <w:rPr/>
      </w:pPr>
      <w:r>
        <w:rPr/>
      </w:r>
    </w:p>
    <w:p>
      <w:pPr>
        <w:pStyle w:val="P68B1DB1Normal15"/>
        <w:rPr>
          <w:b/>
          <w:b/>
        </w:rPr>
      </w:pPr>
      <w:r>
        <w:rPr/>
        <w:t>A cél: a polgárok számára védettebb és jobb adatfeldolgozási politika biztosítása, különös tekintettel az alábbiakra:</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Intézkedések</w:t>
      </w:r>
      <w:r>
        <w:rPr>
          <w:rStyle w:val="Ancredenotedefin"/>
          <w:rStyle w:val="Ancredenotedefin"/>
        </w:rPr>
        <w:endnoteReference w:id="52"/>
      </w:r>
      <w:r>
        <w:rPr/>
        <w:t>:</w:t>
      </w:r>
    </w:p>
    <w:p>
      <w:pPr>
        <w:pStyle w:val="Puce3"/>
        <w:tabs>
          <w:tab w:val="clear" w:pos="720"/>
        </w:tabs>
        <w:rPr/>
      </w:pPr>
      <w:r>
        <w:rPr/>
        <w:t>1.</w:t>
        <w:tab/>
        <w:t>A meglévő adatvédelmi jogszabályok teljes körű végrehajtása és felülvizsgálata annak felmérése érdekében, hogy szükség van-e megerősített végrehajtási mechanizmusokra a személyes adatokat kezelő szervezetek esetében, amelyek jelenleg a szubszidiaritás elvét tiszteletben tartó független nemzeti adatvédelmi hatóságok hatáskörébe tartoznak. E jogalanyokat szigorúbban kell szankcionálni, mint a szabályok jelenlegi alkalmazása esetén, az éves árbevételük arányában (legfeljebb 4%), vagy akár tevékenységük betiltásával, és független éves ellenőrzésnek kell alávetni őket</w:t>
      </w:r>
      <w:r>
        <w:rPr>
          <w:rStyle w:val="Ancredenotedefin"/>
          <w:rStyle w:val="Ancredenotedefin"/>
        </w:rPr>
        <w:endnoteReference w:id="53"/>
      </w:r>
      <w:r>
        <w:rPr>
          <w:rStyle w:val="Ancredenotedefin"/>
          <w:rStyle w:val="Ancredenotedefin"/>
        </w:rPr>
        <w:endnoteReference w:id="54"/>
      </w:r>
      <w:r>
        <w:rPr/>
        <w:t>.</w:t>
      </w:r>
    </w:p>
    <w:p>
      <w:pPr>
        <w:pStyle w:val="Puce3"/>
        <w:tabs>
          <w:tab w:val="clear" w:pos="720"/>
        </w:tabs>
        <w:rPr/>
      </w:pPr>
      <w:r>
        <w:rPr/>
        <w:t>2.</w:t>
        <w:tab/>
        <w:t xml:space="preserve">A beépített vagy alapértelmezett adatvédelem elvének nagyobb érvényesülésével, például a könnyen érthető, tömör és intuitív adat-egyeztetési űrlapok értékelésével és fejlesztésével, valamint egyértelműen jelzi, hogy mi szükséges és mi nem. A felhasználóknak képesnek kell lenniük arra, hogy egyszerű, gyors és tartós módon hozzájárulásukat adják vagy visszavonják az adatok feldolgozásához. </w:t>
      </w:r>
      <w:r>
        <w:rPr>
          <w:rStyle w:val="Ancredenotedefin"/>
          <w:rStyle w:val="Ancredenotedefin"/>
        </w:rPr>
        <w:endnoteReference w:id="55"/>
      </w:r>
      <w:r>
        <w:rPr/>
        <w:t xml:space="preserve"> </w:t>
      </w:r>
      <w:r>
        <w:rPr>
          <w:rStyle w:val="Ancredenotedefin"/>
          <w:rStyle w:val="Ancredenotedefin"/>
        </w:rPr>
        <w:endnoteReference w:id="56"/>
      </w:r>
    </w:p>
    <w:p>
      <w:pPr>
        <w:pStyle w:val="Puce3"/>
        <w:tabs>
          <w:tab w:val="clear" w:pos="720"/>
        </w:tabs>
        <w:rPr/>
      </w:pPr>
      <w:r>
        <w:rPr/>
        <w:t>3.</w:t>
        <w:tab/>
        <w:t>A kiskorúakra vonatkozó adatok kezelésére vonatkozó egyértelműbb és védelmibb szabályok értékelése és bevezetése, lehetőség szerint az EU általános adatvédelmi rendeletében, különösen a kiskorúak érzékeny adataira vonatkozó különleges kategória létrehozása és a tagállamokban a hozzájárulás alsó korhatárának harmonizálása révén. Míg a magánélet védelmére és a figyelemfelkeltésre vonatkozó szabályok legtöbbjének továbbra is a tagállamok hatáskörébe kell tartoznia, különösen a nemzeti szintű beruházások és források növelése révén, az Uniónak is fontosabb szerepet kell játszania, például azáltal, hogy európai kompetenciákat hoz létre az adatvédelemre vonatkozó állampolgári ismeretek oktatásában</w:t>
      </w:r>
      <w:r>
        <w:rPr>
          <w:rStyle w:val="Ancredenotedefin"/>
          <w:rStyle w:val="Ancredenotedefin"/>
        </w:rPr>
        <w:endnoteReference w:id="57"/>
      </w:r>
      <w:r>
        <w:rPr/>
        <w:t>.</w:t>
      </w:r>
    </w:p>
    <w:p>
      <w:pPr>
        <w:pStyle w:val="Puce3"/>
        <w:tabs>
          <w:tab w:val="clear" w:pos="720"/>
        </w:tabs>
        <w:rPr/>
      </w:pPr>
      <w:r>
        <w:rPr/>
        <w:t>4.</w:t>
        <w:tab/>
        <w:t>Az európai és nemzeti adatvédelmi hatóságokra vonatkozó jogosultsági kritériumoknak való jobb megfelelés a képesítések és az alkalmasság tekintetében, tagjaik maximális függetlenségének biztosítása érdekében.</w:t>
      </w:r>
      <w:r>
        <w:rPr>
          <w:rStyle w:val="Ancredenotedefin"/>
          <w:rStyle w:val="Ancredenotedefin"/>
        </w:rPr>
        <w:endnoteReference w:id="58"/>
      </w:r>
      <w:r>
        <w:rPr/>
        <w:t xml:space="preserve"> </w:t>
      </w:r>
      <w:r>
        <w:rPr>
          <w:rStyle w:val="Ancredenotedefin"/>
          <w:rStyle w:val="Ancredenotedefin"/>
        </w:rPr>
        <w:endnoteReference w:id="59"/>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76" w:name="__RefHeading___Toc298326_1346298689"/>
      <w:bookmarkEnd w:id="76"/>
      <w:r>
        <w:rPr/>
        <w:t>27. Javaslat: Média, álhírek, félretájékoztatás, tényellenőrzés, kiberbiztonság</w:t>
      </w:r>
    </w:p>
    <w:p>
      <w:pPr>
        <w:pStyle w:val="P68B1DB1Normal15"/>
        <w:rPr>
          <w:b/>
          <w:b/>
        </w:rPr>
      </w:pPr>
      <w:r>
        <w:rPr/>
        <w:t>A cél: A félretájékoztatás elleni küzdelem a médiafüggetlenség, a pluralizmus és a médiaműveltség fokozott előmozdítása révén, különösen:</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Intézkedések</w:t>
      </w:r>
      <w:r>
        <w:rPr>
          <w:rStyle w:val="Ancredenotedefin"/>
          <w:rStyle w:val="Ancredenotedefin"/>
        </w:rPr>
        <w:endnoteReference w:id="60"/>
      </w:r>
      <w:r>
        <w:rPr/>
        <w:t>:</w:t>
      </w:r>
    </w:p>
    <w:p>
      <w:pPr>
        <w:pStyle w:val="Puce3"/>
        <w:tabs>
          <w:tab w:val="clear" w:pos="720"/>
        </w:tabs>
        <w:rPr/>
      </w:pPr>
      <w:r>
        <w:rPr/>
        <w:t>1.</w:t>
        <w:tab/>
        <w:t>A média függetlenségét fenyegető veszélyek elleni küzdelmet célzó jogszabályok bevezetése az egész Unióban alkalmazandó minimumszabályok révén, beleértve a média üzleti modelljének felülvizsgálatát az európai médiapiac integritásának és függetlenségének biztosítása érdekében</w:t>
      </w:r>
      <w:r>
        <w:rPr>
          <w:rStyle w:val="Ancredenotedefin"/>
          <w:rStyle w:val="Ancredenotedefin"/>
        </w:rPr>
        <w:endnoteReference w:id="61"/>
      </w:r>
      <w:r>
        <w:rPr/>
        <w:t>.</w:t>
      </w:r>
    </w:p>
    <w:p>
      <w:pPr>
        <w:pStyle w:val="Puce3"/>
        <w:tabs>
          <w:tab w:val="clear" w:pos="720"/>
        </w:tabs>
        <w:rPr/>
      </w:pPr>
      <w:r>
        <w:rPr/>
        <w:t>2.</w:t>
        <w:tab/>
        <w:t>Az uniós versenyszabályok szigorú alkalmazása a médiaágazatban a nagy médiamonopóliumok létrehozásának megakadályozása, valamint a médiapluralizmus és a politikai, üzleti és/vagy külföldi országok nem kívánt beavatkozásától való függetlenség biztosítása érdekében. Ösztönözni kell a minőségi újságírást is, amely elismert és magas szintű etikai és önszabályozási normákkal rendelkezik</w:t>
      </w:r>
      <w:r>
        <w:rPr>
          <w:rStyle w:val="Ancredenotedefin"/>
          <w:rStyle w:val="Ancredenotedefin"/>
        </w:rPr>
        <w:endnoteReference w:id="62"/>
      </w:r>
      <w:r>
        <w:rPr/>
        <w:t>.</w:t>
      </w:r>
    </w:p>
    <w:p>
      <w:pPr>
        <w:pStyle w:val="Puce3"/>
        <w:tabs>
          <w:tab w:val="clear" w:pos="720"/>
        </w:tabs>
        <w:rPr/>
      </w:pPr>
      <w:r>
        <w:rPr/>
        <w:t>3.</w:t>
        <w:tab/>
        <w:t xml:space="preserve">Egy uniós szerv létrehozása a célzott félretájékoztatás és beavatkozás elleni küzdelem, a helyzetfelismerés javítása, valamint a tényellenőrző szervezetek és a független média megerősítése érdekében. A „sürgősségi számokat” és az olyan oldalakat, mint például a Europe Direct, amelyek lehetővé teszik a polgárok és a nemzeti média számára, hogy ellenőrzött információkat kérjenek és kapjanak az uniós stratégiákról és szakpolitikákról, szintén aktívabban kell támogatni és támogatni. </w:t>
      </w:r>
      <w:r>
        <w:rPr>
          <w:rStyle w:val="Ancredenotedefin"/>
          <w:rStyle w:val="Ancredenotedefin"/>
        </w:rPr>
        <w:endnoteReference w:id="63"/>
      </w:r>
      <w:r>
        <w:rPr/>
        <w:t xml:space="preserve"> </w:t>
      </w:r>
      <w:r>
        <w:rPr>
          <w:rStyle w:val="Ancredenotedefin"/>
          <w:rStyle w:val="Ancredenotedefin"/>
        </w:rPr>
        <w:endnoteReference w:id="64"/>
      </w:r>
    </w:p>
    <w:p>
      <w:pPr>
        <w:pStyle w:val="Puce3"/>
        <w:tabs>
          <w:tab w:val="clear" w:pos="720"/>
        </w:tabs>
        <w:rPr/>
      </w:pPr>
      <w:r>
        <w:rPr/>
        <w:t>4.</w:t>
        <w:tab/>
        <w:t xml:space="preserve">A médiaműveltség, valamint a félretájékoztatással és a hírek nem szándékos terjesztésével kapcsolatos tudatosság ösztönzése, többek között a kötelező iskolai oktatás révén. A tagállamokat arra is ösztönözni kell, hogy erre a célra fordítsanak megfelelő emberi és pénzügyi erőforrásokat. </w:t>
      </w:r>
      <w:r>
        <w:rPr>
          <w:rStyle w:val="Ancredenotedefin"/>
          <w:rStyle w:val="Ancredenotedefin"/>
        </w:rPr>
        <w:endnoteReference w:id="65"/>
      </w:r>
    </w:p>
    <w:p>
      <w:pPr>
        <w:pStyle w:val="Puce3"/>
        <w:tabs>
          <w:tab w:val="clear" w:pos="720"/>
        </w:tabs>
        <w:rPr/>
      </w:pPr>
      <w:r>
        <w:rPr/>
        <w:t>5.</w:t>
        <w:tab/>
        <w:t>A meglévő kezdeményezésekre, például a félretájékoztatás elleni gyakorlati kódexre és az Európai Digitális Média Megfigyelőközpontjára (EDMO) építve kötelezni kell az online platformokat arra, hogy egyértelmű információkat tegyenek közzé az általuk használt algoritmusokról (a felhasználók dönthetnek arról, hogy beleegyeznek-e vagy sem), valamint a félretájékoztatás kockázatairól, amelyeknek a felhasználók ki vannak téve, megőrizve ugyanakkor a szólásszabadsághoz való jogot és a magánélethez való jogot.</w:t>
      </w:r>
      <w:r>
        <w:rPr>
          <w:rStyle w:val="Ancredenotedefin"/>
          <w:rStyle w:val="Ancredenotedefin"/>
        </w:rPr>
        <w:endnoteReference w:id="66"/>
      </w:r>
      <w:r>
        <w:rPr/>
        <w:t xml:space="preserve"> </w:t>
      </w:r>
      <w:r>
        <w:rPr>
          <w:rStyle w:val="Ancredenotedefin"/>
          <w:rStyle w:val="Ancredenotedefin"/>
        </w:rPr>
        <w:endnoteReference w:id="67"/>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77" w:name="__RefHeading___Toc298328_1346298689"/>
      <w:bookmarkEnd w:id="77"/>
      <w:r>
        <w:rPr/>
        <w:t>28. Javaslat: Média, álhírek, félretájékoztatás, tényellenőrzés, kiberbiztonság (bis)</w:t>
      </w:r>
    </w:p>
    <w:p>
      <w:pPr>
        <w:pStyle w:val="P68B1DB1Normal15"/>
        <w:rPr>
          <w:b/>
          <w:b/>
        </w:rPr>
      </w:pPr>
      <w:r>
        <w:rPr/>
        <w:t>A cél: az Unió szerepének megerősítése a kiberbiztonsági fenyegetések kezelésében, különösen:</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Intézkedések:</w:t>
      </w:r>
    </w:p>
    <w:p>
      <w:pPr>
        <w:pStyle w:val="Puce3"/>
        <w:tabs>
          <w:tab w:val="clear" w:pos="720"/>
        </w:tabs>
        <w:rPr/>
      </w:pPr>
      <w:r>
        <w:rPr/>
        <w:t>1.</w:t>
        <w:tab/>
        <w:t xml:space="preserve">Az Európai Uniós Kiberbiztonsági Ügynökség (ENISA) megerősítése az egyének, szervezetek és intézmények kiberbiztonsági jogsértésekkel és a mesterséges intelligencia büntetőjogi célú használatával szembeni hatékonyabb védelme érdekében. Ugyanakkor meg kell őrizni a személyes adatok bizalmas jellegét és védelmét. </w:t>
      </w:r>
      <w:r>
        <w:rPr>
          <w:rStyle w:val="Ancredenotedefin"/>
          <w:rStyle w:val="Ancredenotedefin"/>
        </w:rPr>
        <w:endnoteReference w:id="68"/>
      </w:r>
      <w:r>
        <w:rPr/>
        <w:t xml:space="preserve"> </w:t>
      </w:r>
      <w:r>
        <w:rPr>
          <w:rStyle w:val="Ancredenotedefin"/>
          <w:rStyle w:val="Ancredenotedefin"/>
        </w:rPr>
        <w:endnoteReference w:id="69"/>
      </w:r>
    </w:p>
    <w:p>
      <w:pPr>
        <w:pStyle w:val="Puce3"/>
        <w:tabs>
          <w:tab w:val="clear" w:pos="720"/>
        </w:tabs>
        <w:rPr/>
      </w:pPr>
      <w:r>
        <w:rPr/>
        <w:t>2.</w:t>
        <w:tab/>
        <w:t>A nemzeti kiberbiztonsági hatóságok koordinációjának javítása és az uniós szabályok nemzeti szintű hatékony végrehajtásának biztosítása érdekében tett további erőfeszítések.</w:t>
      </w:r>
      <w:r>
        <w:rPr>
          <w:rStyle w:val="Ancredenotedefin"/>
          <w:rStyle w:val="Ancredenotedefin"/>
        </w:rPr>
        <w:endnoteReference w:id="70"/>
      </w:r>
      <w:r>
        <w:rPr/>
        <w:t xml:space="preserve"> </w:t>
      </w:r>
      <w:r>
        <w:rPr>
          <w:rStyle w:val="Ancredenotedefin"/>
          <w:rStyle w:val="Ancredenotedefin"/>
        </w:rPr>
        <w:endnoteReference w:id="71"/>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78" w:name="__RefHeading___Toc298330_1346298689"/>
      <w:bookmarkEnd w:id="78"/>
      <w:r>
        <w:rPr/>
        <w:t>29. Javaslat: A megkülönböztetés, az egyenlőség és az életminőség elleni küzdelem</w:t>
      </w:r>
    </w:p>
    <w:p>
      <w:pPr>
        <w:pStyle w:val="P68B1DB1Normal15"/>
        <w:rPr>
          <w:b/>
          <w:b/>
        </w:rPr>
      </w:pPr>
      <w:r>
        <w:rPr/>
        <w:t>A CÉL: Hozzon intézkedéseket az életkörülmények Unió-szerte történő harmonizálása és a polgárok társadalmi-gazdasági életminőségének javítása érdekében, különösen:</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Intézkedések</w:t>
      </w:r>
      <w:r>
        <w:rPr>
          <w:rStyle w:val="Ancredenotedefin"/>
          <w:rStyle w:val="Ancredenotedefin"/>
        </w:rPr>
        <w:endnoteReference w:id="72"/>
      </w:r>
      <w:r>
        <w:rPr/>
        <w:t>:</w:t>
      </w:r>
    </w:p>
    <w:p>
      <w:pPr>
        <w:pStyle w:val="Puce3"/>
        <w:tabs>
          <w:tab w:val="clear" w:pos="720"/>
        </w:tabs>
        <w:rPr/>
      </w:pPr>
      <w:r>
        <w:rPr/>
        <w:t>1.</w:t>
        <w:tab/>
        <w:t>Átlátható életminőségi mutatók kidolgozása, beleértve a gazdasági, társadalmi és jogállamisági kritériumokat is, szakértőkkel és szociális partnerekkel konzultálva, annak érdekében, hogy világos és reális menetrendet határozzanak meg a szociális normák emelésére és az Unió közös társadalmi-gazdasági struktúrájának kialakítására, többek között a szociális jogok európai pillérének végrehajtása révén. Ezeket az intézkedéseket be kell építeni a gazdaságirányítási keretbe és az európai szemeszter folyamatába</w:t>
      </w:r>
      <w:r>
        <w:rPr>
          <w:rStyle w:val="Ancredenotedefin"/>
          <w:rStyle w:val="Ancredenotedefin"/>
        </w:rPr>
        <w:endnoteReference w:id="73"/>
      </w:r>
      <w:r>
        <w:rPr>
          <w:rStyle w:val="Ancredenotedefin"/>
          <w:rStyle w:val="Ancredenotedefin"/>
        </w:rPr>
        <w:endnoteReference w:id="74"/>
      </w:r>
      <w:r>
        <w:rPr/>
        <w:t>.</w:t>
      </w:r>
    </w:p>
    <w:p>
      <w:pPr>
        <w:pStyle w:val="Puce3"/>
        <w:tabs>
          <w:tab w:val="clear" w:pos="720"/>
        </w:tabs>
        <w:rPr/>
      </w:pPr>
      <w:r>
        <w:rPr/>
        <w:t>2.</w:t>
        <w:tab/>
        <w:t>Az egészségügybe, az oktatásba, a fizikai infrastruktúrába, valamint az idősek és a fogyatékossággal élő személyek gondozásába történő közvetlen közberuházások növelése és megkönnyítése. A további beruházásoknak arra is törekedniük kell, hogy a polgárok számára kielégítő egyensúlyt biztosítsanak a munka és a magánélet között. Ezeket a beruházásokat a teljes folyamat nyomon követése érdekében teljes mértékben átlátható módon kell végrehajtani</w:t>
      </w:r>
      <w:r>
        <w:rPr>
          <w:rStyle w:val="Ancredenotedefin"/>
          <w:rStyle w:val="Ancredenotedefin"/>
        </w:rPr>
        <w:endnoteReference w:id="75"/>
      </w:r>
      <w:r>
        <w:rPr/>
        <w:t>.</w:t>
      </w:r>
    </w:p>
    <w:p>
      <w:pPr>
        <w:pStyle w:val="Puce3"/>
        <w:tabs>
          <w:tab w:val="clear" w:pos="720"/>
        </w:tabs>
        <w:rPr/>
      </w:pPr>
      <w:r>
        <w:rPr/>
        <w:t>3.</w:t>
        <w:tab/>
        <w:t>A nagyvállalatok adóztatásának ösztönzése, az adóparadicsomokhoz való hozzáférés elleni küzdelem és az EU-ban való létezésük megszüntetése azzal a céllal, hogy növeljék a közberuházásokat olyan kiemelt területeken, mint az oktatás (tanulmányi támogatások, Erasmus) és a kutatás. Az adókijátszás elleni uniós szintű küzdelemnek a közfinanszírozású kezdeményezések finanszírozásának eszközévé is kell válnia</w:t>
      </w:r>
      <w:r>
        <w:rPr>
          <w:rStyle w:val="Ancredenotedefin"/>
          <w:rStyle w:val="Ancredenotedefin"/>
        </w:rPr>
        <w:endnoteReference w:id="76"/>
      </w:r>
      <w:r>
        <w:rPr>
          <w:rStyle w:val="Ancredenotedefin"/>
          <w:rStyle w:val="Ancredenotedefin"/>
        </w:rPr>
        <w:endnoteReference w:id="77"/>
      </w:r>
      <w:r>
        <w:rPr/>
        <w:t>.</w:t>
      </w:r>
    </w:p>
    <w:p>
      <w:pPr>
        <w:pStyle w:val="Puce3"/>
        <w:tabs>
          <w:tab w:val="clear" w:pos="720"/>
        </w:tabs>
        <w:rPr/>
      </w:pPr>
      <w:r>
        <w:rPr/>
        <w:t>4.</w:t>
        <w:tab/>
        <w:t>A munkaerő-piaci megkülönböztetés elleni küzdelem uniós szintű kritériumainak meghatározása, valamint a megkülönböztetés által általában leginkább érintett személyek (többek között a fiatalok, az idősek, a nők és a kisebbségekhez tartozó személyek) magánvállalatok általi felvételének ösztönzése, többek között támogatások révén, másodszor pedig ideiglenes kvóták révén. A szociális partnereket szorosan be kell vonni ezekbe az erőfeszítésekbe. A munkaerőpiacon kívüli hátrányos megkülönböztetést törvényben is meg kell tiltani, és ösztönözni kell az egyenlőséget</w:t>
      </w:r>
      <w:r>
        <w:rPr>
          <w:rStyle w:val="Ancredenotedefin"/>
          <w:rStyle w:val="Ancredenotedefin"/>
        </w:rPr>
        <w:endnoteReference w:id="78"/>
      </w:r>
      <w:r>
        <w:rPr/>
        <w:t>.</w:t>
      </w:r>
    </w:p>
    <w:p>
      <w:pPr>
        <w:pStyle w:val="Puce3"/>
        <w:tabs>
          <w:tab w:val="clear" w:pos="720"/>
        </w:tabs>
        <w:rPr/>
      </w:pPr>
      <w:r>
        <w:rPr/>
        <w:t>5.</w:t>
        <w:tab/>
        <w:t>Megfizethető, állami és magán óvodák, valamint ingyenes gyermekgondozási szolgáltatások létrehozásának biztosítása és lehetővé tétele a rászorulók számára</w:t>
      </w:r>
      <w:r>
        <w:rPr>
          <w:rStyle w:val="Ancredenotedefin"/>
          <w:rStyle w:val="Ancredenotedefin"/>
        </w:rPr>
        <w:endnoteReference w:id="79"/>
      </w:r>
      <w:r>
        <w:rPr/>
        <w:t>.</w:t>
      </w:r>
    </w:p>
    <w:p>
      <w:pPr>
        <w:pStyle w:val="Puce3"/>
        <w:tabs>
          <w:tab w:val="clear" w:pos="720"/>
        </w:tabs>
        <w:rPr/>
      </w:pPr>
      <w:r>
        <w:rPr/>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79" w:name="__RefHeading___Toc298332_1346298689"/>
      <w:bookmarkEnd w:id="79"/>
      <w:r>
        <w:rPr/>
        <w:t>30. Javaslat: Állatjogok, mezőgazdaság</w:t>
      </w:r>
    </w:p>
    <w:p>
      <w:pPr>
        <w:pStyle w:val="P68B1DB1Normal15"/>
        <w:rPr>
          <w:b/>
          <w:b/>
        </w:rPr>
      </w:pPr>
      <w:r>
        <w:rPr/>
        <w:t>A cél: Határozott intézkedések meghozatala a környezetbarátabb és éghajlatbarátabb mezőgazdaság előmozdítása és biztosítása érdekében, különös tekintettel a következőkre:</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Intézkedések</w:t>
      </w:r>
      <w:r>
        <w:rPr>
          <w:rStyle w:val="Ancredenotedefin"/>
          <w:rStyle w:val="Ancredenotedefin"/>
        </w:rPr>
        <w:endnoteReference w:id="80"/>
      </w:r>
      <w:r>
        <w:rPr/>
        <w:t>:</w:t>
      </w:r>
    </w:p>
    <w:p>
      <w:pPr>
        <w:pStyle w:val="Puce3"/>
        <w:tabs>
          <w:tab w:val="clear" w:pos="720"/>
        </w:tabs>
        <w:rPr/>
      </w:pPr>
      <w:r>
        <w:rPr/>
        <w:t>1.</w:t>
        <w:tab/>
        <w:t>Részletes, mérhető és időhöz kötött minimumkritériumok meghatározása a haszonállatok védelmére vonatkozóan azzal a céllal, hogy a fenntarthatósági célokkal összhangban és az élelmiszerrendszer integrált megközelítése alapján magasabb szintű állatjóléti normákat biztosítsanak</w:t>
      </w:r>
      <w:r>
        <w:rPr>
          <w:rStyle w:val="Ancredenotedefin"/>
          <w:rStyle w:val="Ancredenotedefin"/>
        </w:rPr>
        <w:endnoteReference w:id="81"/>
      </w:r>
      <w:r>
        <w:rPr>
          <w:rStyle w:val="Ancredenotedefin"/>
          <w:rStyle w:val="Ancredenotedefin"/>
        </w:rPr>
        <w:endnoteReference w:id="82"/>
      </w:r>
      <w:r>
        <w:rPr/>
        <w:t>.</w:t>
      </w:r>
    </w:p>
    <w:p>
      <w:pPr>
        <w:pStyle w:val="Puce3"/>
        <w:tabs>
          <w:tab w:val="clear" w:pos="720"/>
        </w:tabs>
        <w:rPr/>
      </w:pPr>
      <w:r>
        <w:rPr/>
        <w:t>2.</w:t>
        <w:tab/>
        <w:t>Pénzügyi szankciók bevezetése a mezőgazdasági tevékenység által okozott káros hatások (pl. üvegházhatásúgáz-kibocsátás, peszticidhasználat, túlzott vízfogyasztás, távolsági közlekedés stb.) miatt, a környezetre gyakorolt hatásuktól függően. A kevésbé szigorú környezetvédelmi előírásokból eredő versenyelőny megszüntetése érdekében az Unióba behozott mezőgazdasági termékeket is ezen az alapon kell értékelni, többek között vámokkal</w:t>
      </w:r>
      <w:r>
        <w:rPr>
          <w:rStyle w:val="Ancredenotedefin"/>
          <w:rStyle w:val="Ancredenotedefin"/>
        </w:rPr>
        <w:endnoteReference w:id="83"/>
      </w:r>
      <w:r>
        <w:rPr/>
        <w:t>.</w:t>
      </w:r>
    </w:p>
    <w:p>
      <w:pPr>
        <w:pStyle w:val="Puce3"/>
        <w:tabs>
          <w:tab w:val="clear" w:pos="720"/>
        </w:tabs>
        <w:rPr/>
      </w:pPr>
      <w:r>
        <w:br w:type="column"/>
      </w:r>
      <w:r>
        <w:rPr/>
      </w:r>
    </w:p>
    <w:p>
      <w:pPr>
        <w:pStyle w:val="Puce3"/>
        <w:tabs>
          <w:tab w:val="clear" w:pos="720"/>
        </w:tabs>
        <w:rPr/>
      </w:pPr>
      <w:r>
        <w:rPr/>
        <w:t>3.</w:t>
        <w:tab/>
        <w:t>A tömeges mezőgazdasági termelés támogatásának csökkentése, amennyiben az nem járul hozzá a fenntartható átálláshoz, és ezeket az erőforrásokat a környezeti szempontból fenntartható mezőgazdaság támogatására fordítja, miközben biztosítja az élelmiszerek megfizethetőségét.</w:t>
      </w:r>
      <w:r>
        <w:rPr>
          <w:rStyle w:val="Ancredenotedefin"/>
          <w:rStyle w:val="Ancredenotedefin"/>
        </w:rPr>
        <w:endnoteReference w:id="84"/>
      </w:r>
      <w:r>
        <w:rPr/>
        <w:t xml:space="preserve"> </w:t>
      </w:r>
      <w:r>
        <w:rPr>
          <w:rStyle w:val="Ancredenotedefin"/>
          <w:rStyle w:val="Ancredenotedefin"/>
        </w:rPr>
        <w:endnoteReference w:id="85"/>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Normal"/>
        <w:rPr/>
      </w:pPr>
      <w:r>
        <w:rPr/>
        <w:drawing>
          <wp:anchor behindDoc="0" distT="0" distB="0" distL="0" distR="0" simplePos="0" locked="0" layoutInCell="1" allowOverlap="1" relativeHeight="7">
            <wp:simplePos x="0" y="0"/>
            <wp:positionH relativeFrom="column">
              <wp:posOffset>27940</wp:posOffset>
            </wp:positionH>
            <wp:positionV relativeFrom="paragraph">
              <wp:posOffset>30480</wp:posOffset>
            </wp:positionV>
            <wp:extent cx="913765" cy="913765"/>
            <wp:effectExtent l="0" t="0" r="0" b="0"/>
            <wp:wrapSquare wrapText="largest"/>
            <wp:docPr id="66" name="Kép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Kép26" descr=""/>
                    <pic:cNvPicPr>
                      <a:picLocks noChangeAspect="1" noChangeArrowheads="1"/>
                    </pic:cNvPicPr>
                  </pic:nvPicPr>
                  <pic:blipFill>
                    <a:blip r:embed="rId78"/>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80" w:name="__RefHeading___Toc298334_1346298689"/>
      <w:bookmarkEnd w:id="80"/>
      <w:r>
        <w:rPr/>
        <w:t>„</w:t>
      </w:r>
      <w:r>
        <w:rPr/>
        <w:t>Digitális átalakulás”</w:t>
      </w:r>
    </w:p>
    <w:p>
      <w:pPr>
        <w:pStyle w:val="Normal"/>
        <w:rPr/>
      </w:pPr>
      <w:r>
        <w:rPr/>
        <w:t>Európának a világ élvonalában kell állnia, és meg kell határoznia a digitális átalakulás normáit, és meg kell határoznia az etikus, emberközpontú, átlátható és biztonságos társadalom felé vezető európai utat. Európának ambiciózus megközelítést kell alkalmaznia, és teljes mértékben ki kell használnia a digitalizáció kínálta lehetőségeket, ugyanakkor kezelnie kell a digitalizáció jelentette kockázatokat és kihívásokat. A digitalizáció társadalmunk valamennyi területét érinti, és szisztematikusan figyelembe kell venni. E tekintetben hivatkoztak a digitális évtized digitális jogairól és elveiről szóló európai nyilatkozatra, és javasolták, hogy a jövőben fontolják meg a digitális jogok chartájának lehetséges kidolgozását.</w:t>
      </w:r>
    </w:p>
    <w:p>
      <w:pPr>
        <w:pStyle w:val="Normal"/>
        <w:rPr/>
      </w:pPr>
      <w:r>
        <w:rPr/>
        <w:t>Az ukrajnai orosz agresszió csak megerősíti a javaslatokban tárgyalt számos elemet, például a digitális szuverenitás szükségességét, a kibervédelemre való fokozott figyelmet és a félretájékoztatás elleni védelmet. Azt is bizonyítja, hogy a kortárs konfliktusok következményekkel járnak a digitális szférában, és új kérdéseket vet fel, mint például a személyes adatokkal való visszaélés hosszú távú következményei és ezen adatok jövőbeli jogellenes felhasználása.</w:t>
      </w:r>
    </w:p>
    <w:p>
      <w:pPr>
        <w:pStyle w:val="Normal"/>
        <w:rPr/>
      </w:pPr>
      <w:r>
        <w:rPr/>
      </w:r>
    </w:p>
    <w:p>
      <w:pPr>
        <w:pStyle w:val="Titre3"/>
        <w:numPr>
          <w:ilvl w:val="2"/>
          <w:numId w:val="2"/>
        </w:numPr>
        <w:rPr/>
      </w:pPr>
      <w:bookmarkStart w:id="81" w:name="__RefHeading___Toc298336_1346298689"/>
      <w:bookmarkEnd w:id="81"/>
      <w:r>
        <w:rPr/>
        <w:t>31. Javaslat: Hozzáférés a digitális infrastruktúrához</w:t>
      </w:r>
    </w:p>
    <w:p>
      <w:pPr>
        <w:pStyle w:val="Normal"/>
        <w:rPr/>
      </w:pPr>
      <w:r>
        <w:rPr/>
        <w:t>A cél: Az internethez való egyenlő hozzáférés minden európai polgár számára alapvető jog. Azt javasoljuk, hogy Európában mindenki rendelkezzen hatékony hozzáféréssel az internethez és a digitális szolgáltatásokhoz, valamint hogy az alábbi intézkedések végrehajtásával erősítsék meg az EU digitális infrastruktúrájának szuverenitását:</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Intézkedések</w:t>
      </w:r>
      <w:r>
        <w:rPr>
          <w:rStyle w:val="Ancredenotedefin"/>
          <w:rStyle w:val="Ancredenotedefin"/>
        </w:rPr>
        <w:endnoteReference w:id="86"/>
      </w:r>
      <w:r>
        <w:rPr/>
        <w:t>:</w:t>
      </w:r>
    </w:p>
    <w:p>
      <w:pPr>
        <w:pStyle w:val="Puce3"/>
        <w:tabs>
          <w:tab w:val="clear" w:pos="720"/>
        </w:tabs>
        <w:rPr/>
      </w:pPr>
      <w:r>
        <w:rPr/>
        <w:t>1.</w:t>
        <w:tab/>
        <w:t>Beruházás a kiváló minőségű és innovatív európai digitális infrastruktúrába (beleértve az 5G és a 6G fejlesztését Európában) (az 1. ECP 40. és 47. ajánlása és a holland nemzeti kapcsolattartó pont 1. számú ajánlása).</w:t>
      </w:r>
    </w:p>
    <w:p>
      <w:pPr>
        <w:pStyle w:val="Puce3"/>
        <w:tabs>
          <w:tab w:val="clear" w:pos="720"/>
        </w:tabs>
        <w:rPr/>
      </w:pPr>
      <w:r>
        <w:rPr/>
        <w:t>2.</w:t>
        <w:tab/>
        <w:t>Gyors, megfizethető, biztonságos és stabil internet-hozzáférés biztosítása az egész Unióban, beleértve a barangolást is, elsőbbséget élvezve az internetkapcsolatok „fehér/halott zónákban”, vidéki és távoli területeken, valamint a tagállamok közötti és azokon belüli digitális szakadék kezelése, valamint annak biztosítása érdekében, hogy senki ne maradjon le (a holland nemzeti kapcsolattartó pont 1. és 1. sz. ajánlása 17. és 47. ajánlás).</w:t>
      </w:r>
    </w:p>
    <w:p>
      <w:pPr>
        <w:pStyle w:val="Puce3"/>
        <w:tabs>
          <w:tab w:val="clear" w:pos="720"/>
        </w:tabs>
        <w:rPr/>
      </w:pPr>
      <w:r>
        <w:rPr/>
        <w:t>3.</w:t>
        <w:tab/>
        <w:t>Az elektromos és autonóm járművek használatát lehetővé tevő digitális és elektromos infrastruktúra köz- és magánterületeken történő kiépítésének előmozdítása (vita a munkacsoportban)</w:t>
      </w:r>
      <w:r>
        <w:rPr>
          <w:rStyle w:val="Ancredenotedefin"/>
          <w:rStyle w:val="Ancredenotedefin"/>
        </w:rPr>
        <w:endnoteReference w:id="87"/>
      </w:r>
      <w:r>
        <w:rPr/>
        <w:t>.</w:t>
      </w:r>
    </w:p>
    <w:p>
      <w:pPr>
        <w:pStyle w:val="Puce3"/>
        <w:tabs>
          <w:tab w:val="clear" w:pos="720"/>
        </w:tabs>
        <w:rPr/>
      </w:pPr>
      <w:r>
        <w:rPr/>
        <w:t>4.</w:t>
        <w:tab/>
        <w:t>Intézkedéseket hoz a tisztességes és nyílt verseny biztosítására, valamint a monopóliumok, a szolgáltatóktól való függőség, az adatok koncentrációja, valamint a harmadik országok infrastruktúrára és szolgáltatásokra való hagyatkozásának megelőzésére; a piacok javítása fogyasztói szemszögből (17 1. sz. CEP-ajánlás).</w:t>
      </w:r>
    </w:p>
    <w:p>
      <w:pPr>
        <w:pStyle w:val="Puce3"/>
        <w:tabs>
          <w:tab w:val="clear" w:pos="720"/>
        </w:tabs>
        <w:rPr/>
      </w:pPr>
      <w:r>
        <w:rPr/>
        <w:t>5.</w:t>
        <w:tab/>
        <w:t>A gyermekeket, a családokat, az időseket és a kiszolgáltatott helyzetben lévő csoportokat prioritássá kell tenni az internethez és az informatikai eszközökhöz való hozzáférés tekintetében, beleértve az oktatáshoz, a közszolgáltatásokhoz és az egészségügyhöz való hozzáférést is (CEP 1 17. ajánlás és vita a munkacsoportban).</w:t>
      </w:r>
    </w:p>
    <w:p>
      <w:pPr>
        <w:pStyle w:val="Puce3"/>
        <w:tabs>
          <w:tab w:val="clear" w:pos="720"/>
        </w:tabs>
        <w:rPr/>
      </w:pPr>
      <w:r>
        <w:rPr/>
        <w:t>6.</w:t>
        <w:tab/>
        <w:t>Az alapvető köz- és magánszolgáltatásokhoz való teljes körű hozzáférés javítása a polgárok és a vállalkozások számára, pl. az adminisztratív eljárások tekintetében, valamint az e szolgáltatásokhoz kapcsolódó hozzáférés és támogatás biztosítása mindenki számára, például támogató szolgáltatások révén (vita a munkacsoportban, többnyelvű digitális platform).</w:t>
      </w:r>
    </w:p>
    <w:p>
      <w:pPr>
        <w:pStyle w:val="Puce3"/>
        <w:tabs>
          <w:tab w:val="clear" w:pos="720"/>
        </w:tabs>
        <w:rPr/>
      </w:pPr>
      <w:r>
        <w:rPr/>
        <w:t>7.</w:t>
        <w:tab/>
        <w:t>A magas színvonalú digitális szabványok harmonizálása és a biztonságos adatmobilitás javítása a határokon átnyúló interoperabilitás megkönnyítése érdekében (vita a munkacsoportban, többnyelvű digitális platform).</w:t>
      </w:r>
    </w:p>
    <w:p>
      <w:pPr>
        <w:pStyle w:val="Puce3"/>
        <w:tabs>
          <w:tab w:val="clear" w:pos="720"/>
        </w:tabs>
        <w:rPr/>
      </w:pPr>
      <w:r>
        <w:rPr/>
        <w:t>8.</w:t>
        <w:tab/>
        <w:t>A digitális infrastruktúra és a digitalizáció környezeti hatásainak vizsgálata a digitális átalakulás fenntarthatóvá tétele és a zöld digitális társadalom felé való elmozdulás érdekében (vita a munkacsoportban, többnyelvű digitális platform).</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82" w:name="__RefHeading___Toc298338_1346298689"/>
      <w:bookmarkEnd w:id="82"/>
      <w:r>
        <w:rPr/>
        <w:t>32. Javaslat: Digitális ismeretek és készségek, amelyek felhatalmazzák az embereket</w:t>
      </w:r>
    </w:p>
    <w:p>
      <w:pPr>
        <w:pStyle w:val="P68B1DB1Normal15"/>
        <w:rPr>
          <w:b/>
          <w:b/>
        </w:rPr>
      </w:pPr>
      <w:r>
        <w:rPr/>
        <w:t>A cél: Javasoljuk, hogy az EU biztosítsa, hogy minden európai polgár kihasználhassa a digitalizáció előnyeit azáltal, hogy felhatalmazza őket a szükséges digitális készségek és lehetőségek elsajátítására a következő intézkedések végrehajtásával:</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Intézkedések</w:t>
      </w:r>
      <w:r>
        <w:rPr>
          <w:rStyle w:val="Ancredenotedefin"/>
          <w:rStyle w:val="Ancredenotedefin"/>
        </w:rPr>
        <w:endnoteReference w:id="88"/>
      </w:r>
      <w:r>
        <w:rPr/>
        <w:t>:</w:t>
      </w:r>
    </w:p>
    <w:p>
      <w:pPr>
        <w:pStyle w:val="Puce3"/>
        <w:tabs>
          <w:tab w:val="clear" w:pos="720"/>
        </w:tabs>
        <w:rPr/>
      </w:pPr>
      <w:r>
        <w:rPr/>
        <w:t>1.</w:t>
        <w:tab/>
        <w:t>Az egész életen át tartó digitális készségekhez és ismeretekhez való hozzáférés biztosítása a képzéshez és az oktatáshoz, beleértve az iskolai, formális és nem formális tanterveket is, a meglévő európai szintű kezdeményezések alapján, különös figyelmet fordítva a kiszolgáltatott csoportokhoz tartozó személyek és az idősek befogadására, valamint a gyermekek digitális készségeinek a megfelelő fejlődésükkel összeegyeztethető módon történő megerősítésére és a digitális egyenlőtlenségek kezelésére, ideértve a férfiak és nők közötti digitális szakadékot is (az Európai Szomszédsági Bizottság 8. ajánlása, az olasz nemzeti kapcsolattartó pont 5.2. ajánlása és a munkacsoportban folytatott vita).</w:t>
      </w:r>
    </w:p>
    <w:p>
      <w:pPr>
        <w:pStyle w:val="Puce3"/>
        <w:tabs>
          <w:tab w:val="clear" w:pos="720"/>
        </w:tabs>
        <w:rPr/>
      </w:pPr>
      <w:r>
        <w:rPr/>
        <w:t>2.</w:t>
        <w:tab/>
        <w:t>Biztosítsa az internet megfelelő használatát azáltal, hogy arra ösztönzi a tagállamokat, hogy dolgozzanak ki digitális készségekkel kapcsolatos képzést minden korosztály számára, európai szinten harmonizált programokkal és tartalmakkal, például internetes kockázatokkal és lehetőségekkel, a felhasználók online jogaival és a netiketttel (CEP 47. ajánlás és vita a munkacsoportban).</w:t>
      </w:r>
    </w:p>
    <w:p>
      <w:pPr>
        <w:pStyle w:val="Puce3"/>
        <w:tabs>
          <w:tab w:val="clear" w:pos="720"/>
        </w:tabs>
        <w:rPr/>
      </w:pPr>
      <w:r>
        <w:rPr/>
        <w:t>3.</w:t>
        <w:tab/>
        <w:t>Tegyen meg minden szükséges intézkedést annak biztosítására, hogy a társadalom digitalizációja ne zárja ki az időseket, és hogy a technológia hozzáférhető legyen számukra a releváns programok és kezdeményezések – például az igényeikhez igazított tanfolyamok – ösztönzése révén. Ugyanakkor biztosítani kell, hogy az alapvető szolgáltatások személyesen és nem digitális módon is hozzáférhetők legyenek (a CEP 34. és 47. ajánlása).</w:t>
      </w:r>
    </w:p>
    <w:p>
      <w:pPr>
        <w:pStyle w:val="Puce3"/>
        <w:tabs>
          <w:tab w:val="clear" w:pos="720"/>
        </w:tabs>
        <w:rPr/>
      </w:pPr>
      <w:r>
        <w:rPr/>
        <w:t>4.</w:t>
        <w:tab/>
        <w:t>Vezesse be az iskolákban a digitális készségekre vonatkozó európai tanúsítványt, amely felkészíti a fiatalokat a jövőbeli munkaerőpiacra (8. ajánlás).</w:t>
      </w:r>
    </w:p>
    <w:p>
      <w:pPr>
        <w:pStyle w:val="Puce3"/>
        <w:tabs>
          <w:tab w:val="clear" w:pos="720"/>
        </w:tabs>
        <w:rPr/>
      </w:pPr>
      <w:r>
        <w:rPr/>
        <w:t>5.</w:t>
        <w:tab/>
        <w:t>Hajtsanak végre összehangolt uniós szintű képzési kezdeményezéseket annak érdekében, hogy a munkavállalók átképzése és továbbképzése versenyképes maradjon a munkaerőpiacon, különös tekintettel a kis- és középvállalkozásokban szükséges készségekre és képesítésekre, valamint a digitális szakemberek képzésére (a CEP 8. ajánlása és a munkacsoportban folytatott vita).</w:t>
      </w:r>
    </w:p>
    <w:p>
      <w:pPr>
        <w:pStyle w:val="Puce3"/>
        <w:tabs>
          <w:tab w:val="clear" w:pos="720"/>
        </w:tabs>
        <w:rPr/>
      </w:pPr>
      <w:r>
        <w:rPr/>
        <w:t>6.</w:t>
        <w:tab/>
        <w:t>A meglévő digitális platformok népszerűsítése, amelyek összekapcsolják a polgárokat a munkáltatókkal, és segítik őket abban, hogy munkát találjanak az EU-ban, például az EURES-t (8. sz. CEP-ajánlás).</w:t>
      </w:r>
    </w:p>
    <w:p>
      <w:pPr>
        <w:pStyle w:val="Puce3"/>
        <w:tabs>
          <w:tab w:val="clear" w:pos="720"/>
        </w:tabs>
        <w:rPr/>
      </w:pPr>
      <w:r>
        <w:rPr/>
        <w:t>7.</w:t>
        <w:tab/>
        <w:t>Az oktatás digitalizálásának ösztönzésére irányuló beruházások és erőfeszítések fokozása, beleértve a felsőoktatást is (vita a munkacsoportban/multiliális digitális platformon).</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83" w:name="__RefHeading___Toc298340_1346298689"/>
      <w:bookmarkEnd w:id="83"/>
      <w:r>
        <w:rPr/>
        <w:t>33. Javaslat: Biztonságos és megbízható digitális társadalom – kiberbiztonság és dezinformáció</w:t>
      </w:r>
    </w:p>
    <w:p>
      <w:pPr>
        <w:pStyle w:val="P68B1DB1Normal15"/>
        <w:rPr>
          <w:b/>
          <w:b/>
        </w:rPr>
      </w:pPr>
      <w:r>
        <w:rPr/>
        <w:t>A cél: javasoljuk, hogy a biztonságos, reziliens és megbízható digitális társadalom megteremtése érdekében az EU biztosítsa a meglévő jogszabályok hatékony és időben történő végrehajtását, és több hatáskörrel rendelkezzen a kiberbiztonság megerősítésére, az illegális tartalom és a számítástechnikai bűnözés elleni küzdelemre, a nem állami szereplők és autoriter államok által jelentett kiberfenyegetések következményeinek kezelésére és kezelésére, valamint a félretájékoztatás elleni küzdelemre a következő intézkedések végrehajtása révén:</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Intézkedések</w:t>
      </w:r>
      <w:r>
        <w:rPr>
          <w:rStyle w:val="Ancredenotedefin"/>
          <w:rStyle w:val="Ancredenotedefin"/>
        </w:rPr>
        <w:endnoteReference w:id="89"/>
      </w:r>
      <w:r>
        <w:rPr/>
        <w:t>:</w:t>
      </w:r>
    </w:p>
    <w:p>
      <w:pPr>
        <w:pStyle w:val="Puce3"/>
        <w:tabs>
          <w:tab w:val="clear" w:pos="720"/>
        </w:tabs>
        <w:rPr/>
      </w:pPr>
      <w:r>
        <w:rPr/>
        <w:t>1.</w:t>
        <w:tab/>
        <w:t>Az Europol/Számítástechnikai Bűnözés Elleni Európai Központ pénzügyi és emberi erőforrásokkal kapcsolatos kapacitásainak megerősítése a számítástechnikai bűnözés proaktívabb megközelítésének lehetővé tétele és a nagyszabású támadások elleni közös európai kibervédelmi képességek megerősítése érdekében, többek között jobb együttműködés révén (az ECP 39. sz. ajánlása, a litván nemzeti kapcsolattartó pont 2.6. ajánlása és a holland nemzeti kapcsolattartó pont 1. sz. ajánlása, valamint vita a munkacsoportban).</w:t>
      </w:r>
    </w:p>
    <w:p>
      <w:pPr>
        <w:pStyle w:val="Puce3"/>
        <w:tabs>
          <w:tab w:val="clear" w:pos="720"/>
        </w:tabs>
        <w:rPr/>
      </w:pPr>
      <w:r>
        <w:rPr/>
        <w:t>2.</w:t>
        <w:tab/>
        <w:t>Tegye meg a szükséges intézkedéseket annak érdekében, hogy felkészüljön a nagyszabású támadásokra és a szolgáltatási zavarokra, és képes legyen azok gyors leküzdésére, például a rugalmas infrastruktúra és az alternatív kommunikációs csatornák meglétének biztosításával (vita a munkacsoportban).</w:t>
      </w:r>
    </w:p>
    <w:p>
      <w:pPr>
        <w:pStyle w:val="Puce3"/>
        <w:tabs>
          <w:tab w:val="clear" w:pos="720"/>
        </w:tabs>
        <w:rPr/>
      </w:pPr>
      <w:r>
        <w:rPr/>
        <w:t>3.</w:t>
        <w:tab/>
        <w:t>Hasonló szankciók, valamint gyors és hatékony tagállami végrehajtás biztosítása a számítástechnikai bűnözés esetén a helyi, regionális és nemzeti kiberbiztonsági központok és hatóságok jobb koordinációja révén (a CEP 391. ajánlása).</w:t>
      </w:r>
    </w:p>
    <w:p>
      <w:pPr>
        <w:pStyle w:val="Puce3"/>
        <w:tabs>
          <w:tab w:val="clear" w:pos="720"/>
        </w:tabs>
        <w:rPr/>
      </w:pPr>
      <w:r>
        <w:rPr/>
        <w:t>4.</w:t>
        <w:tab/>
        <w:t>A digitális ismeretek és a kritikus gondolkodás javítása a félretájékoztatás, az online fenyegetések és a gyűlöletbeszéd, valamint a hamisított interfészek és a kedvezményes árak elleni küzdelem eszközeként (vita a munkacsoportban).</w:t>
      </w:r>
    </w:p>
    <w:p>
      <w:pPr>
        <w:pStyle w:val="Puce3"/>
        <w:tabs>
          <w:tab w:val="clear" w:pos="720"/>
        </w:tabs>
        <w:rPr/>
      </w:pPr>
      <w:r>
        <w:rPr/>
        <w:t>5.</w:t>
        <w:tab/>
        <w:t>A félretájékoztatás elleni küzdelem olyan jogszabályok és iránymutatások elfogadásával, amelyek biztosítják, hogy az online platformok és a közösségi médiavállalatok kezeljék félretájékoztatási sebezhetőségeiket, és átláthatósági intézkedéseket alkalmazzanak, ideértve például a mesterséges intelligencián alapuló algoritmusokat, amelyek kiemelik a közösségi médiában és az új médiában található információk megbízhatóságát azáltal, hogy a felhasználó számára ellenőrzött információforrásokat biztosítanak. Algoritmusok használata esetén a döntéshozatali folyamatok végső ellenőrzése az emberek felelőssége kell, hogy legyen (CEP 1 46. ajánlás és vita a munkacsoportban).</w:t>
      </w:r>
    </w:p>
    <w:p>
      <w:pPr>
        <w:pStyle w:val="Puce3"/>
        <w:tabs>
          <w:tab w:val="clear" w:pos="720"/>
        </w:tabs>
        <w:rPr/>
      </w:pPr>
      <w:r>
        <w:rPr/>
        <w:t>6.</w:t>
        <w:tab/>
        <w:t>Támogatja azokat a digitális platformokat, amelyek hozzájárulnak a médiapluralizmushoz, és erőforrásokat és kezdeményezéseket biztosítanak a hagyományos médiából (televízió, nyomtatott sajtó, rádió) és más médiából származó információk megbízhatóságának és pártatlanságának értékelésére, teljes mértékben tiszteletben tartva a médiaszabadság elvét, és tájékoztatást nyújtanak a polgároknak az információ minőségéről (CEP 46. ajánlás).</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84" w:name="__RefHeading___Toc298342_1346298689"/>
      <w:bookmarkEnd w:id="84"/>
      <w:r>
        <w:rPr/>
        <w:t>34. Javaslat: Biztonságos és megbízható digitális társadalom – adatvédelem</w:t>
      </w:r>
    </w:p>
    <w:p>
      <w:pPr>
        <w:pStyle w:val="P68B1DB1Normal15"/>
        <w:rPr>
          <w:b/>
          <w:b/>
        </w:rPr>
      </w:pPr>
      <w:r>
        <w:rPr/>
        <w:t>A cél: Támogatjuk az emberek adatszuverenitását, jobb tudatosságát, valamint a meglévő adatvédelmi szabályok (GDPR) hatékonyabb végrehajtását és érvényesítését annak érdekében, hogy megerősítsük az emberek ellenőrzését az adataik felett, és korlátozzuk az adatokkal való visszaélést az alábbi intézkedések végrehajtásával:</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Intézkedések</w:t>
      </w:r>
      <w:r>
        <w:rPr>
          <w:rStyle w:val="Ancredenotedefin"/>
          <w:rStyle w:val="Ancredenotedefin"/>
        </w:rPr>
        <w:endnoteReference w:id="90"/>
      </w:r>
      <w:r>
        <w:rPr/>
        <w:t>:</w:t>
      </w:r>
    </w:p>
    <w:p>
      <w:pPr>
        <w:pStyle w:val="Puce3"/>
        <w:tabs>
          <w:tab w:val="clear" w:pos="720"/>
        </w:tabs>
        <w:rPr/>
      </w:pPr>
      <w:r>
        <w:rPr/>
        <w:t>1.</w:t>
        <w:tab/>
        <w:t>Jobban elmagyarázza az adatvédelmi szabályokat (GDPR), fokozza az átláthatóságot és javítsa a kommunikációt azáltal, hogy iránymutatásokat dolgoz ki a tájékoztatáson alapuló beleegyező szövegekre vonatkozóan, amelyek egyszerű, világos és érthető nyelvezetet használnak, beleértve az adatok felhasználásához való hozzájárulás vizuális megjelenítését, tájékoztató kampányt kísérve, valamint annak biztosítása, hogy az adatkezelők rendelkezzenek a szükséges készségekkel és tanácsadással a segítségre szorulók számára (a holland nemzeti kapcsolattartó pont 1. és 2. ajánlása).</w:t>
      </w:r>
    </w:p>
    <w:p>
      <w:pPr>
        <w:pStyle w:val="Puce3"/>
        <w:tabs>
          <w:tab w:val="clear" w:pos="720"/>
        </w:tabs>
        <w:rPr/>
      </w:pPr>
      <w:r>
        <w:rPr/>
        <w:t>2.</w:t>
        <w:tab/>
        <w:t>Biztosítsa az adatok további felhasználására vagy viszonteladására vonatkozó alapértelmezett hozzájárulás hatályos tilalmának érvényesítését (a CEP 421. ajánlása).</w:t>
      </w:r>
    </w:p>
    <w:p>
      <w:pPr>
        <w:pStyle w:val="Puce3"/>
        <w:tabs>
          <w:tab w:val="clear" w:pos="720"/>
        </w:tabs>
        <w:rPr/>
      </w:pPr>
      <w:r>
        <w:rPr/>
        <w:t>3.</w:t>
        <w:tab/>
        <w:t>Biztosítsa, hogy a felhasználók által az adatok végleges törlésére vonatkozóan benyújtott kérelmek meghatározott időn belül teljesüljenek (42. számú CEP-ajánlás).</w:t>
      </w:r>
    </w:p>
    <w:p>
      <w:pPr>
        <w:pStyle w:val="Puce3"/>
        <w:tabs>
          <w:tab w:val="clear" w:pos="720"/>
        </w:tabs>
        <w:rPr/>
      </w:pPr>
      <w:r>
        <w:rPr/>
        <w:t>4.</w:t>
        <w:tab/>
        <w:t>Egyértelmű és tömör tájékoztatás nyújtása a felhasználók számára az adatok felhasználásának módjáról és kiről (42 1. sz. CEP-ajánlás)</w:t>
      </w:r>
    </w:p>
    <w:p>
      <w:pPr>
        <w:pStyle w:val="Puce3"/>
        <w:tabs>
          <w:tab w:val="clear" w:pos="720"/>
        </w:tabs>
        <w:rPr/>
      </w:pPr>
      <w:r>
        <w:rPr/>
        <w:t>5.</w:t>
        <w:tab/>
        <w:t>Annak biztosítása, hogy a nem európai vállalatok betartsák az európai adatvédelmi szabályokat (1. sz. CEP 42. és 43. ajánlás).</w:t>
      </w:r>
    </w:p>
    <w:p>
      <w:pPr>
        <w:pStyle w:val="Puce3"/>
        <w:tabs>
          <w:tab w:val="clear" w:pos="720"/>
        </w:tabs>
        <w:rPr/>
      </w:pPr>
      <w:r>
        <w:rPr/>
        <w:t>6.</w:t>
        <w:tab/>
        <w:t>Egy olyan uniós szintű tanúsítási rendszer létrehozásának ösztönzése, amely hozzáférhető, egyértelmű és egyszerű módon tanúsítja az általános adatvédelmi rendeletnek való megfelelést, látható a weboldalakon és a platformokon, és azt egy európai szintű független tanúsítónak kell kibocsátania. Ez nem róhat aránytalan terhet a kis- és középvállalkozásokra (a CEP 1 44. ajánlása és a munkacsoportban folytatott vita).</w:t>
      </w:r>
    </w:p>
    <w:p>
      <w:pPr>
        <w:pStyle w:val="Puce3"/>
        <w:tabs>
          <w:tab w:val="clear" w:pos="720"/>
        </w:tabs>
        <w:rPr/>
      </w:pPr>
      <w:r>
        <w:rPr/>
        <w:t>7.</w:t>
        <w:tab/>
        <w:t>Hatékony és időben történő segítségnyújtás biztosítása azon polgárok számára, akik nehézségekbe ütköznek adataik feldolgozása vagy hozzájárulásuk visszavonása ellen. E célból európai szinten jobban meg kell határozni a tolakodó magatartást, és olyan vezérelveket és mechanizmusokat kell kidolgozni, amelyek lehetővé teszik a polgárok számára adataik feldolgozásának ellenzését és törlését, valamint a csalók azonosítását és szankcionálását (a CEP 43. ajánlása és vita a munkacsoportban).</w:t>
      </w:r>
    </w:p>
    <w:p>
      <w:pPr>
        <w:pStyle w:val="Puce3"/>
        <w:tabs>
          <w:tab w:val="clear" w:pos="720"/>
        </w:tabs>
        <w:rPr/>
      </w:pPr>
      <w:r>
        <w:rPr/>
        <w:t>8.</w:t>
        <w:tab/>
        <w:t>Szankciók előírása, beleértve a vállalatok forgalmával arányos bírságot és tevékenységük korlátozását, például a nem kívánt adatkezelés ideiglenes vagy végleges tilalmát, valamint segítséget nyújt az európai adatvédelmi biztosnak és a nemzeti ügynökségeknek a végrehajtásuk biztosításában (1. CEP 42. és 43. ajánlás, valamint vita a munkacsoportban).</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85" w:name="__RefHeading___Toc298344_1346298689"/>
      <w:bookmarkEnd w:id="85"/>
      <w:r>
        <w:rPr/>
        <w:t>35. Javaslat: Digitális innováció a szociális és fenntartható gazdaság megerősítése érdekében</w:t>
      </w:r>
    </w:p>
    <w:p>
      <w:pPr>
        <w:pStyle w:val="Normal"/>
        <w:rPr/>
      </w:pPr>
      <w:r>
        <w:rPr/>
        <w:t>A cél: Javasoljuk, hogy az EU támogassa azokat a digitalizációs intézkedéseket, amelyek méltányos és fenntartható módon erősítik a gazdaságot és az egységes piacot, versenyképesebbé teszik Európát a technológia és az innováció területén, javítják a digitális egységes piacot a különböző méretű vállalkozások számára, és Európát a digitális átalakulás és az emberközpontú digitalizáció globális élvonalába helyezik a következő intézkedések alkalmazásával:</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Intézkedések</w:t>
      </w:r>
      <w:r>
        <w:rPr>
          <w:rStyle w:val="Ancredenotedefin"/>
          <w:rStyle w:val="Ancredenotedefin"/>
        </w:rPr>
        <w:endnoteReference w:id="91"/>
      </w:r>
      <w:r>
        <w:rPr/>
        <w:t>:</w:t>
      </w:r>
    </w:p>
    <w:p>
      <w:pPr>
        <w:pStyle w:val="Puce3"/>
        <w:tabs>
          <w:tab w:val="clear" w:pos="720"/>
        </w:tabs>
        <w:rPr/>
      </w:pPr>
      <w:r>
        <w:rPr/>
        <w:t>1.</w:t>
        <w:tab/>
        <w:t>A „mobilmunkára” vonatkozó (emberközpontú) jogszabályok bevezetése vagy megerősítése, figyelembe véve annak a munkavállalók fizikai és mentális egészségére gyakorolt hatását, például a kijelentkezéshez való jog garantálása révén. Az „emberközpontú” megközelítés feltételezi az „emberi ellenőrzés” elvét (PCE 1 7. ajánlás és vita a munkacsoportban)</w:t>
      </w:r>
      <w:r>
        <w:rPr>
          <w:rStyle w:val="Ancredenotedefin"/>
          <w:rStyle w:val="Ancredenotedefin"/>
        </w:rPr>
        <w:endnoteReference w:id="92"/>
      </w:r>
      <w:r>
        <w:rPr/>
        <w:t>.</w:t>
      </w:r>
    </w:p>
    <w:p>
      <w:pPr>
        <w:pStyle w:val="Puce3"/>
        <w:tabs>
          <w:tab w:val="clear" w:pos="720"/>
        </w:tabs>
        <w:rPr/>
      </w:pPr>
      <w:r>
        <w:rPr/>
        <w:t>2.</w:t>
        <w:tab/>
        <w:t>Uniós szintű jogalkotás a vállalatok társadalmi felelősségvállalásának ösztönzése és a minőségi „mobil munkahelyek” megtartása érdekében Európában, elkerülve ezáltal e munkahelyek alacsonyabb költséggel történő áthelyezését. Az ösztönzők pénzügyi jellegűek és/vagy hatással lehetnek a vállalati imázsra, és figyelembe kell venniük a nemzetközileg elismert környezetvédelmi, társadalmi és irányítási kritériumokat. E célból az Uniónak valamennyi érdekelt fél szakértőiből álló munkacsoportot kell létrehoznia e jogszabályok felülvizsgálata és megerősítése céljából (7. ajánlás).</w:t>
      </w:r>
    </w:p>
    <w:p>
      <w:pPr>
        <w:pStyle w:val="Puce3"/>
        <w:tabs>
          <w:tab w:val="clear" w:pos="720"/>
        </w:tabs>
        <w:rPr/>
      </w:pPr>
      <w:r>
        <w:rPr/>
        <w:t>3.</w:t>
        <w:tab/>
        <w:t>A munkahelyi mesterséges intelligenciát alkalmazó döntéshozatali folyamatok emberi ellenőrzésének és az alkalmazott algoritmusok átláthatóságának biztosítása; vegye figyelembe a határtalan digitális felügyelet káros hatásait a munkahelyen; a munkavállalók tájékoztatása és a velük folytatott konzultáció a munkakörülményekre hatást gyakorló digitális technológiák bevezetése előtt; annak biztosítása, hogy az új foglalkoztatási formák, például a platformalapú munkavégzés összhangban legyenek a munkavállalók jogaival, és megfelelő munkakörülményeket biztosítsanak (vita a munkacsoportban).</w:t>
      </w:r>
    </w:p>
    <w:p>
      <w:pPr>
        <w:pStyle w:val="Puce3"/>
        <w:tabs>
          <w:tab w:val="clear" w:pos="720"/>
        </w:tabs>
        <w:rPr/>
      </w:pPr>
      <w:r>
        <w:rPr/>
        <w:t>4.</w:t>
        <w:tab/>
        <w:t>Tegyen kezdeményezéseket a távmunka támogatására, például gyors és megbízható internet-hozzáféréssel rendelkező irodahelyiségek létrehozásával, digitális képzés szervezésével és az otthoni munkavégzéshez szükséges ergonomikus berendezésekhez szükséges erőforrások biztosításával (CEP 1 17. ajánlás és a munkacsoportban folytatott vita).</w:t>
      </w:r>
    </w:p>
    <w:p>
      <w:pPr>
        <w:pStyle w:val="Puce3"/>
        <w:tabs>
          <w:tab w:val="clear" w:pos="720"/>
        </w:tabs>
        <w:rPr/>
      </w:pPr>
      <w:r>
        <w:rPr/>
        <w:t>5.</w:t>
        <w:tab/>
        <w:t>Nyilvánosan elérhető digitális eredménytábla létrehozása, amely rangsorolási rendszert hoz létre, amely az uniós vállalatok digitalizálásának jelenlegi szintjét mutatja és hasonlítja össze (német nemzeti kapcsolattartó pont).</w:t>
      </w:r>
    </w:p>
    <w:p>
      <w:pPr>
        <w:pStyle w:val="Puce3"/>
        <w:tabs>
          <w:tab w:val="clear" w:pos="720"/>
        </w:tabs>
        <w:rPr/>
      </w:pPr>
      <w:r>
        <w:rPr/>
        <w:t>6.</w:t>
        <w:tab/>
        <w:t>Erős és versenyképes digitális gazdaság kiépítése és a digitális átalakulás előnyeinek méltányos megosztása Európa-szerte a technológia és az innováció mint a növekedés motorjaira összpontosítva, a transzformatív élvonalbeli kutatás ösztönzésével, valamint a kkv-k és az induló innovatív vállalkozások működési környezetének javításával és a finanszírozáshoz való méltányos hozzáférés javításával, valamint a határokon átnyúló tevékenységeket akadályozó jogi vagy egyéb terhek megszüntetésével valamennyi régióban teret biztosít az innovációs ökoszisztémák számára (a nemzeti kapcsolattartó pontokról szóló olasz nemzeti kapcsolattartó pontok 1.3. ajánlása, a munkacsoport vitája és többnyelvű digitális platform). Az európai értékeken alapuló adatinfrastruktúra kiépítése; alkalmazza a „digitális prioritás” és az „egységes információtovábbítás” elvét, és segítse elő az adatokhoz való digitális és biztonságos hozzáférést az innováció és a vállalkozások számára; a közszolgáltatások digitalizálásának ösztönzése (vita a munkacsoportban és a többnyelvű digitális platformon). Használja ki teljes mértékben a mesterséges intelligencia megbízható és felelősségteljes használatában rejlő lehetőségeket, és használja ki a blokklánc- és felhőalapú szolgáltatások technológiájában rejlő lehetőségeket azáltal, hogy olyan biztosítékokat és szabványokat határoz meg, amelyek biztosítják az átláthatóságot és az interoperabilitást, bizalmat teremtenek, megkönnyítik a diszkriminatív vagy elfogult algoritmusok használatát és kiküszöbölik azokat (vita a munkacsoportban és a többnyelvű digitális platformon).</w:t>
      </w:r>
    </w:p>
    <w:p>
      <w:pPr>
        <w:pStyle w:val="Puce3"/>
        <w:tabs>
          <w:tab w:val="clear" w:pos="720"/>
        </w:tabs>
        <w:rPr/>
      </w:pPr>
      <w:r>
        <w:rPr/>
        <w:t>9.</w:t>
        <w:tab/>
        <w:t>A szabad szoftverek előmozdítása, az oktatásban és képzésben való felhasználása, valamint a közfinanszírozású kutatáshoz és szoftverekhez való szabad hozzáférés (vita a munkacsoportban és a többnyelvű digitális platformon).</w:t>
      </w:r>
    </w:p>
    <w:p>
      <w:pPr>
        <w:pStyle w:val="Puce3"/>
        <w:tabs>
          <w:tab w:val="clear" w:pos="720"/>
        </w:tabs>
        <w:rPr/>
      </w:pPr>
      <w:r>
        <w:rPr/>
        <w:t>10.</w:t>
        <w:tab/>
        <w:t>Közös európai digitális identitás bevezetése a határokon átnyúló digitális tranzakciók és szolgáltatások megkönnyítése érdekében, olyan európai szabványok és vezérelvek keretében, amelyek biztosítják a szükséges biztosítékokat (vita a munkacsoportban és a többnyelvű digitális platformon).</w:t>
      </w:r>
    </w:p>
    <w:p>
      <w:pPr>
        <w:pStyle w:val="Puce3"/>
        <w:tabs>
          <w:tab w:val="clear" w:pos="720"/>
        </w:tabs>
        <w:rPr/>
      </w:pPr>
      <w:r>
        <w:rPr/>
        <w:t>11.</w:t>
        <w:tab/>
        <w:t>Annak értékelése, hogy lehetséges-e a fogyasztókra és az élelmiszerekre vonatkozó információk digitalizálása egy egységes európai alkalmazás révén, amely felhasználóbarátabb hozzáférést biztosítana az információkhoz, és további termék- és termelési láncra vonatkozó információkat biztosítana (16. számú CEP-ajánlás).</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Normal"/>
        <w:rPr/>
      </w:pPr>
      <w:r>
        <w:rPr/>
      </w:r>
      <w:r>
        <w:br w:type="page"/>
      </w:r>
    </w:p>
    <w:p>
      <w:pPr>
        <w:pStyle w:val="Normal"/>
        <w:rPr/>
      </w:pPr>
      <w:r>
        <w:rPr/>
        <w:drawing>
          <wp:anchor behindDoc="0" distT="0" distB="0" distL="0" distR="0" simplePos="0" locked="0" layoutInCell="1" allowOverlap="1" relativeHeight="4">
            <wp:simplePos x="0" y="0"/>
            <wp:positionH relativeFrom="column">
              <wp:posOffset>14605</wp:posOffset>
            </wp:positionH>
            <wp:positionV relativeFrom="paragraph">
              <wp:posOffset>26035</wp:posOffset>
            </wp:positionV>
            <wp:extent cx="913765" cy="913765"/>
            <wp:effectExtent l="0" t="0" r="0" b="0"/>
            <wp:wrapSquare wrapText="largest"/>
            <wp:docPr id="67" name="27 kép"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27 kép" descr=""/>
                    <pic:cNvPicPr>
                      <a:picLocks noChangeAspect="1" noChangeArrowheads="1"/>
                    </pic:cNvPicPr>
                  </pic:nvPicPr>
                  <pic:blipFill>
                    <a:blip r:embed="rId79"/>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86" w:name="__RefHeading___Toc298346_1346298689"/>
      <w:bookmarkEnd w:id="86"/>
      <w:r>
        <w:rPr/>
        <w:t>„</w:t>
      </w:r>
      <w:r>
        <w:rPr/>
        <w:t>Európai demokrácia”</w:t>
      </w:r>
    </w:p>
    <w:p>
      <w:pPr>
        <w:pStyle w:val="Titre3"/>
        <w:numPr>
          <w:ilvl w:val="2"/>
          <w:numId w:val="2"/>
        </w:numPr>
        <w:rPr/>
      </w:pPr>
      <w:bookmarkStart w:id="87" w:name="__RefHeading___Toc298348_1346298689"/>
      <w:bookmarkEnd w:id="87"/>
      <w:r>
        <w:rPr/>
        <w:t>36. Javaslat: Tájékoztatás a polgárok, a részvétel és a fiatalok számára</w:t>
      </w:r>
    </w:p>
    <w:p>
      <w:pPr>
        <w:pStyle w:val="P68B1DB1Normal15"/>
        <w:rPr>
          <w:b/>
          <w:b/>
        </w:rPr>
      </w:pPr>
      <w:r>
        <w:rPr/>
        <w:t>A cél: A fiatalok uniós szintű részvételének és a demokráciában való részvételének fokozása annak érdekében, hogy az európaiak számára „teljes körű polgári tapasztalatot” teremtsenek; annak biztosítása, hogy véleményüket figyelembe vegyék, a választási időszakokon kívül is, és hogy részvételük valós legyen. Ezért meg kell határozni, hogy az egyes témákhoz melyik részvételi forma a legmegfelelőbb, például:</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Puce3"/>
        <w:tabs>
          <w:tab w:val="clear" w:pos="720"/>
        </w:tabs>
        <w:rPr/>
      </w:pPr>
      <w:r>
        <w:rPr/>
        <w:t>1.</w:t>
        <w:tab/>
        <w:t>Az európai vívmányokkal összhangban új mechanizmusokat kell kidolgozni a polgárok részvételére és a meglévők hatékonyabbá tételére, ugyanakkor javítani kell az e mechanizmusokra vonatkozó kommunikációt. Ideális esetben a részvételi terekre vonatkozó összes információt</w:t>
      </w:r>
      <w:r>
        <w:rPr>
          <w:rStyle w:val="Ancredenotedefin"/>
          <w:rStyle w:val="Ancredenotedefin"/>
        </w:rPr>
        <w:endnoteReference w:id="93"/>
      </w:r>
      <w:r>
        <w:rPr/>
        <w:t xml:space="preserve"> egy teljes, különböző funkciókkal rendelkező hivatalos weboldalon kell összefoglalni</w:t>
      </w:r>
      <w:r>
        <w:rPr>
          <w:rStyle w:val="Ancredenotedefin"/>
          <w:rStyle w:val="Ancredenotedefin"/>
        </w:rPr>
        <w:endnoteReference w:id="94"/>
      </w:r>
      <w:r>
        <w:rPr/>
        <w:t>. Ki kell dolgozni a részvételi demokrácia folyamataiból eredő politikai és jogalkotási kezdeményezések nyomon követésére szolgáló mechanizmust</w:t>
      </w:r>
      <w:r>
        <w:rPr>
          <w:rStyle w:val="Ancredenotedefin"/>
          <w:rStyle w:val="Ancredenotedefin"/>
        </w:rPr>
        <w:endnoteReference w:id="95"/>
      </w:r>
      <w:r>
        <w:rPr/>
        <w:t>. A részvételi mechanizmusoknak valamennyien az egész lakosságra kell irányulniuk annak érdekében, hogy a különböző közönségeket elérjék. Figyelmet kell fordítani a moderátorok tartalmára, témáira és készségeire. E mechanizmusoknak a szóban forgó intézkedések – különösen a nőkre és a kiszolgáltatott személyekre gyakorolt – hatásainak elemzésén kell alapulniuk</w:t>
      </w:r>
      <w:r>
        <w:rPr>
          <w:rStyle w:val="Ancredenotedefin"/>
          <w:rStyle w:val="Ancredenotedefin"/>
        </w:rPr>
        <w:endnoteReference w:id="96"/>
      </w:r>
      <w:r>
        <w:rPr/>
        <w:t>.</w:t>
      </w:r>
    </w:p>
    <w:p>
      <w:pPr>
        <w:pStyle w:val="Puce3"/>
        <w:tabs>
          <w:tab w:val="clear" w:pos="720"/>
        </w:tabs>
        <w:rPr/>
      </w:pPr>
      <w:r>
        <w:rPr/>
        <w:t>2.</w:t>
        <w:tab/>
        <w:t>Az uniós intézmények és a polgárok közötti online és offline interakciók gyakoriságának növelése különböző eszközökkel, annak biztosítása érdekében, hogy részt vehessenek az európai politikai döntéshozatali folyamatban, kifejthessék véleményüket és visszajelzést kapjanak, és kidolgozzák az európai tisztviselők polgári részvételéről szóló chartát</w:t>
      </w:r>
      <w:r>
        <w:rPr>
          <w:rStyle w:val="Ancredenotedefin"/>
          <w:rStyle w:val="Ancredenotedefin"/>
        </w:rPr>
        <w:endnoteReference w:id="97"/>
      </w:r>
      <w:r>
        <w:rPr/>
        <w:t>.</w:t>
      </w:r>
    </w:p>
    <w:p>
      <w:pPr>
        <w:pStyle w:val="Puce3"/>
        <w:tabs>
          <w:tab w:val="clear" w:pos="720"/>
        </w:tabs>
        <w:rPr/>
      </w:pPr>
      <w:r>
        <w:rPr/>
        <w:t>3.</w:t>
        <w:tab/>
        <w:t>Felhasználóbarát digitális platformot javasol, ahol a polgárok – és különösen a fiatalok – megoszthatják ötleteiket, kérdéseket tehetnek fel az európai intézmények képviselőinek, és kifejthetik véleményüket a fontos európai kérdésekről, valamint jogalkotási javaslatokról. Rendelkezni kell az online felmérések e platformon történő szervezésének lehetőségéről is</w:t>
      </w:r>
      <w:r>
        <w:rPr>
          <w:rStyle w:val="Ancredenotedefin"/>
          <w:rStyle w:val="Ancredenotedefin"/>
        </w:rPr>
        <w:endnoteReference w:id="98"/>
      </w:r>
      <w:r>
        <w:rPr/>
        <w:t>.</w:t>
      </w:r>
    </w:p>
    <w:p>
      <w:pPr>
        <w:pStyle w:val="Puce3"/>
        <w:tabs>
          <w:tab w:val="clear" w:pos="720"/>
        </w:tabs>
        <w:rPr/>
      </w:pPr>
      <w:r>
        <w:rPr/>
        <w:t>4.</w:t>
        <w:tab/>
        <w:t>A meglévő mechanizmusok javítása és harmonizálása európai, nemzeti és helyi szinten annak érdekében, hogy biztonságosabbá, hozzáférhetőbbé, láthatóbbá és inkluzívabbá tegyék őket</w:t>
      </w:r>
      <w:r>
        <w:rPr>
          <w:rStyle w:val="Ancredenotedefin"/>
          <w:rStyle w:val="Ancredenotedefin"/>
        </w:rPr>
        <w:endnoteReference w:id="99"/>
      </w:r>
      <w:r>
        <w:rPr/>
        <w:t>.</w:t>
      </w:r>
    </w:p>
    <w:p>
      <w:pPr>
        <w:pStyle w:val="Puce3"/>
        <w:tabs>
          <w:tab w:val="clear" w:pos="720"/>
        </w:tabs>
        <w:rPr/>
      </w:pPr>
      <w:r>
        <w:rPr/>
        <w:t>5.</w:t>
        <w:tab/>
        <w:t>Civil társadalmi szervezetek, regionális és helyi hatóságok és meglévő szervek, például az Európai Gazdasági és Szociális Bizottság (EGSZB) és a Régiók Bizottsága (RB</w:t>
      </w:r>
      <w:r>
        <w:rPr>
          <w:rStyle w:val="Ancredenotedefin"/>
          <w:rStyle w:val="Ancredenotedefin"/>
        </w:rPr>
        <w:endnoteReference w:id="100"/>
      </w:r>
      <w:r>
        <w:rPr/>
        <w:t>) bevonása a polgári részvételi folyamatokba</w:t>
      </w:r>
      <w:r>
        <w:rPr>
          <w:rStyle w:val="Ancredenotedefin"/>
          <w:rStyle w:val="Ancredenotedefin"/>
        </w:rPr>
        <w:endnoteReference w:id="101"/>
      </w:r>
      <w:r>
        <w:rPr/>
        <w:t>.</w:t>
      </w:r>
    </w:p>
    <w:p>
      <w:pPr>
        <w:pStyle w:val="Puce3"/>
        <w:tabs>
          <w:tab w:val="clear" w:pos="720"/>
        </w:tabs>
        <w:rPr/>
      </w:pPr>
      <w:r>
        <w:rPr/>
        <w:t>6.</w:t>
        <w:tab/>
        <w:t>Helyi uniós tanácsadók rendszerének létrehozásával, hogy az európai intézmények közelebb kerüljenek az európai polgárokhoz</w:t>
      </w:r>
      <w:r>
        <w:rPr>
          <w:rStyle w:val="Ancredenotedefin"/>
          <w:rStyle w:val="Ancredenotedefin"/>
        </w:rPr>
        <w:endnoteReference w:id="102"/>
      </w:r>
      <w:r>
        <w:rPr/>
        <w:t>.</w:t>
      </w:r>
    </w:p>
    <w:p>
      <w:pPr>
        <w:pStyle w:val="Puce3"/>
        <w:tabs>
          <w:tab w:val="clear" w:pos="720"/>
        </w:tabs>
        <w:rPr/>
      </w:pPr>
      <w:r>
        <w:rPr/>
        <w:t>7.</w:t>
        <w:tab/>
        <w:t>A polgári közgyűlések rendszeres összefogása az uniós jog jogilag kötelező erejű alapján. A résztvevőket a reprezentativitási kritériumok szerint sorshúzással választják ki, és a részvételt határozottan ösztönzik. Szükség esetén a szakértők tájékoztatják a közgyűlés tagjait a tanácskozásaikhoz kapcsolódó információkkal. Amennyiben az intézmények nem veszik figyelembe ezen ülések következtetéseit, döntésüket meg kell indokolniuk</w:t>
      </w:r>
      <w:r>
        <w:rPr>
          <w:rStyle w:val="Ancredenotedefin"/>
          <w:rStyle w:val="Ancredenotedefin"/>
        </w:rPr>
        <w:endnoteReference w:id="103"/>
      </w:r>
      <w:r>
        <w:rPr/>
        <w:t>. Fontos, hogy a választott képviselők a politikai döntések meghozatala előtt konzultáljanak a polgárokkal és a civil társadalommal, és figyelembe vegyék hozzájárulásaikat. Az Európai Unió a képviseleti demokrácián alapul: az európai választásokon a polgárok egyértelmű üzenetet küldenek képviselőiknek, és közvetetten beszélnek az uniós politikákról</w:t>
      </w:r>
      <w:r>
        <w:rPr>
          <w:rStyle w:val="Ancredenotedefin"/>
          <w:rStyle w:val="Ancredenotedefin"/>
        </w:rPr>
        <w:endnoteReference w:id="104"/>
      </w:r>
      <w:r>
        <w:rPr/>
        <w:t>.</w:t>
      </w:r>
    </w:p>
    <w:p>
      <w:pPr>
        <w:pStyle w:val="Puce3"/>
        <w:tabs>
          <w:tab w:val="clear" w:pos="720"/>
        </w:tabs>
        <w:rPr/>
      </w:pPr>
      <w:r>
        <w:rPr/>
        <w:t>8.</w:t>
        <w:tab/>
        <w:t>Fokozott pénzügyi vagy egyéb strukturális támogatás nyújtása a civil társadalomnak, különösen a fiataloknak, valamint a helyi hatóságoknak a helyi ifjúsági tanácsok létrehozásához</w:t>
      </w:r>
      <w:r>
        <w:rPr>
          <w:rStyle w:val="Ancredenotedefin"/>
          <w:rStyle w:val="Ancredenotedefin"/>
        </w:rPr>
        <w:endnoteReference w:id="105"/>
      </w:r>
      <w:r>
        <w:rPr/>
        <w:t>; a civil társadalom és a szociális partnerek bevonása az európai demokráciára vonatkozó cselekvési terv teljes pillére lehetne, és külön stratégiát lehetne szentelni a civil társadalomnak</w:t>
      </w:r>
      <w:r>
        <w:rPr>
          <w:rStyle w:val="Ancredenotedefin"/>
          <w:rStyle w:val="Ancredenotedefin"/>
        </w:rPr>
        <w:endnoteReference w:id="106"/>
      </w:r>
      <w:r>
        <w:rPr/>
        <w:t>.</w:t>
      </w:r>
    </w:p>
    <w:p>
      <w:pPr>
        <w:pStyle w:val="Puce3"/>
        <w:tabs>
          <w:tab w:val="clear" w:pos="720"/>
        </w:tabs>
        <w:rPr/>
      </w:pPr>
      <w:r>
        <w:rPr/>
        <w:t>9.</w:t>
        <w:tab/>
        <w:t>A jogszabályok „ifjúsági ellenőrzésének” bevezetése, amely magában foglalna egy hatásvizsgálatot és egy, az ifjúsági képviselőkkel folytatott konzultációs mechanizmust, ahol a jogszabályok valószínűleg hatással lesznek a fiatalokra</w:t>
      </w:r>
      <w:r>
        <w:rPr>
          <w:rStyle w:val="Ancredenotedefin"/>
          <w:rStyle w:val="Ancredenotedefin"/>
        </w:rPr>
        <w:endnoteReference w:id="107"/>
      </w:r>
      <w:r>
        <w:rPr/>
        <w:t>.</w:t>
      </w:r>
    </w:p>
    <w:p>
      <w:pPr>
        <w:pStyle w:val="Puce3"/>
        <w:tabs>
          <w:tab w:val="clear" w:pos="720"/>
        </w:tabs>
        <w:rPr/>
      </w:pPr>
      <w:r>
        <w:br w:type="column"/>
      </w:r>
      <w:r>
        <w:rPr/>
      </w:r>
    </w:p>
    <w:p>
      <w:pPr>
        <w:pStyle w:val="Puce3"/>
        <w:tabs>
          <w:tab w:val="clear" w:pos="720"/>
        </w:tabs>
        <w:rPr/>
      </w:pPr>
      <w:r>
        <w:rPr/>
        <w:t>10.</w:t>
        <w:tab/>
        <w:t>Az uniós jogalkotók és a civil társadalmi szervezetek közötti együttműködés megerősítése révén, annak érdekében, hogy kihasználják a döntéshozók és a polgárok közötti kapcsolatokat</w:t>
      </w:r>
      <w:r>
        <w:rPr>
          <w:rStyle w:val="Ancredenotedefin"/>
          <w:rStyle w:val="Ancredenotedefin"/>
        </w:rPr>
        <w:endnoteReference w:id="108"/>
      </w:r>
      <w:r>
        <w:rPr/>
        <w:t>.</w:t>
      </w:r>
    </w:p>
    <w:p>
      <w:pPr>
        <w:pStyle w:val="Puce3"/>
        <w:tabs>
          <w:tab w:val="clear" w:pos="720"/>
        </w:tabs>
        <w:rPr/>
      </w:pPr>
      <w:r>
        <w:rPr/>
        <w:t>11.</w:t>
        <w:tab/>
        <w:t>A polgárok európai ügyekhez való hozzájárulásának európai chartájában való részvételére vonatkozó pontok összefoglalása.</w:t>
      </w:r>
    </w:p>
    <w:p>
      <w:pPr>
        <w:pStyle w:val="Normal"/>
        <w:rPr/>
      </w:pPr>
      <w:r>
        <w:rPr/>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88" w:name="__RefHeading___Toc298350_1346298689"/>
      <w:bookmarkEnd w:id="88"/>
      <w:r>
        <w:rPr/>
        <w:t>37. Javaslat: A polgárok, a részvétel és a fiatalok tájékoztatása a)</w:t>
      </w:r>
    </w:p>
    <w:p>
      <w:pPr>
        <w:pStyle w:val="P68B1DB1Normal15"/>
        <w:rPr>
          <w:b/>
          <w:b/>
        </w:rPr>
      </w:pPr>
      <w:r>
        <w:rPr/>
        <w:t>A cél: Az Európai Unió érthetőbbé és hozzáférhetőbbé tétele; a közös európai identitás megerősítése, különösen:</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Puce3"/>
        <w:tabs>
          <w:tab w:val="clear" w:pos="720"/>
        </w:tabs>
        <w:rPr/>
      </w:pPr>
      <w:r>
        <w:rPr/>
        <w:t>1.</w:t>
        <w:tab/>
      </w:r>
      <w:r>
        <w:rPr>
          <w:rStyle w:val="Ancredenotedefin"/>
          <w:rStyle w:val="Ancredenotedefin"/>
          <w:b/>
        </w:rPr>
        <w:endnoteReference w:id="109"/>
      </w:r>
      <w:r>
        <w:rPr/>
        <w:t>Minimális szintű oktatás biztosítása az Európai Unióban, különösen demokratikus folyamataiban, az európai integráció és az európai polgárság történetének figyelmen kívül hagyása nélkül. Minden korosztály számára lehetővé kell tenni, hogy élvezhessék ezeket a programokat, amelyeket vonzó és az életkornak megfelelő módon kell kialakítani, például a gyermekek, az iskolák és a nem formális oktatásban tevékenykedő civil társadalmi szervezetek számára kidolgozott egyedi oktatási programok</w:t>
      </w:r>
      <w:r>
        <w:rPr>
          <w:rStyle w:val="Ancredenotedefin"/>
          <w:rStyle w:val="Ancredenotedefin"/>
        </w:rPr>
        <w:endnoteReference w:id="110"/>
      </w:r>
      <w:r>
        <w:rPr/>
        <w:t xml:space="preserve"> és anyagok kidolgozása</w:t>
      </w:r>
      <w:r>
        <w:rPr>
          <w:rStyle w:val="Ancredenotedefin"/>
          <w:rStyle w:val="Ancredenotedefin"/>
        </w:rPr>
        <w:endnoteReference w:id="111"/>
      </w:r>
      <w:r>
        <w:rPr/>
        <w:t>.</w:t>
      </w:r>
    </w:p>
    <w:p>
      <w:pPr>
        <w:pStyle w:val="Puce3"/>
        <w:tabs>
          <w:tab w:val="clear" w:pos="720"/>
        </w:tabs>
        <w:rPr/>
      </w:pPr>
      <w:r>
        <w:rPr/>
        <w:t>2.</w:t>
        <w:tab/>
        <w:t>Inkluzív módon annak biztosítása, hogy minden polgár könnyen hozzáférjen az Unióval kapcsolatos megbízható információkhoz. Az európai intézményeknek hozzáférhetőbb nyelvet kell használniuk, és el</w:t>
      </w:r>
      <w:r>
        <w:rPr>
          <w:rStyle w:val="Ancredenotedefin"/>
          <w:rStyle w:val="Ancredenotedefin"/>
        </w:rPr>
        <w:endnoteReference w:id="112"/>
      </w:r>
      <w:r>
        <w:rPr/>
        <w:t xml:space="preserve"> kell kerülniük a bürokratikus zsargon használatát kommunikációjuk során, miközben megőrzik a nyújtott információk minőségét és technikai színvonalát, és az információkat hozzáigazítják a különböző kommunikációs csatornákhoz és címzetti profilokhoz</w:t>
      </w:r>
      <w:r>
        <w:rPr>
          <w:rStyle w:val="Ancredenotedefin"/>
          <w:rStyle w:val="Ancredenotedefin"/>
        </w:rPr>
        <w:endnoteReference w:id="113"/>
      </w:r>
      <w:r>
        <w:rPr/>
        <w:t>. Különös erőfeszítéseket kell tenni annak érdekében, hogy a fiatalok a közösségi hálózatokon keresztül, de az</w:t>
      </w:r>
      <w:r>
        <w:rPr>
          <w:rStyle w:val="Ancredenotedefin"/>
          <w:rStyle w:val="Ancredenotedefin"/>
        </w:rPr>
        <w:endnoteReference w:id="114"/>
      </w:r>
      <w:r>
        <w:rPr/>
        <w:t xml:space="preserve"> európai projektet magyarázó ifjúsági mozgalmak és különböző „nagykövetek” (szervezetek és egyének) révén is elérhetők legyenek</w:t>
      </w:r>
      <w:r>
        <w:rPr>
          <w:rStyle w:val="Ancredenotedefin"/>
          <w:rStyle w:val="Ancredenotedefin"/>
        </w:rPr>
        <w:endnoteReference w:id="115"/>
      </w:r>
      <w:r>
        <w:rPr/>
        <w:t>.</w:t>
      </w:r>
    </w:p>
    <w:p>
      <w:pPr>
        <w:pStyle w:val="Puce3"/>
        <w:tabs>
          <w:tab w:val="clear" w:pos="720"/>
        </w:tabs>
        <w:rPr/>
      </w:pPr>
      <w:r>
        <w:rPr/>
        <w:t>3.</w:t>
        <w:tab/>
        <w:t>A mesterséges intelligencia és a gépi fordítási technológiák nagyobb mértékű használata a</w:t>
      </w:r>
      <w:r>
        <w:rPr>
          <w:rStyle w:val="Ancredenotedefin"/>
          <w:rStyle w:val="Ancredenotedefin"/>
        </w:rPr>
        <w:endnoteReference w:id="116"/>
      </w:r>
      <w:r>
        <w:rPr/>
        <w:t xml:space="preserve"> nyelvi akadályok leküzdése érdekében</w:t>
      </w:r>
      <w:r>
        <w:rPr>
          <w:rStyle w:val="Ancredenotedefin"/>
          <w:rStyle w:val="Ancredenotedefin"/>
        </w:rPr>
        <w:endnoteReference w:id="117"/>
      </w:r>
      <w:r>
        <w:rPr/>
        <w:t>, biztosítva, hogy valamennyi digitális eszköz hozzáférhető legyen a fogyatékossággal élő személyek számára</w:t>
      </w:r>
      <w:r>
        <w:rPr>
          <w:rStyle w:val="Ancredenotedefin"/>
          <w:rStyle w:val="Ancredenotedefin"/>
        </w:rPr>
        <w:endnoteReference w:id="118"/>
      </w:r>
      <w:r>
        <w:rPr/>
        <w:t xml:space="preserve"> és könnyen használható legyen.</w:t>
      </w:r>
    </w:p>
    <w:p>
      <w:pPr>
        <w:pStyle w:val="Puce3"/>
        <w:tabs>
          <w:tab w:val="clear" w:pos="720"/>
        </w:tabs>
        <w:rPr/>
      </w:pPr>
      <w:r>
        <w:rPr/>
        <w:t>4.</w:t>
        <w:tab/>
        <w:t>A média szabadságának, pluralizmusának és függetlenségének védelme és támogatása, valamint a médiának – beleértve a közszolgálati műsorszolgáltatókat, a közszolgálati hírügynökségeket és az európai médiát is – arra való ösztönzése, hogy az európai ügyekről – szabadságuk és függetlenségük tiszteletben tartása mellett – rendszeresen foglalkozzanak, hogy az ilyen közvetítés az Unió valamennyi tagállamában rendszeres és átfogó legyen,</w:t>
      </w:r>
      <w:r>
        <w:rPr>
          <w:rStyle w:val="Ancredenotedefin"/>
          <w:rStyle w:val="Ancredenotedefin"/>
        </w:rPr>
        <w:endnoteReference w:id="119"/>
      </w:r>
      <w:r>
        <w:rPr/>
        <w:t>fokozva a félretájékoztatás és a külföldi beavatkozás elleni küzdelemre irányuló erőfeszítéseket, valamint az újságírók védelmét</w:t>
      </w:r>
      <w:r>
        <w:rPr>
          <w:rStyle w:val="Ancredenotedefin"/>
          <w:rStyle w:val="Ancredenotedefin"/>
        </w:rPr>
        <w:endnoteReference w:id="120"/>
      </w:r>
      <w:r>
        <w:rPr/>
        <w:t>.</w:t>
      </w:r>
    </w:p>
    <w:p>
      <w:pPr>
        <w:pStyle w:val="Puce3"/>
        <w:tabs>
          <w:tab w:val="clear" w:pos="720"/>
        </w:tabs>
        <w:rPr/>
      </w:pPr>
      <w:r>
        <w:rPr/>
      </w:r>
    </w:p>
    <w:p>
      <w:pPr>
        <w:pStyle w:val="Puce3"/>
        <w:tabs>
          <w:tab w:val="clear" w:pos="720"/>
        </w:tabs>
        <w:rPr/>
      </w:pPr>
      <w:r>
        <w:rPr/>
        <w:t>5.</w:t>
        <w:tab/>
        <w:t>Azáltal, hogy Európa közelebb kerül a polgárokhoz azáltal, hogy helyi szinten megerősíti a kapcsolattartó</w:t>
      </w:r>
      <w:r>
        <w:rPr>
          <w:rStyle w:val="Ancredenotedefin"/>
          <w:rStyle w:val="Ancredenotedefin"/>
        </w:rPr>
        <w:endnoteReference w:id="121"/>
      </w:r>
      <w:r>
        <w:rPr/>
        <w:t xml:space="preserve"> pontokat és a szakosodott központokat („Európa Házak”), amelyek forrásokat, tájékoztatást és tanácsadást nyújtanak a polgároknak az európai kérdésekben, meghallgatják aggályaikat és megvitatják az egyesületekkel annak érdekében, hogy a polgárok véleményét európai szintre emeljék</w:t>
      </w:r>
      <w:r>
        <w:rPr>
          <w:rStyle w:val="Ancredenotedefin"/>
          <w:rStyle w:val="Ancredenotedefin"/>
        </w:rPr>
        <w:endnoteReference w:id="122"/>
      </w:r>
      <w:r>
        <w:rPr/>
        <w:t>.</w:t>
      </w:r>
    </w:p>
    <w:p>
      <w:pPr>
        <w:pStyle w:val="Puce3"/>
        <w:tabs>
          <w:tab w:val="clear" w:pos="720"/>
        </w:tabs>
        <w:rPr/>
      </w:pPr>
      <w:r>
        <w:rPr/>
        <w:t>6.</w:t>
        <w:tab/>
        <w:t>Új intézkedések meghozatala az európaiak közös identitásának megerősítése érdekében, például egy olyan uniós alap révén, amely az uniós polgárok között változó időtartamú online és offline interakciókat (például csereprogramokat, paneleket vagy találkozókat) ösztönözne, európai sporteseményeket szervezne, közös csapatokat hozna létre, vagy május 9-ét (Európa-nap) minden európai polgár</w:t>
      </w:r>
      <w:r>
        <w:rPr>
          <w:rStyle w:val="Ancredenotedefin"/>
          <w:rStyle w:val="Ancredenotedefin"/>
        </w:rPr>
        <w:endnoteReference w:id="123"/>
      </w:r>
      <w:r>
        <w:rPr/>
        <w:t xml:space="preserve"> számára kiegészítő ünneppé tenné</w:t>
      </w:r>
      <w:r>
        <w:rPr>
          <w:rStyle w:val="Ancredenotedefin"/>
          <w:rStyle w:val="Ancredenotedefin"/>
        </w:rPr>
        <w:endnoteReference w:id="124"/>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89" w:name="__RefHeading___Toc298352_1346298689"/>
      <w:bookmarkEnd w:id="89"/>
      <w:r>
        <w:rPr/>
        <w:t>38. Javaslat: Demokrácia és választások</w:t>
      </w:r>
    </w:p>
    <w:p>
      <w:pPr>
        <w:pStyle w:val="Normal"/>
        <w:rPr/>
      </w:pPr>
      <w:r>
        <w:rPr/>
        <w:t>A cél: Az európai demokrácia megerősítése alapítványainak megerősítésével, a polgároknak az európai választásokon való részvételre való ösztönzésével, az európai kérdésekről folytatott transznacionális viták előmozdításával, valamint a polgárok és választott képviselőik közötti szoros kapcsolat biztosításával, különösen az alábbiakkal:</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Puce3"/>
        <w:tabs>
          <w:tab w:val="clear" w:pos="720"/>
        </w:tabs>
        <w:rPr/>
      </w:pPr>
      <w:r>
        <w:rPr/>
        <w:t>1.</w:t>
        <w:tab/>
        <w:t>A Szerződésekben rögzített európai értékek védelmének biztosítása, beleértve a jogállamiságot és az európai demokrácia középpontját</w:t>
      </w:r>
      <w:r>
        <w:rPr>
          <w:rStyle w:val="Ancredenotedefin"/>
          <w:rStyle w:val="Ancredenotedefin"/>
        </w:rPr>
        <w:endnoteReference w:id="125"/>
      </w:r>
      <w:r>
        <w:rPr/>
        <w:t>képező szilárd szociális modellt. A világ többi részével fenntartott kapcsolataiban az Uniónak prioritásként kell kezelnie a határ menti országok közös demokratikus értékeit. Csak e cél elérése után válhat diplomáciai és párbeszéd útján demokratikus modellünk nagykövetévé azokban az országokban, amelyek rendelkeznek erre képességgel és akarattal</w:t>
      </w:r>
      <w:r>
        <w:rPr>
          <w:rStyle w:val="Ancredenotedefin"/>
          <w:rStyle w:val="Ancredenotedefin"/>
        </w:rPr>
        <w:endnoteReference w:id="126"/>
      </w:r>
      <w:r>
        <w:rPr/>
        <w:t>.</w:t>
      </w:r>
    </w:p>
    <w:p>
      <w:pPr>
        <w:pStyle w:val="Puce3"/>
        <w:tabs>
          <w:tab w:val="clear" w:pos="720"/>
        </w:tabs>
        <w:rPr/>
      </w:pPr>
      <w:r>
        <w:rPr/>
        <w:t>2.</w:t>
        <w:tab/>
        <w:t>Azzal, hogy az Európai Parlament kezdeményezésére kivételes jelleggel bevezetik annak lehetőségét, hogy az egész Unióban népszavazást tartsanak, ha egy téma minden európai polgár számára különösen fontosnak bizonyul</w:t>
      </w:r>
      <w:r>
        <w:rPr>
          <w:rStyle w:val="Ancredenotedefin"/>
          <w:rStyle w:val="Ancredenotedefin"/>
        </w:rPr>
        <w:endnoteReference w:id="127"/>
      </w:r>
      <w:r>
        <w:rPr/>
        <w:t>.</w:t>
      </w:r>
    </w:p>
    <w:p>
      <w:pPr>
        <w:pStyle w:val="Puce3"/>
        <w:tabs>
          <w:tab w:val="clear" w:pos="720"/>
        </w:tabs>
        <w:rPr/>
      </w:pPr>
      <w:r>
        <w:rPr/>
        <w:t>3.</w:t>
        <w:tab/>
        <w:t>Az uniós választási jog módosítása az európai választásokra vonatkozó szabályok harmonizálása érdekében (pl. nagykorúság, a választás időpontja, a választási körzetekre, jelöltekre, politikai pártokra és finanszírozásukra vonatkozó követelmények), valamint a páneurópai vagy transznacionális listák felé történő elmozdulás,</w:t>
      </w:r>
      <w:r>
        <w:rPr>
          <w:rStyle w:val="Ancredenotedebasdepage"/>
          <w:rStyle w:val="Ancredenotedebasdepage"/>
        </w:rPr>
        <w:footnoteReference w:id="11"/>
      </w:r>
      <w:r>
        <w:rPr/>
        <w:t xml:space="preserve"> beleértve a különböző tagállamokból származó jelölteket is, a tagállamok polgárai által ebben a kérdésben kifejtett</w:t>
      </w:r>
      <w:r>
        <w:rPr>
          <w:rStyle w:val="Ancredenotedefin"/>
          <w:rStyle w:val="Ancredenotedefin"/>
        </w:rPr>
        <w:endnoteReference w:id="128"/>
      </w:r>
      <w:r>
        <w:rPr/>
        <w:t xml:space="preserve"> álláspontok figyelembevételét követően</w:t>
      </w:r>
      <w:r>
        <w:rPr>
          <w:rStyle w:val="Ancredenotedefin"/>
          <w:rStyle w:val="Ancredenotedefin"/>
        </w:rPr>
        <w:endnoteReference w:id="129"/>
      </w:r>
      <w:r>
        <w:rPr/>
        <w:t>.</w:t>
      </w:r>
    </w:p>
    <w:p>
      <w:pPr>
        <w:pStyle w:val="Alineanegatifpuce"/>
        <w:numPr>
          <w:ilvl w:val="0"/>
          <w:numId w:val="3"/>
        </w:numPr>
        <w:rPr/>
      </w:pPr>
      <w:r>
        <w:rPr/>
        <w:t xml:space="preserve"> </w:t>
      </w:r>
      <w:r>
        <w:rPr/>
        <w:t>Az Európai Parlament egyes képviselőit páneurópai listákról kellene választani, míg a többit tagállami szinten választanák ki</w:t>
      </w:r>
      <w:r>
        <w:rPr>
          <w:rStyle w:val="Ancredenotedefin"/>
          <w:rStyle w:val="Ancredenotedefin"/>
        </w:rPr>
        <w:endnoteReference w:id="130"/>
      </w:r>
      <w:r>
        <w:rPr/>
        <w:t>.</w:t>
      </w:r>
    </w:p>
    <w:p>
      <w:pPr>
        <w:pStyle w:val="Alineanegatifpuce"/>
        <w:numPr>
          <w:ilvl w:val="0"/>
          <w:numId w:val="3"/>
        </w:numPr>
        <w:rPr/>
      </w:pPr>
      <w:r>
        <w:rPr/>
        <w:t xml:space="preserve"> </w:t>
      </w:r>
      <w:r>
        <w:rPr/>
        <w:t>A reform célja az is, hogy megkönnyítse a digitális szavazást,</w:t>
      </w:r>
      <w:r>
        <w:rPr>
          <w:rStyle w:val="Ancredenotedefin"/>
          <w:rStyle w:val="Ancredenotedefin"/>
        </w:rPr>
        <w:endnoteReference w:id="131"/>
      </w:r>
      <w:r>
        <w:rPr/>
        <w:t xml:space="preserve"> és biztosítsa a fogyatékossággal élő személyek tényleges szavazati jogát</w:t>
      </w:r>
      <w:r>
        <w:rPr>
          <w:rStyle w:val="Ancredenotedefin"/>
          <w:rStyle w:val="Ancredenotedefin"/>
        </w:rPr>
        <w:endnoteReference w:id="132"/>
      </w:r>
      <w:r>
        <w:rPr/>
        <w:t>.</w:t>
      </w:r>
    </w:p>
    <w:p>
      <w:pPr>
        <w:pStyle w:val="Puce3"/>
        <w:tabs>
          <w:tab w:val="clear" w:pos="720"/>
        </w:tabs>
        <w:rPr/>
      </w:pPr>
      <w:r>
        <w:rPr/>
        <w:t>4.</w:t>
        <w:tab/>
        <w:t>A polgárok és választott képviselőik közötti kapcsolatok erősítése, figyelembe véve a nemzeti sajátosságokat: a polgárok azt szeretnék érezni, hogy az európai parlamenti képviselők és a nemzeti parlamenti képviselők közel állnak hozzájuk, és konkrét intézkedésekkel válaszolnak aggodalmaikra</w:t>
      </w:r>
      <w:r>
        <w:rPr>
          <w:rStyle w:val="Ancredenotedefin"/>
          <w:rStyle w:val="Ancredenotedefin"/>
        </w:rPr>
        <w:endnoteReference w:id="133"/>
      </w:r>
      <w:r>
        <w:rPr/>
        <w:t>. Ez egy univerzális probléma, és minden korosztálynak részt kell vennie</w:t>
      </w:r>
      <w:r>
        <w:rPr>
          <w:rStyle w:val="Ancredenotedefin"/>
          <w:rStyle w:val="Ancredenotedefin"/>
        </w:rPr>
        <w:endnoteReference w:id="134"/>
      </w:r>
      <w:r>
        <w:rPr/>
        <w:t>.</w:t>
      </w:r>
    </w:p>
    <w:p>
      <w:pPr>
        <w:pStyle w:val="Alineanegatifpuce"/>
        <w:numPr>
          <w:ilvl w:val="0"/>
          <w:numId w:val="3"/>
        </w:numPr>
        <w:rPr/>
      </w:pPr>
      <w:r>
        <w:rPr/>
        <w:t xml:space="preserve"> </w:t>
      </w:r>
      <w:r>
        <w:rPr/>
        <w:t>Az európai polgároknak nagyobb súlyt kell kapniuk a Bizottság elnökének megválasztásában. Ezt a célt a Bizottság elnökének közvetlen megválasztásával</w:t>
      </w:r>
      <w:r>
        <w:rPr>
          <w:rStyle w:val="Ancredenotedefin"/>
          <w:rStyle w:val="Ancredenotedefin"/>
        </w:rPr>
        <w:endnoteReference w:id="135"/>
      </w:r>
      <w:r>
        <w:rPr/>
        <w:t xml:space="preserve"> vagy a toplistán szereplő jelöltek rendszerével lehetne elérni</w:t>
      </w:r>
      <w:r>
        <w:rPr>
          <w:rStyle w:val="Ancredenotedebasdepage"/>
          <w:rStyle w:val="Ancredenotedebasdepage"/>
        </w:rPr>
        <w:footnoteReference w:id="12"/>
      </w:r>
      <w:r>
        <w:rPr/>
        <w:t>.</w:t>
      </w:r>
    </w:p>
    <w:p>
      <w:pPr>
        <w:pStyle w:val="Alineanegatifpuce"/>
        <w:numPr>
          <w:ilvl w:val="0"/>
          <w:numId w:val="3"/>
        </w:numPr>
        <w:rPr/>
      </w:pPr>
      <w:r>
        <w:rPr/>
        <w:t xml:space="preserve"> </w:t>
      </w:r>
      <w:r>
        <w:rPr/>
        <w:t>Az Európai Parlamentnek jogalkotási kezdeményezési joggal kell rendelkeznie annak érdekében, hogy</w:t>
      </w:r>
      <w:r>
        <w:rPr>
          <w:rStyle w:val="Ancredenotedefin"/>
          <w:rStyle w:val="Ancredenotedefin"/>
        </w:rPr>
        <w:endnoteReference w:id="136"/>
      </w:r>
      <w:r>
        <w:rPr/>
        <w:t xml:space="preserve"> megvitatandó témákat javasoljon, majd elfogadja a tanácskozások során megfogalmazott ajánlások nyomon követéséhez szükséges szövegeket</w:t>
      </w:r>
      <w:r>
        <w:rPr>
          <w:rStyle w:val="Ancredenotedefin"/>
          <w:rStyle w:val="Ancredenotedefin"/>
        </w:rPr>
        <w:endnoteReference w:id="137"/>
      </w:r>
      <w:r>
        <w:rPr/>
        <w:t>.</w:t>
      </w:r>
    </w:p>
    <w:p>
      <w:pPr>
        <w:pStyle w:val="Alineanegatifpuce"/>
        <w:numPr>
          <w:ilvl w:val="0"/>
          <w:numId w:val="3"/>
        </w:numPr>
        <w:rPr/>
      </w:pPr>
      <w:r>
        <w:rPr/>
        <w:t xml:space="preserve"> </w:t>
      </w:r>
      <w:r>
        <w:rPr/>
        <w:t>Az Európai Parlamentnek kell döntenie az uniós költségvetésről, ahogyan azt a parlamentek nemzeti szinten teszik</w:t>
      </w:r>
      <w:r>
        <w:rPr>
          <w:rStyle w:val="Ancredenotedebasdepage"/>
          <w:rStyle w:val="Ancredenotedebasdepage"/>
        </w:rPr>
        <w:footnoteReference w:id="13"/>
      </w:r>
      <w:r>
        <w:rPr/>
        <w:t>.</w:t>
      </w:r>
      <w:r>
        <w:rPr>
          <w:rStyle w:val="Ancredenotedefin"/>
          <w:rStyle w:val="Ancredenotedefin"/>
        </w:rPr>
        <w:endnoteReference w:id="138"/>
      </w:r>
      <w:r>
        <w:rPr/>
        <w:t xml:space="preserve"> </w:t>
      </w:r>
    </w:p>
    <w:p>
      <w:pPr>
        <w:pStyle w:val="Alineanegatifpuce"/>
        <w:numPr>
          <w:ilvl w:val="0"/>
          <w:numId w:val="3"/>
        </w:numPr>
        <w:rPr/>
      </w:pPr>
      <w:r>
        <w:rPr/>
        <w:t xml:space="preserve"> </w:t>
      </w:r>
      <w:r>
        <w:rPr/>
        <w:t>A politikai pártoknak, a civil társadalmi szervezeteknek és a szakszervezeteknek dinamikusabbnak és hozzáférhetőbbnek kell lenniük annak érdekében, hogy a polgárok nagyobb szerepet vállaljanak az európai demokráciában, és többet fektessenek be abba</w:t>
      </w:r>
      <w:r>
        <w:rPr>
          <w:rStyle w:val="Ancredenotedefin"/>
          <w:rStyle w:val="Ancredenotedefin"/>
        </w:rPr>
        <w:endnoteReference w:id="139"/>
      </w:r>
      <w:r>
        <w:rPr/>
        <w:t>. Ez elősegítené az európai kérdések bevonását a politikai pártok, a civil társadalmi szervezetek és a szociális partnerek által szervezett nyilvános vitákba, akár az európai választásokat megelőzően, akár a nemzeti, regionális vagy helyi választásokat megelőzően</w:t>
      </w:r>
      <w:r>
        <w:rPr>
          <w:rStyle w:val="Ancredenotedefin"/>
          <w:rStyle w:val="Ancredenotedefin"/>
        </w:rPr>
        <w:endnoteReference w:id="140"/>
      </w:r>
      <w:r>
        <w:rPr/>
        <w:t>.</w:t>
      </w:r>
    </w:p>
    <w:p>
      <w:pPr>
        <w:pStyle w:val="Puce3"/>
        <w:tabs>
          <w:tab w:val="clear" w:pos="720"/>
        </w:tabs>
        <w:rPr/>
      </w:pPr>
      <w:r>
        <w:rPr/>
        <w:t>5.</w:t>
        <w:tab/>
        <w:t>A demokrácia megtestesül az intézményekben és általában a társadalomban, a szociális partnereknek köszönhetően a munkahelyeken is</w:t>
      </w:r>
      <w:r>
        <w:rPr>
          <w:rStyle w:val="Ancredenotedefin"/>
          <w:rStyle w:val="Ancredenotedefin"/>
        </w:rPr>
        <w:endnoteReference w:id="141"/>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90" w:name="__RefHeading___Toc298354_1346298689"/>
      <w:bookmarkEnd w:id="90"/>
      <w:r>
        <w:rPr/>
        <w:t>39. Javaslat: Az Unió döntéshozatali folyamata</w:t>
      </w:r>
    </w:p>
    <w:p>
      <w:pPr>
        <w:pStyle w:val="P68B1DB1Normal15"/>
        <w:rPr>
          <w:b/>
          <w:b/>
        </w:rPr>
      </w:pPr>
      <w:r>
        <w:rPr/>
        <w:t>A cél: Javítsa az Unió döntéshozatali folyamatát annak érdekében, hogy biztosítsa az Unió cselekvési képességét, figyelembe véve az egyes tagállamok érdekeit, valamint átlátható és érthető folyamatot biztosítva a polgárok számára, különösen:</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Puce3"/>
        <w:tabs>
          <w:tab w:val="clear" w:pos="720"/>
        </w:tabs>
        <w:rPr/>
      </w:pPr>
      <w:r>
        <w:rPr/>
        <w:t>1.</w:t>
        <w:tab/>
        <w:t>Az európai intézmények döntéshozatali és szavazási szabályainak felülvizsgálata. Az egyhangú szavazás kérdése különös figyelmet érdemel, mivel ez nagyon megnehezíti a megállapodást. Biztosítani kell a szavazatok súlyozásának méltányosságát a kis országok érdekeinek védelme érdekében</w:t>
      </w:r>
      <w:r>
        <w:rPr>
          <w:rStyle w:val="Ancredenotedefin"/>
          <w:rStyle w:val="Ancredenotedefin"/>
        </w:rPr>
        <w:endnoteReference w:id="142"/>
      </w:r>
      <w:r>
        <w:rPr/>
        <w:t>.</w:t>
      </w:r>
    </w:p>
    <w:p>
      <w:pPr>
        <w:pStyle w:val="Alineanegatifpuce"/>
        <w:numPr>
          <w:ilvl w:val="0"/>
          <w:numId w:val="3"/>
        </w:numPr>
        <w:rPr/>
      </w:pPr>
      <w:r>
        <w:rPr/>
        <w:t xml:space="preserve"> </w:t>
      </w:r>
      <w:r>
        <w:rPr/>
        <w:t>A jövőben valamennyi, egyhangúlag hozott határozatot minősített többséggel kell elfogadni. Az egyetlen kivétel az új tagállamok Európai Unióba való belépése, valamint az Európai Unióról szóló szerződés 2. cikkében és az Európai Unió Alapjogi Chartájában foglalt alapvető uniós elvek módosítása</w:t>
      </w:r>
      <w:r>
        <w:rPr>
          <w:rStyle w:val="Ancredenotedefin"/>
          <w:rStyle w:val="Ancredenotedefin"/>
        </w:rPr>
        <w:endnoteReference w:id="143"/>
      </w:r>
      <w:r>
        <w:rPr/>
        <w:t>.</w:t>
      </w:r>
    </w:p>
    <w:p>
      <w:pPr>
        <w:pStyle w:val="Puce3"/>
        <w:tabs>
          <w:tab w:val="clear" w:pos="720"/>
        </w:tabs>
        <w:rPr/>
      </w:pPr>
      <w:r>
        <w:rPr/>
        <w:t>2.</w:t>
        <w:tab/>
        <w:t>A döntéshozatali folyamat átláthatóságának biztosítása, lehetővé téve a független polgárok megfigyelői számára e folyamat szoros nyomon követését, a dokumentumokhoz való hozzáférés szélesebb körű jogának alkalmazását, valamint a polgárok</w:t>
      </w:r>
      <w:r>
        <w:rPr>
          <w:rStyle w:val="Ancredenotedefin"/>
          <w:rStyle w:val="Ancredenotedefin"/>
        </w:rPr>
        <w:endnoteReference w:id="144"/>
      </w:r>
      <w:r>
        <w:rPr/>
        <w:t xml:space="preserve"> és az európai intézmények közötti szorosabb kapcsolatok és fokozott párbeszéd ezen az alapon történő létrehozását</w:t>
      </w:r>
      <w:r>
        <w:rPr>
          <w:rStyle w:val="Ancredenotedefin"/>
          <w:rStyle w:val="Ancredenotedefin"/>
        </w:rPr>
        <w:endnoteReference w:id="145"/>
      </w:r>
      <w:r>
        <w:rPr/>
        <w:t>.</w:t>
      </w:r>
    </w:p>
    <w:p>
      <w:pPr>
        <w:pStyle w:val="Alineanegatifpuce"/>
        <w:numPr>
          <w:ilvl w:val="0"/>
          <w:numId w:val="3"/>
        </w:numPr>
        <w:rPr/>
      </w:pPr>
      <w:r>
        <w:rPr/>
        <w:t xml:space="preserve"> </w:t>
      </w:r>
      <w:r>
        <w:rPr/>
        <w:t>Az Uniónak javítania kell döntéshozatali folyamatainak és intézményeinek átláthatóságát. Például a Tanács és az Európai Parlament üléseit, beleértve a szavazásokat is, ugyanúgy kell terjeszteni az interneten. Ez lehetővé tenné az érdekelt polgárok számára az uniós döntéshozatal nyomon követését, és arra kötelezné a politikai döntéshozókat, hogy tegyenek jelentést tevékenységeikről</w:t>
      </w:r>
      <w:r>
        <w:rPr>
          <w:rStyle w:val="Ancredenotedefin"/>
          <w:rStyle w:val="Ancredenotedefin"/>
        </w:rPr>
        <w:endnoteReference w:id="146"/>
      </w:r>
      <w:r>
        <w:rPr/>
        <w:t>. Az Európai Parlament vizsgálati jogát is meg kell erősíteni.</w:t>
      </w:r>
      <w:r>
        <w:rPr>
          <w:rStyle w:val="Ancredenotedefin"/>
          <w:rStyle w:val="Ancredenotedefin"/>
        </w:rPr>
        <w:endnoteReference w:id="147"/>
      </w:r>
      <w:r>
        <w:rPr/>
        <w:t xml:space="preserve"> A munkacsoport 44A. módosítása.</w:t>
      </w:r>
    </w:p>
    <w:p>
      <w:pPr>
        <w:pStyle w:val="Alineanegatifpuce"/>
        <w:numPr>
          <w:ilvl w:val="0"/>
          <w:numId w:val="3"/>
        </w:numPr>
        <w:rPr/>
      </w:pPr>
      <w:r>
        <w:rPr/>
        <w:t xml:space="preserve"> </w:t>
      </w:r>
      <w:r>
        <w:rPr/>
        <w:t>Az Unió döntéshozatali folyamatát tovább kell fejleszteni a nemzeti, regionális és helyi képviselők, a szociális partnerek és a civil társadalmi szervezetek bevonása érdekében</w:t>
      </w:r>
      <w:r>
        <w:rPr>
          <w:rStyle w:val="Ancredenotedefin"/>
          <w:rStyle w:val="Ancredenotedefin"/>
        </w:rPr>
        <w:endnoteReference w:id="148"/>
      </w:r>
      <w:r>
        <w:rPr/>
        <w:t>. Meg kell erősíteni a parlamentközi együttműködést és párbeszédet. Az Európai Parlamentnek szorosabban be kellene vonnia a nemzeti parlamenteket az európai jogalkotási eljárásba, például meghallgatásokra való meghívás révén</w:t>
      </w:r>
      <w:r>
        <w:rPr>
          <w:rStyle w:val="Ancredenotedefin"/>
          <w:rStyle w:val="Ancredenotedefin"/>
        </w:rPr>
        <w:endnoteReference w:id="149"/>
      </w:r>
      <w:r>
        <w:rPr/>
        <w:t>. Emellett hasznos lenne a szubnacionális hatóságok és az RB erőteljesebb bevonása annak érdekében, hogy jobban figyelembe lehessen venni az európai jogszabályok végrehajtása során szerzett tapasztalataikat</w:t>
      </w:r>
      <w:r>
        <w:rPr>
          <w:rStyle w:val="Ancredenotedefin"/>
          <w:rStyle w:val="Ancredenotedefin"/>
        </w:rPr>
        <w:endnoteReference w:id="150"/>
      </w:r>
      <w:r>
        <w:rPr/>
        <w:t>.</w:t>
      </w:r>
    </w:p>
    <w:p>
      <w:pPr>
        <w:pStyle w:val="Puce3"/>
        <w:tabs>
          <w:tab w:val="clear" w:pos="720"/>
        </w:tabs>
        <w:rPr/>
      </w:pPr>
      <w:r>
        <w:rPr/>
        <w:t>3.</w:t>
        <w:tab/>
        <w:t>Fontolóra veszi az európai intézmények nevének megváltoztatását annak érdekében, hogy tisztázza az egyes intézmények szerepét és szerepét az Unió döntéshozatali folyamatában a polgárok szemében</w:t>
      </w:r>
      <w:r>
        <w:rPr>
          <w:rStyle w:val="Ancredenotedefin"/>
          <w:rStyle w:val="Ancredenotedefin"/>
        </w:rPr>
        <w:endnoteReference w:id="151"/>
      </w:r>
      <w:r>
        <w:rPr/>
        <w:t>.</w:t>
      </w:r>
    </w:p>
    <w:p>
      <w:pPr>
        <w:pStyle w:val="Alineanegatifpuce"/>
        <w:numPr>
          <w:ilvl w:val="0"/>
          <w:numId w:val="3"/>
        </w:numPr>
        <w:rPr/>
      </w:pPr>
      <w:r>
        <w:rPr/>
        <w:t xml:space="preserve"> </w:t>
      </w:r>
      <w:r>
        <w:rPr/>
        <w:t>Az uniós döntéshozatali folyamatnak egyértelműbb és érthetőbb struktúrán kell alapulnia, amely hasonlít a nemzeti rendszerekre,</w:t>
      </w:r>
      <w:r>
        <w:rPr>
          <w:rStyle w:val="Ancredenotedefin"/>
          <w:rStyle w:val="Ancredenotedefin"/>
        </w:rPr>
        <w:endnoteReference w:id="152"/>
      </w:r>
      <w:r>
        <w:rPr/>
        <w:t xml:space="preserve"> és kifejezetten jelzi az európai intézmények és a tagállamok közötti hatáskörmegosztást</w:t>
      </w:r>
      <w:r>
        <w:rPr>
          <w:rStyle w:val="Ancredenotedefin"/>
          <w:rStyle w:val="Ancredenotedefin"/>
        </w:rPr>
        <w:endnoteReference w:id="153"/>
      </w:r>
      <w:r>
        <w:rPr/>
        <w:t>.</w:t>
      </w:r>
    </w:p>
    <w:p>
      <w:pPr>
        <w:pStyle w:val="Alineanegatifpuce"/>
        <w:numPr>
          <w:ilvl w:val="0"/>
          <w:numId w:val="3"/>
        </w:numPr>
        <w:rPr/>
      </w:pPr>
      <w:r>
        <w:rPr/>
        <w:t xml:space="preserve"> </w:t>
      </w:r>
      <w:r>
        <w:rPr/>
        <w:t>Például az Európai Unió Tanácsa átnevezhető az „Unió Szenátusa” és az Európai Bizottság „Unió végrehajtó bizottsága” elnevezésre</w:t>
      </w:r>
      <w:r>
        <w:rPr>
          <w:rStyle w:val="Ancredenotedefin"/>
          <w:rStyle w:val="Ancredenotedefin"/>
        </w:rPr>
        <w:endnoteReference w:id="154"/>
      </w:r>
      <w:r>
        <w:rPr/>
        <w:t>.</w:t>
      </w:r>
    </w:p>
    <w:p>
      <w:pPr>
        <w:pStyle w:val="Puce3"/>
        <w:tabs>
          <w:tab w:val="clear" w:pos="720"/>
        </w:tabs>
        <w:rPr/>
      </w:pPr>
      <w:r>
        <w:rPr/>
        <w:t>4.</w:t>
        <w:tab/>
        <w:t>Az Unió azon képességének megerősítése, hogy eredményeket érjen el a kulcsfontosságú területeken</w:t>
      </w:r>
      <w:r>
        <w:rPr>
          <w:rStyle w:val="Ancredenotedefin"/>
          <w:rStyle w:val="Ancredenotedefin"/>
        </w:rPr>
        <w:endnoteReference w:id="155"/>
      </w:r>
      <w:r>
        <w:rPr/>
        <w:t>.</w:t>
      </w:r>
    </w:p>
    <w:p>
      <w:pPr>
        <w:pStyle w:val="Puce3"/>
        <w:tabs>
          <w:tab w:val="clear" w:pos="720"/>
        </w:tabs>
        <w:rPr/>
      </w:pPr>
      <w:r>
        <w:rPr/>
        <w:t>5.</w:t>
        <w:tab/>
        <w:t>A szociális párbeszéd és a polgárokkal folytatott konzultáció mechanizmusainak biztosítása az uniós döntéshozatali folyamat valamennyi szakaszában, a hatásvizsgálattól az intézkedések kialakításáig és végrehajtásáig</w:t>
      </w:r>
      <w:r>
        <w:rPr>
          <w:rStyle w:val="Ancredenotedefin"/>
          <w:rStyle w:val="Ancredenotedefin"/>
        </w:rPr>
        <w:endnoteReference w:id="156"/>
      </w:r>
      <w:r>
        <w:rPr/>
        <w:t>.</w:t>
      </w:r>
    </w:p>
    <w:p>
      <w:pPr>
        <w:pStyle w:val="Puce3"/>
        <w:tabs>
          <w:tab w:val="clear" w:pos="720"/>
        </w:tabs>
        <w:rPr/>
      </w:pPr>
      <w:r>
        <w:rPr/>
        <w:t>6.</w:t>
        <w:tab/>
        <w:t>Az Európai Unió működésének reformja, többek között a szociális partnerek és a civil társadalmi szervezetek szorosabb bevonása révén. A meglévő struktúrákat meg kell erősíteni annak érdekében, hogy a döntéshozatali folyamat jobban tükrözze az európai demokrácia szempontjából központi szerepet játszó európai polgárok igényeit és elvárásait. Ebben az összefüggésben az EGSZB-nek meg kell szereznie a fontosabb intézményi szerephez szükséges eszközöket, mint például a civil társadalmi szervezetekkel és a civil panelekkel folytatott strukturált párbeszédet. A dinamikus civil társadalom elengedhetetlen az Unió demokratikus életében</w:t>
      </w:r>
      <w:r>
        <w:rPr>
          <w:rStyle w:val="Ancredenotedefin"/>
          <w:rStyle w:val="Ancredenotedefin"/>
        </w:rPr>
        <w:endnoteReference w:id="157"/>
      </w:r>
      <w:r>
        <w:rPr/>
        <w:t>.</w:t>
      </w:r>
    </w:p>
    <w:p>
      <w:pPr>
        <w:pStyle w:val="Puce3"/>
        <w:tabs>
          <w:tab w:val="clear" w:pos="720"/>
        </w:tabs>
        <w:rPr/>
      </w:pPr>
      <w:r>
        <w:rPr/>
        <w:t>7.</w:t>
        <w:tab/>
        <w:t>Az alkotmányról szóló vita újbóli megnyitásával, adott esetben értékeink egyértelmű meghatározása érdekében. Egy alkotmány nagyobb pontosságot teremthetne, mozgósíthatná a polgárokat, és megállapodhatna a döntéshozatali folyamat szabályairól</w:t>
      </w:r>
      <w:r>
        <w:rPr>
          <w:rStyle w:val="Ancredenotedefin"/>
          <w:rStyle w:val="Ancredenotedefin"/>
        </w:rPr>
        <w:endnoteReference w:id="158"/>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91" w:name="__RefHeading___Toc298356_1346298689"/>
      <w:bookmarkEnd w:id="91"/>
      <w:r>
        <w:rPr/>
        <w:t>40. Javaslat: Szubszidiaritás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Puce3"/>
        <w:tabs>
          <w:tab w:val="clear" w:pos="720"/>
        </w:tabs>
        <w:rPr/>
      </w:pPr>
      <w:r>
        <w:rPr/>
        <w:t>1.</w:t>
        <w:tab/>
        <w:t>Az aktív szubszidiaritás és a többszintű kormányzás kulcsfontosságú elvek, ha az Európai Unió demokratikus és elszámoltatható módon kíván működni</w:t>
      </w:r>
      <w:r>
        <w:rPr>
          <w:rStyle w:val="Ancredenotedefin"/>
          <w:rStyle w:val="Ancredenotedefin"/>
        </w:rPr>
        <w:endnoteReference w:id="159"/>
      </w:r>
      <w:r>
        <w:rPr/>
        <w:t>;</w:t>
      </w:r>
    </w:p>
    <w:p>
      <w:pPr>
        <w:pStyle w:val="Puce3"/>
        <w:tabs>
          <w:tab w:val="clear" w:pos="720"/>
        </w:tabs>
        <w:rPr/>
      </w:pPr>
      <w:r>
        <w:rPr/>
        <w:t>2.</w:t>
        <w:tab/>
        <w:t>Az EU-nak felül kell vizsgálnia azt a mechanizmust, amellyel a nemzeti parlamentek megvizsgálják, hogy az európai jogalkotási javaslatok sértik-e a nemzeti hatásköröket; a nemzeti parlamenteknek lehetőséget kell biztosítani arra, hogy jogalkotási kezdeményezéseket javasoljanak az európai intézményeknek. Ezeket a mechanizmusokat valamennyi jogalkotási hatáskörrel rendelkező regionális parlamentre ki kell terjeszteni</w:t>
      </w:r>
      <w:r>
        <w:rPr>
          <w:rStyle w:val="Ancredenotedefin"/>
          <w:rStyle w:val="Ancredenotedefin"/>
        </w:rPr>
        <w:endnoteReference w:id="160"/>
      </w:r>
      <w:r>
        <w:rPr/>
        <w:t>.</w:t>
      </w:r>
    </w:p>
    <w:p>
      <w:pPr>
        <w:pStyle w:val="Puce3"/>
        <w:tabs>
          <w:tab w:val="clear" w:pos="720"/>
        </w:tabs>
        <w:rPr/>
      </w:pPr>
      <w:r>
        <w:rPr/>
        <w:t>3.</w:t>
        <w:tab/>
        <w:t>Az RB-t meg kell reformálni, hogy megfelelő csatornák nyíljanak meg a régiókkal, városokkal és településekkel folytatott párbeszéd számára. A területi következményekkel járó kérdések kezelése során fontosabb szerepet kell játszania az</w:t>
      </w:r>
      <w:r>
        <w:rPr>
          <w:rStyle w:val="Ancredenotedefin"/>
          <w:rStyle w:val="Ancredenotedefin"/>
        </w:rPr>
        <w:endnoteReference w:id="161"/>
      </w:r>
      <w:r>
        <w:rPr/>
        <w:t xml:space="preserve"> intézményi struktúrában</w:t>
      </w:r>
      <w:r>
        <w:rPr>
          <w:rStyle w:val="Ancredenotedefin"/>
          <w:rStyle w:val="Ancredenotedefin"/>
        </w:rPr>
        <w:endnoteReference w:id="162"/>
      </w:r>
      <w:r>
        <w:rPr/>
        <w:t>.</w:t>
      </w:r>
    </w:p>
    <w:p>
      <w:pPr>
        <w:pStyle w:val="Normal"/>
        <w:rPr/>
      </w:pPr>
      <w:r>
        <w:rPr/>
      </w:r>
    </w:p>
    <w:p>
      <w:pPr>
        <w:pStyle w:val="Puce3"/>
        <w:tabs>
          <w:tab w:val="clear" w:pos="720"/>
        </w:tabs>
        <w:rPr/>
      </w:pPr>
      <w:r>
        <w:rPr/>
        <w:t>4.</w:t>
        <w:tab/>
        <w:t>A szubszidiaritás valamennyi európai intézmény által jóváhagyott közös fogalommeghatározásának szisztematikus alkalmazása egyértelműbben meghatározhatná, hogy milyen (európai, nemzeti vagy regionális) szintű döntéseket kell hozni</w:t>
      </w:r>
      <w:r>
        <w:rPr>
          <w:rStyle w:val="Ancredenotedefin"/>
          <w:rStyle w:val="Ancredenotedefin"/>
        </w:rPr>
        <w:endnoteReference w:id="163"/>
      </w:r>
      <w:r>
        <w:rPr/>
        <w:t>.</w:t>
      </w:r>
    </w:p>
    <w:p>
      <w:pPr>
        <w:pStyle w:val="Puce3"/>
        <w:tabs>
          <w:tab w:val="clear" w:pos="720"/>
        </w:tabs>
        <w:rPr/>
      </w:pPr>
      <w:r>
        <w:rPr/>
        <w:t>5.</w:t>
        <w:tab/>
        <w:t>Az európai demokrácia szempontjából központi szerepet játszó szociális partnereket és civil társadalmi szervezeteket jobban be kell vonni a döntéshozatali folyamatba. A dinamikus társadalom elengedhetetlen az Unió demokratikus életében.</w:t>
      </w:r>
      <w:r>
        <w:rPr>
          <w:rStyle w:val="Ancredenotedefin"/>
          <w:rStyle w:val="Ancredenotedefin"/>
        </w:rPr>
        <w:endnoteReference w:id="164"/>
      </w:r>
    </w:p>
    <w:p>
      <w:pPr>
        <w:pStyle w:val="Puce3"/>
        <w:tabs>
          <w:tab w:val="clear" w:pos="720"/>
        </w:tabs>
        <w:rPr/>
      </w:pPr>
      <w:r>
        <w:rPr/>
        <w:t>6.</w:t>
        <w:tab/>
        <w:t>Sürgetjük az uniós intézményeket, hogy hajtsák végre és tegyék hatékonyabbá e munkacsoport következtetéseit. Ezt a Lisszaboni Szerződés meglévő rendelkezéseivel lehetne megvalósítani, és szükség esetén egy európai konvent elindítására szólítva fel</w:t>
      </w:r>
      <w:r>
        <w:rPr>
          <w:rStyle w:val="Ancredenotedefin"/>
          <w:rStyle w:val="Ancredenotedefin"/>
        </w:rPr>
        <w:endnoteReference w:id="165"/>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Normal"/>
        <w:rPr/>
      </w:pPr>
      <w:r>
        <w:rPr/>
        <w:drawing>
          <wp:anchor behindDoc="0" distT="0" distB="0" distL="0" distR="0" simplePos="0" locked="0" layoutInCell="1" allowOverlap="1" relativeHeight="18">
            <wp:simplePos x="0" y="0"/>
            <wp:positionH relativeFrom="column">
              <wp:posOffset>19050</wp:posOffset>
            </wp:positionH>
            <wp:positionV relativeFrom="paragraph">
              <wp:posOffset>21590</wp:posOffset>
            </wp:positionV>
            <wp:extent cx="913765" cy="913765"/>
            <wp:effectExtent l="0" t="0" r="0" b="0"/>
            <wp:wrapSquare wrapText="largest"/>
            <wp:docPr id="68" name="Kép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Kép28" descr=""/>
                    <pic:cNvPicPr>
                      <a:picLocks noChangeAspect="1" noChangeArrowheads="1"/>
                    </pic:cNvPicPr>
                  </pic:nvPicPr>
                  <pic:blipFill>
                    <a:blip r:embed="rId80"/>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92" w:name="__RefHeading___Toc298358_1346298689"/>
      <w:bookmarkEnd w:id="92"/>
      <w:r>
        <w:rPr/>
        <w:t>„</w:t>
      </w:r>
      <w:r>
        <w:rPr/>
        <w:t>Migrációk”</w:t>
      </w:r>
    </w:p>
    <w:p>
      <w:pPr>
        <w:pStyle w:val="Titre3"/>
        <w:numPr>
          <w:ilvl w:val="2"/>
          <w:numId w:val="2"/>
        </w:numPr>
        <w:rPr/>
      </w:pPr>
      <w:bookmarkStart w:id="93" w:name="__RefHeading___Toc298360_1346298689"/>
      <w:bookmarkEnd w:id="93"/>
      <w:r>
        <w:rPr/>
        <w:t>41. Javaslat: Legális migráció</w:t>
      </w:r>
    </w:p>
    <w:p>
      <w:pPr>
        <w:pStyle w:val="P68B1DB1Normal15"/>
        <w:rPr>
          <w:b/>
          <w:b/>
        </w:rPr>
      </w:pPr>
      <w:r>
        <w:rPr/>
        <w:t>A cél: Az EU szerepének megerősítése a legális migrációban</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Intézkedések</w:t>
      </w:r>
      <w:r>
        <w:rPr>
          <w:rStyle w:val="Ancredenotedefin"/>
          <w:rStyle w:val="Ancredenotedefin"/>
        </w:rPr>
        <w:endnoteReference w:id="166"/>
      </w:r>
      <w:r>
        <w:rPr/>
        <w:t>:</w:t>
      </w:r>
    </w:p>
    <w:p>
      <w:pPr>
        <w:pStyle w:val="Puce3"/>
        <w:tabs>
          <w:tab w:val="clear" w:pos="720"/>
        </w:tabs>
        <w:rPr/>
      </w:pPr>
      <w:r>
        <w:rPr/>
        <w:t>1.</w:t>
        <w:tab/>
        <w:t>Európai szintű kommunikációs kampány indítása annak biztosítása érdekében, hogy az EURES (az Európai Foglalkoztatási Szolgálatok Hálózata), az EU bevándorlási portálja és a harmadik országok állampolgárainak szóló európai készségprofil-alkotási eszköz jobban megismerjék az európai polgárokat, és gyakrabban használják őket az uniós vállalkozások a toborzás során (6. ajánlás).</w:t>
      </w:r>
    </w:p>
    <w:p>
      <w:pPr>
        <w:pStyle w:val="Puce3"/>
        <w:tabs>
          <w:tab w:val="clear" w:pos="720"/>
        </w:tabs>
        <w:rPr/>
      </w:pPr>
      <w:r>
        <w:rPr/>
        <w:t>2.</w:t>
        <w:tab/>
        <w:t>Egy európai szervezet létrehozása a migránsok uniós munkaerőpiachoz való hozzáférése érdekében, vagy ennek hiányában az Európai Foglalkoztatási Szolgálatok Hálózata (EURES) hatásköreinek bővítése, pl. a tehetségek vonzására irányuló partnerségi projektek javítása (7. ajánlás és vita a munkacsoportban), a készségkínálat és -kereslet online kielégítésének lehetősége az indulási országban értékelési kritériumok alapján (9. ajánlás és vita a munkacsoportban). Az Uniónak arra kell ösztönöznie a tagállamokat, hogy a különböző érintett közigazgatási szervek közötti interoperabilitás javítása révén egyszerűsítsék a legális migránsok befogadási és integrációs folyamatát, valamint az uniós munkaerőpiachoz való hozzáférésüket (vita a munkacsoportban).</w:t>
      </w:r>
    </w:p>
    <w:p>
      <w:pPr>
        <w:pStyle w:val="Puce3"/>
        <w:tabs>
          <w:tab w:val="clear" w:pos="720"/>
        </w:tabs>
        <w:rPr/>
      </w:pPr>
      <w:r>
        <w:rPr/>
        <w:t>3.</w:t>
        <w:tab/>
        <w:t>A kékkártya-irányelv működésének és végrehajtásának javítása az uniós gazdaság számára szükséges készségek vonzása érdekében (7. ajánlás és vita a munkacsoportban), kellően figyelembe véve az agyelszívás kockázatát (a 42. javaslat 1. intézkedése szerint).</w:t>
      </w:r>
    </w:p>
    <w:p>
      <w:pPr>
        <w:pStyle w:val="Puce3"/>
        <w:tabs>
          <w:tab w:val="clear" w:pos="720"/>
        </w:tabs>
        <w:rPr/>
      </w:pPr>
      <w:r>
        <w:rPr/>
        <w:t>4.</w:t>
        <w:tab/>
        <w:t>A munkakörülmények felfelé irányuló, harmonikus konvergenciájának előmozdítása Unió-szerte a munkakörülmények terén mutatkozó egyenlőtlenségek kezelése, a hatékony uniós munkaerő-migrációs politika biztosítása és a munkavállalók jogainak védelme érdekében. Ebben az összefüggésben erősítse meg a szakszervezetek szerepét nemzeti és transznacionális szinten (28. ajánlás és vita a munkacsoportban), együttműködésben a munkáltatói szervezetekkel (vita a plenáris ülésen).</w:t>
      </w:r>
    </w:p>
    <w:p>
      <w:pPr>
        <w:pStyle w:val="Puce3"/>
        <w:tabs>
          <w:tab w:val="clear" w:pos="720"/>
        </w:tabs>
        <w:rPr/>
      </w:pPr>
      <w:r>
        <w:rPr/>
        <w:t>5.</w:t>
        <w:tab/>
        <w:t>Fokozza a tagállamok polgárainak a migrációs és integrációs kérdésekkel kapcsolatos tájékoztatására és oktatására irányuló erőfeszítéseket (30. ajánlás, a LT-testület 9. ajánlása és a munkacsoport vitája).</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94" w:name="__RefHeading___Toc298362_1346298689"/>
      <w:bookmarkEnd w:id="94"/>
      <w:r>
        <w:rPr/>
        <w:t>42. Javaslat: Irreguláris migráció</w:t>
      </w:r>
    </w:p>
    <w:p>
      <w:pPr>
        <w:pStyle w:val="P68B1DB1Normal15"/>
        <w:rPr>
          <w:b/>
          <w:b/>
        </w:rPr>
      </w:pPr>
      <w:r>
        <w:rPr/>
        <w:t>A cél: Az Unió szerepének megerősítése az irreguláris migráció valamennyi formája elleni küzdelemben és az Európai Unió külső határai védelmének megerősítése az emberi jogok tiszteletben tartása mellett</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Intézkedések</w:t>
      </w:r>
      <w:r>
        <w:rPr>
          <w:rStyle w:val="Ancredenotedefin"/>
          <w:rStyle w:val="Ancredenotedefin"/>
        </w:rPr>
        <w:endnoteReference w:id="167"/>
      </w:r>
      <w:r>
        <w:rPr/>
        <w:t>:</w:t>
      </w:r>
    </w:p>
    <w:p>
      <w:pPr>
        <w:pStyle w:val="Puce3"/>
        <w:tabs>
          <w:tab w:val="clear" w:pos="720"/>
        </w:tabs>
        <w:rPr/>
      </w:pPr>
      <w:r>
        <w:rPr/>
        <w:t>1.</w:t>
        <w:tab/>
        <w:t>A migráció kiváltó okainak – többek között az éghajlatváltozást is beleértve – kezelése érdekében – például partnerségi megállapodások révén – tevékenyen részt vesz az Európai Unión kívüli és a migránsok jelentős beáramlásával rendelkező országok gazdasági és társadalmi fejlődésében. Ezeknek az intézkedéseknek átláthatónak kell lenniük, és mérhető hatásokkal járó kézzelfogható eredményeket kell eredményezniük, amelyeket egyértelműen közölni kell az uniós polgárokkal (27. ajánlás, NL 3. ajánlás és vita a munkacsoportban).</w:t>
      </w:r>
    </w:p>
    <w:p>
      <w:pPr>
        <w:pStyle w:val="Puce3"/>
        <w:tabs>
          <w:tab w:val="clear" w:pos="720"/>
        </w:tabs>
        <w:rPr/>
      </w:pPr>
      <w:r>
        <w:rPr/>
        <w:t>2.</w:t>
        <w:tab/>
        <w:t>Valamennyi külső határ védelmének biztosítása a Frontex átláthatóságának és elszámoltathatóságának javítása és szerepének megerősítése révén (8. ajánlás és vita a munkacsoportban), valamint az uniós jogszabályok kiigazítása az irreguláris migráció – például az emberkereskedelem, az emberkereskedelem, a szexuális kizsákmányolás, a migránsokat kizsákmányoló államok által elkövetett hibrid támadások és az emberi jogok megsértése – jelenlegi kihívásainak jobb kezelése érdekében (LT10 ajánlás és vita a munkacsoportban).</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95" w:name="__RefHeading___Toc298364_1346298689"/>
      <w:bookmarkEnd w:id="95"/>
      <w:r>
        <w:rPr/>
        <w:t>43. Javaslat: Irreguláris migráció (bis)</w:t>
      </w:r>
    </w:p>
    <w:p>
      <w:pPr>
        <w:pStyle w:val="P68B1DB1Normal15"/>
        <w:rPr>
          <w:b/>
          <w:b/>
        </w:rPr>
      </w:pPr>
      <w:r>
        <w:rPr/>
        <w:t>A cél: A migránsok első befogadására vonatkozó közös szabályok egységes alkalmazása valamennyi tagállamban</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Intézkedések</w:t>
      </w:r>
      <w:r>
        <w:rPr>
          <w:rStyle w:val="Ancredenotedefin"/>
          <w:rStyle w:val="Ancredenotedefin"/>
        </w:rPr>
        <w:endnoteReference w:id="168"/>
      </w:r>
      <w:r>
        <w:rPr/>
        <w:t>:</w:t>
      </w:r>
    </w:p>
    <w:p>
      <w:pPr>
        <w:pStyle w:val="Puce3"/>
        <w:tabs>
          <w:tab w:val="clear" w:pos="720"/>
        </w:tabs>
        <w:rPr/>
      </w:pPr>
      <w:r>
        <w:rPr/>
        <w:t>1.</w:t>
        <w:tab/>
        <w:t>Uniós szintű intézkedések kidolgozása valamennyi migráns, különösen a várandós nők, a gyermekek, a kísérő nélküli kiskorúak és valamennyi kiszolgáltatott személy biztonságának és egészségének biztosítása érdekében (10. és 38. ajánlás, valamint vita a munkacsoportban).</w:t>
      </w:r>
    </w:p>
    <w:p>
      <w:pPr>
        <w:pStyle w:val="Normal"/>
        <w:rPr/>
      </w:pPr>
      <w:r>
        <w:rPr/>
      </w:r>
    </w:p>
    <w:p>
      <w:pPr>
        <w:pStyle w:val="Puce3"/>
        <w:tabs>
          <w:tab w:val="clear" w:pos="720"/>
        </w:tabs>
        <w:rPr/>
      </w:pPr>
      <w:r>
        <w:rPr/>
        <w:t>2.</w:t>
        <w:tab/>
        <w:t>Az EU pénzügyi, logisztikai és operatív támogatásának növelése, többek között a helyi hatóságok, a regionális döntéshozók és a civil társadalmi szervezetek számára az első befogadás kezeléséhez, ami adott esetben a menekültek vagy a szabályos migránsok EU-ba történő integrációjához és az irreguláris migránsok hazaszállításához vezet (35. ajánlás és vita a munkacsoportban).</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Normal"/>
        <w:rPr/>
      </w:pPr>
      <w:r>
        <w:rPr/>
      </w:r>
    </w:p>
    <w:p>
      <w:pPr>
        <w:pStyle w:val="Titre3"/>
        <w:numPr>
          <w:ilvl w:val="2"/>
          <w:numId w:val="2"/>
        </w:numPr>
        <w:rPr/>
      </w:pPr>
      <w:bookmarkStart w:id="96" w:name="__RefHeading___Toc298366_1346298689"/>
      <w:bookmarkEnd w:id="96"/>
      <w:r>
        <w:rPr/>
        <w:t>44. Javaslat: Menekültügy, integráció</w:t>
      </w:r>
    </w:p>
    <w:p>
      <w:pPr>
        <w:pStyle w:val="P68B1DB1Normal15"/>
        <w:rPr>
          <w:b/>
          <w:b/>
        </w:rPr>
      </w:pPr>
      <w:r>
        <w:rPr/>
        <w:t>A cél: Az Unió szerepének megerősítése és az európai menekültügyi rendszer reformja a szolidaritás és a felelősség igazságos megosztása elvei alapján</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Intézkedések</w:t>
      </w:r>
      <w:r>
        <w:rPr>
          <w:rStyle w:val="Ancredenotedefin"/>
          <w:rStyle w:val="Ancredenotedefin"/>
        </w:rPr>
        <w:endnoteReference w:id="169"/>
      </w:r>
      <w:r>
        <w:rPr/>
        <w:t>:</w:t>
      </w:r>
    </w:p>
    <w:p>
      <w:pPr>
        <w:pStyle w:val="Puce3"/>
        <w:tabs>
          <w:tab w:val="clear" w:pos="720"/>
        </w:tabs>
        <w:rPr/>
      </w:pPr>
      <w:r>
        <w:rPr/>
        <w:t>1.</w:t>
        <w:tab/>
        <w:t>Közös uniós szabályok elfogadása a tagállamokban a nemzetközi védelem iránti kérelmek megvizsgálására vonatkozó eljárásokról, amelyeket valamennyi menedékkérőre egységesen alkalmaznak. Ezeknek az eljárásoknak tiszteletben kell tartaniuk az emberi méltóságot és a nemzetközi jogot (29. ajánlás, 3.8. és 4.4. ajánlás, 15. o. és vita a munkacsoportban). Mivel a menedékkérők befogadása nemzeti szinten különböző szereplőket érint, az Uniónak arra kell ösztönöznie a tagállamokat, hogy a különböző érintett közigazgatási szervek közötti interoperabilitás javításával egyszerűsítsék és gyorsítsák fel ezt a folyamatot, valamint hogy a nemzeti közigazgatási eljárások egyszerűsítése érdekében hozzanak létre egy egységes irodát (ablak vagy egyablakos ügyintézési pont) a nemzeti közigazgatási eljárások egyszerűsítése érdekében (37. ajánlás és vita a munkacsoportban).</w:t>
      </w:r>
    </w:p>
    <w:p>
      <w:pPr>
        <w:pStyle w:val="Puce3"/>
        <w:tabs>
          <w:tab w:val="clear" w:pos="720"/>
        </w:tabs>
        <w:rPr/>
      </w:pPr>
      <w:r>
        <w:rPr/>
        <w:t>2.</w:t>
        <w:tab/>
        <w:t>A dublini rendszer felülvizsgálata a szolidaritás és a felelősség igazságos megosztása érdekében, beleértve a migránsok tagállamok közötti elosztását is; a támogatás egyéb formáit is elő lehetne irányozni (33., 36., 37., 40. ajánlás; LT 2. ajánlás; IT 3.8. ajánlás (15. o.) és NL 2 ajánlás, vita a munkacsoportban és vita a plenáris ülésen.</w:t>
      </w:r>
    </w:p>
    <w:p>
      <w:pPr>
        <w:pStyle w:val="Puce3"/>
        <w:tabs>
          <w:tab w:val="clear" w:pos="720"/>
        </w:tabs>
        <w:rPr/>
      </w:pPr>
      <w:r>
        <w:rPr/>
        <w:t>3.</w:t>
        <w:tab/>
        <w:t>A menedékkérők befogadására vonatkozó, a 2013/33/EU irányelvben meghatározott minimumszabályok megerősítése a befogadási létesítmények és a szállás javítását célzó szigorúbb jogalkotási intézkedések révén (CEP 31. ajánlás, 5.6. informatikai ajánlás, 11. o. és vita a munkacsoportban).</w:t>
      </w:r>
    </w:p>
    <w:p>
      <w:pPr>
        <w:pStyle w:val="Puce3"/>
        <w:tabs>
          <w:tab w:val="clear" w:pos="720"/>
        </w:tabs>
        <w:rPr/>
      </w:pPr>
      <w:r>
        <w:rPr/>
        <w:t>4.</w:t>
        <w:tab/>
        <w:t>Különös figyelmet kell fordítani a várandós nőkre, a gyermekekre és különösen a kísérő nélküli kiskorúakra (38. ajánlás és vita a munkacsoportban).</w:t>
      </w:r>
    </w:p>
    <w:p>
      <w:pPr>
        <w:pStyle w:val="Puce3"/>
        <w:tabs>
          <w:tab w:val="clear" w:pos="720"/>
        </w:tabs>
        <w:rPr/>
      </w:pPr>
      <w:r>
        <w:rPr/>
        <w:t>5.</w:t>
        <w:tab/>
        <w:t>Az Európai Unió Menekültügyi Ügynöksége pénzügyi és emberi erőforrásainak és irányítási kapacitásainak megerősítése és növelése a menedékkérők uniós tagállamokon belüli áthelyezésének koordinálása és kezelése érdekében a méltányos elosztás elérése érdekében (36. és 37. ajánlás, LT 3. ajánlás és vita a munkacsoportban).</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97" w:name="__RefHeading___Toc298368_1346298689"/>
      <w:bookmarkEnd w:id="97"/>
      <w:r>
        <w:rPr/>
        <w:t>45. Javaslat: Menekültügy, integráció(bis)</w:t>
      </w:r>
    </w:p>
    <w:p>
      <w:pPr>
        <w:pStyle w:val="P68B1DB1Normal15"/>
        <w:rPr>
          <w:b/>
          <w:b/>
        </w:rPr>
      </w:pPr>
      <w:r>
        <w:rPr/>
        <w:t>A cél: Az integrációs politikák javítása valamennyi tagállamban</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Intézkedések</w:t>
      </w:r>
      <w:r>
        <w:rPr>
          <w:rStyle w:val="Ancredenotedefin"/>
          <w:rStyle w:val="Ancredenotedefin"/>
        </w:rPr>
        <w:endnoteReference w:id="170"/>
      </w:r>
      <w:r>
        <w:rPr/>
        <w:t>:</w:t>
      </w:r>
    </w:p>
    <w:p>
      <w:pPr>
        <w:pStyle w:val="Puce3"/>
        <w:tabs>
          <w:tab w:val="clear" w:pos="720"/>
        </w:tabs>
        <w:rPr/>
      </w:pPr>
      <w:r>
        <w:rPr/>
        <w:t>1.</w:t>
        <w:tab/>
        <w:t>Az Unió – a helyi és regionális önkormányzatok részvételével és a civil társadalmi szervezetek közreműködésével – biztosítja továbbá, hogy minden menedékkérő és menekült részt vegyen nyelvi és integrációs tanfolyamokon és tevékenységeken, valamint szakképzésben a tartózkodás iránti kérelmük elbírálása során (32. sz. ajánlás, FR 13. ajánlás, vita a munkacsoportban és a plenáris ülésen folytatott vita).</w:t>
      </w:r>
    </w:p>
    <w:p>
      <w:pPr>
        <w:pStyle w:val="Puce3"/>
        <w:tabs>
          <w:tab w:val="clear" w:pos="720"/>
        </w:tabs>
        <w:rPr/>
      </w:pPr>
      <w:r>
        <w:rPr/>
        <w:t>2.</w:t>
        <w:tab/>
        <w:t>A megfelelő képesítéssel rendelkező menedékkérők számára biztosítani kell a munkaerőpiachoz való hozzáférést, lehetőség szerint autonómiájuk megerősítése céljából az egész Unióban (7. ajánlás és vita a munkacsoportban).</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Normal"/>
        <w:rPr/>
      </w:pPr>
      <w:r>
        <w:rPr/>
        <w:drawing>
          <wp:anchor behindDoc="0" distT="0" distB="0" distL="0" distR="0" simplePos="0" locked="0" layoutInCell="1" allowOverlap="1" relativeHeight="13">
            <wp:simplePos x="0" y="0"/>
            <wp:positionH relativeFrom="column">
              <wp:posOffset>10160</wp:posOffset>
            </wp:positionH>
            <wp:positionV relativeFrom="paragraph">
              <wp:posOffset>3810</wp:posOffset>
            </wp:positionV>
            <wp:extent cx="913765" cy="913765"/>
            <wp:effectExtent l="0" t="0" r="0" b="0"/>
            <wp:wrapSquare wrapText="largest"/>
            <wp:docPr id="69" name="Kép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Kép29" descr=""/>
                    <pic:cNvPicPr>
                      <a:picLocks noChangeAspect="1" noChangeArrowheads="1"/>
                    </pic:cNvPicPr>
                  </pic:nvPicPr>
                  <pic:blipFill>
                    <a:blip r:embed="rId81"/>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98" w:name="__RefHeading___Toc298370_1346298689"/>
      <w:bookmarkEnd w:id="98"/>
      <w:r>
        <w:rPr/>
        <w:t>Oktatás, kultúra, ifjúság és sport</w:t>
      </w:r>
    </w:p>
    <w:p>
      <w:pPr>
        <w:pStyle w:val="Titre3"/>
        <w:numPr>
          <w:ilvl w:val="2"/>
          <w:numId w:val="2"/>
        </w:numPr>
        <w:rPr/>
      </w:pPr>
      <w:bookmarkStart w:id="99" w:name="__RefHeading___Toc298372_1346298689"/>
      <w:bookmarkEnd w:id="99"/>
      <w:r>
        <w:rPr/>
        <w:t>46. Javaslat: Oktatás</w:t>
      </w:r>
    </w:p>
    <w:p>
      <w:pPr>
        <w:pStyle w:val="P68B1DB1Normal15"/>
        <w:rPr>
          <w:b/>
          <w:b/>
        </w:rPr>
      </w:pPr>
      <w:r>
        <w:rPr/>
        <w:t>A cél: Az EU-nak és tagállamainak arra kell törekedniük, hogy 2025-ig olyan inkluzív európai oktatási térséget hozzanak létre, amelyben minden polgár egyenlő hozzáféréssel rendelkezik az egész életen át tartó minőségi tanuláshoz és oktatáshoz, beleértve a vidéki és távoli területeken élőket is. E célból az Európai Uniónak és tagállamainak különösen:</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Intézkedések:</w:t>
      </w:r>
    </w:p>
    <w:p>
      <w:pPr>
        <w:pStyle w:val="Puce3"/>
        <w:tabs>
          <w:tab w:val="clear" w:pos="720"/>
        </w:tabs>
        <w:rPr/>
      </w:pPr>
      <w:r>
        <w:rPr/>
        <w:t>1.</w:t>
        <w:tab/>
        <w:t>A nemzeti, regionális és helyi tartalmak elfogadása és az oktatási rendszerek közötti szorosabb kapcsolatok kialakítása révén – különösen az oklevelek egyenértékűsége révén – koordinálja az Európai Unión belüli valamennyi különböző oktatási program szintjét</w:t>
      </w:r>
      <w:r>
        <w:rPr>
          <w:rStyle w:val="Ancredenotedefin"/>
          <w:rStyle w:val="Ancredenotedefin"/>
        </w:rPr>
        <w:endnoteReference w:id="171"/>
      </w:r>
      <w:r>
        <w:rPr/>
        <w:t>. Az alapvető tantárgyak tanítására vonatkozó tanúsított minimumkövetelményt már az általános iskola</w:t>
      </w:r>
      <w:r>
        <w:rPr>
          <w:rStyle w:val="Ancredenotedefin"/>
          <w:rStyle w:val="Ancredenotedefin"/>
        </w:rPr>
        <w:endnoteReference w:id="172"/>
      </w:r>
      <w:r>
        <w:rPr/>
        <w:t>171-ben el kell fogadnia. Az oktatás területén megosztott hatásköröket kell létrehozni, legalábbis az állampolgári ismeretek oktatása tekintetében, és e hatáskör Unió általi gyakorlása nem akadályozhatja meg a tagállamokat abban, hogy saját hatásköreiket gyakorolják. Az okleveleket és a szakképzést az Unió valamennyi tagállamában érvényesíteni és kölcsönösen elismerni kell</w:t>
      </w:r>
      <w:r>
        <w:rPr>
          <w:rStyle w:val="Ancredenotedefin"/>
          <w:rStyle w:val="Ancredenotedefin"/>
        </w:rPr>
        <w:endnoteReference w:id="173"/>
      </w:r>
      <w:r>
        <w:rPr/>
        <w:t>. Az Európai Uniónak ki kell használnia a nem formális</w:t>
      </w:r>
      <w:r>
        <w:rPr>
          <w:rStyle w:val="Ancredenotedefin"/>
          <w:rStyle w:val="Ancredenotedefin"/>
        </w:rPr>
        <w:endnoteReference w:id="174"/>
      </w:r>
      <w:r>
        <w:rPr/>
        <w:t xml:space="preserve"> és informális tanulás, valamint az azt kínáló ifjúsági szervezetek, valamint a külföldön töltött tanulmányi időszakok elismerését is.</w:t>
      </w:r>
    </w:p>
    <w:p>
      <w:pPr>
        <w:pStyle w:val="Puce3"/>
        <w:tabs>
          <w:tab w:val="clear" w:pos="720"/>
        </w:tabs>
        <w:rPr/>
      </w:pPr>
      <w:r>
        <w:rPr/>
        <w:t>2.</w:t>
        <w:tab/>
        <w:t>Jövőálló, egész életen át tartó tanulás és oktatás kialakítása Európában – összhangban a mindenki számára elérhető munkahelyi képzéshez való joggal – a következő szempontokra összpontosítva:</w:t>
        <w:br/>
        <w:t>Állampolgári ismeretek oktatása a demokratikus folyamatokról és az uniós értékekről, valamint Európa történelméről</w:t>
      </w:r>
      <w:r>
        <w:rPr>
          <w:rStyle w:val="Ancredenotedefin"/>
          <w:rStyle w:val="Ancredenotedefin"/>
        </w:rPr>
        <w:endnoteReference w:id="175"/>
      </w:r>
      <w:r>
        <w:rPr/>
        <w:t>. Közös modult kell kialakítani, amelyet minden tagállamban tanítani kell. Az európai integráció folyamatának jobb megértése érdekében javítani kell a közgazdaságtan ismereteit is</w:t>
      </w:r>
      <w:r>
        <w:rPr>
          <w:rStyle w:val="Ancredenotedefin"/>
          <w:rStyle w:val="Ancredenotedefin"/>
        </w:rPr>
        <w:endnoteReference w:id="176"/>
      </w:r>
      <w:r>
        <w:rPr/>
        <w:t>.</w:t>
        <w:br/>
        <w:t>– Digitális készségek</w:t>
      </w:r>
      <w:r>
        <w:rPr>
          <w:rStyle w:val="Ancredenotedefin"/>
          <w:rStyle w:val="Ancredenotedefin"/>
        </w:rPr>
        <w:endnoteReference w:id="177"/>
      </w:r>
      <w:r>
        <w:rPr/>
        <w:t>.</w:t>
        <w:br/>
        <w:t>STIAM</w:t>
      </w:r>
      <w:r>
        <w:rPr>
          <w:rStyle w:val="Ancredenotedefin"/>
          <w:rStyle w:val="Ancredenotedefin"/>
        </w:rPr>
        <w:endnoteReference w:id="178"/>
      </w:r>
      <w:r>
        <w:rPr/>
        <w:br/>
        <w:t>– Vállalkozói szellem és kutatás.</w:t>
        <w:br/>
        <w:t>A kritikai gondolkodás fejlesztése. Javítani kell a médiaműveltséget az online biztonság garantálása, valamint annak érdekében, hogy valamennyi tagállam polgárai önállóan értékelhessék, hogy az információ hiteles-e vagy sem, valamint hogy az internet kínálta lehetőségek kihasználása mellett azonosítani tudják a hamis információkat. Ennek az oktatásnak magában kell foglalnia az alapfokú oktatás szintjén tartott speciális tanfolyamok szervezését, és azt más nyilvános terekben minden korosztály polgárai számára egy uniós szintű szakosodott testület égisze alatt kell kínálni, kihasználva az összes tagállamban létező bevált gyakorlatokat. Az EU-nak biztosítania kell, hogy a kifejezetten e tevékenységekre elkülönített forrásokat a tervezett célra használják fel</w:t>
      </w:r>
      <w:r>
        <w:rPr>
          <w:rStyle w:val="Ancredenotedefin"/>
          <w:rStyle w:val="Ancredenotedefin"/>
        </w:rPr>
        <w:endnoteReference w:id="179"/>
      </w:r>
      <w:r>
        <w:rPr/>
        <w:t>.</w:t>
        <w:br/>
        <w:t>a nem technikai készségek integrálása az iskolai tantervek minden kurzusába. A nem technikai kompetencia a következőket jelenti: kölcsönös hallgatás, párbeszéd, reziliencia, mások megértése, tisztelete és megbecsülése, kritikai gondolkodás, öntanulás, valamint kíváncsiság és eredményorientáltság</w:t>
      </w:r>
      <w:r>
        <w:rPr>
          <w:rStyle w:val="Ancredenotedefin"/>
          <w:rStyle w:val="Ancredenotedefin"/>
        </w:rPr>
        <w:endnoteReference w:id="180"/>
      </w:r>
      <w:r>
        <w:rPr/>
        <w:t>; Mindenkinek lehetőséget kell adni arra, hogy többet tudjon meg a környezeti fenntarthatóságról és annak az egészséggel való kapcsolatáról. A biológiai sokféleségnek kötelező tantárgynak kell lennie az iskolában. A programnak az iskolában kell kezdődnie az összes ökológiai kérdéssel foglalkozó konkrét témákkal, és magában kell foglalnia a releváns valós példák bemutatására irányuló kirándulásokat, mindezt egy finanszírozási program segítségével</w:t>
      </w:r>
      <w:r>
        <w:rPr>
          <w:rStyle w:val="Ancredenotedefin"/>
          <w:rStyle w:val="Ancredenotedefin"/>
        </w:rPr>
        <w:endnoteReference w:id="181"/>
      </w:r>
      <w:r>
        <w:rPr/>
        <w:t xml:space="preserve">. </w:t>
        <w:br/>
        <w:t>Az iskolai zaklatás és a rasszizmus elleni küzdelem.</w:t>
      </w:r>
    </w:p>
    <w:p>
      <w:pPr>
        <w:pStyle w:val="Puce3"/>
        <w:tabs>
          <w:tab w:val="clear" w:pos="720"/>
        </w:tabs>
        <w:rPr/>
      </w:pPr>
      <w:r>
        <w:rPr/>
        <w:t>3.</w:t>
        <w:tab/>
        <w:t>A tanárképzés támogatása a bevált gyakorlatokból való tanulás és a pedagógiai módszerek fejlődését tükröző, korszerű innovatív és kreatív tanítási technikák alkalmazása</w:t>
      </w:r>
      <w:r>
        <w:rPr>
          <w:rStyle w:val="Ancredenotedefin"/>
          <w:rStyle w:val="Ancredenotedefin"/>
        </w:rPr>
        <w:endnoteReference w:id="182"/>
      </w:r>
      <w:r>
        <w:rPr/>
        <w:t>érdekében, ideértve a gyakorlati tevékenységeket is, a Covid19-világjárványból és más típusú válságokból levonható tanulságokra építve, valamint a mobilitási lehetőségek előmozdítása érdekében</w:t>
      </w:r>
      <w:r>
        <w:rPr>
          <w:rStyle w:val="Ancredenotedefin"/>
          <w:rStyle w:val="Ancredenotedefin"/>
        </w:rPr>
        <w:endnoteReference w:id="183"/>
      </w:r>
      <w:r>
        <w:rPr/>
        <w:t>.</w:t>
      </w:r>
    </w:p>
    <w:p>
      <w:pPr>
        <w:pStyle w:val="Puce3"/>
        <w:tabs>
          <w:tab w:val="clear" w:pos="720"/>
        </w:tabs>
        <w:rPr/>
      </w:pPr>
      <w:r>
        <w:rPr/>
        <w:t>4.</w:t>
        <w:tab/>
        <w:t>A gyermekek és családok oktatási igényeinek kielégítése érdekében prioritásként kell kezelni a berendezésekhez való hozzáférést és a hatékony szélessávú összeköttetést</w:t>
      </w:r>
      <w:r>
        <w:rPr>
          <w:rStyle w:val="Ancredenotedefin"/>
          <w:rStyle w:val="Ancredenotedefin"/>
        </w:rPr>
        <w:endnoteReference w:id="184"/>
      </w:r>
      <w:r>
        <w:rPr/>
        <w:t>.</w:t>
      </w:r>
    </w:p>
    <w:p>
      <w:pPr>
        <w:pStyle w:val="Puce3"/>
        <w:tabs>
          <w:tab w:val="clear" w:pos="720"/>
        </w:tabs>
        <w:rPr/>
      </w:pPr>
      <w:r>
        <w:rPr/>
        <w:t>5.</w:t>
        <w:tab/>
        <w:t>Az ismeretek és tapasztalatok uniós szintű cseréjére szolgáló információs platform létrehozása az Unión belüli transznacionális oktatással és képzésekkel kapcsolatos információk megosztásával, a bevált gyakorlatok példáinak bemutatásával és a polgárok számára a határokon átnyúló információcserére vonatkozó új ötletek bemutatásának lehetőségével. Oktatóanyagot kell nyújtania az éghajlatváltozásról, a környezetvédelmi kérdésekről és a digitalizációról, valamint tájékoztatást kell nyújtania a fő témákkal foglalkozó, meglévő speciális fórumokról</w:t>
      </w:r>
      <w:r>
        <w:rPr>
          <w:rStyle w:val="Ancredenotedefin"/>
          <w:rStyle w:val="Ancredenotedefin"/>
        </w:rPr>
        <w:endnoteReference w:id="185"/>
      </w:r>
      <w:r>
        <w:rPr/>
        <w:t>. Ezt kiegészíthetné egy finanszírozási program, amely támogatja a platform információinak felhasználását és hasznosítását.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100" w:name="__RefHeading___Toc298374_1346298689"/>
      <w:bookmarkEnd w:id="100"/>
      <w:r>
        <w:rPr/>
        <w:t>47. Javaslat: Kérdések az európai fiatalokról</w:t>
      </w:r>
    </w:p>
    <w:p>
      <w:pPr>
        <w:pStyle w:val="P68B1DB1Normal15"/>
        <w:rPr>
          <w:b/>
          <w:b/>
        </w:rPr>
      </w:pPr>
      <w:r>
        <w:rPr/>
        <w:t>A cél: Az EU-nak és tagállamainak valamennyi vonatkozó szakpolitikában – beleértve az uniós regionális politikát is – a fiatalok sajátos igényeire kell összpontosítaniuk annak érdekében, hogy a lehető legjobb feltételeket biztosítsák számukra a tanuláshoz, a munkához és a független élet megkezdéséhez, miközben bevonják őket a demokratikus életbe és a döntéshozatali folyamatokba, többek között európai szinten is. Az ifjúsági szervezeteknek kulcsszerepük van. E cél elérése érdekében a következőket javasoljuk:</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Intézkedések:</w:t>
      </w:r>
    </w:p>
    <w:p>
      <w:pPr>
        <w:pStyle w:val="Puce3"/>
        <w:tabs>
          <w:tab w:val="clear" w:pos="720"/>
        </w:tabs>
        <w:rPr/>
      </w:pPr>
      <w:r>
        <w:rPr/>
        <w:t>1.</w:t>
        <w:tab/>
        <w:t>A fiatalok számára több lehetőséget kell biztosítani a demokratikus és döntéshozatali folyamatokban való részvételre és képviseletre minden szinten, és támogatniuk kell az e területen már létező programokat, többek között az iskolákban gyermekekkel (pl. 10–16 éves korig) foglalkozó civil panelek szervezése révén. Az európai képviselők iskoláikban találkozhatnának iskolásokkal annak érdekében, hogy a polgárok már fiatal kortól jobban megismerjék Európát</w:t>
      </w:r>
      <w:r>
        <w:rPr>
          <w:rStyle w:val="Ancredenotedefin"/>
          <w:rStyle w:val="Ancredenotedefin"/>
        </w:rPr>
        <w:endnoteReference w:id="186"/>
      </w:r>
      <w:r>
        <w:rPr/>
        <w:t>. Ahhoz, hogy valamennyi uniós szakpolitikai döntést a fiatalok szemszögéből elemezni lehessen, európai szintű „ifjúsági tesztet” kell kidolgozni annak biztosítása érdekében, hogy minden új szakpolitikai és jogalkotási javaslatot ifjúsági konzultációra is kiterjedő hatásvizsgálatnak vessenek alá.</w:t>
      </w:r>
    </w:p>
    <w:p>
      <w:pPr>
        <w:pStyle w:val="Puce3"/>
        <w:tabs>
          <w:tab w:val="clear" w:pos="720"/>
        </w:tabs>
        <w:rPr/>
      </w:pPr>
      <w:r>
        <w:rPr/>
        <w:t>2.</w:t>
        <w:tab/>
        <w:t>Meg kell vitatni és mérlegelni kell az európai parlamenti választásokon 16 éves kortól történő szavazati jog megadását, valamint az állampolgári ismeretek oktatásának és az EU-nak a megerősítését. A nemzeti politikai pártoknak azt is biztosítaniuk kell, hogy a fiatalabb jelölteket felvegyék listájukra az európai parlamenti választásokra</w:t>
      </w:r>
      <w:r>
        <w:rPr>
          <w:rStyle w:val="Ancredenotedefin"/>
          <w:rStyle w:val="Ancredenotedefin"/>
        </w:rPr>
        <w:endnoteReference w:id="187"/>
      </w:r>
      <w:r>
        <w:rPr/>
        <w:t>.</w:t>
      </w:r>
    </w:p>
    <w:p>
      <w:pPr>
        <w:pStyle w:val="Puce3"/>
        <w:tabs>
          <w:tab w:val="clear" w:pos="720"/>
        </w:tabs>
        <w:rPr/>
      </w:pPr>
      <w:r>
        <w:rPr/>
        <w:t>3.</w:t>
        <w:tab/>
        <w:t>Jobban felkészíti a fiatalokat a munkaerő-felvételre, lehetőséget ad a középiskolás diákoknak (12 éves kortól) arra, hogy részt vegyenek a nonprofit és nonprofit szervezetek minőségi megfigyelő látogatásain, szoros együttműködésben az iskolák, a helyi hatóságok, valamint az érintett szervezetek és vállalkozások között</w:t>
      </w:r>
      <w:r>
        <w:rPr>
          <w:rStyle w:val="Ancredenotedefin"/>
          <w:rStyle w:val="Ancredenotedefin"/>
        </w:rPr>
        <w:endnoteReference w:id="188"/>
      </w:r>
      <w:r>
        <w:rPr/>
        <w:t>. Ezeket a látogatásokat egy szélesebb körű pályaorientációs folyamat részének kell tekinteni a formális oktatásban annak érdekében, hogy a fiatalok első alkalommal kapcsolatba léphessenek a munka világával annak érdekében, hogy szakmai döntéseiket irányíthassák és/vagy vállalkozóvá válhassanak.</w:t>
      </w:r>
    </w:p>
    <w:p>
      <w:pPr>
        <w:pStyle w:val="Puce3"/>
        <w:tabs>
          <w:tab w:val="clear" w:pos="720"/>
        </w:tabs>
        <w:rPr/>
      </w:pPr>
      <w:r>
        <w:rPr/>
        <w:t>4.</w:t>
        <w:tab/>
        <w:t>A Next Generation EU keretében nagyobb uniós finanszírozást kell fordítani a megerősített európai ifjúsági garancia végrehajtására is, beleértve a fokozott szerepvállalást, a tudatosság növelését, az ellátás minőségének javítását, a finanszírozást és a fellépést valamennyi tagállam és az érintett hatóságok részéről. Mivel az ifjúsági szervezetek jobban képesek azonosítani a fiatalok szükségleteit, a nemzeti kormányoknak szoros párbeszéd keretében szorosan együtt kell működniük az ifjúsági szervezetekkel az ifjúsági garancia leghatékonyabb végrehajtásának biztosítása érdekében.</w:t>
      </w:r>
    </w:p>
    <w:p>
      <w:pPr>
        <w:pStyle w:val="Puce3"/>
        <w:tabs>
          <w:tab w:val="clear" w:pos="720"/>
        </w:tabs>
        <w:rPr/>
      </w:pPr>
      <w:r>
        <w:rPr/>
        <w:t>5.</w:t>
        <w:tab/>
        <w:t>Annak biztosítása, hogy a fiatalok szakmai gyakorlatai és munkahelyei megfeleljenek a minőségi előírásoknak, különösen a javadalmazás tekintetében, megszüntetve a fiatalok minimálbérét és az ifjúságspecifikus munkajog bármely más diszkriminatív rendelkezését, valamint jogi eszköz révén megtiltva a nem fizetett szakmai gyakorlatokat a munkaerőpiacon és a formális oktatáson kívül</w:t>
      </w:r>
      <w:r>
        <w:rPr>
          <w:rStyle w:val="Ancredenotedefin"/>
          <w:rStyle w:val="Ancredenotedefin"/>
        </w:rPr>
        <w:endnoteReference w:id="189"/>
      </w:r>
      <w:r>
        <w:rPr/>
        <w:t>.</w:t>
      </w:r>
    </w:p>
    <w:p>
      <w:pPr>
        <w:pStyle w:val="Puce3"/>
        <w:tabs>
          <w:tab w:val="clear" w:pos="720"/>
        </w:tabs>
        <w:rPr/>
      </w:pPr>
      <w:r>
        <w:rPr/>
        <w:t>6.</w:t>
        <w:tab/>
        <w:t>Ésszerű életszínvonal biztosítása a fiatalok számára, beleértve a szociális védelemhez és a lakhatáshoz való hozzáférést. A fiataloknak a többi korcsoporttal azonos szintű szociális védelemben kell részesülniük. A fiatalok megfizethető lakhatáshoz való hozzáférését is meg kell könnyíteni, többek között uniós finanszírozás révén</w:t>
      </w:r>
      <w:r>
        <w:rPr>
          <w:rStyle w:val="Ancredenotedefin"/>
          <w:rStyle w:val="Ancredenotedefin"/>
        </w:rPr>
        <w:endnoteReference w:id="190"/>
      </w:r>
      <w:r>
        <w:rPr/>
        <w:t>.</w:t>
      </w:r>
    </w:p>
    <w:p>
      <w:pPr>
        <w:pStyle w:val="Puce3"/>
        <w:tabs>
          <w:tab w:val="clear" w:pos="720"/>
        </w:tabs>
        <w:rPr/>
      </w:pPr>
      <w:r>
        <w:rPr/>
        <w:t>7.</w:t>
        <w:tab/>
        <w:t>Konkrét intézkedésekre van szükség annak megakadályozása érdekében, hogy az agyelszívás az Unión belüli egyes régiókból és országokból a fiatalok számára biztosított lehetőségek elégtelensége miatt elkerülhető legyen, ugyanakkor vonzóbbá tegye Európát az európai tehetségek és munkaerő harmadik országokba való elvándorlásának megakadályozására, a területi kohézió aláásásának elkerülése érdekében, különös tekintettel azokra a régiókra, amelyek – többek között uniós finanszírozás révén – jelentős mértékben veszítették el a fiatal tehetségeket</w:t>
      </w:r>
      <w:r>
        <w:rPr>
          <w:rStyle w:val="Ancredenotedefin"/>
          <w:rStyle w:val="Ancredenotedefin"/>
        </w:rPr>
        <w:endnoteReference w:id="191"/>
      </w:r>
      <w:r>
        <w:rPr/>
        <w:t>.</w:t>
      </w:r>
    </w:p>
    <w:p>
      <w:pPr>
        <w:pStyle w:val="Puce3"/>
        <w:tabs>
          <w:tab w:val="clear" w:pos="720"/>
        </w:tabs>
        <w:rPr/>
      </w:pPr>
      <w:r>
        <w:rPr/>
        <w:t>8.</w:t>
        <w:tab/>
        <w:t>Súlyos válság (pl. egészségügyi válság, háború) esetén a részletes forgatókönyveket tartalmazó, jól megtervezett terveket rugalmasan be kell vezetni annak érdekében, hogy a lehető legkisebbre csökkenjen az oktatásra, a szakképzésre, a munkaerőpiacra való átmenetre és a fiatalok mentális jólétére gyakorolt hatás</w:t>
      </w:r>
      <w:r>
        <w:rPr>
          <w:rStyle w:val="Ancredenotedefin"/>
          <w:rStyle w:val="Ancredenotedefin"/>
        </w:rPr>
        <w:endnoteReference w:id="192"/>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101" w:name="__RefHeading___Toc298376_1346298689"/>
      <w:bookmarkEnd w:id="101"/>
      <w:r>
        <w:rPr/>
        <w:t>48. Javaslat: Kultúra és cserék</w:t>
      </w:r>
    </w:p>
    <w:p>
      <w:pPr>
        <w:pStyle w:val="P68B1DB1Normal15"/>
        <w:rPr>
          <w:b/>
          <w:b/>
        </w:rPr>
      </w:pPr>
      <w:r>
        <w:rPr/>
        <w:t>A cél: A cserekultúra előmozdítása, valamint az európai identitás és sokszínűség különböző területeken való előmozdítása érdekében a tagállamoknak az Európai Unió segítségével:</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Intézkedések</w:t>
      </w:r>
      <w:r>
        <w:rPr>
          <w:rStyle w:val="Ancredenotedefin"/>
          <w:rStyle w:val="Ancredenotedefin"/>
          <w:b/>
        </w:rPr>
        <w:endnoteReference w:id="193"/>
      </w:r>
      <w:r>
        <w:rPr/>
        <w:t>:</w:t>
      </w:r>
    </w:p>
    <w:p>
      <w:pPr>
        <w:pStyle w:val="Puce3"/>
        <w:tabs>
          <w:tab w:val="clear" w:pos="720"/>
        </w:tabs>
        <w:rPr/>
      </w:pPr>
      <w:r>
        <w:rPr/>
        <w:t>1.</w:t>
        <w:tab/>
        <w:t>Az európai csereprogramok előmozdítása különböző területeken, mind fizikailag, mind digitálisan, beleértve az oktatási cseréket, az ikerintézményi együttműködést, az utazást és a szakmai mobilitást (különösen a tanárok és a helyi választott tisztviselők számára). Az ilyen cseréket életkortól, képzettségi szinttől, származástól és pénzügyi eszközöktől függetlenül valamennyi tagállamban mindenki számára hozzáférhetővé kell tenni</w:t>
      </w:r>
      <w:r>
        <w:rPr>
          <w:rStyle w:val="Ancredenotedefin"/>
          <w:rStyle w:val="Ancredenotedefin"/>
        </w:rPr>
        <w:endnoteReference w:id="194"/>
      </w:r>
      <w:r>
        <w:rPr/>
        <w:t>. E célból az Uniónak különösen meg kell erősítenie az uniós szinten már létező csere- és mobilitási programokat, például az Európai Szolidaritási Testületet, az Erasmus±t és a DiscoverEU-t, biztosítania kell az e programokban való szélesebb körű és diverzifikált részvételt, és mérlegelnie kell az olyan új elemek hozzáadását, mint például az önkéntesség által ösztönzött polgári szolgálat további célkitűzése (az Európai Szolidaritási Testület számára) és a „kulturális hozzáférési címek” (a DiscoverEU esetében). A Régiók Bizottsága égisze alatt a helyi és regionális önkormányzatoknak vezető szerepet kell játszaniuk ezen a területen.</w:t>
      </w:r>
    </w:p>
    <w:p>
      <w:pPr>
        <w:pStyle w:val="Puce3"/>
        <w:tabs>
          <w:tab w:val="clear" w:pos="720"/>
        </w:tabs>
        <w:rPr/>
      </w:pPr>
      <w:r>
        <w:rPr/>
        <w:t>2.</w:t>
        <w:tab/>
        <w:t>A többnyelvűség előmozdítása, mint kapu más kultúrákhoz már fiatal kortól. A regionális és kisebbségi nyelvek további védelmet igényelnek, figyelembe véve az Európa Tanács kisebbségi nyelvekről szóló egyezményét és a nemzeti kisebbségek védelméről szóló keretegyezményt. Az EU-nak fontolóra kellene vennie egy olyan intézmény létrehozását, amely európai szinten előmozdítaná a nyelvi sokszínűséget. A gyermekek számára elő kell írni, hogy az általános iskolából a lehető legmagasabb szinten szerezzenek készségeket a sajátjuktól eltérő aktív uniós nyelven. Annak érdekében, hogy az európai polgárok könnyebben kommunikálhassanak más európaiak szélesebb csoportjaival, valamint az európai kohézió tényezőjeként, a tagállamoknak ösztönözniük kell a határ menti régiókban közvetlenül határos uniós tagállamok nyelvének elsajátítását és az angol nyelvtudás megszerzését</w:t>
      </w:r>
      <w:r>
        <w:rPr>
          <w:rStyle w:val="Ancredenotedefin"/>
          <w:rStyle w:val="Ancredenotedefin"/>
        </w:rPr>
        <w:endnoteReference w:id="195"/>
      </w:r>
      <w:r>
        <w:rPr/>
        <w:t>.</w:t>
      </w:r>
    </w:p>
    <w:p>
      <w:pPr>
        <w:pStyle w:val="Puce3"/>
        <w:tabs>
          <w:tab w:val="clear" w:pos="720"/>
        </w:tabs>
        <w:rPr/>
      </w:pPr>
      <w:r>
        <w:rPr/>
        <w:t>3.</w:t>
        <w:tab/>
        <w:t>Lehetőségeket teremt az európai kultúrák megosztására, közelebb hozza egymáshoz a népeket és előmozdítja a közös európai identitást, például az összes célcsoportot bevonó és különböző helyszíneken zajló rendezvények és összejövetelek révén. Ilyen például a művészeti világnapok szervezése</w:t>
      </w:r>
      <w:r>
        <w:rPr>
          <w:rStyle w:val="Ancredenotedefin"/>
          <w:rStyle w:val="Ancredenotedefin"/>
        </w:rPr>
        <w:endnoteReference w:id="196"/>
      </w:r>
      <w:r>
        <w:rPr/>
        <w:t>, a pedagógiai eseményekkel egybekötött európai kiállítás vagy az Európa-nap (május 9.) hivatalos európai ünnepnapgá való átalakítása valamennyi uniós polgár számára</w:t>
      </w:r>
      <w:r>
        <w:rPr>
          <w:rStyle w:val="Ancredenotedefin"/>
          <w:rStyle w:val="Ancredenotedefin"/>
        </w:rPr>
        <w:endnoteReference w:id="197"/>
      </w:r>
      <w:r>
        <w:rPr/>
        <w:t>.</w:t>
      </w:r>
    </w:p>
    <w:p>
      <w:pPr>
        <w:pStyle w:val="Puce3"/>
        <w:tabs>
          <w:tab w:val="clear" w:pos="720"/>
        </w:tabs>
        <w:rPr/>
      </w:pPr>
      <w:r>
        <w:rPr/>
      </w:r>
    </w:p>
    <w:p>
      <w:pPr>
        <w:pStyle w:val="Puce3"/>
        <w:tabs>
          <w:tab w:val="clear" w:pos="720"/>
        </w:tabs>
        <w:rPr/>
      </w:pPr>
      <w:r>
        <w:rPr/>
        <w:t>4.</w:t>
        <w:tab/>
        <w:t>Az európai kulturális örökség és az európai kultúra védelme,</w:t>
      </w:r>
      <w:r>
        <w:rPr>
          <w:rStyle w:val="Ancredenotedefin"/>
          <w:rStyle w:val="Ancredenotedefin"/>
        </w:rPr>
        <w:endnoteReference w:id="198"/>
      </w:r>
      <w:r>
        <w:rPr/>
        <w:t>különösen a kulturális és termelési kérdések helyi és regionális sajátosságainak elismerése, az</w:t>
      </w:r>
      <w:r>
        <w:rPr>
          <w:rStyle w:val="Ancredenotedefin"/>
          <w:rStyle w:val="Ancredenotedefin"/>
        </w:rPr>
        <w:endnoteReference w:id="199"/>
      </w:r>
      <w:r>
        <w:rPr/>
        <w:t>annak megőrzésére és megünneplésére irányuló új kezdeményezések, a kulturális örökség cseréjét ösztönző mobilitás révén, valamint a meglévő intézkedések, például a Kreatív Európa, az Új Európai Bauhaus, a városok testvérvárosai és az Európa Kulturális Fővárosai program a fenntartható fejlődési célokkal összhangban történő előmozdítása révén.</w:t>
      </w:r>
    </w:p>
    <w:p>
      <w:pPr>
        <w:pStyle w:val="Puce3"/>
        <w:tabs>
          <w:tab w:val="clear" w:pos="720"/>
        </w:tabs>
        <w:rPr/>
      </w:pPr>
      <w:r>
        <w:rPr/>
        <w:t>5.</w:t>
        <w:tab/>
        <w:t>Hozzon intézkedéseket annak biztosítására, hogy a kulturális szakemberek uniós szinten megfelelő védelemben részesüljenek, különösen bármely jövőbeli válság esetén, európai szintű jogi statútum elfogadása révén.</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102" w:name="__RefHeading___Toc298378_1346298689"/>
      <w:bookmarkEnd w:id="102"/>
      <w:r>
        <w:rPr/>
        <w:t>49. Javaslat: Sport</w:t>
      </w:r>
    </w:p>
    <w:p>
      <w:pPr>
        <w:pStyle w:val="P68B1DB1Normal15"/>
        <w:rPr>
          <w:b/>
          <w:b/>
        </w:rPr>
      </w:pPr>
      <w:r>
        <w:rPr/>
        <w:t>A cél: A sport alapvető fontosságú társadalmaink számára – annak érdekében, hogy megvédjük értékeinket, egészséges életmódot és egészséges életkort vezessünk, előmozdítsuk a cserekultúrát, és ünnepeljük az európai örökség sokszínűségét. Ezért a tagállamoknak az Európai Unió segítségével arra kell törekedniük, hogy:</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Intézkedések:</w:t>
      </w:r>
    </w:p>
    <w:p>
      <w:pPr>
        <w:pStyle w:val="Puce3"/>
        <w:tabs>
          <w:tab w:val="clear" w:pos="720"/>
        </w:tabs>
        <w:rPr/>
      </w:pPr>
      <w:r>
        <w:rPr/>
        <w:t>1.</w:t>
        <w:tab/>
        <w:t>Hangsúlyozzák azokat az értékeket, különösen a nemek közötti egyenlőséget, a méltányosságot és a befogadást, amelyek az egész oktatási út során konkrétan tükröződhetnek a sportgyakorlatban.</w:t>
      </w:r>
    </w:p>
    <w:p>
      <w:pPr>
        <w:pStyle w:val="Puce3"/>
        <w:tabs>
          <w:tab w:val="clear" w:pos="720"/>
        </w:tabs>
        <w:rPr/>
      </w:pPr>
      <w:r>
        <w:rPr/>
        <w:t>2.</w:t>
        <w:tab/>
        <w:t>Felhívja a figyelmet a sport és a testmozgás egészségügyi előnyeire</w:t>
      </w:r>
      <w:r>
        <w:rPr>
          <w:rStyle w:val="Ancredenotedefin"/>
          <w:rStyle w:val="Ancredenotedefin"/>
        </w:rPr>
        <w:endnoteReference w:id="200"/>
      </w:r>
      <w:r>
        <w:rPr/>
        <w:t>.</w:t>
      </w:r>
    </w:p>
    <w:p>
      <w:pPr>
        <w:pStyle w:val="Puce3"/>
        <w:tabs>
          <w:tab w:val="clear" w:pos="720"/>
        </w:tabs>
        <w:rPr/>
      </w:pPr>
      <w:r>
        <w:rPr/>
        <w:t>3.</w:t>
        <w:tab/>
        <w:t>A sporttevékenységek integrálása az uniós szintű csere- és mobilitási programokba</w:t>
      </w:r>
      <w:r>
        <w:rPr>
          <w:rStyle w:val="Ancredenotedefin"/>
          <w:rStyle w:val="Ancredenotedefin"/>
        </w:rPr>
        <w:endnoteReference w:id="201"/>
      </w:r>
      <w:r>
        <w:rPr/>
        <w:t>200.</w:t>
      </w:r>
    </w:p>
    <w:p>
      <w:pPr>
        <w:pStyle w:val="Puce3"/>
        <w:tabs>
          <w:tab w:val="clear" w:pos="720"/>
        </w:tabs>
        <w:rPr/>
      </w:pPr>
      <w:r>
        <w:rPr/>
        <w:t>4.</w:t>
        <w:tab/>
        <w:t>A kulturális örökség előmozdítása és a sportbajnokok nem szakmai környezetben való támogatása érdekében javítsa a figyelmet nemcsak a szakmai és kereskedelmi sportokra, hanem a helyi és hagyományos sportokra is, amelyek az európai kulturális sokszínűség tanúi.</w:t>
      </w:r>
    </w:p>
    <w:p>
      <w:pPr>
        <w:pStyle w:val="Normal"/>
        <w:rPr/>
      </w:pPr>
      <w:r>
        <w:rPr/>
      </w:r>
    </w:p>
    <w:p>
      <w:pPr>
        <w:pStyle w:val="Puce3"/>
        <w:tabs>
          <w:tab w:val="clear" w:pos="720"/>
        </w:tabs>
        <w:rPr/>
      </w:pPr>
      <w:r>
        <w:rPr/>
        <w:t>5.</w:t>
        <w:tab/>
        <w:t>Ugyanakkor ösztönözze az európai identitás előmozdítását több Európán belüli sportesemény szervezésével, uniós</w:t>
      </w:r>
      <w:r>
        <w:rPr/>
        <w:commentReference w:id="0"/>
      </w:r>
      <w:r>
        <w:rPr/>
        <w:t>sportcsapatok létrehozásával, vagy európai zászlók vagy szimbólumok európai sporteseményeken való feltüntetésével.</w:t>
      </w:r>
    </w:p>
    <w:p>
      <w:pPr>
        <w:pStyle w:val="Puce3"/>
        <w:tabs>
          <w:tab w:val="clear" w:pos="720"/>
        </w:tabs>
        <w:rPr/>
      </w:pPr>
      <w:r>
        <w:rPr/>
        <w:t>6.</w:t>
        <w:tab/>
        <w:t>Fektessen be többet a kommunikációba, például az Európai Sporthétbe annak érdekében, hogy a polgárok Unió-szerte élvezhessék a kiemelkedő lehetőségeket.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1"/>
        <w:numPr>
          <w:ilvl w:val="0"/>
          <w:numId w:val="2"/>
        </w:numPr>
        <w:rPr/>
      </w:pPr>
      <w:bookmarkStart w:id="103" w:name="__RefHeading___Toc298380_1346298689"/>
      <w:bookmarkEnd w:id="103"/>
      <w:r>
        <w:rPr/>
        <w:t>Az Igazgatóság végső véleményei</w:t>
      </w:r>
    </w:p>
    <w:p>
      <w:pPr>
        <w:pStyle w:val="Normal"/>
        <w:rPr/>
      </w:pPr>
      <w:r>
        <w:rPr/>
      </w:r>
      <w:r>
        <w:br w:type="page"/>
      </w:r>
    </w:p>
    <w:p>
      <w:pPr>
        <w:pStyle w:val="Corpsdetexte"/>
        <w:rPr/>
      </w:pPr>
      <w:r>
        <w:rPr/>
        <w:t>Az Európa jövőjéről szóló konferencia elsődleges célja annak biztosítása volt, hogy az Európai Unió készen álljon a jelenlegi és jövőbeli kihívásokra azáltal, hogy lehetőséget ad a polgároknak aggodalmaik és törekvéseik kifejezésére, és a három intézmény, a nemzeti parlamentek és más érdekelt felek képviselőivel együttműködve iránymutatást nyújt a jövőre nézve. E cél elérése érdekében a konferenciának egy alulról felfelé építkező megközelítésen alapuló polgárközpontú gyakorlatnak kellett lennie, amely képes új teret teremteni Európa prioritásainak megvitatására és áttekintést adni arról, hogy mit várnak el a polgárok az Európai Uniótól.</w:t>
      </w:r>
    </w:p>
    <w:p>
      <w:pPr>
        <w:pStyle w:val="Corpsdetexte"/>
        <w:rPr/>
      </w:pPr>
      <w:r>
        <w:rPr/>
        <w:t>A konferencia valóban képes volt betölteni ezt a szerepet. Az élet minden területéről és az Unió minden szegletéből származó európai polgárok részt vettek a konferencián, és a következő plenáris üléssel együttműködve ajánlásokat tettek a polgári vitacsoportokból és javaslatokat tettek Európa jövőjéről, beleértve az Európai Parlament, a Tanács és az Európai Bizottság tagjait, valamint az összes nemzeti parlament, a Régiók Bizottsága, a regionális és helyi választott képviselők, az Európai Gazdasági és Szociális Bizottság, a szociális partnerek és a civil társadalom képviselőit, valamint más kulcsfontosságú szereplőket. Az ehhez a folyamathoz kifejlesztett eszközök és módszertan egyedülálló erőforráskészletet képeznek, amelyek alapul szolgálhatnak az uniós szintű polgári részvétellel és deliberatív demokráciával kapcsolatos jövőbeli gyakorlatokhoz.</w:t>
      </w:r>
    </w:p>
    <w:p>
      <w:pPr>
        <w:pStyle w:val="Corpsdetexte"/>
        <w:rPr/>
      </w:pPr>
      <w:r>
        <w:rPr/>
        <w:t>Az EU-n belüli számos eseménynek és vitának, az interaktív többnyelvű digitális platformnak, az európai és nemzeti polgári vitacsoportoknak, valamint a konferencia plenáris ülésének köszönhetően a konferencia most egy zárójelentést terjesztett elő, amely áttekintést nyújt az idén végzett munkáról, valamint a Közgyűlés által Európa jövőjéről tett javaslatokról. E javaslatokból egyértelműen kitűnik, hogy az EU-nak fel kell lépnie a zöld és digitális átállás sikere, Európa rezilienciájának és társadalmi szerződésének megerősítése érdekében, ugyanakkor foglalkoznia kell az egyenlőtlenségekkel, és biztosítania kell, hogy az Európai Unió igazságos, fenntartható, innovatív és versenyképes gazdaság legyen, amely senkit sem hagy hátra.</w:t>
      </w:r>
    </w:p>
    <w:p>
      <w:pPr>
        <w:pStyle w:val="Corpsdetexte"/>
        <w:rPr/>
      </w:pPr>
      <w:r>
        <w:rPr/>
        <w:t>A geopolitikai helyzet alakulása a konferencia során, és különösen az Ukrajna elleni orosz agressziós háború azt is megmutatta, hogy az EU-nak magabiztosabbá kell válnia, és vezető szerepet kell játszania a világ színpadán értékeinek és normáinak az egyre inkább megrázott világban történő előmozdításában.</w:t>
      </w:r>
    </w:p>
    <w:p>
      <w:pPr>
        <w:pStyle w:val="Corpsdetexte"/>
        <w:rPr/>
      </w:pPr>
      <w:r>
        <w:rPr/>
        <w:t>A konferencia egyértelmű iránymutatást adott ezeken a területeken, és a három uniós intézménynek most meg kell fontolnia, hogyan lehetne kezelni a megfogalmazott aggályokat, törekvéseket és elképzeléseket. E folyamat következő lépése a konferencia eredményein alapuló konkrét uniós intézkedések kidolgozása, amint azt e zárójelentés is megállapítja. Az uniós intézmények ezért a saját hatáskörükön belül és a Szerződésekkel összhangban megvizsgálják ezt a jelentést és annak nyomon követését. 2022 őszén nyomonkövetési rendezvényre kerül sor, amelynek célja, hogy tájékoztassa a polgárokat arról, hogy az intézmények hogyan fogják teljesíteni elkötelezettségüket annak biztosítása érdekében, hogy meghallgassák és kezükben tartsák Európa jövőjét.</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r>
    </w:p>
    <w:p>
      <w:pPr>
        <w:pStyle w:val="Normal"/>
        <w:rPr/>
      </w:pPr>
      <w:r>
        <w:rPr/>
      </w:r>
    </w:p>
    <w:p>
      <w:pPr>
        <w:pStyle w:val="Normal"/>
        <w:rPr/>
      </w:pPr>
      <w:r>
        <w:rPr/>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r>
      <w:r>
        <w:br w:type="page"/>
      </w:r>
    </w:p>
    <w:p>
      <w:pPr>
        <w:pStyle w:val="Normal"/>
        <w:spacing w:before="13610" w:after="57"/>
        <w:rPr/>
      </w:pPr>
      <w:r>
        <w:rPr/>
        <w:drawing>
          <wp:anchor behindDoc="0" distT="0" distB="0" distL="0" distR="0" simplePos="0" locked="0" layoutInCell="1" allowOverlap="1" relativeHeight="29">
            <wp:simplePos x="0" y="0"/>
            <wp:positionH relativeFrom="column">
              <wp:align>center</wp:align>
            </wp:positionH>
            <wp:positionV relativeFrom="paragraph">
              <wp:posOffset>635</wp:posOffset>
            </wp:positionV>
            <wp:extent cx="6120130" cy="8642350"/>
            <wp:effectExtent l="0" t="0" r="0" b="0"/>
            <wp:wrapSquare wrapText="largest"/>
            <wp:docPr id="70" name="Kép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Kép30" descr=""/>
                    <pic:cNvPicPr>
                      <a:picLocks noChangeAspect="1" noChangeArrowheads="1"/>
                    </pic:cNvPicPr>
                  </pic:nvPicPr>
                  <pic:blipFill>
                    <a:blip r:embed="rId82"/>
                    <a:stretch>
                      <a:fillRect/>
                    </a:stretch>
                  </pic:blipFill>
                  <pic:spPr bwMode="auto">
                    <a:xfrm>
                      <a:off x="0" y="0"/>
                      <a:ext cx="6120130" cy="8642350"/>
                    </a:xfrm>
                    <a:prstGeom prst="rect">
                      <a:avLst/>
                    </a:prstGeom>
                  </pic:spPr>
                </pic:pic>
              </a:graphicData>
            </a:graphic>
          </wp:anchor>
        </w:drawing>
      </w:r>
      <w:r>
        <w:br w:type="page"/>
      </w:r>
    </w:p>
    <w:p>
      <w:pPr>
        <w:pStyle w:val="Titre1"/>
        <w:numPr>
          <w:ilvl w:val="0"/>
          <w:numId w:val="2"/>
        </w:numPr>
        <w:rPr/>
      </w:pPr>
      <w:bookmarkStart w:id="104" w:name="__RefHeading___Toc297141_1346298689"/>
      <w:bookmarkEnd w:id="104"/>
      <w:r>
        <w:rPr/>
        <w:t>I. melléklet – A négy európai polgári vitacsoport ajánlásai</w:t>
      </w:r>
    </w:p>
    <w:p>
      <w:pPr>
        <w:pStyle w:val="Normal"/>
        <w:widowControl w:val="false"/>
        <w:spacing w:lineRule="exact" w:line="412"/>
        <w:ind w:left="0" w:right="0" w:hanging="0"/>
        <w:jc w:val="left"/>
        <w:rPr>
          <w:rFonts w:ascii="Arial" w:hAnsi="Arial"/>
          <w:b/>
          <w:b/>
          <w:color w:val="000000"/>
          <w:sz w:val="24"/>
        </w:rPr>
      </w:pPr>
      <w:r>
        <w:rPr>
          <w:b/>
          <w:color w:val="000000"/>
          <w:sz w:val="24"/>
        </w:rPr>
        <w:drawing>
          <wp:anchor behindDoc="0" distT="0" distB="0" distL="0" distR="0" simplePos="0" locked="0" layoutInCell="1" allowOverlap="1" relativeHeight="31">
            <wp:simplePos x="0" y="0"/>
            <wp:positionH relativeFrom="column">
              <wp:posOffset>0</wp:posOffset>
            </wp:positionH>
            <wp:positionV relativeFrom="paragraph">
              <wp:posOffset>126365</wp:posOffset>
            </wp:positionV>
            <wp:extent cx="4378325" cy="5307330"/>
            <wp:effectExtent l="0" t="0" r="0" b="0"/>
            <wp:wrapTopAndBottom/>
            <wp:docPr id="71" name="Kép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Kép31" descr=""/>
                    <pic:cNvPicPr>
                      <a:picLocks noChangeAspect="1" noChangeArrowheads="1"/>
                    </pic:cNvPicPr>
                  </pic:nvPicPr>
                  <pic:blipFill>
                    <a:blip r:embed="rId83"/>
                    <a:stretch>
                      <a:fillRect/>
                    </a:stretch>
                  </pic:blipFill>
                  <pic:spPr bwMode="auto">
                    <a:xfrm>
                      <a:off x="0" y="0"/>
                      <a:ext cx="4378325" cy="5307330"/>
                    </a:xfrm>
                    <a:prstGeom prst="rect">
                      <a:avLst/>
                    </a:prstGeom>
                  </pic:spPr>
                </pic:pic>
              </a:graphicData>
            </a:graphic>
          </wp:anchor>
        </w:drawing>
      </w:r>
      <w:r>
        <w:br w:type="page"/>
      </w:r>
    </w:p>
    <w:p>
      <w:pPr>
        <w:pStyle w:val="Normal"/>
        <w:rPr/>
      </w:pPr>
      <w:r>
        <w:rPr/>
        <mc:AlternateContent>
          <mc:Choice Requires="wps">
            <w:drawing>
              <wp:anchor behindDoc="0" distT="72390" distB="72390" distL="72390" distR="72390" simplePos="0" locked="0" layoutInCell="1" allowOverlap="1" relativeHeight="32">
                <wp:simplePos x="0" y="0"/>
                <wp:positionH relativeFrom="column">
                  <wp:posOffset>128270</wp:posOffset>
                </wp:positionH>
                <wp:positionV relativeFrom="paragraph">
                  <wp:posOffset>2223770</wp:posOffset>
                </wp:positionV>
                <wp:extent cx="4250690" cy="3210560"/>
                <wp:effectExtent l="0" t="0" r="0" b="0"/>
                <wp:wrapTopAndBottom/>
                <wp:docPr id="72" name="Keretrendszer13"/>
                <a:graphic xmlns:a="http://schemas.openxmlformats.org/drawingml/2006/main">
                  <a:graphicData uri="http://schemas.microsoft.com/office/word/2010/wordprocessingShape">
                    <wps:wsp>
                      <wps:cNvSpPr/>
                      <wps:spPr>
                        <a:xfrm>
                          <a:off x="0" y="0"/>
                          <a:ext cx="4250160" cy="3209760"/>
                        </a:xfrm>
                        <a:prstGeom prst="rect">
                          <a:avLst/>
                        </a:prstGeom>
                        <a:noFill/>
                        <a:ln>
                          <a:noFill/>
                        </a:ln>
                      </wps:spPr>
                      <wps:style>
                        <a:lnRef idx="0"/>
                        <a:fillRef idx="0"/>
                        <a:effectRef idx="0"/>
                        <a:fontRef idx="minor"/>
                      </wps:style>
                      <wps:txbx>
                        <w:txbxContent>
                          <w:p>
                            <w:pPr>
                              <w:pStyle w:val="P68B1DB1Normal16"/>
                              <w:spacing w:before="57" w:after="57"/>
                              <w:rPr>
                                <w:color w:val="FFFFFF"/>
                                <w:sz w:val="72"/>
                              </w:rPr>
                            </w:pPr>
                            <w:r>
                              <w:rPr/>
                              <w:t xml:space="preserve">Konferencia a következőről: </w:t>
                            </w:r>
                          </w:p>
                          <w:p>
                            <w:pPr>
                              <w:pStyle w:val="P68B1DB1Normal16"/>
                              <w:rPr>
                                <w:color w:val="FFFFFF"/>
                                <w:sz w:val="72"/>
                              </w:rPr>
                            </w:pPr>
                            <w:r>
                              <w:rPr/>
                              <w:t xml:space="preserve">Európa jövője </w:t>
                            </w:r>
                          </w:p>
                          <w:p>
                            <w:pPr>
                              <w:pStyle w:val="P68B1DB1Normal17"/>
                              <w:rPr>
                                <w:color w:val="FFFFFF"/>
                              </w:rPr>
                            </w:pPr>
                            <w:r>
                              <w:rPr/>
                              <w:t xml:space="preserve"> </w:t>
                            </w:r>
                            <w:r>
                              <w:rPr/>
                              <w:t>Az Európai</w:t>
                            </w:r>
                            <w:r>
                              <w:rPr>
                                <w:sz w:val="32"/>
                              </w:rPr>
                              <w:t xml:space="preserve">Polgárok Fóruma: Erősebb gazdaság, társadalmi igazságosság és foglalkoztatás/Oktatás, kultúra, ifjúság és sport/digitális átalakulás </w:t>
                            </w:r>
                          </w:p>
                          <w:p>
                            <w:pPr>
                              <w:pStyle w:val="P68B1DB1Normal17"/>
                              <w:rPr>
                                <w:color w:val="FFFFFF"/>
                              </w:rPr>
                            </w:pPr>
                            <w:r>
                              <w:rPr/>
                              <w:t xml:space="preserve"> </w:t>
                            </w:r>
                          </w:p>
                          <w:p>
                            <w:pPr>
                              <w:pStyle w:val="P68B1DB1Normal17"/>
                              <w:rPr>
                                <w:color w:val="FFFFFF"/>
                              </w:rPr>
                            </w:pPr>
                            <w:r>
                              <w:rPr/>
                              <w:t>Ajánlások</w:t>
                            </w:r>
                          </w:p>
                          <w:p>
                            <w:pPr>
                              <w:pStyle w:val="P68B1DB1Normal17"/>
                              <w:rPr>
                                <w:color w:val="FFFFFF"/>
                              </w:rPr>
                            </w:pPr>
                            <w:r>
                              <w:rPr/>
                              <w:t xml:space="preserve"> </w:t>
                            </w:r>
                            <w:r>
                              <w:rPr/>
                              <w:t>Fényképek © Európai Unió, 2021 – EP/Kenton Thatcher</w:t>
                            </w:r>
                          </w:p>
                          <w:p>
                            <w:pPr>
                              <w:pStyle w:val="Normal"/>
                              <w:spacing w:before="57" w:after="57"/>
                              <w:rPr/>
                            </w:pPr>
                            <w:r>
                              <w:rPr/>
                            </w:r>
                          </w:p>
                        </w:txbxContent>
                      </wps:txbx>
                      <wps:bodyPr lIns="54000" rIns="54000" tIns="54000" bIns="54000">
                        <a:noAutofit/>
                      </wps:bodyPr>
                    </wps:wsp>
                  </a:graphicData>
                </a:graphic>
              </wp:anchor>
            </w:drawing>
          </mc:Choice>
          <mc:Fallback>
            <w:pict>
              <v:rect id="shape_0" ID="Keretrendszer13" fillcolor="white" stroked="f" style="position:absolute;margin-left:10.1pt;margin-top:175.1pt;width:334.6pt;height:252.7pt">
                <w10:wrap type="square"/>
                <v:fill o:detectmouseclick="t" type="solid" color2="black" opacity="0"/>
                <v:stroke color="#3465a4" joinstyle="round" endcap="flat"/>
                <v:textbox>
                  <w:txbxContent>
                    <w:p>
                      <w:pPr>
                        <w:pStyle w:val="P68B1DB1Normal16"/>
                        <w:spacing w:before="57" w:after="57"/>
                        <w:rPr>
                          <w:color w:val="FFFFFF"/>
                          <w:sz w:val="72"/>
                        </w:rPr>
                      </w:pPr>
                      <w:r>
                        <w:rPr/>
                        <w:t xml:space="preserve">Konferencia a következőről: </w:t>
                      </w:r>
                    </w:p>
                    <w:p>
                      <w:pPr>
                        <w:pStyle w:val="P68B1DB1Normal16"/>
                        <w:rPr>
                          <w:color w:val="FFFFFF"/>
                          <w:sz w:val="72"/>
                        </w:rPr>
                      </w:pPr>
                      <w:r>
                        <w:rPr/>
                        <w:t xml:space="preserve">Európa jövője </w:t>
                      </w:r>
                    </w:p>
                    <w:p>
                      <w:pPr>
                        <w:pStyle w:val="P68B1DB1Normal17"/>
                        <w:rPr>
                          <w:color w:val="FFFFFF"/>
                        </w:rPr>
                      </w:pPr>
                      <w:r>
                        <w:rPr/>
                        <w:t xml:space="preserve"> </w:t>
                      </w:r>
                      <w:r>
                        <w:rPr/>
                        <w:t>Az Európai</w:t>
                      </w:r>
                      <w:r>
                        <w:rPr>
                          <w:sz w:val="32"/>
                        </w:rPr>
                        <w:t xml:space="preserve">Polgárok Fóruma: Erősebb gazdaság, társadalmi igazságosság és foglalkoztatás/Oktatás, kultúra, ifjúság és sport/digitális átalakulás </w:t>
                      </w:r>
                    </w:p>
                    <w:p>
                      <w:pPr>
                        <w:pStyle w:val="P68B1DB1Normal17"/>
                        <w:rPr>
                          <w:color w:val="FFFFFF"/>
                        </w:rPr>
                      </w:pPr>
                      <w:r>
                        <w:rPr/>
                        <w:t xml:space="preserve"> </w:t>
                      </w:r>
                    </w:p>
                    <w:p>
                      <w:pPr>
                        <w:pStyle w:val="P68B1DB1Normal17"/>
                        <w:rPr>
                          <w:color w:val="FFFFFF"/>
                        </w:rPr>
                      </w:pPr>
                      <w:r>
                        <w:rPr/>
                        <w:t>Ajánlások</w:t>
                      </w:r>
                    </w:p>
                    <w:p>
                      <w:pPr>
                        <w:pStyle w:val="P68B1DB1Normal17"/>
                        <w:rPr>
                          <w:color w:val="FFFFFF"/>
                        </w:rPr>
                      </w:pPr>
                      <w:r>
                        <w:rPr/>
                        <w:t xml:space="preserve"> </w:t>
                      </w:r>
                      <w:r>
                        <w:rPr/>
                        <w:t>Fényképek © Európai Unió, 2021 – EP/Kenton Thatcher</w:t>
                      </w:r>
                    </w:p>
                    <w:p>
                      <w:pPr>
                        <w:pStyle w:val="Normal"/>
                        <w:spacing w:before="57" w:after="57"/>
                        <w:rPr/>
                      </w:pPr>
                      <w:r>
                        <w:rPr/>
                      </w:r>
                    </w:p>
                  </w:txbxContent>
                </v:textbox>
              </v:rect>
            </w:pict>
          </mc:Fallback>
        </mc:AlternateContent>
      </w:r>
    </w:p>
    <w:p>
      <w:pPr>
        <w:pStyle w:val="Titre2"/>
        <w:numPr>
          <w:ilvl w:val="1"/>
          <w:numId w:val="2"/>
        </w:numPr>
        <w:rPr/>
      </w:pPr>
      <w:bookmarkStart w:id="105" w:name="__RefHeading___Toc297143_1346298689"/>
      <w:bookmarkEnd w:id="105"/>
      <w:r>
        <w:rPr/>
        <w:t xml:space="preserve">Az Európai Polgárok Fóruma: Erősebb gazdaság, társadalmi igazságosság és foglalkoztatás/Oktatás, kultúra, ifjúság és sport/digitális átalakulás </w:t>
      </w:r>
    </w:p>
    <w:p>
      <w:pPr>
        <w:pStyle w:val="P68B1DB1Normal18"/>
        <w:widowControl w:val="false"/>
        <w:spacing w:lineRule="exact" w:line="468"/>
        <w:ind w:left="425" w:right="0" w:hanging="0"/>
        <w:jc w:val="left"/>
        <w:rPr/>
      </w:pPr>
      <w:r>
        <w:rPr>
          <w:b/>
          <w:color w:val="1C4587"/>
        </w:rPr>
        <w:t>A TESTÜLET ÁLTAL ELFOGADOTT AJÁNLÁSOK (A PLENÁRIS ÜLÉS ELÉ TERJESZTENDŐ)</w:t>
      </w:r>
      <w:r>
        <w:rPr>
          <w:color w:val="000000"/>
        </w:rPr>
        <w:t xml:space="preserve"> </w:t>
      </w:r>
    </w:p>
    <w:p>
      <w:pPr>
        <w:pStyle w:val="Titre3"/>
        <w:numPr>
          <w:ilvl w:val="2"/>
          <w:numId w:val="2"/>
        </w:numPr>
        <w:rPr/>
      </w:pPr>
      <w:bookmarkStart w:id="106" w:name="__RefHeading___Toc297145_1346298689"/>
      <w:bookmarkEnd w:id="106"/>
      <w:r>
        <w:rPr/>
        <w:t xml:space="preserve">1. tengely: Munka Európában </w:t>
      </w:r>
    </w:p>
    <w:p>
      <w:pPr>
        <w:pStyle w:val="Titre4"/>
        <w:numPr>
          <w:ilvl w:val="3"/>
          <w:numId w:val="2"/>
        </w:numPr>
        <w:rPr/>
      </w:pPr>
      <w:bookmarkStart w:id="107" w:name="__RefHeading___Toc297147_1346298689"/>
      <w:bookmarkEnd w:id="107"/>
      <w:r>
        <w:rPr/>
        <w:t xml:space="preserve">Altengely: Munkaerőpiac </w:t>
      </w:r>
    </w:p>
    <w:p>
      <w:pPr>
        <w:pStyle w:val="P68B1DB1Normal15"/>
        <w:rPr>
          <w:b/>
          <w:b/>
        </w:rPr>
      </w:pPr>
      <w:r>
        <w:rPr/>
        <w:t xml:space="preserve">1. Javasoljuk a minimálbér bevezetését annak érdekében, hogy minden tagállamban hasonló életminőséget lehessen biztosítani. Tisztában vagyunk az életmód összehangolására irányuló uniós irányelv (COM(2020) 682) keretében tett folyamatos erőfeszítésekkel. A minimálbérnek minimális nettó jövedelmet kell biztosítania egy alapvető cél elérése érdekében: minden rászorulónak magasabb jövedelemmel kell rendelkeznie. A minimálbérnek a következő szempontokat kell figyelembe vennie: </w:t>
      </w:r>
    </w:p>
    <w:p>
      <w:pPr>
        <w:pStyle w:val="P68B1DB1Normal15"/>
        <w:rPr>
          <w:b/>
          <w:b/>
        </w:rPr>
      </w:pPr>
      <w:r>
        <w:rPr/>
        <w:t xml:space="preserve">● </w:t>
      </w:r>
      <w:r>
        <w:rPr/>
        <w:t xml:space="preserve">az EU-nak biztosítania kell annak hatékony végrehajtását, mivel jelenleg nem minden tagállam alkalmazza megfelelően a munkavállalók védelmét; </w:t>
      </w:r>
    </w:p>
    <w:p>
      <w:pPr>
        <w:pStyle w:val="P68B1DB1Normal15"/>
        <w:rPr>
          <w:b/>
          <w:b/>
        </w:rPr>
      </w:pPr>
      <w:r>
        <w:rPr/>
        <w:t xml:space="preserve">● </w:t>
      </w:r>
      <w:r>
        <w:rPr/>
        <w:t xml:space="preserve">különös figyelmet kell fordítani az életszínvonal javulásának nyomon követésére; </w:t>
      </w:r>
    </w:p>
    <w:p>
      <w:pPr>
        <w:pStyle w:val="Normal"/>
        <w:rPr/>
      </w:pPr>
      <w:r>
        <w:rPr>
          <w:b/>
        </w:rPr>
        <w:t xml:space="preserve">● </w:t>
      </w:r>
      <w:r>
        <w:rPr>
          <w:b/>
        </w:rPr>
        <w:t>a minimálbérnek figyelembe kell vennie a különböző országok vásárlóerejét. Rendszeres felülvizsgálati eljárásra van szükség a megélhetési költségek változásaihoz (pl. az infláció figyelembevétele) való hozzáigazításhoz.</w:t>
      </w:r>
      <w:r>
        <w:rPr/>
        <w:t xml:space="preserve"> </w:t>
      </w:r>
    </w:p>
    <w:p>
      <w:pPr>
        <w:pStyle w:val="Normal"/>
        <w:rPr/>
      </w:pPr>
      <w:r>
        <w:rPr/>
        <w:t xml:space="preserve"> </w:t>
      </w:r>
    </w:p>
    <w:p>
      <w:pPr>
        <w:pStyle w:val="Normal"/>
        <w:rPr/>
      </w:pPr>
      <w:r>
        <w:rPr/>
        <w:t xml:space="preserve">Azért tesszük ezt az ajánlást, mert a minimálbér erősíti a társadalmi igazságosságot a munkaerőpiacon, és javítja a munkavállalók konkrét életkörülményeit valamennyi tagállamban, ami különösen fontos a gyorsan változó munkakörnyezetben, például a digitalizáció miatt. </w:t>
      </w:r>
    </w:p>
    <w:p>
      <w:pPr>
        <w:pStyle w:val="Normal"/>
        <w:rPr/>
      </w:pPr>
      <w:r>
        <w:rPr/>
        <w:t xml:space="preserve"> </w:t>
      </w:r>
    </w:p>
    <w:p>
      <w:pPr>
        <w:pStyle w:val="P68B1DB1Normal15"/>
        <w:rPr>
          <w:b/>
          <w:b/>
        </w:rPr>
      </w:pPr>
      <w:r>
        <w:rPr/>
        <w:t xml:space="preserve">2. Már létezik uniós jogalkotási aktus (a munkaidőről szóló 2003/88/EK irányelv), de ez nem elegendő a munka és a magánélet közötti egészséges egyensúly biztosításához. Első lépésként javasoljuk a meglévő keret felülvizsgálatát annak biztosítása érdekében, hogy az a jelenlegi körülményekhez igazodjon. Másodszor, az EU-nak szigorúbb ellenőrzési mechanizmust kell bevezetnie annak érdekében, hogy valamennyi tagállamban biztosítsa annak végrehajtását. Különös figyelmet kell fordítani a különböző ágazatokra, ahol a stressz és a teher szintje pszichológiailag és fizikailag egyaránt eltérő. Ugyanakkor más ágazatok attól is függnek, hogy munkavállalóik nagyobb rugalmassággal tudnak alkalmazkodni a vállalatok sajátos igényeihez. </w:t>
      </w:r>
    </w:p>
    <w:p>
      <w:pPr>
        <w:pStyle w:val="Normal"/>
        <w:rPr/>
      </w:pPr>
      <w:r>
        <w:rPr/>
        <w:t xml:space="preserve">Ezt az ajánlást a munka és a magánélet közötti jobb egyensúly fontossága miatt tesszük. A munka és a magánélet közötti jobb egyensúly erősíti a társadalmi kohéziót, és hozzájárul a munkavállalók közötti egyenlő versenyfeltételek megteremtéséhez. Emellett pozitív hatással van a munkavállalók egyéni jólétére. </w:t>
      </w:r>
    </w:p>
    <w:p>
      <w:pPr>
        <w:pStyle w:val="Normal"/>
        <w:rPr/>
      </w:pPr>
      <w:r>
        <w:rPr/>
        <w:t xml:space="preserve"> </w:t>
      </w:r>
    </w:p>
    <w:p>
      <w:pPr>
        <w:pStyle w:val="Titre4"/>
        <w:numPr>
          <w:ilvl w:val="3"/>
          <w:numId w:val="2"/>
        </w:numPr>
        <w:rPr/>
      </w:pPr>
      <w:bookmarkStart w:id="108" w:name="__RefHeading___Toc297151_1346298689"/>
      <w:bookmarkEnd w:id="108"/>
      <w:r>
        <w:rPr/>
        <w:t xml:space="preserve">Altengely: Ifjúság és foglalkoztatás </w:t>
      </w:r>
    </w:p>
    <w:p>
      <w:pPr>
        <w:pStyle w:val="Normal"/>
        <w:rPr/>
      </w:pPr>
      <w:r>
        <w:rPr/>
        <w:t xml:space="preserve"> </w:t>
      </w:r>
    </w:p>
    <w:p>
      <w:pPr>
        <w:pStyle w:val="P68B1DB1Normal15"/>
        <w:rPr>
          <w:b/>
          <w:b/>
        </w:rPr>
      </w:pPr>
      <w:r>
        <w:rPr/>
        <w:t xml:space="preserve">3. Javasoljuk, hogy harmonizálják a különböző oktatási programok szintjét az EU-ban, és fogadják el a nemzeti tartalmakat. Ezért azt javasoljuk, hogy valamennyi uniós tagállamban érvényesítsék és kölcsönösen ismerjék el valamennyi szakmai diplomát. </w:t>
      </w:r>
    </w:p>
    <w:p>
      <w:pPr>
        <w:pStyle w:val="Normal"/>
        <w:rPr/>
      </w:pPr>
      <w:r>
        <w:rPr/>
        <w:t xml:space="preserve"> </w:t>
      </w:r>
    </w:p>
    <w:p>
      <w:pPr>
        <w:pStyle w:val="Normal"/>
        <w:rPr/>
      </w:pPr>
      <w:r>
        <w:rPr/>
        <w:t xml:space="preserve">Azért tesszük ezt az ajánlást, mert meg akarjuk könnyíteni az európai munkaerő mobilitását és csökkenteni akarjuk az adminisztratív terheket. </w:t>
      </w:r>
    </w:p>
    <w:p>
      <w:pPr>
        <w:pStyle w:val="Normal"/>
        <w:rPr/>
      </w:pPr>
      <w:r>
        <w:rPr/>
      </w:r>
    </w:p>
    <w:p>
      <w:pPr>
        <w:pStyle w:val="P68B1DB1Normal15"/>
        <w:rPr>
          <w:b/>
          <w:b/>
        </w:rPr>
      </w:pPr>
      <w:r>
        <w:rPr/>
        <w:t xml:space="preserve">4. Javasoljuk, hogy a középiskolások (12 éves kortól) kapjanak áttekintést jövőbeli munkaerőpiacukról, lehetőséget biztosítva számukra, hogy részt vegyenek a nonprofit és nonprofit szervezeteknél tett minőségi megfigyelő látogatásokon. Javasoljuk, hogy ösztönözze a vállalatokat, hogy üdvözöljék a hallgatókat a megfigyelési gyakorlatokon azáltal, hogy támogatást nyújtanak nekik. A kevesebb lehetőséggel rendelkező távoli területeken a helyi iskoláknak, a hatóságoknak, a szervezeteknek és a vállalkozásoknak szorosan együtt kell működniük annak biztosítása érdekében, hogy ezek a megfigyelő látogatások is rendelkezésre álljanak. </w:t>
      </w:r>
    </w:p>
    <w:p>
      <w:pPr>
        <w:pStyle w:val="Normal"/>
        <w:rPr/>
      </w:pPr>
      <w:r>
        <w:rPr/>
        <w:t xml:space="preserve"> </w:t>
      </w:r>
    </w:p>
    <w:p>
      <w:pPr>
        <w:pStyle w:val="Normal"/>
        <w:rPr/>
      </w:pPr>
      <w:r>
        <w:rPr/>
        <w:t xml:space="preserve">Azért tesszük ezt az ajánlást, mert azt akarjuk, hogy a fiatalok képet kapjanak a munkaerőpiac által kínált különböző lehetőségekről, hogy jobban megválaszthassák tanulmányaikat és jövőbeli munkájukat, és megértsék a megfelelő oktatás kiválasztásának fontosságát. Megtanítaná őket a felelősségérzetre és a munkaerőpiac iránti tiszteletre, és segítené őket abban, hogy beilleszkedjenek a munkaerőpiacra, és mindenki számára előnyösek legyenek. </w:t>
      </w:r>
    </w:p>
    <w:p>
      <w:pPr>
        <w:pStyle w:val="Normal"/>
        <w:rPr/>
      </w:pPr>
      <w:r>
        <w:rPr/>
        <w:t xml:space="preserve"> </w:t>
      </w:r>
    </w:p>
    <w:p>
      <w:pPr>
        <w:pStyle w:val="P68B1DB1Normal15"/>
        <w:rPr>
          <w:b/>
          <w:b/>
        </w:rPr>
      </w:pPr>
      <w:r>
        <w:rPr/>
        <w:t xml:space="preserve">5. Javasoljuk, hogy a nem technikai készségek gyakorlatát minden iskolai tantervi kurzusba integrálják. A nem technikai készségek alatt azt értjük, hogy: kölcsönös hallgatás, párbeszéd, reziliencia, mások megértése, tisztelete és megbecsülése, kritikai gondolkodás, öntanulás és kíváncsiság és eredményorientáltság. A tanárokat a szociális munkásokkal és/vagy pszichológusokkal való szoros együttműködés révén ki kell képezni e készségek átadására. Egyéb végrehajtási javaslatok: diákcsereprogramok szervezése az iskolák között, részvétel az iskolák közötti sport- és kulturális eseményeken stb. </w:t>
      </w:r>
    </w:p>
    <w:p>
      <w:pPr>
        <w:pStyle w:val="Normal"/>
        <w:rPr/>
      </w:pPr>
      <w:r>
        <w:rPr/>
        <w:t xml:space="preserve"> </w:t>
      </w:r>
    </w:p>
    <w:p>
      <w:pPr>
        <w:pStyle w:val="Normal"/>
        <w:rPr/>
      </w:pPr>
      <w:r>
        <w:rPr/>
        <w:t xml:space="preserve">Azért tesszük ezt az ajánlást, mert a nem technikai készségek olyan alapvető készségek, amelyek a digitális korban elvesznek, és amelyekre a fiataloknak feltétlenül szükségük lesz a jövőbeli életükben. Ezért ragaszkodunk ahhoz, hogy ezeket a készségeket integráljuk az iskolai tantervekbe, hogy segítsük a fiatalokat ellenállóvá tenni, és megelőzni vagy leküzdeni azokat a mentális problémákat, amelyekkel a jövőbeli életük során szembesülhetnek. A szociális készségek erősítik az emberek közötti kapcsolatokat, és ezáltal segítik az embereket abban, hogy megtalálják helyüket a társadalomban. </w:t>
      </w:r>
    </w:p>
    <w:p>
      <w:pPr>
        <w:pStyle w:val="Normal"/>
        <w:rPr/>
      </w:pPr>
      <w:r>
        <w:rPr/>
        <w:t xml:space="preserve"> </w:t>
      </w:r>
    </w:p>
    <w:p>
      <w:pPr>
        <w:pStyle w:val="P68B1DB1Normal15"/>
        <w:rPr>
          <w:b/>
          <w:b/>
        </w:rPr>
      </w:pPr>
      <w:r>
        <w:rPr/>
        <w:t xml:space="preserve">6. Azt javasoljuk, hogy súlyos válság (egészségügyi válság, háború stb.) esetén a jól megtervezett, részletes forgatókönyveket tartalmazó tervek legyenek készen arra, hogy rugalmasan bevezessenek a fiatalok oktatására, szakképzésére és mentális jólétére gyakorolt hatás minimalizálása érdekében. az oktatás vagy képzés költségeinek növekedése, a tanulmányok kötelező kiterjesztése, a szakmai gyakorlatok elvégzésének lehetetlensége, a mentális egészségügyi problémák növekedése. Ezeket a terveket úgy kell végrehajtani, hogy a lehető legkisebb legyen a fiatalokra gyakorolt hatás és a munkaerőpiacra való átmenetük. </w:t>
      </w:r>
    </w:p>
    <w:p>
      <w:pPr>
        <w:pStyle w:val="Normal"/>
        <w:rPr/>
      </w:pPr>
      <w:r>
        <w:rPr/>
        <w:t xml:space="preserve"> </w:t>
      </w:r>
    </w:p>
    <w:p>
      <w:pPr>
        <w:pStyle w:val="Normal"/>
        <w:rPr/>
      </w:pPr>
      <w:r>
        <w:rPr/>
        <w:t xml:space="preserve">Azért tesszük ezt az ajánlást, mert válság idején a fiatalok nagyon kiszolgáltatottak. </w:t>
      </w:r>
    </w:p>
    <w:p>
      <w:pPr>
        <w:pStyle w:val="Normal"/>
        <w:rPr/>
      </w:pPr>
      <w:r>
        <w:rPr/>
        <w:t xml:space="preserve"> </w:t>
      </w:r>
    </w:p>
    <w:p>
      <w:pPr>
        <w:pStyle w:val="Titre4"/>
        <w:numPr>
          <w:ilvl w:val="3"/>
          <w:numId w:val="2"/>
        </w:numPr>
        <w:rPr/>
      </w:pPr>
      <w:bookmarkStart w:id="109" w:name="__RefHeading___Toc297153_1346298689"/>
      <w:bookmarkEnd w:id="109"/>
      <w:r>
        <w:rPr/>
        <w:t xml:space="preserve">Altengely: Digitális átalakítás a munkahelyen </w:t>
      </w:r>
    </w:p>
    <w:p>
      <w:pPr>
        <w:pStyle w:val="Normal"/>
        <w:rPr/>
      </w:pPr>
      <w:r>
        <w:rPr/>
        <w:t xml:space="preserve"> </w:t>
      </w:r>
    </w:p>
    <w:p>
      <w:pPr>
        <w:pStyle w:val="P68B1DB1Normal15"/>
        <w:rPr>
          <w:b/>
          <w:b/>
        </w:rPr>
      </w:pPr>
      <w:r>
        <w:rPr/>
        <w:t xml:space="preserve">7. Javasoljuk, hogy az EU vezesse be vagy erősítse meg az intelligens munkavégzésre, azaz az online és a távmunkára vonatkozó meglévő jogszabályokat, például otthon vagy más összekapcsolt online helyről. Azt is javasoljuk, hogy az uniós jogszabály ösztönözze a vállalatokat arra, hogy társadalmilag felelősek legyenek, és tartsák fenn a minőségi mobil munkahelyeket az EU-ban. Az ösztönzők lehetnek pénzügyi jellegűek és/vagy szerepet játszhatnak a vállalati arculatban, és figyelembe kell venniük a nemzetközileg elismert környezetvédelmi, társadalmi és irányítási (ESG) kritériumokat. E célból az EU-nak valamennyi érdekelt fél szakértőiből álló munkacsoportot kell létrehoznia e jogszabályok felülvizsgálata és megerősítése céljából. </w:t>
      </w:r>
    </w:p>
    <w:p>
      <w:pPr>
        <w:pStyle w:val="Normal"/>
        <w:rPr/>
      </w:pPr>
      <w:r>
        <w:rPr/>
        <w:t xml:space="preserve"> </w:t>
      </w:r>
    </w:p>
    <w:p>
      <w:pPr>
        <w:pStyle w:val="Normal"/>
        <w:rPr/>
      </w:pPr>
      <w:r>
        <w:rPr/>
        <w:t xml:space="preserve">Azért tesszük ezt az ajánlást, mert elő kell mozdítani a minőségi mobil munkahelyeket, és el kell kerülnünk az alacsonyabb költségű harmadik országokba történő áthelyezésüket. A Covid19-világjárvány és a globális gazdasági tendenciák hangsúlyozzák az uniós munkahelyek védelmének és a mobil munkavégzés szabályozásának sürgősségét. </w:t>
      </w:r>
    </w:p>
    <w:p>
      <w:pPr>
        <w:pStyle w:val="Normal"/>
        <w:rPr/>
      </w:pPr>
      <w:r>
        <w:rPr/>
        <w:t xml:space="preserve"> </w:t>
      </w:r>
    </w:p>
    <w:p>
      <w:pPr>
        <w:pStyle w:val="P68B1DB1Normal15"/>
        <w:rPr>
          <w:b/>
          <w:b/>
        </w:rPr>
      </w:pPr>
      <w:r>
        <w:rPr/>
        <w:t xml:space="preserve">8. Javasoljuk, hogy az EU minden uniós polgár számára garantálja a digitális képzéshez való jogot. Különösen a fiatalok digitális készségeit lehetne javítani egy uniós bizonyítványnak az iskolákban történő bevezetésével, amely felkészítené őket a jövőbeli munkaerőpiacra. Javasoljuk továbbá a munkavállalók átképzésére és továbbképzésére vonatkozó, uniós szintű speciális képzést is annak érdekében, hogy a munkavállalók továbbra is versenyképesek maradjanak a munkaerőpiacon. Végezetül azt javasoljuk, hogy az EU hívja fel a figyelmet azokra a meglévő digitális platformokra, amelyek összekapcsolják a polgárokat a munkáltatókkal, és segítik őket abban, hogy munkát találjanak az EU-ban, például az EURES-ben. </w:t>
      </w:r>
    </w:p>
    <w:p>
      <w:pPr>
        <w:pStyle w:val="Normal"/>
        <w:rPr/>
      </w:pPr>
      <w:r>
        <w:rPr/>
        <w:t xml:space="preserve"> </w:t>
      </w:r>
    </w:p>
    <w:p>
      <w:pPr>
        <w:pStyle w:val="Normal"/>
        <w:rPr/>
      </w:pPr>
      <w:r>
        <w:rPr/>
        <w:t xml:space="preserve">Azért tesszük ezt az ajánlást, mert a tanúsított digitális készségek elengedhetetlenek a munkaerőpiachoz való hozzáféréshez, a munkavállalók átképzéséhez és versenyképességéhez. </w:t>
      </w:r>
    </w:p>
    <w:p>
      <w:pPr>
        <w:pStyle w:val="Normal"/>
        <w:rPr/>
      </w:pPr>
      <w:r>
        <w:rPr/>
        <w:t xml:space="preserve"> </w:t>
      </w:r>
    </w:p>
    <w:p>
      <w:pPr>
        <w:pStyle w:val="Titre3"/>
        <w:numPr>
          <w:ilvl w:val="2"/>
          <w:numId w:val="2"/>
        </w:numPr>
        <w:rPr/>
      </w:pPr>
      <w:bookmarkStart w:id="110" w:name="__RefHeading___Toc297155_1346298689"/>
      <w:bookmarkEnd w:id="110"/>
      <w:r>
        <w:rPr/>
        <w:t xml:space="preserve">Tengely: jövőorientált gazdaság </w:t>
      </w:r>
    </w:p>
    <w:p>
      <w:pPr>
        <w:pStyle w:val="Normal"/>
        <w:rPr/>
      </w:pPr>
      <w:r>
        <w:rPr/>
        <w:t xml:space="preserve"> </w:t>
      </w:r>
    </w:p>
    <w:p>
      <w:pPr>
        <w:pStyle w:val="Titre4"/>
        <w:numPr>
          <w:ilvl w:val="3"/>
          <w:numId w:val="2"/>
        </w:numPr>
        <w:rPr/>
      </w:pPr>
      <w:bookmarkStart w:id="111" w:name="__RefHeading___Toc297157_1346298689"/>
      <w:bookmarkEnd w:id="111"/>
      <w:r>
        <w:rPr/>
        <w:t xml:space="preserve">Altengely: Innováció és európai versenyképesség </w:t>
      </w:r>
    </w:p>
    <w:p>
      <w:pPr>
        <w:pStyle w:val="Normal"/>
        <w:rPr/>
      </w:pPr>
      <w:r>
        <w:rPr/>
        <w:t xml:space="preserve"> </w:t>
      </w:r>
    </w:p>
    <w:p>
      <w:pPr>
        <w:pStyle w:val="P68B1DB1Normal15"/>
        <w:rPr>
          <w:b/>
          <w:b/>
        </w:rPr>
      </w:pPr>
      <w:r>
        <w:rPr/>
        <w:t xml:space="preserve">9. Javasoljuk, hogy az EU teremtsen lehetőségeket a kutatási és innovációs beruházásokra különböző szervezetek (egyetemek, vállalkozások, kutatóintézetek stb.) számára a következők fejlesztése céljából: </w:t>
      </w:r>
    </w:p>
    <w:p>
      <w:pPr>
        <w:pStyle w:val="P68B1DB1Normal15"/>
        <w:rPr>
          <w:b/>
          <w:b/>
        </w:rPr>
      </w:pPr>
      <w:r>
        <w:rPr/>
        <w:t xml:space="preserve">● </w:t>
      </w:r>
      <w:r>
        <w:rPr/>
        <w:t xml:space="preserve">új, fenntarthatóbb és biológiailag diverzifikált anyagok a jelenleg használatban lévő anyagok helyettesítésére, </w:t>
      </w:r>
    </w:p>
    <w:p>
      <w:pPr>
        <w:pStyle w:val="P68B1DB1Normal15"/>
        <w:rPr>
          <w:b/>
          <w:b/>
        </w:rPr>
      </w:pPr>
      <w:r>
        <w:rPr/>
        <w:t xml:space="preserve">● </w:t>
      </w:r>
      <w:r>
        <w:rPr/>
        <w:t xml:space="preserve">a meglévő anyagok innovatív felhasználása (többek között a legalacsonyabb környezeti lábnyommal rendelkező újrafeldolgozási és élvonalbeli technikák alapján). </w:t>
      </w:r>
    </w:p>
    <w:p>
      <w:pPr>
        <w:pStyle w:val="Normal"/>
        <w:rPr/>
      </w:pPr>
      <w:r>
        <w:rPr>
          <w:b/>
        </w:rPr>
        <w:t>Javasoljuk, hogy ez legyen az EU állandó és hosszú távú kötelezettségvállalása (legalább 2050-ig).</w:t>
      </w:r>
      <w:r>
        <w:rPr/>
        <w:t xml:space="preserve"> </w:t>
      </w:r>
    </w:p>
    <w:p>
      <w:pPr>
        <w:pStyle w:val="Normal"/>
        <w:rPr/>
      </w:pPr>
      <w:r>
        <w:rPr/>
        <w:t xml:space="preserve"> </w:t>
      </w:r>
    </w:p>
    <w:p>
      <w:pPr>
        <w:pStyle w:val="Normal"/>
        <w:rPr/>
      </w:pPr>
      <w:r>
        <w:rPr/>
        <w:t xml:space="preserve">Azért tesszük ezt az ajánlást, mert korlátozott erőforrásokkal rendelkező bolygón élünk. Ahhoz, hogy jövőnk legyen, meg kell védenünk az éghajlatot, és olyan alternatívákat kell keresnünk, amelyek tiszteletben tartják a bolygót. Azt is szeretnénk, ha az EU vezető szereplővé válna ezen a területen, erős versenyelőnyt biztosítva a nemzetközi színtéren. Az ajánlás célja olyan innovatív eredmények elérése, amelyek széles körben alkalmazhatók, és amelyeket különböző területeken és országokban végre lehet hajtani. Emellett pozitív hatást gyakorolna a gazdaságra és a munkaerőpiacra azáltal, hogy új foglalkoztatási lehetőségeket teremt a fenntartható innováció területén. Hozzájárulhat a társadalmi igazságtalanságok elleni küzdelemhez, amennyiben a kizsákmányoláson alapuló jelenlegi termelési eszközöket más, etikusabb eszközökkel helyettesítik. </w:t>
      </w:r>
    </w:p>
    <w:p>
      <w:pPr>
        <w:pStyle w:val="Normal"/>
        <w:rPr/>
      </w:pPr>
      <w:r>
        <w:rPr/>
        <w:t xml:space="preserve"> </w:t>
      </w:r>
    </w:p>
    <w:p>
      <w:pPr>
        <w:pStyle w:val="P68B1DB1Normal15"/>
        <w:rPr>
          <w:b/>
          <w:b/>
        </w:rPr>
      </w:pPr>
      <w:r>
        <w:rPr/>
        <w:t xml:space="preserve">10. Javasoljuk, hogy az EU hosszú távon folyamatosan vállaljon kötelezettséget a fenntartható módon előállított energiából való részesedésének jelentős növelésére a legalacsonyabb környezeti lábnyomú megújuló energiaforrások széles skálájának felhasználásával (egy átfogó életciklus-elemzés alapján). Emellett az EU-nak be kell ruháznia a villamosenergia-infrastruktúra és a villamosenergia-hálózat minőségének javításába és fenntartásába. Azt is javasoljuk, hogy az energiához való hozzáférést és a megfizethetőséget a polgárok alapvető jogaként ismerjék el. </w:t>
      </w:r>
    </w:p>
    <w:p>
      <w:pPr>
        <w:pStyle w:val="P68B1DB1Normal15"/>
        <w:rPr>
          <w:b/>
          <w:b/>
        </w:rPr>
      </w:pPr>
      <w:r>
        <w:rPr/>
        <w:t xml:space="preserve"> </w:t>
      </w:r>
    </w:p>
    <w:p>
      <w:pPr>
        <w:pStyle w:val="Normal"/>
        <w:rPr/>
      </w:pPr>
      <w:r>
        <w:rPr/>
        <w:t xml:space="preserve">Ezt az ajánlást a következő okok miatt tesszük: </w:t>
      </w:r>
    </w:p>
    <w:p>
      <w:pPr>
        <w:pStyle w:val="Normal"/>
        <w:rPr/>
      </w:pPr>
      <w:r>
        <w:rPr/>
        <w:t xml:space="preserve">● </w:t>
      </w:r>
      <w:r>
        <w:rPr/>
        <w:t xml:space="preserve">az energiaforrások diverzifikációja (beleértve a napenergiát, a szélenergiát, a hidrogént, a tengervizet vagy bármely más jövőbeli fenntartható módszert) az EU-t függetlenebbé tenné; </w:t>
      </w:r>
    </w:p>
    <w:p>
      <w:pPr>
        <w:pStyle w:val="Normal"/>
        <w:rPr/>
      </w:pPr>
      <w:r>
        <w:rPr/>
        <w:t xml:space="preserve">● </w:t>
      </w:r>
      <w:r>
        <w:rPr/>
        <w:t xml:space="preserve">csökkentené az uniós polgárok villamosenergia-költségeit; </w:t>
      </w:r>
    </w:p>
    <w:p>
      <w:pPr>
        <w:pStyle w:val="Normal"/>
        <w:rPr/>
      </w:pPr>
      <w:r>
        <w:rPr/>
        <w:t xml:space="preserve">● </w:t>
      </w:r>
      <w:r>
        <w:rPr/>
        <w:t xml:space="preserve">munkahelyeket teremtene és átalakítaná az energiapiacot (különösen azokban a régiókban, amelyek eddig fosszilis tüzelőanyagokra támaszkodtak); </w:t>
      </w:r>
    </w:p>
    <w:p>
      <w:pPr>
        <w:pStyle w:val="Normal"/>
        <w:rPr/>
      </w:pPr>
      <w:r>
        <w:rPr/>
        <w:t xml:space="preserve">● </w:t>
      </w:r>
      <w:r>
        <w:rPr/>
        <w:t xml:space="preserve">ösztönözheti az innovatív energiaellátási technikák tudományos fejlesztését; </w:t>
      </w:r>
    </w:p>
    <w:p>
      <w:pPr>
        <w:pStyle w:val="Normal"/>
        <w:rPr/>
      </w:pPr>
      <w:r>
        <w:rPr/>
        <w:t xml:space="preserve">● </w:t>
      </w:r>
      <w:r>
        <w:rPr/>
        <w:t xml:space="preserve">az elektromos infrastruktúra és a hálózat minősége ugyanolyan fontos, mint az energiaforrások, mivel lehetővé teszi a zökkenőmentes, hatékony és megfizethető energiaelosztást és -átvitelt. </w:t>
      </w:r>
    </w:p>
    <w:p>
      <w:pPr>
        <w:pStyle w:val="Normal"/>
        <w:rPr/>
      </w:pPr>
      <w:r>
        <w:rPr/>
        <w:t xml:space="preserve"> </w:t>
      </w:r>
    </w:p>
    <w:p>
      <w:pPr>
        <w:pStyle w:val="P68B1DB1Normal15"/>
        <w:rPr>
          <w:b/>
          <w:b/>
        </w:rPr>
      </w:pPr>
      <w:r>
        <w:rPr/>
        <w:t xml:space="preserve">11. Javasoljuk, hogy az EU aktívan mozdítsa elő a környezetbarátabb termelési folyamatokat azáltal, hogy támogatja vagy más módon jutalmazza azokat a vállalatokat, amelyek a termelésük környezeti költségeinek csökkentésébe fektetnek be. Arra is felszólítunk, hogy törekedjünk a posztindusztriális telephelyek bővítésére és a védett zöld területek létrehozására a meglévő telephelyek körül. A vállalatokat kötelezni kell arra, hogy legalább részben saját pénzükből finanszírozzák ezeket az erőfeszítéseket. </w:t>
      </w:r>
    </w:p>
    <w:p>
      <w:pPr>
        <w:pStyle w:val="Normal"/>
        <w:rPr/>
      </w:pPr>
      <w:r>
        <w:rPr/>
        <w:t xml:space="preserve"> </w:t>
      </w:r>
    </w:p>
    <w:p>
      <w:pPr>
        <w:pStyle w:val="Normal"/>
        <w:rPr/>
      </w:pPr>
      <w:r>
        <w:rPr/>
        <w:t xml:space="preserve">Ezt az ajánlást azért tesszük, mert a termelési folyamatok fontos részét képezik az ellátási láncnak. A környezetbarátabbá tétele jelentősen csökkentheti az éghajlatra gyakorolt hatásunkat. Úgy véljük, hogy a vállalatokat és az iparágakat felelősségre kell vonni a termékeik előállításának módjáért (beleértve a környezet újratermelésére és védelmére irányuló intézkedéseket). A termelési folyamatok környezetbarátabbá tétele szintén felkészíti a vállalkozásokat a jövőre, és erősíti ellenálló képességüket (amely védi a munkahelyeket). </w:t>
      </w:r>
    </w:p>
    <w:p>
      <w:pPr>
        <w:pStyle w:val="Normal"/>
        <w:rPr/>
      </w:pPr>
      <w:r>
        <w:rPr/>
      </w:r>
    </w:p>
    <w:p>
      <w:pPr>
        <w:pStyle w:val="Titre4"/>
        <w:numPr>
          <w:ilvl w:val="3"/>
          <w:numId w:val="2"/>
        </w:numPr>
        <w:rPr/>
      </w:pPr>
      <w:bookmarkStart w:id="112" w:name="__RefHeading___Toc297159_1346298689"/>
      <w:bookmarkEnd w:id="112"/>
      <w:r>
        <w:rPr/>
        <w:t xml:space="preserve">Altengely: Fenntartható gazdaság/altengely 2.3 Adózás </w:t>
      </w:r>
    </w:p>
    <w:p>
      <w:pPr>
        <w:pStyle w:val="Normal"/>
        <w:rPr/>
      </w:pPr>
      <w:r>
        <w:rPr/>
        <w:t xml:space="preserve"> </w:t>
      </w:r>
    </w:p>
    <w:p>
      <w:pPr>
        <w:pStyle w:val="P68B1DB1Normal15"/>
        <w:rPr>
          <w:b/>
          <w:b/>
        </w:rPr>
      </w:pPr>
      <w:r>
        <w:rPr/>
        <w:t xml:space="preserve">12. Javasoljuk a műanyag csomagolás elhagyását és az újrafelhasználható csomagolás általánosítását. Ösztönzőket kell biztosítani a fogyasztóknak és a vállalkozásoknak annak érdekében, hogy a fogyasztók számára ne legyen drágább az ömlesztett termékek (angolul ömlesztett vagy olaszul „sfuso”) vásárlása, mint a csomagolt termékek. Az átálláshoz hozzájáruló vállalatoknak adókedvezményben kell részesülniük, másoknak pedig több adót kell fizetniük. Az újra nem használható termékeknek újrafeldolgozhatónak és/vagy biológiailag lebonthatónak kell lenniük. Létre kell hozni egy állami vagy felügyeleti intézményt, amely felelős a nyomon követésért, a szabályok megállapításáért és azok mindenki számára történő terjesztéséért. Ajánlatos – többek között a közösségi médián keresztül – oktatni és kommunikálni ezekről az intézkedésekről, mind a vállalkozások, mind a fogyasztók felé, hogy megváltoztassák hosszú távú magatartásukat. A vállalatokat (pl. építőipari vállalatokat) ösztönözni és segíteni kell abban, hogy megtalálják a legjobb megoldásokat a hulladékukra. </w:t>
      </w:r>
    </w:p>
    <w:p>
      <w:pPr>
        <w:pStyle w:val="Normal"/>
        <w:rPr/>
      </w:pPr>
      <w:r>
        <w:rPr/>
        <w:t xml:space="preserve"> </w:t>
      </w:r>
    </w:p>
    <w:p>
      <w:pPr>
        <w:pStyle w:val="Normal"/>
        <w:rPr/>
      </w:pPr>
      <w:r>
        <w:rPr/>
        <w:t xml:space="preserve">Azért tesszük ezt az ajánlást, mert mindannyiunknak felelősnek kell lennünk a tetteinkért. Újra kell gondolnunk az összes termelési folyamatot. Az újrahasznosítás sok erőforrást igényel (víz, energia), ezért nem lehet az egyetlen megoldás, ezért a termékeket ömlesztve értékesítjük. Az újrahasznosítást csak a könnyen újrahasznosítható anyagok esetében szabad felhasználni, és a finn példából megtudtuk, hogy nagyarányú újrahasznosítás is lehetséges. </w:t>
      </w:r>
    </w:p>
    <w:p>
      <w:pPr>
        <w:pStyle w:val="Normal"/>
        <w:rPr/>
      </w:pPr>
      <w:r>
        <w:rPr/>
      </w:r>
    </w:p>
    <w:p>
      <w:pPr>
        <w:pStyle w:val="P68B1DB1Normal15"/>
        <w:rPr>
          <w:b/>
          <w:b/>
        </w:rPr>
      </w:pPr>
      <w:r>
        <w:rPr/>
        <w:t xml:space="preserve">13. Javasoljuk, hogy Európa-szerte azonos adószabályokat alkalmazzanak, és harmonizálják az adópolitikát az EU-ban. Ezen a területen a harmonizációnak teret kell hagynia az egyes tagállamok számára, hogy saját szabályokat határozzanak meg, elkerülve ugyanakkor az adókijátszást. Véget vet a káros adózási gyakorlatoknak és az adóversenynek. Adókat kell kivetni azokra a kereskedelmi ügyletekre, ahol azok megvalósulnak: ha egy vállalat egy országban értékesít, adót kell fizetnie az adott országban. Az új szabályok célja az áthelyezés megakadályozása, valamint annak biztosítása, hogy a termelés és a tranzakciók az európai országok között megtörténjenek. </w:t>
      </w:r>
    </w:p>
    <w:p>
      <w:pPr>
        <w:pStyle w:val="Normal"/>
        <w:rPr/>
      </w:pPr>
      <w:r>
        <w:rPr/>
        <w:t xml:space="preserve"> </w:t>
      </w:r>
    </w:p>
    <w:p>
      <w:pPr>
        <w:pStyle w:val="Normal"/>
        <w:rPr/>
      </w:pPr>
      <w:r>
        <w:rPr/>
        <w:t xml:space="preserve">Ezt az ajánlást az európai foglalkoztatás és gazdasági tevékenység védelme és fejlesztése érdekében minden tagállam számára méltányos módon tesszük. Ily módon Európa egységesen értelmezi az adórendszert, és véget vet az olyan nagyvállalatok abszurd monopóliumának, amelyek a kisebb vállalatokhoz képest nem fizetnek eleget. Emellett a pénzügyi forrásokat átirányítják a kereskedelmi tevékenységek helyszínére. </w:t>
      </w:r>
    </w:p>
    <w:p>
      <w:pPr>
        <w:pStyle w:val="Normal"/>
        <w:rPr/>
      </w:pPr>
      <w:r>
        <w:rPr/>
        <w:t xml:space="preserve"> </w:t>
      </w:r>
    </w:p>
    <w:p>
      <w:pPr>
        <w:pStyle w:val="P68B1DB1Normal15"/>
        <w:rPr>
          <w:b/>
          <w:b/>
        </w:rPr>
      </w:pPr>
      <w:r>
        <w:rPr/>
        <w:t xml:space="preserve">14. Javasoljuk, hogy távolítsa el a programozott elavulási rendszert minden elektronikus eszközről. A változtatást egyénileg és kereskedelmileg is el kell végezni annak biztosítása érdekében, hogy az eszközök hosszú távon javíthatók és korszerűsíthetők legyenek, és hosszú ideig megőrizhetők legyenek. Javasoljuk a felújított eszközök népszerűsítését. A szabályozásnak meg kell követelnie a vállalatoktól, hogy garantálják a javítási jogot, beleértve a szoftverfrissítéseket és frissítéseket, valamint az összes eszköz hosszú távú újrahasznosítását. Azt is javasoljuk, hogy minden vállalat használjon szabványos csatlakozókat. </w:t>
      </w:r>
    </w:p>
    <w:p>
      <w:pPr>
        <w:pStyle w:val="P68B1DB1Normal15"/>
        <w:rPr>
          <w:b/>
          <w:b/>
        </w:rPr>
      </w:pPr>
      <w:r>
        <w:rPr/>
        <w:t xml:space="preserve"> </w:t>
      </w:r>
    </w:p>
    <w:p>
      <w:pPr>
        <w:pStyle w:val="Normal"/>
        <w:rPr/>
      </w:pPr>
      <w:r>
        <w:rPr/>
        <w:t xml:space="preserve">Azért tesszük ezt az ajánlást, mert a modern világban a termékek általában két évig tartanak, és azt kívánjuk, hogy sokkal hosszabb élettartamuk legyen, körülbelül 10 év. Ez a javaslat pozitív hatással lesz az éghajlatváltozásra és az ökológiára. Emellett csökkenti a fogyasztók költségeit és a fogyasztást is. </w:t>
      </w:r>
    </w:p>
    <w:p>
      <w:pPr>
        <w:pStyle w:val="Normal"/>
        <w:rPr/>
      </w:pPr>
      <w:r>
        <w:rPr/>
      </w:r>
    </w:p>
    <w:p>
      <w:pPr>
        <w:pStyle w:val="P68B1DB1Normal15"/>
        <w:rPr>
          <w:b/>
          <w:b/>
        </w:rPr>
      </w:pPr>
      <w:r>
        <w:rPr/>
        <w:t xml:space="preserve">15. Javasoljuk, hogy segítsünk mindenkinek többet megtudni környezetünkről és annak az egyéni egészséghez való kapcsolódásáról az oktatáson keresztül. Az oktatási utak segítenek mindenkinek meghatározni a saját személyes stratégiáit, hogy ezeket a témákat beépítsék a mindennapi életükbe. Ennek az oktatásnak az iskolában kell kezdődnie olyan konkrét témákkal, amelyek minden ökológiai kérdést érintenek, és egész életünkben folytatnunk kell az oktatást (például a munkahelyen). Elősegíti a hulladék csökkentését, valamint a környezet és az emberi egészség védelmét, valamint elősegíti a helyi termelőktől származó egészséges és feldolgozatlan termékek helyi fogyasztását. Azoknak, akik semmit sem tesznek a pazarlás csökkentése érdekében, ingyenes képzést kell kapniuk ezen a területen. Az életmód kiigazítása érdekében az áraknak tisztességesnek kell lenniük mind a termelő, mind a fogyasztó számára. Ezért javasoljuk, hogy a kis, környezetbarát helyi termelők részesüljenek adómentességben. </w:t>
      </w:r>
    </w:p>
    <w:p>
      <w:pPr>
        <w:pStyle w:val="Normal"/>
        <w:rPr/>
      </w:pPr>
      <w:r>
        <w:rPr/>
        <w:t xml:space="preserve"> </w:t>
      </w:r>
    </w:p>
    <w:p>
      <w:pPr>
        <w:pStyle w:val="Normal"/>
        <w:rPr/>
      </w:pPr>
      <w:r>
        <w:rPr/>
        <w:t xml:space="preserve">Azért tesszük ezt az ajánlást, mert hisszük, hogy sokan még nem érzik úgy, hogy aggódnak ezekért a kérdésekért. Ezért kell mindenki számára biztosítani az oktatást. Emellett a helyi és egészséges termékek sok ember számára megfizethetetlenek. Biztosítanunk kell, hogy a helyi termékek szélesebb körben elérhetőek legyenek mindenki számára. </w:t>
      </w:r>
    </w:p>
    <w:p>
      <w:pPr>
        <w:pStyle w:val="Normal"/>
        <w:rPr/>
      </w:pPr>
      <w:r>
        <w:rPr/>
      </w:r>
    </w:p>
    <w:p>
      <w:pPr>
        <w:pStyle w:val="Titre4"/>
        <w:numPr>
          <w:ilvl w:val="3"/>
          <w:numId w:val="2"/>
        </w:numPr>
        <w:rPr/>
      </w:pPr>
      <w:bookmarkStart w:id="113" w:name="__RefHeading___Toc297161_1346298689"/>
      <w:bookmarkEnd w:id="113"/>
      <w:r>
        <w:rPr/>
        <w:t xml:space="preserve">Altengely Mezőgazdaság/altengely 2.5 Digitális infrastruktúra </w:t>
      </w:r>
    </w:p>
    <w:p>
      <w:pPr>
        <w:pStyle w:val="Normal"/>
        <w:rPr/>
      </w:pPr>
      <w:r>
        <w:rPr/>
        <w:t xml:space="preserve"> </w:t>
      </w:r>
    </w:p>
    <w:p>
      <w:pPr>
        <w:pStyle w:val="P68B1DB1Normal15"/>
        <w:rPr>
          <w:b/>
          <w:b/>
        </w:rPr>
      </w:pPr>
      <w:r>
        <w:rPr/>
        <w:t xml:space="preserve">16. Javasoljuk egy könnyen érthető, közös európai fogyasztói és tápértékjelölési rendszer (pl. allergének, származási ország stb.) bevezetését; javasoljuk a folyamatban lévő engedélyezési eljárások átláthatóságát és a termékinformációk digitalizálását egy egységes európai alkalmazás révén, amely felhasználóbarátabb hozzáférést biztosítana az információkhoz, és további termék- és termelési láncra vonatkozó információkat biztosítana. Azt is látjuk, hogy szükség van egy valóban független testületre, amely szabályozza az élelmiszer-szabványokat az EU-ban, és jogalkotási hatáskörrel rendelkezik a szankciók végrehajtására. </w:t>
      </w:r>
    </w:p>
    <w:p>
      <w:pPr>
        <w:pStyle w:val="Normal"/>
        <w:rPr/>
      </w:pPr>
      <w:r>
        <w:rPr/>
        <w:t xml:space="preserve"> </w:t>
      </w:r>
    </w:p>
    <w:p>
      <w:pPr>
        <w:pStyle w:val="Normal"/>
        <w:rPr/>
      </w:pPr>
      <w:r>
        <w:rPr/>
        <w:t xml:space="preserve">Azért tesszük ezeket az ajánlásokat, mert minden uniós polgárnak képesnek kell lennie arra, hogy azonos minőségű élelmiszerekre támaszkodjon. Az élelmiszeripari termékek integritása szükséges a polgárok biztonságának biztosításához. Ezeket az ajánlásokat az engedélyezési eljárások nyomon követésének és az élelmiszer-termelés átláthatóságának összehangolt módon történő javítása érdekében fogalmazták meg. </w:t>
      </w:r>
    </w:p>
    <w:p>
      <w:pPr>
        <w:pStyle w:val="Normal"/>
        <w:rPr/>
      </w:pPr>
      <w:r>
        <w:rPr/>
      </w:r>
    </w:p>
    <w:p>
      <w:pPr>
        <w:pStyle w:val="P68B1DB1Normal15"/>
        <w:rPr>
          <w:b/>
          <w:b/>
        </w:rPr>
      </w:pPr>
      <w:r>
        <w:rPr/>
        <w:t xml:space="preserve">17. Javasoljuk, hogy az infrastruktúra állami tulajdonban legyen, hogy megakadályozzák a monopóliumok kialakulását a távközlési és internetes szolgáltatási ágazatban. Az internet-hozzáférésnek jognak kell lennie; prioritásként kell kezelni az internetkapcsolat „fehér/halott zónákba” (internet-hozzáférés nélküli területek) való beépítését. Az internethez és a számítástechnikai eszközökhöz való hozzáférés tekintetében a gyermekek és a családok prioritást élveznek, különösen az oktatás és különösen a világjárvány idején. Kezdeményezésre van szükség a távmunka támogatásához, például gyors és megbízható internetkapcsolattal rendelkező irodahelyiségek létrehozásával vagy digitális képzés szervezésével. </w:t>
      </w:r>
    </w:p>
    <w:p>
      <w:pPr>
        <w:pStyle w:val="Normal"/>
        <w:rPr/>
      </w:pPr>
      <w:r>
        <w:rPr/>
        <w:t xml:space="preserve"> </w:t>
      </w:r>
    </w:p>
    <w:p>
      <w:pPr>
        <w:pStyle w:val="Normal"/>
        <w:rPr/>
      </w:pPr>
      <w:r>
        <w:rPr/>
        <w:t xml:space="preserve">Azért tesszük ezt az ajánlást, mert biztosítanunk kell, hogy a digitális átalakulás tisztességes módon történjen. Az internet-hozzáférés alapvető fontosságú a demokrácia szempontjából, és minden európai polgár joga. </w:t>
      </w:r>
    </w:p>
    <w:p>
      <w:pPr>
        <w:pStyle w:val="Normal"/>
        <w:rPr/>
      </w:pPr>
      <w:r>
        <w:rPr/>
      </w:r>
    </w:p>
    <w:p>
      <w:pPr>
        <w:pStyle w:val="Normal"/>
        <w:rPr/>
      </w:pPr>
      <w:r>
        <w:rPr>
          <w:b/>
        </w:rPr>
        <w:t>18. Javasoljuk, hogy tartsák tiszteletben a helyi rovarokat, és védjék meg őket az invazív fajoktól. Javasoljuk továbbá a zöld területek biztosítására vonatkozó kötelezettség előmozdítását és védelmét az új urbanizációs projektekben. Felszólítunk arra, hogy a biológiai sokféleség kötelező tantárgy legyen az iskolákban, és legyen iskolai tevékenységek, például gyakorlati tevékenységek tárgya. Fontos, hogy a médiakampányok és az egész EU-ban népszerűsített „versenyek” (helyi közösségi szintű versenyek) révén növeljék a nyilvánosság körében a biológiai sokféleséggel kapcsolatos tudatosságot. Javasoljuk, hogy valamennyi uniós tagállamban határozzanak meg kötelező nemzeti célokat az őshonos fák általi újraerdősítésre és a helyi növényzet visszaállítására vonatkozóan</w:t>
      </w:r>
      <w:r>
        <w:rPr/>
        <w:t xml:space="preserve">. </w:t>
      </w:r>
    </w:p>
    <w:p>
      <w:pPr>
        <w:pStyle w:val="Normal"/>
        <w:rPr/>
      </w:pPr>
      <w:r>
        <w:rPr/>
        <w:t xml:space="preserve"> </w:t>
      </w:r>
    </w:p>
    <w:p>
      <w:pPr>
        <w:pStyle w:val="Normal"/>
        <w:rPr/>
      </w:pPr>
      <w:r>
        <w:rPr/>
        <w:t xml:space="preserve">Azért tesszük ezt az ajánlást, mert a biológiai sokféleség alapvető fontosságú a környezet, az életminőség és az éghajlatváltozás elleni küzdelem szempontjából. </w:t>
      </w:r>
    </w:p>
    <w:p>
      <w:pPr>
        <w:pStyle w:val="Titre3"/>
        <w:numPr>
          <w:ilvl w:val="2"/>
          <w:numId w:val="2"/>
        </w:numPr>
        <w:rPr/>
      </w:pPr>
      <w:r>
        <w:rPr/>
      </w:r>
    </w:p>
    <w:p>
      <w:pPr>
        <w:pStyle w:val="Titre3"/>
        <w:numPr>
          <w:ilvl w:val="2"/>
          <w:numId w:val="2"/>
        </w:numPr>
        <w:rPr/>
      </w:pPr>
      <w:bookmarkStart w:id="114" w:name="__RefHeading___Toc297163_1346298689"/>
      <w:bookmarkEnd w:id="114"/>
      <w:r>
        <w:rPr/>
        <w:t xml:space="preserve">Tengely 3 Egy igazságos társadalom </w:t>
      </w:r>
    </w:p>
    <w:p>
      <w:pPr>
        <w:pStyle w:val="Normal"/>
        <w:rPr/>
      </w:pPr>
      <w:bookmarkStart w:id="115" w:name="__RefHeading___Toc297165_1346298689"/>
      <w:bookmarkEnd w:id="115"/>
      <w:r>
        <w:rPr/>
        <w:t xml:space="preserve"> </w:t>
      </w:r>
    </w:p>
    <w:p>
      <w:pPr>
        <w:pStyle w:val="Titre4"/>
        <w:numPr>
          <w:ilvl w:val="3"/>
          <w:numId w:val="2"/>
        </w:numPr>
        <w:rPr/>
      </w:pPr>
      <w:bookmarkStart w:id="116" w:name="__RefHeading___Toc297167_1346298689"/>
      <w:bookmarkEnd w:id="116"/>
      <w:r>
        <w:rPr/>
        <w:t xml:space="preserve">Altengely: Társadalmi biztonság </w:t>
      </w:r>
    </w:p>
    <w:p>
      <w:pPr>
        <w:pStyle w:val="Normal"/>
        <w:rPr/>
      </w:pPr>
      <w:r>
        <w:rPr/>
        <w:t xml:space="preserve"> </w:t>
      </w:r>
    </w:p>
    <w:p>
      <w:pPr>
        <w:pStyle w:val="P68B1DB1Normal15"/>
        <w:rPr>
          <w:b/>
          <w:b/>
        </w:rPr>
      </w:pPr>
      <w:r>
        <w:rPr/>
        <w:t xml:space="preserve">19. Javasoljuk, hogy mozdítsák elő az egyenlő jogokat és a szociálpolitikákat, beleértve az egészségügyi politikákat is, amelyek uniós szinten harmonizáltak, figyelembe véve az elfogadott rendeleteket és minimumkövetelményeket az egész országban. </w:t>
      </w:r>
    </w:p>
    <w:p>
      <w:pPr>
        <w:pStyle w:val="Normal"/>
        <w:rPr/>
      </w:pPr>
      <w:r>
        <w:rPr/>
        <w:t xml:space="preserve"> </w:t>
      </w:r>
    </w:p>
    <w:p>
      <w:pPr>
        <w:pStyle w:val="Normal"/>
        <w:rPr/>
      </w:pPr>
      <w:r>
        <w:rPr/>
        <w:t xml:space="preserve">Azért tesszük ezt az ajánlást, mert jelentős különbségek vannak a tagállamok között a szociálpolitikák tekintetében, amelyeket csökkenteni kell annak érdekében, hogy minden polgár számára tisztességes életet lehessen biztosítani, és hogy különböző okokból (egészség, életkor, szexuális irányultság stb.) biztosítani lehessen a szükséges ellátást és támogatást a kiszolgáltatott személyek számára. </w:t>
      </w:r>
    </w:p>
    <w:p>
      <w:pPr>
        <w:pStyle w:val="Normal"/>
        <w:rPr/>
      </w:pPr>
      <w:r>
        <w:rPr/>
      </w:r>
    </w:p>
    <w:p>
      <w:pPr>
        <w:pStyle w:val="P68B1DB1Normal15"/>
        <w:rPr>
          <w:b/>
          <w:b/>
        </w:rPr>
      </w:pPr>
      <w:r>
        <w:rPr/>
        <w:t xml:space="preserve">20. Javasoljuk a szociális és egészségügyi kutatás előmozdítását az EU-ban, a közérdeket szem előtt tartó és a tagállamok által jóváhagyott prioritási sorokat követve, valamint megfelelő finanszírozást biztosítva. Meg kell erősítenünk az együttműködést a szakterületek, az országok, a tanulmányi központok (egyetemek stb.) között. </w:t>
      </w:r>
    </w:p>
    <w:p>
      <w:pPr>
        <w:pStyle w:val="Normal"/>
        <w:rPr/>
      </w:pPr>
      <w:r>
        <w:rPr/>
        <w:t xml:space="preserve"> </w:t>
      </w:r>
    </w:p>
    <w:p>
      <w:pPr>
        <w:pStyle w:val="Normal"/>
        <w:rPr/>
      </w:pPr>
      <w:r>
        <w:rPr/>
        <w:t xml:space="preserve">Azért tesszük ezt az ajánlást, mert sok olyan terület van, ahol előre kell lépnünk és tovább kell mélyítenünk tudásunkat. A világjárvány kapcsán szerzett tapasztalatok azt mutatják, hogy a kutatás hogyan nélkülözhetetlen az élet javításához, hogy elengedhetetlen a köz- és a magánszféra, valamint a kormányok közötti együttműködés, és hogy pénzügyi támogatásra van szükség. </w:t>
      </w:r>
    </w:p>
    <w:p>
      <w:pPr>
        <w:pStyle w:val="Normal"/>
        <w:rPr/>
      </w:pPr>
      <w:r>
        <w:rPr/>
      </w:r>
    </w:p>
    <w:p>
      <w:pPr>
        <w:pStyle w:val="P68B1DB1Normal15"/>
        <w:rPr>
          <w:b/>
          <w:b/>
        </w:rPr>
      </w:pPr>
      <w:r>
        <w:rPr/>
        <w:t xml:space="preserve">21. Javasoljuk, hogy az EU bővítse hatáskörét a szociálpolitikák terén a minimumszabályok és a nyugdíjjuttatások Unió-szerte történő harmonizálása, valamint az alapos diagnózison alapuló újak létrehozása terén. A nyugdíjminimumnak meg kell haladnia az ország szegénységi küszöbét. A nyugdíjkorhatárnak foglalkozási kategóriák szerint eltérőnek kell lennie, és alacsonyabbnak kell lennie a mentálisan és fizikailag megterhelő foglalkozások esetében. Ugyanakkor biztosítani kell a munkához való jogot azon idősek számára, akik önkéntes alapon kívánnak tovább dolgozni. </w:t>
      </w:r>
    </w:p>
    <w:p>
      <w:pPr>
        <w:pStyle w:val="Normal"/>
        <w:rPr/>
      </w:pPr>
      <w:r>
        <w:rPr/>
        <w:t xml:space="preserve"> </w:t>
      </w:r>
    </w:p>
    <w:p>
      <w:pPr>
        <w:pStyle w:val="Normal"/>
        <w:rPr/>
      </w:pPr>
      <w:r>
        <w:rPr/>
        <w:t xml:space="preserve">Ezt az ajánlást azért tesszük, mert nő a várható élettartam és csökken a születési ráta. Az európai népesség idősödik, ezért további lépéseket kell tennünk annak érdekében, hogy elkerüljük az idősek marginalizálódásának kockázatát, és biztosítsuk számukra a tisztességes életet. </w:t>
      </w:r>
    </w:p>
    <w:p>
      <w:pPr>
        <w:pStyle w:val="Normal"/>
        <w:rPr/>
      </w:pPr>
      <w:r>
        <w:rPr/>
        <w:t xml:space="preserve"> </w:t>
      </w:r>
    </w:p>
    <w:p>
      <w:pPr>
        <w:pStyle w:val="Normal"/>
        <w:rPr/>
      </w:pPr>
      <w:r>
        <w:rPr>
          <w:b/>
        </w:rPr>
        <w:t>22. Olyan intézkedések elfogadását javasoljuk, amelyek ösztönzik a születési arány növelését és biztosítják a megfelelő gyermekgondozási megoldásokat. Ezeknek az intézkedéseknek ki kell terjedniük többek között a megfizethető és hozzáférhető gyermekgondozási szolgáltatásokra (munkahelyen, éjszaka, a gyermekek létesítményeire kivetett héa csökkentése), a lakhatásra, a munkahely stabilitására, az anyasági támogatásra, a fiataloknak és a szülőknek nyújtott különleges támogatásra és munkavédelemre, valamint az anyák és apák számára a munkába való visszatérést követően a tudáshoz való hozzáférés formájában nyújtott támogatásra.</w:t>
      </w:r>
      <w:r>
        <w:rPr/>
        <w:t xml:space="preserve"> </w:t>
      </w:r>
    </w:p>
    <w:p>
      <w:pPr>
        <w:pStyle w:val="Normal"/>
        <w:rPr/>
      </w:pPr>
      <w:r>
        <w:rPr/>
        <w:t xml:space="preserve"> </w:t>
      </w:r>
    </w:p>
    <w:p>
      <w:pPr>
        <w:pStyle w:val="Normal"/>
        <w:rPr/>
      </w:pPr>
      <w:r>
        <w:rPr/>
        <w:t xml:space="preserve">Azért tesszük ezt az ajánlást, mert az EU-t az alacsony születési arány jellemzi, ami szintén hozzájárul az európai népesség elöregedéséhez, és azonnali cselekvésre szólít fel. A javasolt csomag célja annak biztosítása, hogy a fiatal családok rendelkezzenek a gyermekek gondozásához szükséges stabilitással. </w:t>
      </w:r>
    </w:p>
    <w:p>
      <w:pPr>
        <w:pStyle w:val="Normal"/>
        <w:rPr/>
      </w:pPr>
      <w:r>
        <w:rPr/>
      </w:r>
    </w:p>
    <w:p>
      <w:pPr>
        <w:pStyle w:val="P68B1DB1Normal15"/>
        <w:rPr>
          <w:b/>
          <w:b/>
        </w:rPr>
      </w:pPr>
      <w:r>
        <w:rPr/>
        <w:t xml:space="preserve">23. Javasoljuk, hogy a szociális ellátás és az egészségügyi ellátás az idősek otthon és a gondozási otthonokban. Javítani kell az időseket gondozók támogatását is (közel). </w:t>
      </w:r>
    </w:p>
    <w:p>
      <w:pPr>
        <w:pStyle w:val="Normal"/>
        <w:rPr/>
      </w:pPr>
      <w:r>
        <w:rPr/>
        <w:t xml:space="preserve"> </w:t>
      </w:r>
    </w:p>
    <w:p>
      <w:pPr>
        <w:pStyle w:val="Normal"/>
        <w:rPr/>
      </w:pPr>
      <w:r>
        <w:rPr/>
        <w:t xml:space="preserve">Ezt az ajánlást azért tesszük, mert nő a várható élettartam és csökken a születési ráta; az európai népesség idősödik, ezért további lépéseket kell tennünk annak érdekében, hogy elkerüljük az idősek marginalizálódásának kockázatát, és biztosítsuk számukra a tisztességes életet. </w:t>
      </w:r>
    </w:p>
    <w:p>
      <w:pPr>
        <w:pStyle w:val="Normal"/>
        <w:rPr/>
      </w:pPr>
      <w:r>
        <w:rPr/>
        <w:t xml:space="preserve"> </w:t>
      </w:r>
    </w:p>
    <w:p>
      <w:pPr>
        <w:pStyle w:val="P68B1DB1Normal15"/>
        <w:rPr>
          <w:b/>
          <w:b/>
        </w:rPr>
      </w:pPr>
      <w:r>
        <w:rPr/>
        <w:t xml:space="preserve">24. Javasoljuk, hogy az EU konkrét szabályok és rendeletek alapján támogassa a palliatív ellátást és az asszisztált halált [eutanázia]. </w:t>
      </w:r>
    </w:p>
    <w:p>
      <w:pPr>
        <w:pStyle w:val="Normal"/>
        <w:rPr/>
      </w:pPr>
      <w:r>
        <w:rPr/>
        <w:t xml:space="preserve"> </w:t>
      </w:r>
    </w:p>
    <w:p>
      <w:pPr>
        <w:pStyle w:val="Normal"/>
        <w:rPr/>
      </w:pPr>
      <w:r>
        <w:rPr/>
        <w:t xml:space="preserve">Azért tesszük ezt az ajánlást, mert ez csökkentené a betegek és a családok fájdalmát, és biztosítaná az élet tisztességes végét. </w:t>
      </w:r>
    </w:p>
    <w:p>
      <w:pPr>
        <w:pStyle w:val="Normal"/>
        <w:rPr/>
      </w:pPr>
      <w:r>
        <w:rPr/>
        <w:t xml:space="preserve"> </w:t>
      </w:r>
    </w:p>
    <w:p>
      <w:pPr>
        <w:pStyle w:val="Titre4"/>
        <w:numPr>
          <w:ilvl w:val="3"/>
          <w:numId w:val="2"/>
        </w:numPr>
        <w:rPr/>
      </w:pPr>
      <w:bookmarkStart w:id="117" w:name="__RefHeading___Toc297169_1346298689"/>
      <w:bookmarkEnd w:id="117"/>
      <w:r>
        <w:rPr/>
        <w:t xml:space="preserve">Altengely A jogok egyenlősége </w:t>
      </w:r>
    </w:p>
    <w:p>
      <w:pPr>
        <w:pStyle w:val="Normal"/>
        <w:rPr/>
      </w:pPr>
      <w:r>
        <w:rPr/>
        <w:t xml:space="preserve"> </w:t>
      </w:r>
    </w:p>
    <w:p>
      <w:pPr>
        <w:pStyle w:val="P68B1DB1Normal15"/>
        <w:rPr>
          <w:b/>
          <w:b/>
        </w:rPr>
      </w:pPr>
      <w:r>
        <w:rPr/>
        <w:t xml:space="preserve">25. Javasoljuk, hogy az EU támogassa a polgárok tisztességes szociális lakhatáshoz való hozzáférését, sajátos igényeiknek megfelelően. A pénzügyi erőfeszítéseket meg kell osztani a magánadományozók, a lakástulajdonosok, a lakhatás kedvezményezettjei, a tagállamok központi és helyi szintű kormányai, valamint az Európai Unió között. A cél a meglévő szociális lakásállomány megépítésének/javításának megkönnyítése, többek között szövetkezeti szövetségek, bérbeadás és vásárlás révén. A támogatást egyértelmű kritériumok alapján kell nyújtani (pl. maximális terület/a támogatandó személy, a kedvezményezettek jövedelme stb.). </w:t>
      </w:r>
    </w:p>
    <w:p>
      <w:pPr>
        <w:pStyle w:val="Normal"/>
        <w:rPr/>
      </w:pPr>
      <w:r>
        <w:rPr/>
        <w:t xml:space="preserve"> </w:t>
      </w:r>
    </w:p>
    <w:p>
      <w:pPr>
        <w:pStyle w:val="Normal"/>
        <w:rPr/>
      </w:pPr>
      <w:r>
        <w:rPr/>
        <w:t xml:space="preserve">Azért tesszük ezt az ajánlást, mert a lakhatáshoz való hozzáférés javítása biztosítaná, hogy az uniós polgárok kézzelfogható egyenlő jogokat élvezzenek, és megkönnyítsék a társadalmi feszültségeket. Az EU-t elsősorban arra kérik fel, hogy felügyelje a támogatási mechanizmust; a nemzeti és helyi hatóságoknak nagyobb erőfeszítéseket kell tenniük a lakhatási problémák kezelése érdekében. </w:t>
      </w:r>
    </w:p>
    <w:p>
      <w:pPr>
        <w:pStyle w:val="Normal"/>
        <w:rPr/>
      </w:pPr>
      <w:r>
        <w:rPr/>
      </w:r>
    </w:p>
    <w:p>
      <w:pPr>
        <w:pStyle w:val="P68B1DB1Normal15"/>
        <w:rPr>
          <w:b/>
          <w:b/>
        </w:rPr>
      </w:pPr>
      <w:r>
        <w:rPr/>
        <w:t xml:space="preserve">26. Javasoljuk, hogy az EU valamennyi tagállamban javítsa a gyermekes családokra vonatkozó támogatási intézkedések szabályozását és egységes végrehajtását. Ezek az intézkedések különösen a következőket foglalják magukban: a szülői szabadság időtartamának, a szülési támogatás és a gyermekgondozási támogatás összegének növelése. </w:t>
      </w:r>
    </w:p>
    <w:p>
      <w:pPr>
        <w:pStyle w:val="Normal"/>
        <w:rPr/>
      </w:pPr>
      <w:r>
        <w:rPr/>
        <w:t xml:space="preserve"> </w:t>
      </w:r>
    </w:p>
    <w:p>
      <w:pPr>
        <w:pStyle w:val="Normal"/>
        <w:rPr/>
      </w:pPr>
      <w:r>
        <w:rPr/>
        <w:t xml:space="preserve">Azért tesszük ezt az ajánlást, mert úgy véljük, hogy ezek az intézkedések enyhítenék az EU előtt álló demográfiai problémát. Emellett javítaná a nemek közötti egyenlőséget a szülők között. </w:t>
      </w:r>
    </w:p>
    <w:p>
      <w:pPr>
        <w:pStyle w:val="Normal"/>
        <w:rPr/>
      </w:pPr>
      <w:r>
        <w:rPr/>
      </w:r>
    </w:p>
    <w:p>
      <w:pPr>
        <w:pStyle w:val="P68B1DB1Normal15"/>
        <w:rPr>
          <w:b/>
          <w:b/>
        </w:rPr>
      </w:pPr>
      <w:r>
        <w:rPr/>
        <w:t xml:space="preserve">27. Javasoljuk, hogy az EU tegyen lépéseket annak biztosítása érdekében, hogy minden család minden tagállamban azonos családjogokat élvezzen. Ezek a jogok magukban foglalják a házassághoz és az örökbefogadáshoz való jogot. </w:t>
      </w:r>
    </w:p>
    <w:p>
      <w:pPr>
        <w:pStyle w:val="Normal"/>
        <w:rPr/>
      </w:pPr>
      <w:r>
        <w:rPr/>
        <w:t xml:space="preserve"> </w:t>
      </w:r>
    </w:p>
    <w:p>
      <w:pPr>
        <w:pStyle w:val="Normal"/>
        <w:rPr/>
      </w:pPr>
      <w:r>
        <w:rPr/>
        <w:t xml:space="preserve">Azért tesszük ezt az ajánlást, mert úgy véljük, hogy minden uniós polgárnak egyenlő jogokat kell élveznie, beleértve a családjogokat is. A család a társadalmi szervezet alapvető formája. A boldog család hozzájárul az egészséges társadalomhoz. Az ajánlás célja annak biztosítása, hogy minden polgár élvezhesse a családi jogokat, függetlenül a nemtől, a felnőttkortól, az etnikai származástól vagy a fizikai egészségtől. </w:t>
      </w:r>
    </w:p>
    <w:p>
      <w:pPr>
        <w:pStyle w:val="Normal"/>
        <w:rPr/>
      </w:pPr>
      <w:r>
        <w:rPr/>
        <w:t xml:space="preserve"> </w:t>
      </w:r>
    </w:p>
    <w:p>
      <w:pPr>
        <w:pStyle w:val="Titre4"/>
        <w:numPr>
          <w:ilvl w:val="3"/>
          <w:numId w:val="2"/>
        </w:numPr>
        <w:rPr/>
      </w:pPr>
      <w:bookmarkStart w:id="118" w:name="__RefHeading___Toc297171_1346298689"/>
      <w:bookmarkEnd w:id="118"/>
      <w:commentRangeStart w:id="1"/>
      <w:r>
        <w:rPr/>
        <w:t xml:space="preserve">Altengely 3.3 Részvény/Altengely 3.4 A sporthoz való hozzáférés </w:t>
      </w:r>
      <w:commentRangeEnd w:id="1"/>
      <w:r>
        <w:commentReference w:id="1"/>
      </w:r>
      <w:r>
        <w:rPr/>
      </w:r>
    </w:p>
    <w:p>
      <w:pPr>
        <w:pStyle w:val="Normal"/>
        <w:rPr/>
      </w:pPr>
      <w:r>
        <w:rPr/>
        <w:t xml:space="preserve"> </w:t>
      </w:r>
    </w:p>
    <w:p>
      <w:pPr>
        <w:pStyle w:val="P68B1DB1Normal15"/>
        <w:rPr>
          <w:b/>
          <w:b/>
        </w:rPr>
      </w:pPr>
      <w:r>
        <w:rPr/>
        <w:t xml:space="preserve">28. Javasoljuk, hogy a 2020–2025 közötti időszakra szóló uniós nemi esélyegyenlőségi stratégiát határozottan mozdítsák elő és kezeljék kiemelt prioritásként a tagállamok által hatékonyan kezelt sürgős kérdésként. Az EU-nak a) mutatókat kell meghatároznia (álláspontok, bérszakadék, foglalkoztatás, vezetés stb.), évente nyomon kell követnie a stratégiát, és átláthatónak kell lennie az elért eredmények tekintetében; és b) létrehoz egy ombudsmant, aki közvetlen visszajelzést kap a polgároktól. </w:t>
      </w:r>
    </w:p>
    <w:p>
      <w:pPr>
        <w:pStyle w:val="Normal"/>
        <w:rPr/>
      </w:pPr>
      <w:r>
        <w:rPr/>
        <w:t xml:space="preserve"> </w:t>
      </w:r>
    </w:p>
    <w:p>
      <w:pPr>
        <w:pStyle w:val="Normal"/>
        <w:rPr/>
      </w:pPr>
      <w:r>
        <w:rPr/>
        <w:t xml:space="preserve">Azért tesszük ezt az ajánlást, mert úgy véljük, hogy a nemek közötti egyenlőség helyzete az EU-ban messze nem kielégítő. Európai szinten harmonizálni kell a nemek közötti egyenlőséget és a polgári jogokat annak érdekében, hogy a nemek közötti egyenlőség és a polgári jogok valamennyi országban megvalósuljanak, nem csak azokban, ahol a kompromisszum erősebb. Elkötelezettek vagyunk a nők jelenléte és hozzájárulása iránt a hatalmi pozíciókban és a szakmák minden típusában, hogy sokszínű és kielégítő Európai Uniót alakítsunk ki. A nők számos helyzetben hátrányos helyzetben vannak (még akkor is, ha jó iskolai végzettséggel/tanúsított felsőoktatással vagy más kiváltságokkal rendelkeznek), ezért feltétlenül szükség van egy ilyen stratégiára. </w:t>
      </w:r>
    </w:p>
    <w:p>
      <w:pPr>
        <w:pStyle w:val="Normal"/>
        <w:rPr/>
      </w:pPr>
      <w:r>
        <w:rPr/>
      </w:r>
    </w:p>
    <w:p>
      <w:pPr>
        <w:pStyle w:val="P68B1DB1Normal15"/>
        <w:rPr>
          <w:b/>
          <w:b/>
        </w:rPr>
      </w:pPr>
      <w:r>
        <w:rPr/>
        <w:t xml:space="preserve">29. Javasoljuk, hogy az EU valamennyi tagállamban népszerűsítse és hívja fel a közvélemény figyelmét a sportra és a testmozgásra, tekintettel azok egészségügyi előnyeire. A sportot és a testmozgást be kell építeni a szociálpolitikákba, a mentális és fizikai egészségpolitikákba, az oktatási és munkaügyi politikákba (azaz az orvosok által előírt sport- és/vagy testmozgás elősegítésére, és amennyiben ez megtörténik, a sportlétesítményekhez való hozzáférés biztosítása); 1 óra munka/hét fizikai aktivitásra stb.). </w:t>
      </w:r>
    </w:p>
    <w:p>
      <w:pPr>
        <w:pStyle w:val="Normal"/>
        <w:rPr/>
      </w:pPr>
      <w:r>
        <w:rPr/>
        <w:t xml:space="preserve"> </w:t>
      </w:r>
    </w:p>
    <w:p>
      <w:pPr>
        <w:pStyle w:val="Normal"/>
        <w:rPr/>
      </w:pPr>
      <w:r>
        <w:rPr/>
        <w:t xml:space="preserve">Azért tesszük ezt az ajánlást, mert hosszú távú befektetésről van szó. A sportba és a testmozgásba való beruházás csökkenti az egészségügyi szolgáltatások költségeit és terheit. Például a sport és a testmozgás egészségügyi beavatkozásként csökkentené a kezelések időtartamát, és hatékonyabbá tenné azokat. Ezt a stratégiát néhány országban, például Németországban már sikeresen végrehajtják. A sport olyan értékek építésének egyik módja, mint az elkötelezettség, az erőfeszítés, az önbecsülés, a tisztelet vagy a bajtársiasság. Az ülő életmód gyakoribb, mint az előző generációkban, többek között a több irodai munkahely és/vagy a szabadidős szokások változása miatt. </w:t>
      </w:r>
    </w:p>
    <w:p>
      <w:pPr>
        <w:pStyle w:val="Normal"/>
        <w:rPr/>
      </w:pPr>
      <w:r>
        <w:rPr/>
      </w:r>
    </w:p>
    <w:p>
      <w:pPr>
        <w:pStyle w:val="P68B1DB1Normal15"/>
        <w:rPr>
          <w:b/>
          <w:b/>
        </w:rPr>
      </w:pPr>
      <w:r>
        <w:rPr/>
        <w:t xml:space="preserve">30. Javasoljuk, hogy az EU kötelezze az egyes tagállamokat arra, hogy a területének megélhetési költségei alapján meghatározott minimálbért alkalmazzanak, amely méltányos bérnek minősül, amely lehetővé teszi a minimális életkörülményeket a szegénységi küszöb felett. Minden tagállamnak figyelemmel kell kísérnie azt. </w:t>
      </w:r>
    </w:p>
    <w:p>
      <w:pPr>
        <w:pStyle w:val="Normal"/>
        <w:rPr/>
      </w:pPr>
      <w:r>
        <w:rPr/>
        <w:t xml:space="preserve"> </w:t>
      </w:r>
    </w:p>
    <w:p>
      <w:pPr>
        <w:pStyle w:val="Normal"/>
        <w:rPr/>
      </w:pPr>
      <w:r>
        <w:rPr/>
        <w:t xml:space="preserve">Azért tesszük ezt az ajánlást, mert igazságtalan, hogy nem érjük el a hónap végét, amikor dolgozunk. A méltányos béreknek hozzá kell járulniuk a társadalmi életminőséghez. A tisztességtelen bérek magas költségekkel járnak az államok számára (biztonság, adókijátszás, magasabb társadalmi költségek stb.). </w:t>
      </w:r>
    </w:p>
    <w:p>
      <w:pPr>
        <w:pStyle w:val="Normal"/>
        <w:rPr/>
      </w:pPr>
      <w:r>
        <w:rPr/>
      </w:r>
    </w:p>
    <w:p>
      <w:pPr>
        <w:pStyle w:val="P68B1DB1Normal15"/>
        <w:rPr>
          <w:b/>
          <w:b/>
        </w:rPr>
      </w:pPr>
      <w:r>
        <w:rPr/>
        <w:t xml:space="preserve">31. Javasoljuk a tagállamok adóharmonizációját uniós szinten (az EU-n belüli adóparadicsomok elkerülése és az Európán belüli áthelyezés elleni küzdelem érdekében), valamint adóösztönzést biztosítunk a munkahelyek Európán kívülre történő áthelyezésének megakadályozására. </w:t>
      </w:r>
    </w:p>
    <w:p>
      <w:pPr>
        <w:pStyle w:val="Normal"/>
        <w:rPr/>
      </w:pPr>
      <w:r>
        <w:rPr/>
        <w:t xml:space="preserve"> </w:t>
      </w:r>
    </w:p>
    <w:p>
      <w:pPr>
        <w:pStyle w:val="Normal"/>
        <w:rPr/>
      </w:pPr>
      <w:r>
        <w:rPr/>
        <w:t xml:space="preserve">Azért tesszük ezt az ajánlást, mert aggódunk a munkahelyek Európán kívülre történő áthelyezésének hatása miatt, és úgy véljük, hogy ez megakadályozná az uniós tagállamok közötti adóversenyt. </w:t>
      </w:r>
    </w:p>
    <w:p>
      <w:pPr>
        <w:pStyle w:val="Normal"/>
        <w:rPr/>
      </w:pPr>
      <w:r>
        <w:rPr/>
      </w:r>
    </w:p>
    <w:p>
      <w:pPr>
        <w:pStyle w:val="Titre3"/>
        <w:numPr>
          <w:ilvl w:val="2"/>
          <w:numId w:val="2"/>
        </w:numPr>
        <w:rPr/>
      </w:pPr>
      <w:bookmarkStart w:id="119" w:name="__RefHeading___Toc297173_1346298689"/>
      <w:bookmarkEnd w:id="119"/>
      <w:r>
        <w:rPr/>
        <w:t xml:space="preserve">4. tengely Tanulás Európában </w:t>
      </w:r>
    </w:p>
    <w:p>
      <w:pPr>
        <w:pStyle w:val="Normal"/>
        <w:rPr/>
      </w:pPr>
      <w:r>
        <w:rPr/>
        <w:t xml:space="preserve"> </w:t>
      </w:r>
    </w:p>
    <w:p>
      <w:pPr>
        <w:pStyle w:val="Titre4"/>
        <w:numPr>
          <w:ilvl w:val="3"/>
          <w:numId w:val="2"/>
        </w:numPr>
        <w:rPr/>
      </w:pPr>
      <w:bookmarkStart w:id="120" w:name="__RefHeading___Toc297175_1346298689"/>
      <w:bookmarkEnd w:id="120"/>
      <w:commentRangeStart w:id="2"/>
      <w:r>
        <w:rPr/>
        <w:t xml:space="preserve">Altengely: Európai identitás/altengely 4.2 Digitális oktatás </w:t>
      </w:r>
      <w:commentRangeEnd w:id="2"/>
      <w:r>
        <w:commentReference w:id="2"/>
      </w:r>
      <w:r>
        <w:rPr/>
      </w:r>
    </w:p>
    <w:p>
      <w:pPr>
        <w:pStyle w:val="Normal"/>
        <w:rPr/>
      </w:pPr>
      <w:r>
        <w:rPr/>
        <w:t xml:space="preserve"> </w:t>
      </w:r>
    </w:p>
    <w:p>
      <w:pPr>
        <w:pStyle w:val="P68B1DB1Normal15"/>
        <w:rPr>
          <w:b/>
          <w:b/>
        </w:rPr>
      </w:pPr>
      <w:r>
        <w:rPr/>
        <w:t xml:space="preserve">32. Javasoljuk a többnyelvűség korai életkorban történő népszerűsítését, például az óvodában. Az általános iskolából kiindulva kötelezővé kell tenni, hogy a gyermekek a sajátjuktól eltérő aktív uniós nyelven érjék el a C1 szintet. </w:t>
      </w:r>
    </w:p>
    <w:p>
      <w:pPr>
        <w:pStyle w:val="Normal"/>
        <w:rPr/>
      </w:pPr>
      <w:r>
        <w:rPr/>
        <w:t xml:space="preserve"> </w:t>
      </w:r>
    </w:p>
    <w:p>
      <w:pPr>
        <w:pStyle w:val="Normal"/>
        <w:rPr/>
      </w:pPr>
      <w:r>
        <w:rPr/>
        <w:t xml:space="preserve">Azért tesszük ezt az ajánlást, mert a többnyelvűség olyan eszköz, amely összeköti a polgárokat és hidat más kultúrákhoz, és hozzáférhetővé teszi más országokat és kultúráikat. Erősíti az európai identitást és az interkulturális cseréket. Fontos, hogy más kultúrákat ismerjünk meg az Európai Unió kontextusában. Ezért az, hogy két nyelven jó szinten beszélhetünk, hozzájárulna a közös európai identitás megteremtéséhez és más európai kultúrák megértéséhez. Az EU-nak szorosan együtt kell működnie az oktatási intézményekkel annak érdekében, hogy jó eredményeket érjen el az oktatásban. Szükség van továbbá egy egyedi program (pl. digitális platformok, kibővített Erasmus+ programok stb.) létrehozására is, kizárólag a többnyelvűség előmozdítása érdekében. A jelenlegi Európai Iskolák példaként szolgálhatnak e tekintetben. Az EU-nak több ilyen iskolát kellene létrehoznia és aktívan támogatnia. </w:t>
      </w:r>
    </w:p>
    <w:p>
      <w:pPr>
        <w:pStyle w:val="Normal"/>
        <w:rPr/>
      </w:pPr>
      <w:r>
        <w:rPr/>
      </w:r>
    </w:p>
    <w:p>
      <w:pPr>
        <w:pStyle w:val="P68B1DB1Normal15"/>
        <w:rPr>
          <w:b/>
          <w:b/>
        </w:rPr>
      </w:pPr>
      <w:r>
        <w:rPr/>
        <w:t xml:space="preserve">33. Javasoljuk, hogy az EU hívja fel a fiatalok figyelmét az internet és a digitalizáció veszélyeire azáltal, hogy kötelező tantárgyat hoz létre az alapfokú oktatásban. Az EU-nak eszközöket kell kidolgoznia és közös képzési tereket kell létrehoznia a fiatalok számára, hogy együtt tanulhassanak. </w:t>
      </w:r>
    </w:p>
    <w:p>
      <w:pPr>
        <w:pStyle w:val="Normal"/>
        <w:rPr/>
      </w:pPr>
      <w:r>
        <w:rPr/>
        <w:t xml:space="preserve"> </w:t>
      </w:r>
    </w:p>
    <w:p>
      <w:pPr>
        <w:pStyle w:val="Normal"/>
        <w:rPr/>
      </w:pPr>
      <w:r>
        <w:rPr/>
        <w:t xml:space="preserve">Azért tesszük ezt az ajánlást, mert a jelenlegi kezdeményezések vagy programok ezen a területen nem elegendőek. Emellett sok uniós polgár nincs tisztában az e területeken már létező uniós kezdeményezésekkel. A gyermekek nincsenek kellőképpen tisztában az internet veszélyeivel, ezért sokkal többet kell tennünk annak érdekében, hogy felhívjuk a figyelmet a fiatalabb generációra. </w:t>
      </w:r>
    </w:p>
    <w:p>
      <w:pPr>
        <w:pStyle w:val="Normal"/>
        <w:rPr/>
      </w:pPr>
      <w:r>
        <w:rPr/>
        <w:t xml:space="preserve"> </w:t>
      </w:r>
    </w:p>
    <w:p>
      <w:pPr>
        <w:pStyle w:val="P68B1DB1Normal15"/>
        <w:rPr>
          <w:b/>
          <w:b/>
        </w:rPr>
      </w:pPr>
      <w:r>
        <w:rPr/>
        <w:t xml:space="preserve">34. Javasoljuk, hogy az EU törekedjen arra, hogy a technológia hozzáférhetőbbé váljon az idősek számára azáltal, hogy ösztönzi a programokat és kezdeményezéseket, például az igényeikhez igazított tanfolyamok formájában. Az EU-nak garantálnia kell a digitális technológia használatához való jogot azok számára, akik azt akarják, és alternatívákat kell javasolnia azok számára, akik nem akarják. </w:t>
      </w:r>
    </w:p>
    <w:p>
      <w:pPr>
        <w:pStyle w:val="Normal"/>
        <w:rPr/>
      </w:pPr>
      <w:r>
        <w:rPr/>
        <w:t xml:space="preserve"> </w:t>
      </w:r>
    </w:p>
    <w:p>
      <w:pPr>
        <w:pStyle w:val="Normal"/>
        <w:rPr/>
      </w:pPr>
      <w:r>
        <w:rPr/>
        <w:t xml:space="preserve">Azért tesszük ezt az ajánlást, mert az EU-nak biztosítania kell, hogy az idősek részt vehessenek a digitális világban, és hogy senki ne szenvedjen hátrányos megkülönböztetést. Egyszerűsített eszközöket kell bevezetni az egyes technológiák alkalmazása terén kevésbé tapasztalt generációk számára annak érdekében, hogy integrálódjanak a mai világba. Javasoljuk, hogy jobban mozdítsák elő a meglévő kezdeményezéseket, hogy a polgárok tisztában legyenek velük. Az EU-ban nem szabad megkülönböztetni az időseket az informatikai eszközök használata során. (Esetként ez azt jelenti, hogy a polgároknak anélkül kell élniük az életüket, hogy internetes hálózaton kellene keresztülmenniük). Az EU-nak állandó ingyenes segítségnyújtást kell szerveznie és az idősek rendelkezésére bocsátania a digitális eszközökhöz való hozzáférés megkönnyítése érdekében. </w:t>
      </w:r>
    </w:p>
    <w:p>
      <w:pPr>
        <w:pStyle w:val="Normal"/>
        <w:rPr/>
      </w:pPr>
      <w:r>
        <w:rPr/>
      </w:r>
    </w:p>
    <w:p>
      <w:pPr>
        <w:pStyle w:val="Titre4"/>
        <w:numPr>
          <w:ilvl w:val="3"/>
          <w:numId w:val="2"/>
        </w:numPr>
        <w:rPr/>
      </w:pPr>
      <w:bookmarkStart w:id="121" w:name="__RefHeading___Toc297177_1346298689"/>
      <w:bookmarkEnd w:id="121"/>
      <w:r>
        <w:rPr/>
        <w:t xml:space="preserve">Altengely 4.3 Kulturális csere/altengely 4.4 Környezeti nevelés </w:t>
      </w:r>
    </w:p>
    <w:p>
      <w:pPr>
        <w:pStyle w:val="Normal"/>
        <w:rPr/>
      </w:pPr>
      <w:r>
        <w:rPr/>
        <w:t xml:space="preserve"> </w:t>
      </w:r>
    </w:p>
    <w:p>
      <w:pPr>
        <w:pStyle w:val="P68B1DB1Normal15"/>
        <w:rPr>
          <w:b/>
          <w:b/>
        </w:rPr>
      </w:pPr>
      <w:r>
        <w:rPr/>
        <w:t xml:space="preserve">35. Javasoljuk, hogy az EU hozzon létre egy olyan platformot, ahol oktatási célokra rendelkezésre bocsátják az éghajlatváltozásról, a fenntarthatóságról és a környezetvédelmi kérdésekről szóló oktatási anyagokat. Ezeknek az információknak tényeken kell alapulniuk, szakértők által ellenőrzöttnek kell lenniük, és az egyes tagállamokhoz kell igazodniuk. A platform: </w:t>
      </w:r>
    </w:p>
    <w:p>
      <w:pPr>
        <w:pStyle w:val="P68B1DB1Normal15"/>
        <w:rPr>
          <w:b/>
          <w:b/>
        </w:rPr>
      </w:pPr>
      <w:r>
        <w:rPr/>
        <w:t xml:space="preserve">● </w:t>
      </w:r>
      <w:r>
        <w:rPr/>
        <w:t xml:space="preserve">magában kell foglalnia a különböző célcsoportok, például a városi vagy vidéki területeken élő emberek, az összes korcsoport és az előzetes tudásszintek tanulságait; </w:t>
      </w:r>
    </w:p>
    <w:p>
      <w:pPr>
        <w:pStyle w:val="P68B1DB1Normal15"/>
        <w:rPr>
          <w:b/>
          <w:b/>
        </w:rPr>
      </w:pPr>
      <w:r>
        <w:rPr/>
        <w:t xml:space="preserve">● </w:t>
      </w:r>
      <w:r>
        <w:rPr/>
        <w:t xml:space="preserve">valamennyi tagállam számára elérhetővé kell tenni és könnyen hozzáférhetőnek kell lennie; </w:t>
      </w:r>
    </w:p>
    <w:p>
      <w:pPr>
        <w:pStyle w:val="P68B1DB1Normal15"/>
        <w:rPr>
          <w:b/>
          <w:b/>
        </w:rPr>
      </w:pPr>
      <w:r>
        <w:rPr/>
        <w:t xml:space="preserve">● </w:t>
      </w:r>
      <w:r>
        <w:rPr/>
        <w:t xml:space="preserve">a végrehajtásba bele kell foglalni egy promóciós tervet, amelynek az érintett vállalkozásokat is be kell vonnia; </w:t>
      </w:r>
    </w:p>
    <w:p>
      <w:pPr>
        <w:pStyle w:val="P68B1DB1Normal15"/>
        <w:rPr>
          <w:b/>
          <w:b/>
        </w:rPr>
      </w:pPr>
      <w:r>
        <w:rPr/>
        <w:t xml:space="preserve">● </w:t>
      </w:r>
      <w:r>
        <w:rPr/>
        <w:t xml:space="preserve">a platformon rendelkezésre álló információk felhasználását és végrehajtását támogató finanszírozási programmal egyidejűleg lehetne rendelkezésre bocsátani. Ennek a finanszírozásnak támogatnia kell a helyszíni látogatásokat is, hogy konkrét példákat mutassanak be. </w:t>
      </w:r>
    </w:p>
    <w:p>
      <w:pPr>
        <w:pStyle w:val="Normal"/>
        <w:rPr/>
      </w:pPr>
      <w:r>
        <w:rPr/>
        <w:t xml:space="preserve"> </w:t>
      </w:r>
    </w:p>
    <w:p>
      <w:pPr>
        <w:pStyle w:val="Normal"/>
        <w:rPr/>
      </w:pPr>
      <w:r>
        <w:rPr/>
        <w:t xml:space="preserve">Azért tesszük ezt az ajánlást, mert minden korosztálynak hozzá kell férnie az éghajlatváltozással, a fenntarthatósággal és a környezetvédelmi kérdésekkel kapcsolatos tényszerű információkhoz. A fontos fogalmakat, mint például az ökológiai lábnyomot, mindenkinek meg kell értenie, különösen a fiataloknak, mert az, amit megtanulunk, elkísér minket egész életünkben. Ezek a témák összetettek, és a félretájékoztatás széles körben elterjedt. Megbízható forrásra van szükségünk, és az EU-nak megvan a szavahihetősége és erőforrásai ahhoz, hogy betöltse ezt a szerepet. Ez azért is fontos, mert az ismeretek szintje és a hiteles információkhoz való hozzáférés tagállamonként eltérő. </w:t>
      </w:r>
    </w:p>
    <w:p>
      <w:pPr>
        <w:pStyle w:val="Normal"/>
        <w:rPr/>
      </w:pPr>
      <w:r>
        <w:rPr/>
      </w:r>
    </w:p>
    <w:p>
      <w:pPr>
        <w:pStyle w:val="P68B1DB1Normal15"/>
        <w:rPr>
          <w:b/>
          <w:b/>
        </w:rPr>
      </w:pPr>
      <w:r>
        <w:rPr/>
        <w:t xml:space="preserve">36. Javasoljuk, hogy az EU biztosítson elsőbbséget annak biztosításában, hogy a csereprogramok mindenki számára hozzáférhetőek legyenek (korcsoportok, tagállamok, oktatási szintek és pénzügyi kapacitás), valamint hogy lehetővé tegye a szakmai gyakorlatokat vagy csereprogramokat az ágazatok, országok, oktatási intézmények, városok és vállalkozások között. Az EU-nak felelősnek kell lennie a kulturális és társadalmi cserék elindításáért, közvetítéséért és finanszírozásáért az egész EU-ban, mind fizikai, mind digitális szinten. Az EU-nak aktívan támogatnia kell ezeket a kezdeményezéseket, és meg kell céloznia azokat az embereket, akik még nem ismerik a kulturális és társadalmi csereprogramokat. Az Európa jövőjéről szóló konferencia, amelyre a polgárokat véletlenszerűen választották ki, tökéletes példája az európai csereprogramnak. Több ilyen kezdeményezést akarunk, de kisebb léptékű kezdeményezéseket, valamint cseréket is akarunk a sport, a zene, a (szociális) szakmai gyakorlatok stb. területén. </w:t>
      </w:r>
    </w:p>
    <w:p>
      <w:pPr>
        <w:pStyle w:val="P68B1DB1Normal15"/>
        <w:rPr>
          <w:b/>
          <w:b/>
        </w:rPr>
      </w:pPr>
      <w:r>
        <w:rPr/>
        <w:t xml:space="preserve"> </w:t>
      </w:r>
    </w:p>
    <w:p>
      <w:pPr>
        <w:pStyle w:val="Normal"/>
        <w:rPr/>
      </w:pPr>
      <w:r>
        <w:rPr/>
        <w:t xml:space="preserve">Azért tesszük ezt az ajánlást, mert fontos, hogy megteremtsük az összetartozás és a kohézió érzését, és előmozdítsuk a toleranciát csodálatos sokszínűségünkkel és perspektíváinkkal, valamint az egyéni készségek fejlesztésével szemben. Ez a folyamat barátságokat, kölcsönös megértést és kritikus gondolkodást fog kifejleszteni. Szeretnénk előmozdítani közösségeink valamennyi tagjának részvételét, még azokét is, akik eddig nem vettek részt ilyen kezdeményezésekben. </w:t>
      </w:r>
    </w:p>
    <w:p>
      <w:pPr>
        <w:pStyle w:val="Normal"/>
        <w:rPr/>
      </w:pPr>
      <w:r>
        <w:rPr/>
      </w:r>
    </w:p>
    <w:p>
      <w:pPr>
        <w:pStyle w:val="Titre4"/>
        <w:numPr>
          <w:ilvl w:val="3"/>
          <w:numId w:val="2"/>
        </w:numPr>
        <w:rPr/>
      </w:pPr>
      <w:bookmarkStart w:id="122" w:name="__RefHeading___Toc297179_1346298689"/>
      <w:bookmarkEnd w:id="122"/>
      <w:r>
        <w:rPr/>
        <w:t xml:space="preserve">Altengely: Minőség, finanszírozás és az oktatáshoz való hozzáférés/Altengely 4.6 Az oktatás harmonizálása </w:t>
      </w:r>
    </w:p>
    <w:p>
      <w:pPr>
        <w:pStyle w:val="Normal"/>
        <w:rPr/>
      </w:pPr>
      <w:r>
        <w:rPr/>
        <w:t xml:space="preserve"> </w:t>
      </w:r>
    </w:p>
    <w:p>
      <w:pPr>
        <w:pStyle w:val="P68B1DB1Normal15"/>
        <w:rPr>
          <w:b/>
          <w:b/>
        </w:rPr>
      </w:pPr>
      <w:r>
        <w:rPr/>
        <w:t xml:space="preserve">37. Javasoljuk, hogy az általános iskolától kezdve valamennyi tagállam határozza meg és fogadja el az alapvető tantárgyakra vonatkozó minősített oktatás minimumszintjét. A cél annak biztosítása, hogy minden polgár egyenlő hozzáféréssel rendelkezzen a minőségi oktatáshoz, amely garantálja a méltányosságot és az egyenlőséget. </w:t>
      </w:r>
    </w:p>
    <w:p>
      <w:pPr>
        <w:pStyle w:val="Normal"/>
        <w:rPr/>
      </w:pPr>
      <w:r>
        <w:rPr/>
      </w:r>
    </w:p>
    <w:p>
      <w:pPr>
        <w:pStyle w:val="Normal"/>
        <w:rPr/>
      </w:pPr>
      <w:r>
        <w:rPr/>
        <w:t xml:space="preserve">Ezt az ajánlást a következő okok miatt tesszük: </w:t>
      </w:r>
    </w:p>
    <w:p>
      <w:pPr>
        <w:pStyle w:val="Normal"/>
        <w:rPr/>
      </w:pPr>
      <w:r>
        <w:rPr/>
        <w:t xml:space="preserve">● </w:t>
      </w:r>
      <w:r>
        <w:rPr/>
        <w:t xml:space="preserve">a minimumkövetelmények megléte növelné a szülők, a tanárok és a diákok oktatási rendszereikbe vetett bizalmát, miközben teret hagyna a kezdeményezésnek és a sokszínűségnek. </w:t>
      </w:r>
    </w:p>
    <w:p>
      <w:pPr>
        <w:pStyle w:val="Normal"/>
        <w:rPr/>
      </w:pPr>
      <w:r>
        <w:rPr/>
        <w:t xml:space="preserve">Ha végrehajtjuk, ajánlásunk erősíteni és erősíteni fogja a közös európai identitást, elősegítve a kohéziót, az egységet és az összetartozás érzését. </w:t>
      </w:r>
    </w:p>
    <w:p>
      <w:pPr>
        <w:pStyle w:val="Normal"/>
        <w:rPr/>
      </w:pPr>
      <w:r>
        <w:rPr/>
        <w:t xml:space="preserve">● </w:t>
      </w:r>
      <w:r>
        <w:rPr/>
        <w:t xml:space="preserve">Ezen ajánlás végrehajtása megerősítené az iskolák közötti együttműködést és cseréket az EU-ban, ami javítaná az oktatók és a tanulók közötti kapcsolatokat, és nagymértékben megkönnyítené a csereprogramokat. </w:t>
      </w:r>
    </w:p>
    <w:p>
      <w:pPr>
        <w:pStyle w:val="Normal"/>
        <w:rPr/>
      </w:pPr>
      <w:r>
        <w:rPr/>
      </w:r>
    </w:p>
    <w:p>
      <w:pPr>
        <w:pStyle w:val="P68B1DB1Normal15"/>
        <w:rPr>
          <w:b/>
          <w:b/>
        </w:rPr>
      </w:pPr>
      <w:r>
        <w:rPr/>
        <w:t xml:space="preserve">38. Javasoljuk, hogy az európai polgárok hatékony kommunikációra való képességének megkönnyítése és erősítése érdekében az összes uniós tagállamban az általános iskolákban az angol nyelvet oktatják egy hitelesíthető szabvány szerint. </w:t>
      </w:r>
    </w:p>
    <w:p>
      <w:pPr>
        <w:pStyle w:val="Normal"/>
        <w:rPr/>
      </w:pPr>
      <w:r>
        <w:rPr/>
        <w:t xml:space="preserve"> </w:t>
      </w:r>
    </w:p>
    <w:p>
      <w:pPr>
        <w:pStyle w:val="Normal"/>
        <w:rPr/>
      </w:pPr>
      <w:r>
        <w:rPr/>
        <w:t xml:space="preserve">Ezt az ajánlást a következő okok miatt tesszük: </w:t>
      </w:r>
    </w:p>
    <w:p>
      <w:pPr>
        <w:pStyle w:val="Normal"/>
        <w:rPr/>
      </w:pPr>
      <w:r>
        <w:rPr/>
        <w:t xml:space="preserve">● </w:t>
      </w:r>
      <w:r>
        <w:rPr/>
        <w:t xml:space="preserve">ez nagyobb egységet és egyenlőséget tenne lehetővé azáltal, hogy megerősíti a polgárok egymás közötti kommunikációra való képességét, és támogatja az erősebb közös európai identitást; </w:t>
      </w:r>
    </w:p>
    <w:p>
      <w:pPr>
        <w:pStyle w:val="Normal"/>
        <w:rPr/>
      </w:pPr>
      <w:r>
        <w:rPr/>
        <w:t xml:space="preserve">● </w:t>
      </w:r>
      <w:r>
        <w:rPr/>
        <w:t xml:space="preserve">ez bővítené a munkaerőpiacot, rugalmasabbá és hozzáférhetőbbé tenné azt, amely bizalmat adna a polgároknak ahhoz, hogy minden olyan tagállamban dolgozzanak és kommunikáljanak, amely személyesebb és szakmaibb perspektívákat kínál. </w:t>
      </w:r>
    </w:p>
    <w:p>
      <w:pPr>
        <w:pStyle w:val="Normal"/>
        <w:rPr/>
      </w:pPr>
      <w:r>
        <w:rPr/>
        <w:t xml:space="preserve">● </w:t>
      </w:r>
      <w:r>
        <w:rPr/>
        <w:t xml:space="preserve">egy ilyen megközelítés lehetővé tenné egy közös európai nyelv nagyon rövid időn belüli terjesztését; </w:t>
      </w:r>
    </w:p>
    <w:p>
      <w:pPr>
        <w:pStyle w:val="Normal"/>
        <w:rPr/>
      </w:pPr>
      <w:r>
        <w:rPr/>
        <w:t xml:space="preserve">● </w:t>
      </w:r>
      <w:r>
        <w:rPr/>
        <w:t xml:space="preserve">a közös nyelv használata felgyorsítja az információmegosztást, ami elősegítené az Európa és az európaiak közötti együttműködést, közös válságkezelést, humanitárius segítségnyújtást és közeledést. </w:t>
      </w:r>
    </w:p>
    <w:p>
      <w:pPr>
        <w:pStyle w:val="Normal"/>
        <w:rPr/>
      </w:pPr>
      <w:r>
        <w:rPr/>
      </w:r>
    </w:p>
    <w:p>
      <w:pPr>
        <w:pStyle w:val="Titre3"/>
        <w:numPr>
          <w:ilvl w:val="2"/>
          <w:numId w:val="2"/>
        </w:numPr>
        <w:rPr/>
      </w:pPr>
      <w:bookmarkStart w:id="123" w:name="__RefHeading___Toc297181_1346298689"/>
      <w:bookmarkEnd w:id="123"/>
      <w:r>
        <w:rPr/>
        <w:t xml:space="preserve">5. tengely Etikus és biztonságos digitális átalakulás </w:t>
      </w:r>
    </w:p>
    <w:p>
      <w:pPr>
        <w:pStyle w:val="Normal"/>
        <w:rPr/>
      </w:pPr>
      <w:r>
        <w:rPr/>
        <w:t xml:space="preserve"> </w:t>
      </w:r>
    </w:p>
    <w:p>
      <w:pPr>
        <w:pStyle w:val="Titre4"/>
        <w:numPr>
          <w:ilvl w:val="3"/>
          <w:numId w:val="2"/>
        </w:numPr>
        <w:rPr/>
      </w:pPr>
      <w:bookmarkStart w:id="124" w:name="__RefHeading___Toc297183_1346298689"/>
      <w:bookmarkEnd w:id="124"/>
      <w:commentRangeStart w:id="3"/>
      <w:r>
        <w:rPr/>
        <w:t xml:space="preserve">Altengely: A digitális transzformáció demokratizálása/altengely 5.2. Kiberbiztonság </w:t>
      </w:r>
      <w:commentRangeEnd w:id="3"/>
      <w:r>
        <w:commentReference w:id="3"/>
      </w:r>
      <w:r>
        <w:rPr/>
      </w:r>
    </w:p>
    <w:p>
      <w:pPr>
        <w:pStyle w:val="Normal"/>
        <w:rPr/>
      </w:pPr>
      <w:r>
        <w:rPr/>
        <w:t xml:space="preserve"> </w:t>
      </w:r>
    </w:p>
    <w:p>
      <w:pPr>
        <w:pStyle w:val="P68B1DB1Normal15"/>
        <w:rPr>
          <w:b/>
          <w:b/>
        </w:rPr>
      </w:pPr>
      <w:r>
        <w:rPr/>
        <w:t xml:space="preserve">39. Javasoljuk, hogy az EU több hatáskörrel rendelkezzen az illegális tartalmak és a számítástechnikai bűnözés elleni küzdelem terén. Javasoljuk az Europol/Számítástechnikai Bűnözés Elleni Európai Központ kapacitásának megerősítését, többek között: </w:t>
      </w:r>
    </w:p>
    <w:p>
      <w:pPr>
        <w:pStyle w:val="P68B1DB1Normal15"/>
        <w:rPr>
          <w:b/>
          <w:b/>
        </w:rPr>
      </w:pPr>
      <w:r>
        <w:rPr/>
        <w:t xml:space="preserve">● </w:t>
      </w:r>
      <w:r>
        <w:rPr/>
        <w:t xml:space="preserve">a pénzügyi források és a személyzet növelése </w:t>
      </w:r>
    </w:p>
    <w:p>
      <w:pPr>
        <w:pStyle w:val="P68B1DB1Normal15"/>
        <w:rPr>
          <w:b/>
          <w:b/>
        </w:rPr>
      </w:pPr>
      <w:r>
        <w:rPr/>
        <w:t xml:space="preserve">● </w:t>
      </w:r>
      <w:r>
        <w:rPr/>
        <w:t xml:space="preserve">hasonló szankciók garantálása az egyes országokban ● a jogszerűség gyors és hatékony ellenőrzésének biztosítása </w:t>
      </w:r>
    </w:p>
    <w:p>
      <w:pPr>
        <w:pStyle w:val="Normal"/>
        <w:rPr/>
      </w:pPr>
      <w:r>
        <w:rPr/>
        <w:t xml:space="preserve"> </w:t>
      </w:r>
    </w:p>
    <w:p>
      <w:pPr>
        <w:pStyle w:val="Normal"/>
        <w:rPr/>
      </w:pPr>
      <w:r>
        <w:rPr/>
        <w:t xml:space="preserve">Ezt az ajánlást annak érdekében tesszük, hogy biztosítsuk a szabadságot az interneten, miközben biztosítjuk, hogy a diszkriminációt, a visszaéléseket és a zaklatást megbüntessék. Támogatjuk az európai közjogi szerv létrehozását, mivel nem akarjuk egyedül hagyni az online platformok szabályozását a magánvállalatokra. Az online platformoknak felelősséget kell vállalniuk az elosztott tartalmakért, de biztosítani szeretnénk, hogy ne az ő érdekeik érvényesüljenek. A tartalomszabályozásnak és az elkövetőkkel szembeni büntetőeljárásnak időszerűnek és hatékonynak kell lennie, hogy elrettentő hatást gyakoroljanak a rosszindulatú egyénekre is. </w:t>
      </w:r>
    </w:p>
    <w:p>
      <w:pPr>
        <w:pStyle w:val="Normal"/>
        <w:rPr/>
      </w:pPr>
      <w:r>
        <w:rPr/>
      </w:r>
    </w:p>
    <w:p>
      <w:pPr>
        <w:pStyle w:val="P68B1DB1Normal15"/>
        <w:rPr>
          <w:b/>
          <w:b/>
        </w:rPr>
      </w:pPr>
      <w:r>
        <w:rPr/>
        <w:t xml:space="preserve">40. Javasoljuk, hogy az EU fektessen be innovatív és magas színvonalú digitális infrastruktúrába (például az 5G-t Európában fejlesztik) Európa autonómiájának biztosítása és a harmadik országoktól vagy magánvállalkozásoktól való függőség megelőzése érdekében. Az EU-nak különös figyelmet kell fordítania a lemaradó régióiba irányuló beruházásokra is. </w:t>
      </w:r>
    </w:p>
    <w:p>
      <w:pPr>
        <w:pStyle w:val="Normal"/>
        <w:rPr/>
      </w:pPr>
      <w:r>
        <w:rPr/>
        <w:t xml:space="preserve"> </w:t>
      </w:r>
    </w:p>
    <w:p>
      <w:pPr>
        <w:pStyle w:val="Normal"/>
        <w:rPr/>
      </w:pPr>
      <w:r>
        <w:rPr/>
        <w:t xml:space="preserve">Azért tesszük ezt az ajánlást, mert a digitális infrastruktúra kulcsszerepet játszik az európai gazdaságban, valamint az európaiak mindennapi életében, amit elősegítenek. Európának ezért magas színvonalú digitális infrastruktúrára van szüksége. Ha ez harmadik felektől függ, Európa ki van téve a magánvállalatok vagy a külföldi országok negatív befolyásának. Európának ezért be kell ruháznia a digitális infrastruktúrába autonómiájának javítása érdekében. Fontos továbbá a digitális befogadás biztosítása annak biztosítása révén, hogy a kevésbé digitálisan fejlett régiók részesülhessenek a beruházások előnyeiből. </w:t>
      </w:r>
    </w:p>
    <w:p>
      <w:pPr>
        <w:pStyle w:val="Normal"/>
        <w:rPr/>
      </w:pPr>
      <w:r>
        <w:rPr/>
      </w:r>
    </w:p>
    <w:p>
      <w:pPr>
        <w:pStyle w:val="P68B1DB1Normal15"/>
        <w:rPr>
          <w:b/>
          <w:b/>
        </w:rPr>
      </w:pPr>
      <w:r>
        <w:rPr/>
        <w:t xml:space="preserve">41. Javasoljuk, hogy az EU mozdítsa elő az álhírekkel, a félretájékoztatással és az online biztonsággal kapcsolatos oktatást az európai iskolákban. Ennek az egész EU-ból származó bevált gyakorlatok példáira kell támaszkodnia. Az EU-nak létre kell hoznia egy olyan szervezetet, amely kifejezetten felelős e munka előmozdításáért, és ajánlásokat fogalmaz meg az oktatási rendszerek számára. Emellett elő kell mozdítania a nem formális oktatást, valamint az innovatív és kreatív tanítási technikákat (pl. részvételi játékokat). </w:t>
      </w:r>
    </w:p>
    <w:p>
      <w:pPr>
        <w:pStyle w:val="Normal"/>
        <w:rPr/>
      </w:pPr>
      <w:r>
        <w:rPr/>
      </w:r>
    </w:p>
    <w:p>
      <w:pPr>
        <w:pStyle w:val="Normal"/>
        <w:rPr/>
      </w:pPr>
      <w:r>
        <w:rPr/>
        <w:t xml:space="preserve">Azért tesszük ezt az ajánlást, mert az online biztonságról és a digitális biztonsági kultúráról szóló tanfolyamok (az online csalások, álhírek stb.) iskolai bevezetése fontos ahhoz, hogy mindenki számára biztosítani lehessen az online fenyegetések elleni védekezéshez szükséges eszközöket. Fontos, hogy megcélozzuk azokat a fiatalokat, akik nagy mértékben ki vannak téve az ilyen fenyegetéseknek. Az iskolák a szülőkkel is kommunikálhatnak a bevált gyakorlatok előmozdítása érdekében. Ezek a tanfolyamok az európai (pl. Finnország) bevált gyakorlatok példáin alapulhatnak, miközben alkalmazkodnak az egyes országok igényeihez. </w:t>
      </w:r>
    </w:p>
    <w:p>
      <w:pPr>
        <w:pStyle w:val="Normal"/>
        <w:rPr/>
      </w:pPr>
      <w:r>
        <w:rPr/>
        <w:t xml:space="preserve"> </w:t>
      </w:r>
    </w:p>
    <w:p>
      <w:pPr>
        <w:pStyle w:val="Titre4"/>
        <w:numPr>
          <w:ilvl w:val="3"/>
          <w:numId w:val="2"/>
        </w:numPr>
        <w:rPr/>
      </w:pPr>
      <w:bookmarkStart w:id="125" w:name="__RefHeading___Toc297185_1346298689"/>
      <w:bookmarkEnd w:id="125"/>
      <w:r>
        <w:rPr/>
        <w:t xml:space="preserve">Altengely 5.3 Adatvédelem </w:t>
      </w:r>
    </w:p>
    <w:p>
      <w:pPr>
        <w:pStyle w:val="Normal"/>
        <w:rPr/>
      </w:pPr>
      <w:r>
        <w:rPr/>
        <w:t xml:space="preserve"> </w:t>
      </w:r>
    </w:p>
    <w:p>
      <w:pPr>
        <w:pStyle w:val="P68B1DB1Normal15"/>
        <w:rPr>
          <w:b/>
          <w:b/>
        </w:rPr>
      </w:pPr>
      <w:r>
        <w:rPr/>
        <w:t xml:space="preserve">42. Javasoljuk az „adatóriások” általi adatvisszaélés további korlátozását az általános adatvédelmi rendeletnek (általános adatvédelmi rendelet) való megfelelés fokozása, az egész EU-ban egységesebb mechanizmusok létrehozása, valamint annak biztosítása révén, hogy az EU-ban működő nem európai vállalatok is megfeleljenek ennek a rendeletnek. Ennek a javításnak világos és tömör magyarázatot kell nyújtania az adatok felhasználási feltételeiről annak érdekében, hogy elkerülhető legyen a kétértelműség és további információk nyújtása az adatok felhasználásának módjáról és kitől, valamint az adatok további felhasználásához és továbbértékesítéséhez való hozzájárulás elkerülése érdekében. Biztosítania kell, hogy a polgárok kérésére az adatokat véglegesen töröljék. Javítania kell továbbá az egyének online tevékenységei alapján történő profilalkotására vonatkozó szabályoknak való megfelelés nyomon követésének következetességét. Kétféle szankciót javasolunk: a társaság forgalmával és a társaság tevékenységeinek korlátozásával arányos bírság. </w:t>
      </w:r>
    </w:p>
    <w:p>
      <w:pPr>
        <w:pStyle w:val="Normal"/>
        <w:rPr/>
      </w:pPr>
      <w:r>
        <w:rPr/>
        <w:t xml:space="preserve"> </w:t>
      </w:r>
    </w:p>
    <w:p>
      <w:pPr>
        <w:pStyle w:val="Normal"/>
        <w:rPr/>
      </w:pPr>
      <w:r>
        <w:rPr/>
        <w:t xml:space="preserve">Azért tesszük ezt az ajánlást, mert az átláthatóság jelenleg nagyon korlátozott az összegyűjtött adatok típusát, feldolgozásának módját és azok személyazonosságát illetően, akiknek azokat értékesítik. Tovább kell korlátoznunk az adatóriások hatalommal való visszaéléseit, és biztosítanunk kell, hogy a polgárok tudatosan járuljanak hozzá adataik kezeléséhez. </w:t>
      </w:r>
    </w:p>
    <w:p>
      <w:pPr>
        <w:pStyle w:val="Normal"/>
        <w:rPr/>
      </w:pPr>
      <w:r>
        <w:rPr/>
        <w:t xml:space="preserve"> </w:t>
      </w:r>
    </w:p>
    <w:p>
      <w:pPr>
        <w:pStyle w:val="P68B1DB1Normal15"/>
        <w:rPr>
          <w:b/>
          <w:b/>
        </w:rPr>
      </w:pPr>
      <w:r>
        <w:rPr/>
        <w:t xml:space="preserve">43. Javasoljuk egy független páneurópai ügynökség létrehozását, amelynek egyértelműen meg kell határoznia a tolakodó magatartást (pl. spam), és iránymutatásokat kell kidolgoznia arra vonatkozóan, hogy a polgárok hogyan ellenezhetik adataik feldolgozását és – különösen harmadik felektől – kérhetik azok törlését. Ennek az ügynökségnek meg kell bíznia a szabályokat be nem tartó csalók és szervezetek azonosítását és szankcionálását. Arra kell összpontosítania, hogy az EU-n kívül letelepedett, de ott működő szervezetek betartsák az uniós szabályokat. A finanszírozást az uniós intézmények finanszíroznák, és egy független szervekből álló közös testületből állna (azaz a tudományos körök szakértőiből és a szakembereket képviselő szervezetekből). Forgó praesidiummal kell rendelkeznie. Kétféle szankciót javasolunk: a vállalkozások forgalmával és a vállalkozások tevékenységének korlátozásával arányos bírság. </w:t>
      </w:r>
    </w:p>
    <w:p>
      <w:pPr>
        <w:pStyle w:val="Normal"/>
        <w:rPr/>
      </w:pPr>
      <w:r>
        <w:rPr/>
      </w:r>
    </w:p>
    <w:p>
      <w:pPr>
        <w:pStyle w:val="Normal"/>
        <w:rPr/>
      </w:pPr>
      <w:r>
        <w:rPr/>
        <w:t xml:space="preserve">Azért tesszük ezt az ajánlást, mert nincs erős felhatalmazással rendelkező központi ügynökség, amely segíthetné a polgárokat, különösen akkor, ha problémájuk van, és segítségre, tanácsadásra vagy támogatásra van szükségük. Nincsenek egyértelmű és kötelező érvényű szabályok, amelyeket a vállalatoknak be kell tartaniuk. Ami a szankciókat illeti, azokat nem alkalmazzák, vagy elhanyagolható hatást gyakorolnak a vállalatokra. </w:t>
      </w:r>
    </w:p>
    <w:p>
      <w:pPr>
        <w:pStyle w:val="Normal"/>
        <w:rPr/>
      </w:pPr>
      <w:r>
        <w:rPr/>
        <w:t xml:space="preserve"> </w:t>
      </w:r>
    </w:p>
    <w:p>
      <w:pPr>
        <w:pStyle w:val="P68B1DB1Normal15"/>
        <w:rPr>
          <w:b/>
          <w:b/>
        </w:rPr>
      </w:pPr>
      <w:r>
        <w:rPr/>
        <w:t xml:space="preserve">44. Javasoljuk egy olyan uniós tanúsítási rendszer létrehozását, amely átlátható módon bizonyítja az általános adatvédelmi rendeletnek (általános adatvédelmi rendelet) való megfelelést, és amely biztosítja, hogy az adatvédelmi információk hozzáférhető, egyértelmű és egyszerű módon kerüljenek bemutatásra. Ez a tanúsítvány kötelező és látható lenne a weboldalakon és platformokon. A tanúsítványt európai szinten már létező vagy erre a célra létrehozott független tanúsítónak kell kibocsátania, aki nem kapcsolódik a nemzeti kormányokhoz vagy a magánszektorhoz. </w:t>
      </w:r>
    </w:p>
    <w:p>
      <w:pPr>
        <w:pStyle w:val="Normal"/>
        <w:rPr/>
      </w:pPr>
      <w:r>
        <w:rPr/>
        <w:t xml:space="preserve"> </w:t>
      </w:r>
    </w:p>
    <w:p>
      <w:pPr>
        <w:pStyle w:val="Normal"/>
        <w:rPr/>
      </w:pPr>
      <w:r>
        <w:rPr/>
        <w:t xml:space="preserve">Azért tesszük ezt az ajánlást, mert jelenleg kevés vagy egyáltalán nem átlátható, hogy az egyes vállalatok hogyan védik az adatokat, és a felhasználók/ügyfelek nem tudnak megalapozott döntéseket hozni. </w:t>
      </w:r>
    </w:p>
    <w:p>
      <w:pPr>
        <w:pStyle w:val="Normal"/>
        <w:rPr/>
      </w:pPr>
      <w:r>
        <w:rPr/>
      </w:r>
    </w:p>
    <w:p>
      <w:pPr>
        <w:pStyle w:val="P68B1DB1Normal15"/>
        <w:rPr>
          <w:b/>
          <w:b/>
        </w:rPr>
      </w:pPr>
      <w:r>
        <w:rPr/>
        <w:t xml:space="preserve">45. Javasoljuk az általános adatvédelmi rendelet (általános adatvédelmi rendelet) jobb magyarázatát és az ezzel kapcsolatos kommunikáció javítását a megfelelésről szóló egységes szöveg létrehozásával, amely egyszerű és világos, mindenki számára érthető nyelvezetet használ. Ennek a szövegnek kulcsfontosságú üzenetet és/vagy alapelveket kell tartalmaznia. A hozzájárulási eljárásnak vizuálisabbnak kell lennie (pl. a telefonos hozzáférés kérelem útján történő kifejezett engedélyezése iránti kérelem). A programot tájékoztató kampánynak (beleértve a televíziót is) és szisztematikusan kötelező tanfolyamoknak (legalábbis az adatokkal foglalkozók számára) és tanácsadásnak kell kísérnie a segítségre szorulók szándékával kapcsolatban. </w:t>
      </w:r>
    </w:p>
    <w:p>
      <w:pPr>
        <w:pStyle w:val="Normal"/>
        <w:rPr/>
      </w:pPr>
      <w:r>
        <w:rPr/>
        <w:t xml:space="preserve"> </w:t>
      </w:r>
    </w:p>
    <w:p>
      <w:pPr>
        <w:pStyle w:val="Normal"/>
        <w:rPr/>
      </w:pPr>
      <w:r>
        <w:rPr/>
        <w:t xml:space="preserve">Azért tesszük ezt az ajánlást, mert jelenleg az általános adatvédelmi rendelet megfogalmazása túl homályos és túl technikai jellegű, és az információ mennyisége elsöprő, és nem mindenki számára hozzáférhető. A kommunikáció szintén nem hasonlít az egyes országokra, és gyakran kizárja a különböző csoportokat, főként az időseket és a digitális előtt születetteket. </w:t>
      </w:r>
    </w:p>
    <w:p>
      <w:pPr>
        <w:pStyle w:val="Normal"/>
        <w:rPr/>
      </w:pPr>
      <w:r>
        <w:rPr/>
      </w:r>
    </w:p>
    <w:p>
      <w:pPr>
        <w:pStyle w:val="Titre4"/>
        <w:numPr>
          <w:ilvl w:val="3"/>
          <w:numId w:val="2"/>
        </w:numPr>
        <w:rPr/>
      </w:pPr>
      <w:bookmarkStart w:id="126" w:name="__RefHeading___Toc297187_1346298689"/>
      <w:bookmarkEnd w:id="126"/>
      <w:r>
        <w:rPr/>
        <w:t xml:space="preserve">Altengely 5.4. Digitális átalakulás és egészség </w:t>
      </w:r>
    </w:p>
    <w:p>
      <w:pPr>
        <w:pStyle w:val="Normal"/>
        <w:rPr/>
      </w:pPr>
      <w:r>
        <w:rPr/>
        <w:t xml:space="preserve"> </w:t>
      </w:r>
    </w:p>
    <w:p>
      <w:pPr>
        <w:pStyle w:val="P68B1DB1Normal15"/>
        <w:rPr>
          <w:b/>
          <w:b/>
        </w:rPr>
      </w:pPr>
      <w:r>
        <w:rPr/>
        <w:t xml:space="preserve">46. Javasoljuk, hogy az EU két módon kezelje a „hamis információ” problémáját: </w:t>
      </w:r>
    </w:p>
    <w:p>
      <w:pPr>
        <w:pStyle w:val="P68B1DB1Normal15"/>
        <w:rPr>
          <w:b/>
          <w:b/>
        </w:rPr>
      </w:pPr>
      <w:r>
        <w:rPr/>
        <w:t xml:space="preserve">● </w:t>
      </w:r>
      <w:r>
        <w:rPr/>
        <w:t xml:space="preserve">olyan jogszabályok, amelyek lehetővé teszik a közösségi médiavállalatok számára, hogy olyan gépi tanulási algoritmusokat alkalmazzanak, amelyek kiemelik a közösségi médiában és az új médiában található információk megbízhatóságát, és hiteles információforrásokat biztosítanak a felhasználó számára. Javasoljuk, hogy az algoritmusokat szakértők ellenőrizzék megfelelő működésük biztosítása érdekében; </w:t>
      </w:r>
    </w:p>
    <w:p>
      <w:pPr>
        <w:pStyle w:val="P68B1DB1Normal15"/>
        <w:rPr>
          <w:b/>
          <w:b/>
        </w:rPr>
      </w:pPr>
      <w:r>
        <w:rPr/>
        <w:t xml:space="preserve">● </w:t>
      </w:r>
      <w:r>
        <w:rPr/>
        <w:t xml:space="preserve">egy olyan digitális platform létrehozása, amely politikai és gazdasági érdekektől függetlenül a hagyományos médiából (pl. televízióból, nyomtatott sajtóból, rádióból) származó információkhoz pontszámot rendel, és amely a cenzúra bármilyen formájának alkalmazása nélkül tájékoztatja a polgárokat az információk minőségéről. Ezt a platformot nyilvános ellenőrzésnek kell alávetni, és tiszteletben kell tartania az átláthatóság legmagasabb szintű normáit, és az EU-nak biztosítania kell, hogy a számára elkülönített forrásokat a tervezett célra használják fel. </w:t>
      </w:r>
    </w:p>
    <w:p>
      <w:pPr>
        <w:pStyle w:val="Normal"/>
        <w:rPr/>
      </w:pPr>
      <w:r>
        <w:rPr/>
        <w:t xml:space="preserve"> </w:t>
      </w:r>
    </w:p>
    <w:p>
      <w:pPr>
        <w:pStyle w:val="Normal"/>
        <w:rPr/>
      </w:pPr>
      <w:r>
        <w:rPr/>
        <w:t xml:space="preserve">Azért tesszük ezt az ajánlást, mert a média különböző típusai érintettek, és úgy véljük, hogy a szankciók vagy a tartalmak eltávolítása cenzúrához vezethet, és alááshatja a véleménynyilvánítás szabadságát és a sajtószabadságot. Javasoljuk, hogy a szakértők ellenőrizzék és ellenőrizzék az algoritmus megfelelő működését annak biztosítása érdekében, hogy az megfelelően működjön. Végezetül azt javasoljuk, hogy a platform legyen politikai és független az átláthatóság és a véleménynyilvánítás szabadságának biztosítása érdekében. Továbbá, mivel lehetetlen teljesen megszabadulni a hamis információktól, ezen eszközöknek a polgárok rendelkezésére bocsátása segít csökkenteni hatásukat Európában. </w:t>
      </w:r>
    </w:p>
    <w:p>
      <w:pPr>
        <w:pStyle w:val="Normal"/>
        <w:rPr/>
      </w:pPr>
      <w:r>
        <w:rPr/>
        <w:t xml:space="preserve"> </w:t>
      </w:r>
    </w:p>
    <w:p>
      <w:pPr>
        <w:pStyle w:val="P68B1DB1Normal15"/>
        <w:rPr>
          <w:b/>
          <w:b/>
        </w:rPr>
      </w:pPr>
      <w:r>
        <w:rPr/>
        <w:t xml:space="preserve">47. Javasoljuk, hogy az EU hajtson végre különböző intézkedéseket az internet egészséges használatának biztosítása érdekében: </w:t>
      </w:r>
    </w:p>
    <w:p>
      <w:pPr>
        <w:pStyle w:val="P68B1DB1Normal15"/>
        <w:rPr>
          <w:b/>
          <w:b/>
        </w:rPr>
      </w:pPr>
      <w:r>
        <w:rPr/>
        <w:t xml:space="preserve">● </w:t>
      </w:r>
      <w:r>
        <w:rPr/>
        <w:t xml:space="preserve">Először is az EU-nak foglalkoznia kell az olyan infrastruktúra és berendezések hiányával, amelyek megakadályozzák a polgárokat az internethez való hozzáférésben; </w:t>
      </w:r>
    </w:p>
    <w:p>
      <w:pPr>
        <w:pStyle w:val="P68B1DB1Normal15"/>
        <w:rPr>
          <w:b/>
          <w:b/>
        </w:rPr>
      </w:pPr>
      <w:r>
        <w:rPr/>
        <w:t xml:space="preserve">● </w:t>
      </w:r>
      <w:r>
        <w:rPr/>
        <w:t xml:space="preserve">Ezt követően azt javasoljuk, hogy az EU ösztönözze a tagállamokat arra, hogy az interneten és annak kockázataival kapcsolatban minden korosztályra kiterjedő képzéseket vezessenek be. Ezt úgy lehetne megvalósítani, hogy gyermekeknek és fiataloknak szóló iskolákban tanfolyamokat vezetnek be, és különböző tanterveket és tanterveket hoznak létre a felnőtt és idős polgárok elérése érdekében. E tanfolyamok tartalmát európai szinten független szakértőkből álló csoportnak kell meghatároznia. </w:t>
      </w:r>
    </w:p>
    <w:p>
      <w:pPr>
        <w:pStyle w:val="P68B1DB1Normal15"/>
        <w:rPr>
          <w:b/>
          <w:b/>
        </w:rPr>
      </w:pPr>
      <w:r>
        <w:rPr/>
        <w:t xml:space="preserve">● </w:t>
      </w:r>
      <w:r>
        <w:rPr/>
        <w:t xml:space="preserve">Végül felszólítjuk az EU-t, hogy tegyen meg minden szükséges intézkedést annak biztosítása érdekében, hogy a társadalom digitalizációja ne zárja ki az időseket, és biztosítsa, hogy az alapvető szolgáltatások személyesen is hozzáférhetők legyenek. </w:t>
      </w:r>
    </w:p>
    <w:p>
      <w:pPr>
        <w:pStyle w:val="Normal"/>
        <w:rPr/>
      </w:pPr>
      <w:r>
        <w:rPr/>
      </w:r>
    </w:p>
    <w:p>
      <w:pPr>
        <w:pStyle w:val="P68B1DB1Normal15"/>
        <w:rPr>
          <w:b/>
          <w:b/>
        </w:rPr>
      </w:pPr>
      <w:r>
        <w:rPr/>
        <w:t xml:space="preserve">● </w:t>
      </w:r>
      <w:r>
        <w:rPr/>
        <w:t xml:space="preserve">Az EU-nak biztosítania kell, hogy a kifejezetten e tevékenységekre elkülönített forrásokat a tervezett célra használják fel. </w:t>
      </w:r>
    </w:p>
    <w:p>
      <w:pPr>
        <w:pStyle w:val="Normal"/>
        <w:rPr/>
      </w:pPr>
      <w:r>
        <w:rPr/>
        <w:t xml:space="preserve"> </w:t>
      </w:r>
    </w:p>
    <w:p>
      <w:pPr>
        <w:pStyle w:val="Normal"/>
        <w:rPr/>
      </w:pPr>
      <w:r>
        <w:rPr/>
        <w:t xml:space="preserve">Ezt az ajánlást azért tesszük, mert Európa egyes részein hiányzik az infrastruktúra és a berendezések (pl. eszközök), valamint hogy biztosítani kell a kapcsolatot a polgárok oktatása előtt, mivel tudjuk, hogy egyes régiókban és bizonyos profilokban korlátozott az internet-hozzáférés. Javasoljuk, hogy szervezzenek tanfolyamokat, hogy segítsék a gyermekeket a digitális készségek elsajátításában, biztosítsanak további programokat az idősek digitalizálásához, és tegyék meg a szükséges lépéseket annak biztosítása érdekében, hogy a digitális átalakulás ne ássa alá az idősek jogait. </w:t>
      </w:r>
    </w:p>
    <w:p>
      <w:pPr>
        <w:pStyle w:val="Normal"/>
        <w:rPr/>
      </w:pPr>
      <w:r>
        <w:rPr/>
      </w:r>
    </w:p>
    <w:p>
      <w:pPr>
        <w:pStyle w:val="P68B1DB1Normal15"/>
        <w:rPr>
          <w:b/>
          <w:b/>
        </w:rPr>
      </w:pPr>
      <w:r>
        <w:rPr/>
        <w:t xml:space="preserve">48. Javasoljuk, hogy az EU minden tagállamban mozdítsa elő a polgárok oktatását a kritikus gondolkodás, a szkepticizmus és a tényellenőrzés megerősítése, valamint annak független értékelésére, hogy az információk megbízhatóak-e vagy sem. Ennek az oktatásnak magában kell foglalnia az alapfokú oktatás szintjén tartott speciális tanfolyamok szervezését, és azt más nyilvános terekben minden korosztály számára elérhetővé kell tenni, akik élni kívánnak vele. Az EU-nak biztosítania kell, hogy a kifejezetten e tevékenységekre elkülönített forrásokat a tervezett célra használják fel. </w:t>
      </w:r>
    </w:p>
    <w:p>
      <w:pPr>
        <w:pStyle w:val="Normal"/>
        <w:rPr/>
      </w:pPr>
      <w:r>
        <w:rPr/>
        <w:t xml:space="preserve"> </w:t>
      </w:r>
    </w:p>
    <w:p>
      <w:pPr>
        <w:pStyle w:val="Normal"/>
        <w:rPr/>
      </w:pPr>
      <w:r>
        <w:rPr/>
        <w:t xml:space="preserve">Azért tesszük ezt az ajánlást, mert úgy gondoljuk, hogy lehetetlen teljesen megszabadulni a hamis információktól. Ez a képzés segíteni fogja a polgárokat abban, hogy felismerjék őket. Ennek eredményeként csökkenni fog a hamis információk társadalomra és magukra a polgárokra gyakorolt hatása. A polgárok számára is több cselekvési lehetőséget kínálna, ahelyett, hogy az intézményekre támaszkodna a megbízható információk megszerzése érdekében. </w:t>
      </w:r>
    </w:p>
    <w:p>
      <w:pPr>
        <w:pStyle w:val="Normal"/>
        <w:rPr/>
      </w:pPr>
      <w:r>
        <w:rPr/>
        <w:t xml:space="preserve"> </w:t>
      </w:r>
    </w:p>
    <w:p>
      <w:pPr>
        <w:pStyle w:val="Titre3"/>
        <w:numPr>
          <w:ilvl w:val="2"/>
          <w:numId w:val="2"/>
        </w:numPr>
        <w:rPr/>
      </w:pPr>
      <w:bookmarkStart w:id="127" w:name="__RefHeading___Toc297189_1346298689"/>
      <w:bookmarkEnd w:id="127"/>
      <w:r>
        <w:rPr/>
        <w:t xml:space="preserve">Melléklet: A TESTÜLET ÁLTAL MÉRLEGELT EGYÉB AJÁNLÁSOK, AMELYEKET NEM FOGADTAK EL </w:t>
      </w:r>
    </w:p>
    <w:p>
      <w:pPr>
        <w:pStyle w:val="Normal"/>
        <w:rPr/>
      </w:pPr>
      <w:r>
        <w:rPr/>
        <w:t xml:space="preserve"> </w:t>
      </w:r>
    </w:p>
    <w:p>
      <w:pPr>
        <w:pStyle w:val="Titre4"/>
        <w:numPr>
          <w:ilvl w:val="3"/>
          <w:numId w:val="2"/>
        </w:numPr>
        <w:rPr/>
      </w:pPr>
      <w:bookmarkStart w:id="128" w:name="__RefHeading___Toc297191_1346298689"/>
      <w:bookmarkEnd w:id="128"/>
      <w:r>
        <w:rPr/>
        <w:t xml:space="preserve">Tengely 3 Egy igazságos társadalom </w:t>
      </w:r>
    </w:p>
    <w:p>
      <w:pPr>
        <w:pStyle w:val="Normal"/>
        <w:rPr/>
      </w:pPr>
      <w:r>
        <w:rPr/>
        <w:t xml:space="preserve"> </w:t>
      </w:r>
    </w:p>
    <w:p>
      <w:pPr>
        <w:pStyle w:val="Normal"/>
        <w:rPr/>
      </w:pPr>
      <w:r>
        <w:rPr/>
        <w:t xml:space="preserve">Altengely A jogok egyenlősége </w:t>
      </w:r>
    </w:p>
    <w:p>
      <w:pPr>
        <w:pStyle w:val="Normal"/>
        <w:rPr/>
      </w:pPr>
      <w:r>
        <w:rPr/>
        <w:t xml:space="preserve"> </w:t>
      </w:r>
    </w:p>
    <w:p>
      <w:pPr>
        <w:pStyle w:val="P68B1DB1Normal15"/>
        <w:rPr>
          <w:b/>
          <w:b/>
        </w:rPr>
      </w:pPr>
      <w:r>
        <w:rPr/>
        <w:t xml:space="preserve">Javasoljuk, hogy az EU hozzon létre egy mechanizmust a kisebbségi jogok nyomon követésére és tiszteletben tartására (pl. portál vagy hivatal, ahol az emberek panaszt nyújthatnak be). </w:t>
      </w:r>
    </w:p>
    <w:p>
      <w:pPr>
        <w:pStyle w:val="Normal"/>
        <w:rPr/>
      </w:pPr>
      <w:r>
        <w:rPr/>
        <w:t xml:space="preserve"> </w:t>
      </w:r>
    </w:p>
    <w:p>
      <w:pPr>
        <w:pStyle w:val="Normal"/>
        <w:rPr/>
      </w:pPr>
      <w:r>
        <w:rPr/>
        <w:t xml:space="preserve">Azért tesszük ezt az ajánlást, mert hisszük, hogy minden egyén kifejezheti véleményét, és joga van segítséget kérni és kapni. Egy ilyen hivatal szükséges a kisebbségek és a többség közötti feszültség csökkentéséhez. </w:t>
      </w:r>
    </w:p>
    <w:p>
      <w:pPr>
        <w:pStyle w:val="Normal"/>
        <w:rPr/>
      </w:pPr>
      <w:r>
        <w:rPr/>
      </w:r>
    </w:p>
    <w:p>
      <w:pPr>
        <w:pStyle w:val="Normal"/>
        <w:rPr/>
      </w:pPr>
      <w:r>
        <w:rPr/>
        <w:t xml:space="preserve">Altengely 3.3 Részvény/Altengely 3.4 A sporthoz való hozzáférés </w:t>
      </w:r>
    </w:p>
    <w:p>
      <w:pPr>
        <w:pStyle w:val="Normal"/>
        <w:rPr/>
      </w:pPr>
      <w:r>
        <w:rPr/>
        <w:t xml:space="preserve"> </w:t>
      </w:r>
    </w:p>
    <w:p>
      <w:pPr>
        <w:pStyle w:val="P68B1DB1Normal15"/>
        <w:rPr>
          <w:b/>
          <w:b/>
        </w:rPr>
      </w:pPr>
      <w:r>
        <w:rPr/>
        <w:t xml:space="preserve">Javasoljuk, hogy az EU „szerepmodellezéssel” hívja fel a figyelmet a testmozgásra közszereplők bevonásával (így a Parlament által szervezett rendezvényeknek magukban kell foglalniuk a testmozgás vagy mozgás valamilyen formáját, néhány másodpercig, például a nyújtást, a gyaloglást vagy az ugrást). </w:t>
      </w:r>
    </w:p>
    <w:p>
      <w:pPr>
        <w:pStyle w:val="Normal"/>
        <w:rPr/>
      </w:pPr>
      <w:r>
        <w:rPr/>
        <w:t xml:space="preserve"> </w:t>
      </w:r>
    </w:p>
    <w:p>
      <w:pPr>
        <w:pStyle w:val="Normal"/>
        <w:rPr/>
      </w:pPr>
      <w:r>
        <w:rPr/>
        <w:t xml:space="preserve">Azért tesszük ezt az ajánlást, mert a közéleti személyiségek fizikai aktivitásra való mozgósítása növelni fogja a közvélemény tudatosságát. </w:t>
      </w:r>
    </w:p>
    <w:p>
      <w:pPr>
        <w:pStyle w:val="Normal"/>
        <w:rPr/>
      </w:pPr>
      <w:r>
        <w:rPr/>
      </w:r>
    </w:p>
    <w:p>
      <w:pPr>
        <w:pStyle w:val="Titre4"/>
        <w:numPr>
          <w:ilvl w:val="3"/>
          <w:numId w:val="2"/>
        </w:numPr>
        <w:rPr/>
      </w:pPr>
      <w:bookmarkStart w:id="129" w:name="__RefHeading___Toc297193_1346298689"/>
      <w:bookmarkEnd w:id="129"/>
      <w:r>
        <w:rPr/>
        <w:t xml:space="preserve">5. tengely Etikus és biztonságos digitális átalakulás </w:t>
      </w:r>
    </w:p>
    <w:p>
      <w:pPr>
        <w:pStyle w:val="Normal"/>
        <w:rPr/>
      </w:pPr>
      <w:r>
        <w:rPr/>
        <w:t xml:space="preserve"> </w:t>
      </w:r>
    </w:p>
    <w:p>
      <w:pPr>
        <w:pStyle w:val="Normal"/>
        <w:rPr/>
      </w:pPr>
      <w:r>
        <w:rPr/>
        <w:t xml:space="preserve">Altengely 5.3 Adatvédelem </w:t>
      </w:r>
    </w:p>
    <w:p>
      <w:pPr>
        <w:pStyle w:val="Normal"/>
        <w:rPr/>
      </w:pPr>
      <w:r>
        <w:rPr/>
        <w:t xml:space="preserve"> </w:t>
      </w:r>
    </w:p>
    <w:p>
      <w:pPr>
        <w:pStyle w:val="P68B1DB1Normal15"/>
        <w:rPr>
          <w:b/>
          <w:b/>
        </w:rPr>
      </w:pPr>
      <w:r>
        <w:rPr/>
        <w:t xml:space="preserve">Javasoljuk egy olyan webes azonosító létrehozását, amely személyes és érzékeny adatokat tárol, de csak a hatóságok és a rendőrség számára teszi elérhetővé. Az online platformok és eladók az adott webes azonosítóhoz kapcsolódó online kódot és az adott tevékenységhez szükséges adatokat használják. Az ezen azonosítót használó adatmegosztás alapértelmezett beállítása nem lehet hozzájárulás. Az adatokat csak a közvetlenül érintett felekkel szabad közölni, harmadik féllel nem. Ha az adatokat harmadik féllel közlik, a polgárok számára lehetővé kell tenni, hogy könnyen kifogást emelhessenek vele szemben. Az adatok felhasználására vonatkozó engedélynek időben korlátozottnak kell lennie, vagy egyértelműen meg kell határoznia, hogy a vállalatok mit tehetnek ezekkel az adatokkal. </w:t>
      </w:r>
    </w:p>
    <w:p>
      <w:pPr>
        <w:pStyle w:val="Normal"/>
        <w:rPr/>
      </w:pPr>
      <w:r>
        <w:rPr/>
        <w:t xml:space="preserve"> </w:t>
      </w:r>
    </w:p>
    <w:p>
      <w:pPr>
        <w:pStyle w:val="Normal"/>
        <w:rPr/>
      </w:pPr>
      <w:r>
        <w:rPr/>
        <w:t xml:space="preserve">Azért tesszük ezt az ajánlást, mert jelenleg a vállalatok összegyűjthetik az összes adatot, beleértve a személyes adatokat és az érzékeny adatokat is, és azokat számos célra felhasználhatják anélkül, hogy pontosan nyilvánosságra hoznák, hogyan és miért. Így az üzemeltetők több információt kapnak, mint amennyi ténylegesen szükséges ahhoz, hogy szolgáltatásokat nyújtsanak nekünk, majd a beleegyezésünk nélkül továbbértékesíthetik vagy felhasználhatják más adatokat. Ugyanakkor ez biztosítja az internethasználók elszámoltathatóságát, miközben megőrzi viszonylagos anonimitásukat. </w:t>
      </w:r>
      <w:r>
        <w:br w:type="page"/>
      </w:r>
    </w:p>
    <w:p>
      <w:pPr>
        <w:pStyle w:val="Titre2"/>
        <w:numPr>
          <w:ilvl w:val="1"/>
          <w:numId w:val="2"/>
        </w:numPr>
        <w:rPr/>
      </w:pPr>
      <w:bookmarkStart w:id="130" w:name="__RefHeading___Toc297195_1346298689"/>
      <w:bookmarkEnd w:id="130"/>
      <w:r>
        <w:rPr/>
        <w:t xml:space="preserve">Európai Polgári Panel 2: „Európai demokrácia; értékek és jogok, jogállamiság, biztonság </w:t>
      </w:r>
    </w:p>
    <w:p>
      <w:pPr>
        <w:pStyle w:val="Normal"/>
        <w:rPr/>
      </w:pPr>
      <w:r>
        <w:rPr/>
      </w:r>
    </w:p>
    <w:p>
      <w:pPr>
        <w:pStyle w:val="Normal"/>
        <w:rPr/>
      </w:pPr>
      <w:r>
        <w:rPr/>
        <w:t xml:space="preserve">A TESTÜLET ÁLTAL ELFOGADOTT AJÁNLÁSOK (A PLENÁRIS ÜLÉS ELÉ TERJESZTENDŐK) </w:t>
      </w:r>
    </w:p>
    <w:p>
      <w:pPr>
        <w:pStyle w:val="Normal"/>
        <w:rPr/>
      </w:pPr>
      <w:r>
        <w:rPr/>
        <w:t xml:space="preserve"> </w:t>
      </w:r>
    </w:p>
    <w:p>
      <w:pPr>
        <w:pStyle w:val="Titre3"/>
        <w:numPr>
          <w:ilvl w:val="2"/>
          <w:numId w:val="2"/>
        </w:numPr>
        <w:rPr/>
      </w:pPr>
      <w:bookmarkStart w:id="131" w:name="__RefHeading___Toc297197_1346298689"/>
      <w:bookmarkEnd w:id="131"/>
      <w:r>
        <w:rPr/>
        <w:t xml:space="preserve">1. tengely: Jogok és megkülönböztetésmentesség biztosítása </w:t>
      </w:r>
    </w:p>
    <w:p>
      <w:pPr>
        <w:pStyle w:val="Normal"/>
        <w:rPr/>
      </w:pPr>
      <w:r>
        <w:rPr/>
        <w:t xml:space="preserve"> </w:t>
      </w:r>
    </w:p>
    <w:p>
      <w:pPr>
        <w:pStyle w:val="Titre4"/>
        <w:numPr>
          <w:ilvl w:val="3"/>
          <w:numId w:val="2"/>
        </w:numPr>
        <w:rPr/>
      </w:pPr>
      <w:bookmarkStart w:id="132" w:name="__RefHeading___Toc297199_1346298689"/>
      <w:bookmarkEnd w:id="132"/>
      <w:r>
        <w:rPr/>
        <w:t xml:space="preserve">Altengely 1.1. Megkülönböztetésmentesség/altengely 1.2 Nemek közötti egyenlőség </w:t>
      </w:r>
    </w:p>
    <w:p>
      <w:pPr>
        <w:pStyle w:val="Normal"/>
        <w:rPr/>
      </w:pPr>
      <w:r>
        <w:rPr/>
        <w:t xml:space="preserve"> </w:t>
      </w:r>
    </w:p>
    <w:p>
      <w:pPr>
        <w:pStyle w:val="P68B1DB1Normal15"/>
        <w:rPr>
          <w:b/>
          <w:b/>
        </w:rPr>
      </w:pPr>
      <w:r>
        <w:rPr/>
        <w:t xml:space="preserve">1. „Azt javasoljuk, hogy az EU építsen be kritériumokat a munkaerő-piaci megkülönböztetés elleni küzdelemre (a fiatalokra, az idősekre, a nőkre és a kisebbségekre vonatkozó kvóták). Ha a társaságok megfelelnek ezeknek a kritériumoknak, akkor támogatásban vagy adókedvezményben részesülnek.” </w:t>
      </w:r>
    </w:p>
    <w:p>
      <w:pPr>
        <w:pStyle w:val="P68B1DB1Normal15"/>
        <w:rPr>
          <w:b/>
          <w:b/>
        </w:rPr>
      </w:pPr>
      <w:r>
        <w:rPr/>
        <w:t xml:space="preserve">Javasoljuk, hogy a munkavállalók figyelmét az alábbi kérdésekre hívják fel: </w:t>
      </w:r>
    </w:p>
    <w:p>
      <w:pPr>
        <w:pStyle w:val="P68B1DB1Normal15"/>
        <w:rPr>
          <w:b/>
          <w:b/>
        </w:rPr>
      </w:pPr>
      <w:r>
        <w:rPr/>
        <w:t xml:space="preserve">● </w:t>
      </w:r>
      <w:r>
        <w:rPr/>
        <w:t xml:space="preserve">nemzetek feletti és nemzeti intézmények (pl. szakszervezetek); </w:t>
      </w:r>
    </w:p>
    <w:p>
      <w:pPr>
        <w:pStyle w:val="P68B1DB1Normal15"/>
        <w:rPr>
          <w:b/>
          <w:b/>
        </w:rPr>
      </w:pPr>
      <w:r>
        <w:rPr/>
        <w:t xml:space="preserve">● </w:t>
      </w:r>
      <w:r>
        <w:rPr/>
        <w:t xml:space="preserve">mechanizmusok annak biztosítására, hogy a vállalatok betartsák a munkahelyi megkülönböztetésmentességre vonatkozó hatályos szabályokat; </w:t>
      </w:r>
    </w:p>
    <w:p>
      <w:pPr>
        <w:pStyle w:val="P68B1DB1Normal15"/>
        <w:rPr>
          <w:b/>
          <w:b/>
        </w:rPr>
      </w:pPr>
      <w:r>
        <w:rPr/>
        <w:t xml:space="preserve">● </w:t>
      </w:r>
      <w:r>
        <w:rPr/>
        <w:t xml:space="preserve">képesítési programok a munkaerőpiacon hátrányos megkülönböztetéssel szembesülő társadalmi csoportok (fiatalok, idősek, nők, kisebbségek) számára. </w:t>
      </w:r>
    </w:p>
    <w:p>
      <w:pPr>
        <w:pStyle w:val="Normal"/>
        <w:rPr/>
      </w:pPr>
      <w:r>
        <w:rPr/>
        <w:t xml:space="preserve"> </w:t>
      </w:r>
    </w:p>
    <w:p>
      <w:pPr>
        <w:pStyle w:val="P68B1DB1Normal15"/>
        <w:rPr>
          <w:b/>
          <w:b/>
        </w:rPr>
      </w:pPr>
      <w:r>
        <w:rPr/>
        <w:t xml:space="preserve">Javasoljuk, hogy két szakaszban fogadják el az uniós jogszabályokat. Először is támogatást kell nyújtani bizonyos kategóriákba tartozó munkavállalók felvételéhez, amelyeket valószínűleg hátrányos megkülönböztetés ér. Másodszor, a jogalkotási aktusnak elő kell írnia a munkáltatók számára, hogy ezeket a csoportokat egy minimális időtartamra alkalmazzák. </w:t>
      </w:r>
    </w:p>
    <w:p>
      <w:pPr>
        <w:pStyle w:val="Normal"/>
        <w:rPr/>
      </w:pPr>
      <w:r>
        <w:rPr/>
        <w:t xml:space="preserve"> </w:t>
      </w:r>
    </w:p>
    <w:p>
      <w:pPr>
        <w:pStyle w:val="Normal"/>
        <w:rPr/>
      </w:pPr>
      <w:r>
        <w:rPr/>
        <w:t xml:space="preserve">Valójában az EU felelős a szabad piac érdekei és a jogilag védelemre szoruló kiszolgáltatott csoportok védelme közötti egyensúly fenntartásáért. Heterogén csoportok kívánatosak a vállalatok számára, mivel különböző képesítéseket kínálnak. A támogatások további ösztönzést jelentenek a vállalatok számára. </w:t>
      </w:r>
    </w:p>
    <w:p>
      <w:pPr>
        <w:pStyle w:val="Normal"/>
        <w:rPr/>
      </w:pPr>
      <w:r>
        <w:rPr/>
        <w:t xml:space="preserve"> </w:t>
      </w:r>
    </w:p>
    <w:p>
      <w:pPr>
        <w:pStyle w:val="P68B1DB1Normal15"/>
        <w:rPr>
          <w:b/>
          <w:b/>
        </w:rPr>
      </w:pPr>
      <w:r>
        <w:rPr/>
        <w:t xml:space="preserve">2. „Azt javasoljuk, hogy az EU hozzon létre egy ösztönző programot, amely megkönnyíti a megfizethető óvodák és játszóterek létrehozását a nagy- és kisvállalkozások számára. A közös létesítmények szintén életképes megoldást jelentenek a kisvállalkozások számára a támogatás igénybevételére. </w:t>
      </w:r>
    </w:p>
    <w:p>
      <w:pPr>
        <w:pStyle w:val="P68B1DB1Normal15"/>
        <w:rPr>
          <w:b/>
          <w:b/>
        </w:rPr>
      </w:pPr>
      <w:r>
        <w:rPr/>
        <w:t xml:space="preserve">Javasoljuk, hogy az EU kötelezze a vállalatokat arra, hogy az alkalmazottak számával arányosan hozzanak létre óvodákat. </w:t>
      </w:r>
    </w:p>
    <w:p>
      <w:pPr>
        <w:pStyle w:val="Normal"/>
        <w:rPr/>
      </w:pPr>
      <w:r>
        <w:rPr/>
        <w:t xml:space="preserve"> </w:t>
      </w:r>
    </w:p>
    <w:p>
      <w:pPr>
        <w:pStyle w:val="Normal"/>
        <w:rPr/>
      </w:pPr>
      <w:r>
        <w:rPr/>
        <w:t xml:space="preserve">Ezt azért ajánljuk, mert a családi élet és a munka összeegyeztetése javítja a munkateljesítményt, csökkenti a munkanélküliséget, és olyan helyzetbe hozza a szülőket, különösen a nőket, hogy karrierjüket folytathassák. A szociális dimenzióra összpontosítva a javasolt megoldás biztosítja a gyermekek biztonságát és csökkenti a szülők aggodalmait. </w:t>
      </w:r>
    </w:p>
    <w:p>
      <w:pPr>
        <w:pStyle w:val="Normal"/>
        <w:rPr/>
      </w:pPr>
      <w:r>
        <w:rPr/>
      </w:r>
    </w:p>
    <w:p>
      <w:pPr>
        <w:pStyle w:val="Titre4"/>
        <w:numPr>
          <w:ilvl w:val="3"/>
          <w:numId w:val="2"/>
        </w:numPr>
        <w:rPr/>
      </w:pPr>
      <w:bookmarkStart w:id="133" w:name="__RefHeading___Toc297201_1346298689"/>
      <w:bookmarkEnd w:id="133"/>
      <w:r>
        <w:rPr/>
        <w:t xml:space="preserve">Az 1.3. altengely: Az emberi jogok, valamint a természet és az állatok jogainak védelme </w:t>
      </w:r>
    </w:p>
    <w:p>
      <w:pPr>
        <w:pStyle w:val="Normal"/>
        <w:rPr/>
      </w:pPr>
      <w:r>
        <w:rPr/>
        <w:t xml:space="preserve"> </w:t>
      </w:r>
    </w:p>
    <w:p>
      <w:pPr>
        <w:pStyle w:val="P68B1DB1Normal15"/>
        <w:rPr>
          <w:b/>
          <w:b/>
        </w:rPr>
      </w:pPr>
      <w:r>
        <w:rPr/>
        <w:t xml:space="preserve">3. „A gazdaságokban tartott állatok védelméről szóló 98/58/EK irányelv módosítása révén javasoljuk az állatjólét és a fenntarthatóság megőrzését. Részletesebb minimumkövetelményeket kell meghatározni. Pontosnak, mérhetőnek és időkorlátozottnak kell lenniük. A minimumkövetelményeket úgy kell meghatározni, hogy azok magasabb szintű állatjóléti normákhoz vezessenek, ugyanakkor lehetővé tegyék a fenntartható éghajlatra, környezetre és ökológiai mezőgazdaságra való átállást. </w:t>
      </w:r>
    </w:p>
    <w:p>
      <w:pPr>
        <w:pStyle w:val="Normal"/>
        <w:rPr/>
      </w:pPr>
      <w:r>
        <w:rPr/>
        <w:t xml:space="preserve"> </w:t>
      </w:r>
    </w:p>
    <w:p>
      <w:pPr>
        <w:pStyle w:val="Normal"/>
        <w:rPr/>
      </w:pPr>
      <w:r>
        <w:rPr/>
        <w:t xml:space="preserve">Polgárként fontosnak tartjuk, hogy az állattenyésztésre vonatkozóan az EU-ban szigorúbb minimumszabályokat vezessenek be. Tisztában vagyunk azzal, hogy az átállás problémákat okozhat egyes támogatásban részesülő mezőgazdasági ágazatokban, valamint az ökológiai és fenntartható mezőgazdaságra való átállásban. Mindazonáltal úgy gondoljuk, hogy nagyon fontos biztosítani, hogy ez az átmenet megtörténjen. </w:t>
      </w:r>
    </w:p>
    <w:p>
      <w:pPr>
        <w:pStyle w:val="Normal"/>
        <w:rPr/>
      </w:pPr>
      <w:r>
        <w:rPr/>
        <w:t xml:space="preserve"> </w:t>
      </w:r>
    </w:p>
    <w:p>
      <w:pPr>
        <w:pStyle w:val="P68B1DB1Normal15"/>
        <w:rPr>
          <w:b/>
          <w:b/>
        </w:rPr>
      </w:pPr>
      <w:r>
        <w:rPr/>
        <w:t xml:space="preserve">4. Javasoljuk, hogy mozdítsák elő a környezetkímélőbb és éghajlatbarátabb mezőgazdaságot Európában és szerte a világon, például azáltal, hogy megadóztatják az összes negatív kibocsátást, peszticidet és szélsőséges vízhasználatot, a környezetre gyakorolt hatásuktól függően. Az Unióba behozott valamennyi mezőgazdasági termékre kivetett vámoknak meg kell szüntetniük azon harmadik országok versenyelőnyeit, amelyek nem felelnek meg az Unióéval azonos előírásoknak. Az állatbarát mezőgazdaság előmozdítása érdekében javasoljuk az állatok nagy távolságra történő szállításából származó kibocsátások megadóztatását. </w:t>
      </w:r>
    </w:p>
    <w:p>
      <w:pPr>
        <w:pStyle w:val="Normal"/>
        <w:rPr/>
      </w:pPr>
      <w:r>
        <w:rPr/>
        <w:t xml:space="preserve"> </w:t>
      </w:r>
    </w:p>
    <w:p>
      <w:pPr>
        <w:pStyle w:val="Normal"/>
        <w:rPr/>
      </w:pPr>
      <w:r>
        <w:rPr/>
        <w:t xml:space="preserve">Egy ilyen rendszer létrehozásával úgy véljük, hogy támogatni lehet az éghajlatbarát és környezetbarát mezőgazdaságra való átállást. </w:t>
      </w:r>
    </w:p>
    <w:p>
      <w:pPr>
        <w:pStyle w:val="Normal"/>
        <w:rPr/>
      </w:pPr>
      <w:r>
        <w:rPr/>
        <w:t xml:space="preserve"> </w:t>
      </w:r>
    </w:p>
    <w:p>
      <w:pPr>
        <w:pStyle w:val="P68B1DB1Normal15"/>
        <w:rPr>
          <w:b/>
          <w:b/>
        </w:rPr>
      </w:pPr>
      <w:r>
        <w:rPr/>
        <w:t xml:space="preserve">5. Bár az utóbbi időben sok álhír jelent meg, javasoljuk a függetlenebb, objektívebb és kiegyensúlyozottabb médialefedettség előmozdítását a következő lépések megtételével: 1. a média függetlenségére vonatkozó minimumszabályok megállapításáról szóló uniós irányelv kidolgozása; 2. Uniós szinten előmozdítani a médiakészségek fejlesztését minden polgár számára.” </w:t>
      </w:r>
    </w:p>
    <w:p>
      <w:pPr>
        <w:pStyle w:val="Normal"/>
        <w:rPr/>
      </w:pPr>
      <w:r>
        <w:rPr/>
        <w:t xml:space="preserve"> </w:t>
      </w:r>
    </w:p>
    <w:p>
      <w:pPr>
        <w:pStyle w:val="Normal"/>
        <w:rPr/>
      </w:pPr>
      <w:r>
        <w:rPr/>
        <w:t xml:space="preserve">Az EU-nak irányelvet kell kidolgoznia a média függetlenségének és a véleménynyilvánítás szabadságának garantálása érdekében. </w:t>
      </w:r>
    </w:p>
    <w:p>
      <w:pPr>
        <w:pStyle w:val="Normal"/>
        <w:rPr/>
      </w:pPr>
      <w:r>
        <w:rPr/>
        <w:t xml:space="preserve"> </w:t>
      </w:r>
    </w:p>
    <w:p>
      <w:pPr>
        <w:pStyle w:val="Normal"/>
        <w:rPr/>
      </w:pPr>
      <w:r>
        <w:rPr>
          <w:b/>
        </w:rPr>
        <w:t>6. Javasoljuk, hogy szüntessük meg a tömeges mezőgazdasági termelés támogatását, ha az nem vezet az éghajlati, ökológiai és fenntartható mezőgazdaságra való átálláshoz. Ehelyett a támogatások átirányítását javasoljuk a fenntartható átállás támogatása érdekében.</w:t>
      </w:r>
      <w:r>
        <w:rPr/>
        <w:t xml:space="preserve"> </w:t>
      </w:r>
    </w:p>
    <w:p>
      <w:pPr>
        <w:pStyle w:val="Normal"/>
        <w:rPr/>
      </w:pPr>
      <w:r>
        <w:rPr/>
        <w:t xml:space="preserve"> </w:t>
      </w:r>
    </w:p>
    <w:p>
      <w:pPr>
        <w:pStyle w:val="Normal"/>
        <w:rPr/>
      </w:pPr>
      <w:r>
        <w:rPr/>
        <w:t xml:space="preserve">A tömeges állattenyésztés mezőgazdasági ágazatának támogatása helyett a támogatásokat át kell csoportosítani az átalakulóban lévő gazdaságokba, hogy megfeleljenek az új állatjóléti minimumkövetelményeknek. </w:t>
      </w:r>
    </w:p>
    <w:p>
      <w:pPr>
        <w:pStyle w:val="Normal"/>
        <w:rPr/>
      </w:pPr>
      <w:r>
        <w:rPr/>
        <w:t xml:space="preserve"> </w:t>
      </w:r>
    </w:p>
    <w:p>
      <w:pPr>
        <w:pStyle w:val="Titre4"/>
        <w:numPr>
          <w:ilvl w:val="3"/>
          <w:numId w:val="2"/>
        </w:numPr>
        <w:rPr/>
      </w:pPr>
      <w:bookmarkStart w:id="134" w:name="__RefHeading___Toc297203_1346298689"/>
      <w:bookmarkEnd w:id="134"/>
      <w:r>
        <w:rPr/>
        <w:t xml:space="preserve">Altengely 1.4 Az adatvédelemhez való jog </w:t>
      </w:r>
    </w:p>
    <w:p>
      <w:pPr>
        <w:pStyle w:val="Normal"/>
        <w:rPr/>
      </w:pPr>
      <w:r>
        <w:rPr/>
        <w:t xml:space="preserve"> </w:t>
      </w:r>
    </w:p>
    <w:p>
      <w:pPr>
        <w:pStyle w:val="P68B1DB1Normal15"/>
        <w:rPr>
          <w:b/>
          <w:b/>
        </w:rPr>
      </w:pPr>
      <w:r>
        <w:rPr/>
        <w:t xml:space="preserve">7. „A személyes adatokat kezelő szervezetek uniós szintű engedélyezését javasoljuk. Ezeket a jogalanyokat független, éves adatvédelmi ellenőrzésnek is alá kell vetni. Ezeket a jogalanyokat a jelenlegi rendelethez képest szigorúbban szankcionálják az adatvédelmi jogsértésekért az éves árbevételük arányában. A jóváhagyást két egymást követő szabálysértés után és a súlyos jogsértést követően azonnal vissza kell vonni. </w:t>
      </w:r>
    </w:p>
    <w:p>
      <w:pPr>
        <w:pStyle w:val="Normal"/>
        <w:rPr/>
      </w:pPr>
      <w:r>
        <w:rPr/>
        <w:t xml:space="preserve"> </w:t>
      </w:r>
    </w:p>
    <w:p>
      <w:pPr>
        <w:pStyle w:val="Normal"/>
        <w:rPr/>
      </w:pPr>
      <w:r>
        <w:rPr/>
        <w:t xml:space="preserve">Javasoljuk ezeket az intézkedéseket, mivel a jelenlegi rendelet (GDPR) nem elegendő, és a jogalanyokat jobban ellenőrizni és szankcionálni kell annak biztosítása érdekében, hogy azok ne sértsék az adatvédelmet és a magánélethez való jogot. </w:t>
      </w:r>
    </w:p>
    <w:p>
      <w:pPr>
        <w:pStyle w:val="Normal"/>
        <w:rPr/>
      </w:pPr>
      <w:r>
        <w:rPr/>
        <w:t xml:space="preserve"> </w:t>
      </w:r>
    </w:p>
    <w:p>
      <w:pPr>
        <w:pStyle w:val="P68B1DB1Normal15"/>
        <w:rPr>
          <w:b/>
          <w:b/>
        </w:rPr>
      </w:pPr>
      <w:r>
        <w:rPr/>
        <w:t xml:space="preserve">8. „Azt javasoljuk, hogy erősítsék meg az Unió hatásköreit a következő területeken: 1) adatvédelmi oktatás, 2) adatvédelmi tudatosság és 3) a kiskorúak személyes adatainak védelme. Javasoljuk, hogy tisztázzák és erősítsék a kiskorúak adatainak kezelésére vonatkozó szabályokat a GDPR-ban, beleértve a beleegyezésre, az életkor ellenőrzésére és a törvényes gyámok általi ellenőrzésre vonatkozó szabályokat. Azt is javasoljuk, hogy az általános adatvédelmi rendeletbe vezessenek be egy speciális kategóriát a kiskorúak érzékeny adataira (pl. bűnügyi nyilvántartás, egészségügyi információk, meztelenség), hogy a kiskorúakat védjék a visszaélés és a megkülönböztetés minden formájával szemben. </w:t>
      </w:r>
    </w:p>
    <w:p>
      <w:pPr>
        <w:pStyle w:val="Normal"/>
        <w:rPr/>
      </w:pPr>
      <w:r>
        <w:rPr/>
        <w:t xml:space="preserve"> </w:t>
      </w:r>
    </w:p>
    <w:p>
      <w:pPr>
        <w:pStyle w:val="Normal"/>
        <w:rPr/>
      </w:pPr>
      <w:r>
        <w:rPr/>
        <w:t xml:space="preserve">Erre az ajánlásra azért van szükség, mert a kiskorúak különösen ki vannak téve az adatvédelemnek és a magánélet megsértésének, és mivel jelenleg a lakosság (különösen a kiskorúak, a tanárok és a törvényes gyámok) nem ismeri kellőképpen az adatvédelem kérdését. Mindenkinek meg kell tanulnia az online és offline adatszolgáltatások használatát és a gyermekek magánélethez való jogának védelmét. Továbbá a törvényes gyámok gyakran anélkül is hozzájárulhatnak a gyermekek adatainak kezeléséhez, hogy teljes mértékben tudatában lennének vagy tájékozottak lennének, és a gyermekek meghamisíthatják a szülői beleegyezést. Végezetül erre az ajánlásra azért van szükség, mert nincs valódi, az egész EU-ra kiterjedő, különösen a kiskorúakat, a törvényes gyámokat és a tanárokat célzó figyelemfelkeltő kampány, miközben egy ilyen kampány elengedhetetlen. </w:t>
      </w:r>
    </w:p>
    <w:p>
      <w:pPr>
        <w:pStyle w:val="Normal"/>
        <w:rPr/>
      </w:pPr>
      <w:r>
        <w:rPr/>
      </w:r>
    </w:p>
    <w:p>
      <w:pPr>
        <w:pStyle w:val="P68B1DB1Normal15"/>
        <w:rPr>
          <w:b/>
          <w:b/>
        </w:rPr>
      </w:pPr>
      <w:r>
        <w:rPr/>
        <w:t xml:space="preserve">9. Javasoljuk, hogy szabványosított adatvédelmi irányelveket és könnyen érthető, tömör és intuitív hozzájárulási űrlapokat vezessenek be, amelyek egyértelműen jelzik, hogy milyen adatkezelésre van feltétlenül szükség és mi választható. Javasoljuk, hogy a hozzájárulás visszavonása egyszerű, gyors és tartós legyen. Javasoljuk, hogy tiltsák meg a jogalanyoknak, hogy szolgáltatásaikat a szükségesnél nagyobb mértékben korlátozzák, ha nem járultak hozzá az opcionális adatfeldolgozáshoz. </w:t>
      </w:r>
    </w:p>
    <w:p>
      <w:pPr>
        <w:pStyle w:val="Normal"/>
        <w:rPr/>
      </w:pPr>
      <w:r>
        <w:rPr/>
        <w:t xml:space="preserve"> </w:t>
      </w:r>
    </w:p>
    <w:p>
      <w:pPr>
        <w:pStyle w:val="Normal"/>
        <w:rPr/>
      </w:pPr>
      <w:r>
        <w:rPr/>
        <w:t xml:space="preserve">Ezt azért javasoljuk, mert a jelenlegi uniós szabályok nem kellően pontosak, a hozzájárulás visszavonása hosszú, ideiglenes és összetett, és a jogalanyoknak nem áll érdekében szolgáltatásaikat nyújtani azoknak a polgároknak, akik élnek az adatvédelemhez való jogukkal. </w:t>
      </w:r>
    </w:p>
    <w:p>
      <w:pPr>
        <w:pStyle w:val="Normal"/>
        <w:rPr/>
      </w:pPr>
      <w:r>
        <w:rPr/>
        <w:t xml:space="preserve"> </w:t>
      </w:r>
    </w:p>
    <w:p>
      <w:pPr>
        <w:pStyle w:val="Titre3"/>
        <w:numPr>
          <w:ilvl w:val="2"/>
          <w:numId w:val="2"/>
        </w:numPr>
        <w:rPr/>
      </w:pPr>
      <w:bookmarkStart w:id="135" w:name="__RefHeading___Toc297205_1346298689"/>
      <w:bookmarkEnd w:id="135"/>
      <w:r>
        <w:rPr/>
        <w:t xml:space="preserve">2. tengely: A demokrácia és a jogállamiság védelme </w:t>
      </w:r>
    </w:p>
    <w:p>
      <w:pPr>
        <w:pStyle w:val="Normal"/>
        <w:rPr/>
      </w:pPr>
      <w:r>
        <w:rPr/>
        <w:t xml:space="preserve"> </w:t>
      </w:r>
    </w:p>
    <w:p>
      <w:pPr>
        <w:pStyle w:val="Titre4"/>
        <w:numPr>
          <w:ilvl w:val="3"/>
          <w:numId w:val="2"/>
        </w:numPr>
        <w:rPr/>
      </w:pPr>
      <w:bookmarkStart w:id="136" w:name="__RefHeading___Toc297207_1346298689"/>
      <w:bookmarkEnd w:id="136"/>
      <w:r>
        <w:rPr/>
        <w:t xml:space="preserve">Altengely A jogállamiság védelme </w:t>
      </w:r>
    </w:p>
    <w:p>
      <w:pPr>
        <w:pStyle w:val="Normal"/>
        <w:rPr/>
      </w:pPr>
      <w:r>
        <w:rPr/>
        <w:t xml:space="preserve"> </w:t>
      </w:r>
    </w:p>
    <w:p>
      <w:pPr>
        <w:pStyle w:val="P68B1DB1Normal15"/>
        <w:rPr>
          <w:b/>
          <w:b/>
        </w:rPr>
      </w:pPr>
      <w:r>
        <w:rPr/>
        <w:t xml:space="preserve">10. „A kölcsönös megfeleltetésről szóló, 2020. december 16-án elfogadott 2020/2092 rendelet módosítását javasoljuk, hogy az az uniós költségvetést érintő jogsértések helyett a jogállamiság valamennyi megsértésére vonatkozzon.” </w:t>
      </w:r>
    </w:p>
    <w:p>
      <w:pPr>
        <w:pStyle w:val="Normal"/>
        <w:rPr/>
      </w:pPr>
      <w:r>
        <w:rPr/>
        <w:t xml:space="preserve"> </w:t>
      </w:r>
    </w:p>
    <w:p>
      <w:pPr>
        <w:pStyle w:val="Normal"/>
        <w:rPr/>
      </w:pPr>
      <w:r>
        <w:rPr/>
        <w:t xml:space="preserve">A kölcsönös megfeleltetésről szóló rendelet lehetővé teszi az uniós forrásoknak a jogállamiságot megsértő tagállamok részére történő folyósításának felfüggesztését. Jelenlegi megfogalmazásában azonban csak azokra a jogsértésekre vonatkozik, amelyek hatással vannak vagy valószínűleg hatással lesznek az uniós költségvetésre. Emellett a kölcsönös megfeleltetésről szóló rendelet jelenlegi megfogalmazása inkább az uniós költségvetést és az uniós intézményeket védi, mint az érintett tagállamok polgárait. Ezért javasoljuk a rendelet jelenlegi szövegének oly módon történő módosítását, hogy az kiterjedjen a jogállamiság valamennyi megsértésére. </w:t>
      </w:r>
    </w:p>
    <w:p>
      <w:pPr>
        <w:pStyle w:val="Normal"/>
        <w:rPr/>
      </w:pPr>
      <w:r>
        <w:rPr/>
        <w:t xml:space="preserve"> </w:t>
      </w:r>
    </w:p>
    <w:p>
      <w:pPr>
        <w:pStyle w:val="P68B1DB1Normal15"/>
        <w:rPr>
          <w:b/>
          <w:b/>
        </w:rPr>
      </w:pPr>
      <w:r>
        <w:rPr/>
        <w:t xml:space="preserve">11. „Azt javasoljuk, hogy az EU szervezzen éves jogállamisági konferenciákat az éves jogállamisági jelentés (a jogállamiság tagállamok általi betartásának nyomon követésére szolgáló bizottsági mechanizmus) közzétételét követően. A tagállamokat kötelezni kell arra, hogy különböző nemzeti szociális küldöttségeket küldjenek a konferenciára, beleértve a polgárokat és a köztisztviselőket is.” </w:t>
      </w:r>
    </w:p>
    <w:p>
      <w:pPr>
        <w:pStyle w:val="Normal"/>
        <w:rPr/>
      </w:pPr>
      <w:r>
        <w:rPr/>
        <w:t xml:space="preserve"> </w:t>
      </w:r>
    </w:p>
    <w:p>
      <w:pPr>
        <w:pStyle w:val="Normal"/>
        <w:rPr/>
      </w:pPr>
      <w:r>
        <w:rPr/>
        <w:t xml:space="preserve">A konferencia előmozdítaná az uniós polgárok között a jogállamisággal kapcsolatos kérdésekről folytatott párbeszédet, valamint a polgárok és az éves jogállamisági jelentéseket készítő szakértők közötti párbeszédet. Úgy véljük, hogy a kölcsönös elismerés és megosztás légkörében a résztvevők képesek lesznek visszahozni a legjobb gyakorlatokat és ötleteket hazájukba. A konferencia emellett növelné a jogállamiság elvének, valamint az éves jogállamisági jelentés alapjául szolgáló következtetéseknek és folyamatnak a tudatosságát és megértését. Emellett felkeltené a média figyelmét, és lehetővé tenné a polgárok számára, hogy megosszák tapasztalataikat, és összehasonlítsák őket a jelentés megállapításaival. </w:t>
      </w:r>
    </w:p>
    <w:p>
      <w:pPr>
        <w:pStyle w:val="Normal"/>
        <w:rPr/>
      </w:pPr>
      <w:r>
        <w:rPr/>
      </w:r>
    </w:p>
    <w:p>
      <w:pPr>
        <w:pStyle w:val="Titre4"/>
        <w:numPr>
          <w:ilvl w:val="3"/>
          <w:numId w:val="2"/>
        </w:numPr>
        <w:rPr/>
      </w:pPr>
      <w:bookmarkStart w:id="137" w:name="__RefHeading___Toc297209_1346298689"/>
      <w:bookmarkEnd w:id="137"/>
      <w:r>
        <w:rPr/>
        <w:t xml:space="preserve">Altengely A demokrácia védelme és megerősítése/altengely 2.4 Média és félretájékoztatás </w:t>
      </w:r>
    </w:p>
    <w:p>
      <w:pPr>
        <w:pStyle w:val="Normal"/>
        <w:rPr/>
      </w:pPr>
      <w:r>
        <w:rPr/>
        <w:t xml:space="preserve"> </w:t>
      </w:r>
    </w:p>
    <w:p>
      <w:pPr>
        <w:pStyle w:val="P68B1DB1Normal15"/>
        <w:rPr>
          <w:b/>
          <w:b/>
        </w:rPr>
      </w:pPr>
      <w:r>
        <w:rPr/>
        <w:t xml:space="preserve">12. „Azt javasoljuk, hogy az EU a médiaágazatban szigorúbban alkalmazza a versenyszabályokat annak érdekében, hogy valamennyi tagállamban biztosítsa a médiapluralizmus védelmét. Az EU-nak meg kell akadályoznia a nagy médiamonopóliumokat és a politikai kinevezéseket a médiatestületekben. Azt is javasoljuk, hogy a tömegtájékoztatás szabadságára vonatkozó jövőbeli uniós jogszabályok tartalmazzanak olyan szabályokat is, amelyek megakadályozzák, hogy a politikusok birtokolják vagy erőteljesen befolyásolják tartalmukat. </w:t>
      </w:r>
    </w:p>
    <w:p>
      <w:pPr>
        <w:pStyle w:val="Normal"/>
        <w:rPr/>
      </w:pPr>
      <w:r>
        <w:rPr/>
        <w:t xml:space="preserve"> </w:t>
      </w:r>
    </w:p>
    <w:p>
      <w:pPr>
        <w:pStyle w:val="Normal"/>
        <w:rPr/>
      </w:pPr>
      <w:r>
        <w:rPr/>
        <w:t xml:space="preserve">Ezt azért javasoljuk, mert az uniós versenyszabályok alkalmazása elősegíti a pluralista médiakörnyezetet, amelyben a polgárok választhatnak. Mivel a Bizottság jelenleg (a tömegtájékoztatás szabadságáról szóló) jogalkotási aktust készít elő az uniós médiapiac integritása érdekében, elő kell írni azt is, hogy a médiát nem szabad politikusok birtokában tartani és befolyásolni. </w:t>
      </w:r>
    </w:p>
    <w:p>
      <w:pPr>
        <w:pStyle w:val="Normal"/>
        <w:rPr/>
      </w:pPr>
      <w:r>
        <w:rPr/>
        <w:t xml:space="preserve"> </w:t>
      </w:r>
    </w:p>
    <w:p>
      <w:pPr>
        <w:pStyle w:val="Titre4"/>
        <w:numPr>
          <w:ilvl w:val="3"/>
          <w:numId w:val="2"/>
        </w:numPr>
        <w:rPr/>
      </w:pPr>
      <w:bookmarkStart w:id="138" w:name="__RefHeading___Toc297211_1346298689"/>
      <w:bookmarkEnd w:id="138"/>
      <w:r>
        <w:rPr/>
        <w:t xml:space="preserve">Altengely 2.3 Biztonság </w:t>
      </w:r>
    </w:p>
    <w:p>
      <w:pPr>
        <w:pStyle w:val="Normal"/>
        <w:rPr/>
      </w:pPr>
      <w:r>
        <w:rPr/>
        <w:t xml:space="preserve"> </w:t>
      </w:r>
    </w:p>
    <w:p>
      <w:pPr>
        <w:pStyle w:val="P68B1DB1Normal15"/>
        <w:rPr>
          <w:b/>
          <w:b/>
        </w:rPr>
      </w:pPr>
      <w:r>
        <w:rPr/>
        <w:t xml:space="preserve">13. „Azt javasoljuk, hogy az uniós intézmények játsszanak fontosabb szerepet a rendelkezésükre álló valamennyi eszközzel, köztük a nemzeti kiberbiztonsági központokkal és az Európai Uniós Kiberbiztonsági Ügynökséggel (ENISA) annak érdekében, hogy megvédjék a polgárokat, a szervezeteket és az intézményeket a kiberbiztonság megsértéséből és a mesterséges intelligencia büntetőjogi célú felhasználásából eredő új fenyegetésekkel szemben. Azt is javasoljuk, hogy az európai és ügynökségei irányelveit valamennyi tagállamban megfelelően hajtsák végre és terjesszék.” </w:t>
      </w:r>
    </w:p>
    <w:p>
      <w:pPr>
        <w:pStyle w:val="Normal"/>
        <w:rPr/>
      </w:pPr>
      <w:r>
        <w:rPr/>
        <w:t xml:space="preserve"> </w:t>
      </w:r>
    </w:p>
    <w:p>
      <w:pPr>
        <w:pStyle w:val="Normal"/>
        <w:rPr/>
      </w:pPr>
      <w:r>
        <w:rPr/>
        <w:t xml:space="preserve">Ezt azért javasoljuk, mert a polgárok tehetetlennek érzik magukat, és nincsenek tisztában azzal, mit tesz az Európai Unió e fenyegetések leküzdése érdekében. Ezt azért javasoljuk, mert ezek a fenyegetések komoly nemzeti és európai biztonsági problémát jelentenek. Ezt azért javasoljuk, mert Európának ezen a területen az innováció valódi mozgatórugója kell, hogy legyen. </w:t>
      </w:r>
    </w:p>
    <w:p>
      <w:pPr>
        <w:pStyle w:val="Normal"/>
        <w:rPr/>
      </w:pPr>
      <w:r>
        <w:rPr/>
        <w:t xml:space="preserve"> </w:t>
      </w:r>
    </w:p>
    <w:p>
      <w:pPr>
        <w:pStyle w:val="P68B1DB1Normal15"/>
        <w:rPr>
          <w:b/>
          <w:b/>
        </w:rPr>
      </w:pPr>
      <w:r>
        <w:rPr/>
        <w:t xml:space="preserve">14. „Azt javasoljuk, hogy külső országokkal fenntartott kapcsolataiban az Unió először erősítse meg a közös demokratikus értékeket határain. Csak e cél elérése után javasoljuk, hogy az Unió legyen demokratikus modellünk nagykövete azokban az országokban, amelyek hajlandók ezt a modellt alkalmazni, és ezt diplomáciai és párbeszéd útján készek megtenni. </w:t>
      </w:r>
    </w:p>
    <w:p>
      <w:pPr>
        <w:pStyle w:val="Normal"/>
        <w:rPr/>
      </w:pPr>
      <w:r>
        <w:rPr/>
        <w:t xml:space="preserve"> </w:t>
      </w:r>
    </w:p>
    <w:p>
      <w:pPr>
        <w:pStyle w:val="Normal"/>
        <w:rPr/>
      </w:pPr>
      <w:r>
        <w:rPr/>
        <w:t xml:space="preserve">Ezt az intézkedést javasoljuk, mert befelé kell tekintenünk, mielőtt kifelé tekintenünk. Mert Európának segítenie kell a tagállamokat demokráciájuk megerősítésében. Mert az is, hogy példát mutatunk és támogatjuk a külső országok demokráciáért tett erőfeszítéseit, megvédjük magunkat. </w:t>
      </w:r>
    </w:p>
    <w:p>
      <w:pPr>
        <w:pStyle w:val="Normal"/>
        <w:rPr/>
      </w:pPr>
      <w:r>
        <w:rPr/>
        <w:t xml:space="preserve"> </w:t>
      </w:r>
    </w:p>
    <w:p>
      <w:pPr>
        <w:pStyle w:val="Titre3"/>
        <w:numPr>
          <w:ilvl w:val="2"/>
          <w:numId w:val="2"/>
        </w:numPr>
        <w:rPr/>
      </w:pPr>
      <w:bookmarkStart w:id="139" w:name="__RefHeading___Toc297213_1346298689"/>
      <w:bookmarkEnd w:id="139"/>
      <w:r>
        <w:rPr/>
        <w:t xml:space="preserve">3. tengely: Az Európai Unió reformja </w:t>
      </w:r>
    </w:p>
    <w:p>
      <w:pPr>
        <w:pStyle w:val="Normal"/>
        <w:rPr/>
      </w:pPr>
      <w:r>
        <w:rPr/>
        <w:t xml:space="preserve"> </w:t>
      </w:r>
    </w:p>
    <w:p>
      <w:pPr>
        <w:pStyle w:val="Titre4"/>
        <w:numPr>
          <w:ilvl w:val="3"/>
          <w:numId w:val="2"/>
        </w:numPr>
        <w:rPr/>
      </w:pPr>
      <w:bookmarkStart w:id="140" w:name="__RefHeading___Toc297215_1346298689"/>
      <w:bookmarkEnd w:id="140"/>
      <w:r>
        <w:rPr/>
        <w:t>Altengely Intézményi reform</w:t>
      </w:r>
    </w:p>
    <w:p>
      <w:pPr>
        <w:pStyle w:val="Normal"/>
        <w:rPr/>
      </w:pPr>
      <w:r>
        <w:rPr/>
        <w:t xml:space="preserve"> </w:t>
      </w:r>
    </w:p>
    <w:p>
      <w:pPr>
        <w:pStyle w:val="Normal"/>
        <w:rPr/>
      </w:pPr>
      <w:r>
        <w:rPr>
          <w:b/>
        </w:rPr>
        <w:t>15. „A feladataik tisztázása érdekében javasoljuk az uniós intézmények nevének megváltoztatását. Például az Európai Unió Tanácsát az Európai Unió Szenátusának lehetne nevezni. Az Európai Bizottságot az Európai Unió Végrehajtó Bizottságának lehetne nevezni</w:t>
      </w:r>
      <w:r>
        <w:rPr/>
        <w:t xml:space="preserve">. </w:t>
      </w:r>
    </w:p>
    <w:p>
      <w:pPr>
        <w:pStyle w:val="Normal"/>
        <w:rPr/>
      </w:pPr>
      <w:r>
        <w:rPr/>
        <w:t xml:space="preserve"> </w:t>
      </w:r>
    </w:p>
    <w:p>
      <w:pPr>
        <w:pStyle w:val="Normal"/>
        <w:rPr/>
      </w:pPr>
      <w:r>
        <w:rPr/>
        <w:t xml:space="preserve">Ezt javasoljuk, mivel a polgárok számára jelenleg nehéz megérteni az egyes uniós intézmények szerepét és funkcióit. A nevük nem tükrözi a funkciójukat. A polgároktól nem várható el, hogy különbséget tegyenek az Európai Unió Tanácsa, az Európai Tanács és az Európa Tanács között. Fontos elkerülni az átfedéseket. </w:t>
      </w:r>
    </w:p>
    <w:p>
      <w:pPr>
        <w:pStyle w:val="Normal"/>
        <w:rPr/>
      </w:pPr>
      <w:r>
        <w:rPr/>
        <w:t xml:space="preserve"> </w:t>
      </w:r>
    </w:p>
    <w:p>
      <w:pPr>
        <w:pStyle w:val="P68B1DB1Normal15"/>
        <w:rPr>
          <w:b/>
          <w:b/>
        </w:rPr>
      </w:pPr>
      <w:r>
        <w:rPr/>
        <w:t xml:space="preserve">16. Javasoljuk egy választási törvény elfogadását az Európai Parlament számára, amely harmonizálja a választási feltételeket (a választójog kora, a választások időpontja, a választókerületekre, a jelöltekre, a politikai pártokra és azok finanszírozására vonatkozó követelmények). Az európai polgárok számára biztosítani kell azt a jogot, hogy különböző uniós szintű pártokban szavazzanak, amelyek mindegyike több tagállamból származó jelöltekből áll. Elegendő átmeneti időszak alatt a polgárok továbbra is szavazhatnak a nemzeti és transznacionális pártokra. </w:t>
      </w:r>
    </w:p>
    <w:p>
      <w:pPr>
        <w:pStyle w:val="Normal"/>
        <w:rPr/>
      </w:pPr>
      <w:r>
        <w:rPr/>
        <w:t xml:space="preserve"> </w:t>
      </w:r>
    </w:p>
    <w:p>
      <w:pPr>
        <w:pStyle w:val="Normal"/>
        <w:rPr/>
      </w:pPr>
      <w:r>
        <w:rPr/>
        <w:t xml:space="preserve">Ezt azért javasoljuk, mert az Uniónak olyan egységérzetet kell kialakítania, amely az Európai Parlament valóban egységes választásával alakulhat ki. Ez a közös választás lehetővé teszi az Európai Parlament képviselőinek felhatalmazását és a választási kampány közös európai témákra való összpontosítását. </w:t>
      </w:r>
    </w:p>
    <w:p>
      <w:pPr>
        <w:pStyle w:val="Normal"/>
        <w:rPr/>
      </w:pPr>
      <w:r>
        <w:rPr/>
        <w:t xml:space="preserve"> </w:t>
      </w:r>
    </w:p>
    <w:p>
      <w:pPr>
        <w:pStyle w:val="Titre4"/>
        <w:numPr>
          <w:ilvl w:val="3"/>
          <w:numId w:val="2"/>
        </w:numPr>
        <w:rPr/>
      </w:pPr>
      <w:bookmarkStart w:id="141" w:name="__RefHeading___Toc297217_1346298689"/>
      <w:bookmarkEnd w:id="141"/>
      <w:r>
        <w:rPr/>
        <w:t xml:space="preserve">Altengely Döntéshozatal </w:t>
      </w:r>
    </w:p>
    <w:p>
      <w:pPr>
        <w:pStyle w:val="Normal"/>
        <w:rPr/>
      </w:pPr>
      <w:r>
        <w:rPr/>
        <w:t xml:space="preserve"> </w:t>
      </w:r>
    </w:p>
    <w:p>
      <w:pPr>
        <w:pStyle w:val="P68B1DB1Normal15"/>
        <w:rPr>
          <w:b/>
          <w:b/>
        </w:rPr>
      </w:pPr>
      <w:r>
        <w:rPr/>
        <w:t xml:space="preserve">17. Javasoljuk, hogy hozzon létre egy olyan online platformot, ahol a polgárok tényszerűen ellenőrzött információkat találhatnak és kérhetnek. A platformnak egyértelműen kapcsolódnia kell az uniós intézményekhez, tematikusan strukturáltnak és könnyen hozzáférhetőnek kell lennie (pl. forródrót biztosítása révén). A polgároknak lehetőséget kell biztosítani arra, hogy kritikus kérdéseket tegyenek fel szakértőknek (pl. akadémikusoknak, újságíróknak), és tényszerű válaszokat kapjanak a forrásokból. </w:t>
      </w:r>
    </w:p>
    <w:p>
      <w:pPr>
        <w:pStyle w:val="Normal"/>
        <w:rPr/>
      </w:pPr>
      <w:r>
        <w:rPr/>
        <w:t xml:space="preserve"> </w:t>
      </w:r>
    </w:p>
    <w:p>
      <w:pPr>
        <w:pStyle w:val="Normal"/>
        <w:rPr/>
      </w:pPr>
      <w:r>
        <w:rPr/>
        <w:t xml:space="preserve">Társadalmunk számára rendkívül fontos a tényszerű információkhoz való szabad hozzáférés, hogy a polgárok jól tájékozottak és védve legyenek az álhírekkel és a félretájékoztatással szemben. Hiteles és független információforrásra van szükségünk, amelyet nem befolyásolnak politikai, gazdasági és nemzeti érdekek. Emellett a platform hidat (azaz közvetlen kapcsolatot) hozhat létre a polgárok és az EU között. </w:t>
      </w:r>
    </w:p>
    <w:p>
      <w:pPr>
        <w:pStyle w:val="Normal"/>
        <w:rPr/>
      </w:pPr>
      <w:r>
        <w:rPr/>
      </w:r>
    </w:p>
    <w:p>
      <w:pPr>
        <w:pStyle w:val="P68B1DB1Normal15"/>
        <w:rPr>
          <w:b/>
          <w:b/>
        </w:rPr>
      </w:pPr>
      <w:r>
        <w:rPr/>
        <w:t xml:space="preserve">18. Javasoljuk, hogy kivételes esetekben uniós szintű népszavazást tartsanak minden európai polgár számára nagy jelentőséggel bíró kérdésekről. A népszavazást az Európai Parlamentnek kell elindítania, és jogilag kötelező erejűnek kell lennie. </w:t>
      </w:r>
    </w:p>
    <w:p>
      <w:pPr>
        <w:pStyle w:val="Normal"/>
        <w:rPr/>
      </w:pPr>
      <w:r>
        <w:rPr/>
        <w:t xml:space="preserve"> </w:t>
      </w:r>
    </w:p>
    <w:p>
      <w:pPr>
        <w:pStyle w:val="Normal"/>
        <w:rPr/>
      </w:pPr>
      <w:r>
        <w:rPr/>
        <w:t xml:space="preserve">Az uniós polgároknak közvetlenebb befolyással kell rendelkezniük az európai kérdésekkel kapcsolatos fontos döntésekre. A népszavazást azonban csak kivételes körülmények között szabad megtartani, mivel magas költségeik miatt nem lenne lehetséges azokat rendszeresen megtartani. Tisztában vagyunk azzal, hogy ez az ajánlás szükségessé teheti a Szerződés módosítását és a nemzeti alkotmányok kiigazítását. </w:t>
      </w:r>
    </w:p>
    <w:p>
      <w:pPr>
        <w:pStyle w:val="Normal"/>
        <w:rPr/>
      </w:pPr>
      <w:r>
        <w:rPr/>
        <w:t xml:space="preserve"> </w:t>
      </w:r>
    </w:p>
    <w:p>
      <w:pPr>
        <w:pStyle w:val="P68B1DB1Normal15"/>
        <w:rPr>
          <w:b/>
          <w:b/>
        </w:rPr>
      </w:pPr>
      <w:r>
        <w:rPr/>
        <w:t xml:space="preserve">19. Javasoljuk, hogy hozzanak létre egy multifunkcionális digitális platformot, amelyen keresztül a polgárok szavazhatnak az online választásokon és szavazásokon. A polgárok számára lehetőséget kell biztosítani arra, hogy fontos kérdésekről és az európai intézmények jogalkotási javaslatairól szavazzanak. Ennek a platformnak biztonságosnak, széles körben hozzáférhetőnek és minden polgár számára jól láthatónak kell lennie. </w:t>
      </w:r>
    </w:p>
    <w:p>
      <w:pPr>
        <w:pStyle w:val="Normal"/>
        <w:rPr/>
      </w:pPr>
      <w:r>
        <w:rPr/>
        <w:t xml:space="preserve"> </w:t>
      </w:r>
    </w:p>
    <w:p>
      <w:pPr>
        <w:pStyle w:val="Normal"/>
        <w:rPr/>
      </w:pPr>
      <w:r>
        <w:rPr/>
        <w:t xml:space="preserve">E platform célja, hogy növelje az európai politikában való részvételt, és megkönnyítse a polgárok konzultációhoz és szavazáshoz való hozzáférését. A meglévő eszközök és folyamatok nem eléggé láthatók, ezért szükségünk van egy új, integrált eszközre ezekre a különböző funkciókra. A nagyobb részvétel jobb döntésekhez, az európai polgárok közötti nagyobb bizalomhoz és általában az Unió jobb működéséhez vezet. </w:t>
      </w:r>
    </w:p>
    <w:p>
      <w:pPr>
        <w:pStyle w:val="Normal"/>
        <w:rPr/>
      </w:pPr>
      <w:r>
        <w:rPr/>
        <w:t xml:space="preserve"> </w:t>
      </w:r>
    </w:p>
    <w:p>
      <w:pPr>
        <w:pStyle w:val="P68B1DB1Normal15"/>
        <w:rPr>
          <w:b/>
          <w:b/>
        </w:rPr>
      </w:pPr>
      <w:r>
        <w:rPr/>
        <w:t xml:space="preserve">20. „Azt javasoljuk, hogy az uniós intézmények szavazási rendszereit az egyhangú szavazás kérdésére összpontosítva értékeljék újra. A szavazatok „súlyozását” méltányosan kell kiszámítani a kis országok érdekeinek védelme érdekében. </w:t>
      </w:r>
    </w:p>
    <w:p>
      <w:pPr>
        <w:pStyle w:val="Normal"/>
        <w:rPr/>
      </w:pPr>
      <w:r>
        <w:rPr/>
        <w:t xml:space="preserve"> </w:t>
      </w:r>
    </w:p>
    <w:p>
      <w:pPr>
        <w:pStyle w:val="Normal"/>
        <w:rPr/>
      </w:pPr>
      <w:r>
        <w:rPr/>
        <w:t xml:space="preserve">Az egyhangúság fontos kihívást jelent az uniós döntéshozatal számára. Tekintettel a tagállamok nagy számára, nagyon nehéz megállapodásra jutni. Szükség esetén módosítani kell az európai szerződéseket az egyhangúság kérdésének megoldása érdekében. </w:t>
      </w:r>
    </w:p>
    <w:p>
      <w:pPr>
        <w:pStyle w:val="Normal"/>
        <w:rPr/>
      </w:pPr>
      <w:r>
        <w:rPr/>
        <w:t xml:space="preserve"> </w:t>
      </w:r>
    </w:p>
    <w:p>
      <w:pPr>
        <w:pStyle w:val="Titre4"/>
        <w:numPr>
          <w:ilvl w:val="3"/>
          <w:numId w:val="2"/>
        </w:numPr>
        <w:rPr/>
      </w:pPr>
      <w:bookmarkStart w:id="142" w:name="__RefHeading___Toc297219_1346298689"/>
      <w:bookmarkEnd w:id="142"/>
      <w:r>
        <w:rPr/>
        <w:t xml:space="preserve">A 3.3. altengely szorosabb integrációja </w:t>
      </w:r>
    </w:p>
    <w:p>
      <w:pPr>
        <w:pStyle w:val="Normal"/>
        <w:rPr/>
      </w:pPr>
      <w:r>
        <w:rPr/>
        <w:t xml:space="preserve"> </w:t>
      </w:r>
    </w:p>
    <w:p>
      <w:pPr>
        <w:pStyle w:val="P68B1DB1Normal15"/>
        <w:rPr>
          <w:b/>
          <w:b/>
        </w:rPr>
      </w:pPr>
      <w:r>
        <w:rPr/>
        <w:t xml:space="preserve">21. „Azt javasoljuk, hogy az Unió valósítson meg olyan közberuházásokat, amelyek megfelelő munkahelyek teremtéséhez és az életminőség javításához és összehangolásához vezetnek az egész Unióban, a tagállamok között és a tagállamokon belül (azaz regionális szinten). A közberuházások végrehajtása során biztosítani kell a hatékony felügyeletet, átláthatóságot és a polgárokkal való kommunikációt, és lehetővé kell tenni a polgárok számára, hogy nyomon kövessék a teljes beruházási folyamatot. Az életminőség javítása érdekében beruházásokat kell eszközölni olyan területeken, mint az oktatás, az egészségügy, a lakhatás, a fizikai infrastruktúra, az idősek és a fogyatékossággal élő személyek gondozása, figyelembe véve az egyes tagállamok szükségleteit. A további beruházásoknak arra kell irányulniuk, hogy megfelelő egyensúlyt teremtsenek a megfelelő munka és magánélet között az egészséges életmód lehetővé tétele érdekében. </w:t>
      </w:r>
    </w:p>
    <w:p>
      <w:pPr>
        <w:pStyle w:val="Normal"/>
        <w:rPr/>
      </w:pPr>
      <w:r>
        <w:rPr/>
        <w:t xml:space="preserve"> </w:t>
      </w:r>
    </w:p>
    <w:p>
      <w:pPr>
        <w:pStyle w:val="Normal"/>
        <w:rPr/>
      </w:pPr>
      <w:r>
        <w:rPr/>
        <w:t xml:space="preserve">Ezt az intézkedést azért javasoljuk, mert az Unión belüli életszínvonal harmonizálása Unió-szerte javítja a gazdasági fejlődést, és egységes Európai Unióhoz vezet. Ez az Unió további integrációjának kulcsfontosságú mutatója. Bár e mechanizmusok némelyike már működik, úgy véljük, hogy ezek még javíthatók. </w:t>
      </w:r>
    </w:p>
    <w:p>
      <w:pPr>
        <w:pStyle w:val="Normal"/>
        <w:rPr/>
      </w:pPr>
      <w:r>
        <w:rPr/>
        <w:t xml:space="preserve"> </w:t>
      </w:r>
    </w:p>
    <w:p>
      <w:pPr>
        <w:pStyle w:val="P68B1DB1Normal15"/>
        <w:rPr>
          <w:b/>
          <w:b/>
        </w:rPr>
      </w:pPr>
      <w:r>
        <w:rPr/>
        <w:t xml:space="preserve">22. „A gazdasági és életminőségi mutatókon alapuló közös alap létrehozását javasoljuk valamennyi tagállam számára annak érdekében, hogy egyenlő esélyeket kínáljunk, és mindenkit egyenlő alapokra helyezzünk a közös gazdasági struktúra megvalósítása érdekében. Fontos, hogy ezt a közös alapot az intézmények által a szakértők ajánlására meghatározott világos és reális ütemterv alapján állapítsák meg. Szakértőkkel is konzultálni kell egy ilyen közös gazdasági struktúra formájáról. Fontos továbbá, hogy az e közös alap alapját képező mutatókat szakértők segítségével pontosabban határozzák meg. </w:t>
      </w:r>
    </w:p>
    <w:p>
      <w:pPr>
        <w:pStyle w:val="Normal"/>
        <w:rPr/>
      </w:pPr>
      <w:r>
        <w:rPr/>
        <w:t xml:space="preserve"> </w:t>
      </w:r>
    </w:p>
    <w:p>
      <w:pPr>
        <w:pStyle w:val="Normal"/>
        <w:rPr/>
      </w:pPr>
      <w:r>
        <w:rPr/>
        <w:t xml:space="preserve">Ezt azért javasoljuk, mert ha igazságos Uniónk van, akkor egy egységesebb Európa lesz. Ahhoz, hogy igazságosak legyünk, egyenlő esélyeket és közös alapot kell biztosítanunk az egész Unió számára. A közös gazdasági struktúra kialakítása csak akkor lehetséges, ha létrehoznak egy közös alapot. </w:t>
      </w:r>
    </w:p>
    <w:p>
      <w:pPr>
        <w:pStyle w:val="Normal"/>
        <w:rPr/>
      </w:pPr>
      <w:r>
        <w:rPr/>
        <w:t xml:space="preserve"> </w:t>
      </w:r>
    </w:p>
    <w:p>
      <w:pPr>
        <w:pStyle w:val="P68B1DB1Normal15"/>
        <w:rPr>
          <w:b/>
          <w:b/>
        </w:rPr>
      </w:pPr>
      <w:r>
        <w:rPr/>
        <w:t xml:space="preserve">23. Javasoljuk a nagyvállalatok és a vállalati jövedelmek megadóztatását, hogy hozzájáruljanak az állami beruházásokhoz, és az adózást az egyes országokban az oktatásba és a fejlesztésbe való befektetéshez használják (K+F, ösztöndíjak – Erasmus stb.). Fontos továbbá biztosítani az adóparadicsomok eltörlését az EU-ban.” </w:t>
      </w:r>
    </w:p>
    <w:p>
      <w:pPr>
        <w:pStyle w:val="Normal"/>
        <w:rPr/>
      </w:pPr>
      <w:r>
        <w:rPr/>
        <w:t xml:space="preserve"> </w:t>
      </w:r>
    </w:p>
    <w:p>
      <w:pPr>
        <w:pStyle w:val="Normal"/>
        <w:rPr/>
      </w:pPr>
      <w:r>
        <w:rPr/>
        <w:t xml:space="preserve">Javasoljuk ezt az intézkedést, mivel segít megelőzni az adókijátszást és adóparadicsomok létrehozását, és elősegíti a megfelelést. </w:t>
      </w:r>
    </w:p>
    <w:p>
      <w:pPr>
        <w:pStyle w:val="Normal"/>
        <w:rPr/>
      </w:pPr>
      <w:r>
        <w:rPr/>
      </w:r>
    </w:p>
    <w:p>
      <w:pPr>
        <w:pStyle w:val="Titre3"/>
        <w:numPr>
          <w:ilvl w:val="2"/>
          <w:numId w:val="2"/>
        </w:numPr>
        <w:rPr/>
      </w:pPr>
      <w:bookmarkStart w:id="143" w:name="__RefHeading___Toc297221_1346298689"/>
      <w:bookmarkEnd w:id="143"/>
      <w:r>
        <w:rPr/>
        <w:t xml:space="preserve">4. tengely: Az európai identitás kiépítése </w:t>
      </w:r>
    </w:p>
    <w:p>
      <w:pPr>
        <w:pStyle w:val="Normal"/>
        <w:rPr/>
      </w:pPr>
      <w:r>
        <w:rPr/>
        <w:t xml:space="preserve"> </w:t>
      </w:r>
    </w:p>
    <w:p>
      <w:pPr>
        <w:pStyle w:val="Titre4"/>
        <w:numPr>
          <w:ilvl w:val="3"/>
          <w:numId w:val="2"/>
        </w:numPr>
        <w:rPr/>
      </w:pPr>
      <w:bookmarkStart w:id="144" w:name="__RefHeading___Toc297223_1346298689"/>
      <w:bookmarkEnd w:id="144"/>
      <w:r>
        <w:rPr/>
        <w:t xml:space="preserve">Altengely: Oktatás a demokráciáért </w:t>
      </w:r>
    </w:p>
    <w:p>
      <w:pPr>
        <w:pStyle w:val="Normal"/>
        <w:rPr/>
      </w:pPr>
      <w:r>
        <w:rPr/>
        <w:t xml:space="preserve"> </w:t>
      </w:r>
    </w:p>
    <w:p>
      <w:pPr>
        <w:pStyle w:val="P68B1DB1Normal15"/>
        <w:rPr>
          <w:b/>
          <w:b/>
        </w:rPr>
      </w:pPr>
      <w:r>
        <w:rPr/>
        <w:t xml:space="preserve">24. Javasoljuk, hogy az EU-ban a demokrácia oktatása valamennyi tagállamban javítsa és érje el a tudás minimális szintjét. Ennek az oktatásnak – de nem kizárólagosan – ki kell terjednie az Unióval kapcsolatos demokratikus folyamatokra és általános információkra, amelyeket valamennyi uniós tagállamban tanítani kell. Ezt a demokratikus folyamat tanítására irányuló különböző koncepciókkal kell gazdagítani, amelyeknek vonzónak és életkornak megfelelőnek kell lenniük. </w:t>
      </w:r>
    </w:p>
    <w:p>
      <w:pPr>
        <w:pStyle w:val="Normal"/>
        <w:rPr/>
      </w:pPr>
      <w:r>
        <w:rPr/>
        <w:t xml:space="preserve"> </w:t>
      </w:r>
    </w:p>
    <w:p>
      <w:pPr>
        <w:pStyle w:val="Normal"/>
        <w:rPr/>
      </w:pPr>
      <w:r>
        <w:rPr/>
        <w:t xml:space="preserve">Ez az ajánlás és annak okai azért fontosak, mert végrehajtása harmonikusabb és demokratikusabb uniós életet fog eredményezni. Az indokolások a következők: a fiatalokat a demokratikus folyamatokban oktatnák; ez az oktatás korlátozhatja a populizmust és a dezinformációt a nyilvános vitákban; csökkentheti a diszkriminációt; végül pedig lehetővé tenné a polgároknak a demokrácia érdekében történő oktatását és mozgósítását a szavazás egyszerű kötelezettségén túl. </w:t>
      </w:r>
    </w:p>
    <w:p>
      <w:pPr>
        <w:pStyle w:val="Normal"/>
        <w:rPr/>
      </w:pPr>
      <w:r>
        <w:rPr/>
        <w:t xml:space="preserve"> </w:t>
      </w:r>
    </w:p>
    <w:p>
      <w:pPr>
        <w:pStyle w:val="P68B1DB1Normal15"/>
        <w:rPr>
          <w:b/>
          <w:b/>
        </w:rPr>
      </w:pPr>
      <w:r>
        <w:rPr/>
        <w:t xml:space="preserve">25. „A nyelvi akadályok csökkentése, valamint a közös identitás és a demokrácia megerősítése érdekében javasoljuk a meglévő és kialakulóban lévő fordítási technológiák – például a mesterséges intelligencia – továbbfejlesztését, javítását és hozzáférhetőségét.” </w:t>
      </w:r>
    </w:p>
    <w:p>
      <w:pPr>
        <w:pStyle w:val="Normal"/>
        <w:rPr/>
      </w:pPr>
      <w:r>
        <w:rPr/>
        <w:t xml:space="preserve"> </w:t>
      </w:r>
    </w:p>
    <w:p>
      <w:pPr>
        <w:pStyle w:val="Normal"/>
        <w:rPr/>
      </w:pPr>
      <w:r>
        <w:rPr/>
        <w:t xml:space="preserve">Ez az ajánlás és annak okai azért fontosak, mert végrehajtása esetén az összes tagállam polgárai közötti kommunikáció javításával hozzájárul a közös európai identitás kiépítéséhez. </w:t>
      </w:r>
    </w:p>
    <w:p>
      <w:pPr>
        <w:pStyle w:val="Normal"/>
        <w:rPr/>
      </w:pPr>
      <w:r>
        <w:rPr/>
        <w:t xml:space="preserve"> </w:t>
      </w:r>
    </w:p>
    <w:p>
      <w:pPr>
        <w:pStyle w:val="P68B1DB1Normal15"/>
        <w:rPr>
          <w:b/>
          <w:b/>
        </w:rPr>
      </w:pPr>
      <w:r>
        <w:rPr/>
        <w:t xml:space="preserve">26. Javasoljuk, hogy az átláthatóság, a nyilvános vita és a demokrácia javítása érdekében az ellenőrizhető információkat tegyék könnyen, érthető módon elérhetővé a polgárok számára egy mobilalkalmazáson keresztül. Ez az alkalmazás például a jogalkotással, az EU-n belüli vitákkal, a Szerződések módosításaival stb. kapcsolatos információk terjesztésére használható. </w:t>
      </w:r>
    </w:p>
    <w:p>
      <w:pPr>
        <w:pStyle w:val="Normal"/>
        <w:rPr/>
      </w:pPr>
      <w:r>
        <w:rPr/>
        <w:t xml:space="preserve"> </w:t>
      </w:r>
    </w:p>
    <w:p>
      <w:pPr>
        <w:pStyle w:val="Normal"/>
        <w:rPr/>
      </w:pPr>
      <w:r>
        <w:rPr/>
        <w:t xml:space="preserve">Ez az ajánlás és annak indoklása azért fontos, mert végrehajtás esetén megkönnyíti a kommunikációt, amennyiben lehetővé teszi a különböző tagállamok polgárai közötti tájékozottabb vitát egy olyan alkalmazás révén, amely számos különböző funkcióval rendelkezik. Ezt az alkalmazást úgy kell kialakítani, hogy valószínűleg mindenki számára érdekes legyen, és képes legyen a kíváncsiság további vonzására, valamint a műszaki információk hozzáférhetőbbé és vonzóbbá tételére. A kérelmet kiegészítő forrásnak kell tekinteni, amely közvetlenül az Unió által hivatalosan ellenőrzött információkat terjeszt a nyilvános vitákba vetett bizalom és átláthatóság javítása, valamint a közös európai identitás kiépítéséhez való hozzájárulás érdekében. </w:t>
      </w:r>
    </w:p>
    <w:p>
      <w:pPr>
        <w:pStyle w:val="Normal"/>
        <w:rPr/>
      </w:pPr>
      <w:r>
        <w:rPr/>
      </w:r>
    </w:p>
    <w:p>
      <w:pPr>
        <w:pStyle w:val="Titre4"/>
        <w:numPr>
          <w:ilvl w:val="3"/>
          <w:numId w:val="2"/>
        </w:numPr>
        <w:rPr/>
      </w:pPr>
      <w:bookmarkStart w:id="145" w:name="__RefHeading___Toc297225_1346298689"/>
      <w:bookmarkEnd w:id="145"/>
      <w:r>
        <w:rPr/>
        <w:t xml:space="preserve">Altengely: Európai értékek és identitás </w:t>
      </w:r>
    </w:p>
    <w:p>
      <w:pPr>
        <w:pStyle w:val="Normal"/>
        <w:rPr/>
      </w:pPr>
      <w:r>
        <w:rPr/>
        <w:t xml:space="preserve"> </w:t>
      </w:r>
    </w:p>
    <w:p>
      <w:pPr>
        <w:pStyle w:val="P68B1DB1Normal15"/>
        <w:rPr>
          <w:b/>
          <w:b/>
        </w:rPr>
      </w:pPr>
      <w:r>
        <w:rPr/>
        <w:t xml:space="preserve">27. „Azt javasoljuk, hogy az EU hozzon létre egy külön alapot az uniós polgárok közötti, rövid és hosszú időtartamú online és offline interakciókra (azaz csereprogramokra, panelekre, találkozókra) az európai identitás erősítése érdekében. A résztvevőknek képviselniük kell az Unión belüli társadalmat, beleértve a különböző kritériumok, azaz demográfiai, társadalmi-gazdasági és foglalkozási kritériumok alapján célzottan kiválasztott csoportokat is. Az európai identitás előmozdítása érdekében egyértelműen meg kell határozni ennek az alapnak a célkitűzéseit, és ezt az alapot rendszeres időközönként értékelni kell. </w:t>
      </w:r>
    </w:p>
    <w:p>
      <w:pPr>
        <w:pStyle w:val="Normal"/>
        <w:rPr/>
      </w:pPr>
      <w:r>
        <w:rPr/>
        <w:t xml:space="preserve"> </w:t>
      </w:r>
    </w:p>
    <w:p>
      <w:pPr>
        <w:pStyle w:val="Normal"/>
        <w:rPr/>
      </w:pPr>
      <w:r>
        <w:rPr/>
        <w:t xml:space="preserve">Ezt javasoljuk, mivel ez a fajta interakció lehetővé teszi a polgárok számára az ötletek megosztását, a hosszabb cserék pedig lehetővé teszik számukra a különböző kultúrák megértését és a tapasztalatok megosztását, beleértve a szakmai gyakorlatokat is. Uniós alapra van szükség, mivel fontos, hogy mindenki részt vehessen, beleértve azokat is, akik általában nem vesznek részt a programban. </w:t>
      </w:r>
    </w:p>
    <w:p>
      <w:pPr>
        <w:pStyle w:val="Normal"/>
        <w:rPr/>
      </w:pPr>
      <w:r>
        <w:rPr/>
        <w:t xml:space="preserve"> </w:t>
      </w:r>
    </w:p>
    <w:p>
      <w:pPr>
        <w:pStyle w:val="P68B1DB1Normal15"/>
        <w:rPr>
          <w:b/>
          <w:b/>
        </w:rPr>
      </w:pPr>
      <w:r>
        <w:rPr/>
        <w:t xml:space="preserve">28. „Azt javasoljuk, hogy az EU gyorsan fektessen be a dezinformáció elleni küzdelembe, támogatva a meglévő szervezeteket és kezdeményezéseket, például a dezinformációval kapcsolatos gyakorlati kódexet és az Európai Digitális Média Megfigyelőközpontját, valamint hasonló tagállami kezdeményezéseket. Különböző ellenintézkedéseket lehetne bevezetni: a tények ellenőrzése, a félretájékoztatás ismertsége, könnyen hozzáférhető statisztikák készítése, megfelelő szankciók kiszabása jogi keretben a félretájékoztatást terjesztőkkel szemben, valamint a félretájékoztatás forrásai elleni küzdelem. </w:t>
      </w:r>
    </w:p>
    <w:p>
      <w:pPr>
        <w:pStyle w:val="Normal"/>
        <w:rPr/>
      </w:pPr>
      <w:r>
        <w:rPr/>
        <w:t xml:space="preserve"> </w:t>
      </w:r>
    </w:p>
    <w:p>
      <w:pPr>
        <w:pStyle w:val="Normal"/>
        <w:rPr/>
      </w:pPr>
      <w:r>
        <w:rPr/>
        <w:t xml:space="preserve">Ez az ajánlás azért fontos, mert az EU-n belülről és kívülről származó félretájékoztatás és félretájékoztatás azzal a hatással jár, hogy konfliktusokat teremt az uniós polgárok között, polarizálja a társadalmat, veszélyezteti a demokráciát és károsítja a gazdaságot. Tekintettel a téma összetettségére, jelentős emberi és pénzügyi erőforrásokra van szükség. </w:t>
      </w:r>
    </w:p>
    <w:p>
      <w:pPr>
        <w:pStyle w:val="Normal"/>
        <w:rPr/>
      </w:pPr>
      <w:r>
        <w:rPr/>
        <w:t xml:space="preserve"> </w:t>
      </w:r>
    </w:p>
    <w:p>
      <w:pPr>
        <w:pStyle w:val="P68B1DB1Normal15"/>
        <w:rPr>
          <w:b/>
          <w:b/>
        </w:rPr>
      </w:pPr>
      <w:r>
        <w:rPr/>
        <w:t xml:space="preserve">29. „Azt javasoljuk, hogy 1) növeljék az Unió és polgárai közötti online és offline interakciók gyakoriságát (azaz azáltal, hogy közvetlenül megkérdezik a polgárokat európai kérdésekről, és egy könnyen használható platformot hoznak létre annak biztosítása érdekében, hogy minden polgár együttműködhessen az uniós intézményekkel és tisztviselőkkel); valamint 2) annak biztosítása, hogy a polgárok részt vehessenek az uniós szakpolitikai döntéshozatali folyamatban, kifejthessék véleményüket és visszajelzést kapjanak, és javasoljuk, hogy dolgozzák ki az uniós tisztviselők számára szóló chartát vagy magatartási kódexet vagy iránymutatásokat. Különböző interakciós eszközöknek kell létezniük, hogy minden polgár részt vehessen. </w:t>
      </w:r>
    </w:p>
    <w:p>
      <w:pPr>
        <w:pStyle w:val="Normal"/>
        <w:rPr/>
      </w:pPr>
      <w:r>
        <w:rPr/>
        <w:t xml:space="preserve"> </w:t>
      </w:r>
    </w:p>
    <w:p>
      <w:pPr>
        <w:pStyle w:val="Normal"/>
        <w:rPr/>
      </w:pPr>
      <w:r>
        <w:rPr/>
        <w:t xml:space="preserve">Ezt az intézkedést azért javasoljuk, mert számos módon lehet kapcsolatba lépni az európai intézményekkel (online platformokkal, képviseleti szervekkel), de ezek nem ismertek, nem hatékonyak és nem átláthatóak. A hozzáférhetőség országonként jelentősen eltér. A gyakoribb és jobb interakciók az európai polgárság iránti elkötelezettség érzését keltik majd. </w:t>
      </w:r>
    </w:p>
    <w:p>
      <w:pPr>
        <w:pStyle w:val="Normal"/>
        <w:rPr/>
      </w:pPr>
      <w:r>
        <w:rPr/>
        <w:t xml:space="preserve"> </w:t>
      </w:r>
    </w:p>
    <w:p>
      <w:pPr>
        <w:pStyle w:val="P68B1DB1Normal15"/>
        <w:rPr>
          <w:b/>
          <w:b/>
        </w:rPr>
      </w:pPr>
      <w:r>
        <w:rPr/>
        <w:t xml:space="preserve">30. Javasoljuk, hogy az európai identitás és értékek (azaz a jogállamiság, a demokrácia és a szolidaritás) játsszanak különleges szerepet a migránsok integrációs folyamatában. Különböző intézkedéseket lehet előirányozni, például programok létrehozását vagy már meglévő (helyi) programok támogatását a migránsok és az uniós polgárok közötti társadalmi interakciók ösztönzése érdekében, vagy a vállalkozások részvételét a migránsok integrációját támogató programokban. Ugyanakkor hasonló programokat kell indítani annak érdekében, hogy felhívják az uniós polgárok figyelmét a migrációval kapcsolatos kérdésekre. </w:t>
      </w:r>
    </w:p>
    <w:p>
      <w:pPr>
        <w:pStyle w:val="Normal"/>
        <w:rPr/>
      </w:pPr>
      <w:r>
        <w:rPr/>
        <w:t xml:space="preserve"> </w:t>
      </w:r>
    </w:p>
    <w:p>
      <w:pPr>
        <w:pStyle w:val="Normal"/>
        <w:rPr/>
      </w:pPr>
      <w:r>
        <w:rPr/>
        <w:t xml:space="preserve">Ez az ajánlás fontos, mivel a szociális interakciós programok segíthetik a migránsokat új életükben, és lehetővé tehetik a nem migránsok számára, hogy jobban megértsék a migránsok mindennapi életét. Ha a migránsok gettókban élnek, nincs lehetőség arra, hogy nemzeti vagy uniós szinten integrálják őket a társadalomba. Közös politikára van szükség, mivel amint a migránsok belépnek az Unió területére, valamennyi uniós országba eljuthatnak. Támogatni kell a helyi kezdeményezéseket, mivel a helyi önkormányzatok hatékonyabban fogják felhasználni az alapokat, mint nemzeti szinten. </w:t>
      </w:r>
    </w:p>
    <w:p>
      <w:pPr>
        <w:pStyle w:val="Normal"/>
        <w:rPr/>
      </w:pPr>
      <w:r>
        <w:rPr/>
        <w:t xml:space="preserve"> </w:t>
      </w:r>
    </w:p>
    <w:p>
      <w:pPr>
        <w:pStyle w:val="Titre4"/>
        <w:numPr>
          <w:ilvl w:val="3"/>
          <w:numId w:val="2"/>
        </w:numPr>
        <w:rPr/>
      </w:pPr>
      <w:bookmarkStart w:id="146" w:name="__RefHeading___Toc297227_1346298689"/>
      <w:bookmarkEnd w:id="146"/>
      <w:r>
        <w:rPr/>
        <w:t xml:space="preserve">A 4.3. altengely EU-információk </w:t>
      </w:r>
    </w:p>
    <w:p>
      <w:pPr>
        <w:pStyle w:val="Normal"/>
        <w:rPr/>
      </w:pPr>
      <w:r>
        <w:rPr/>
        <w:t xml:space="preserve"> </w:t>
      </w:r>
    </w:p>
    <w:p>
      <w:pPr>
        <w:pStyle w:val="P68B1DB1Normal15"/>
        <w:rPr>
          <w:b/>
          <w:b/>
        </w:rPr>
      </w:pPr>
      <w:r>
        <w:rPr/>
        <w:t xml:space="preserve">31. „Azt javasoljuk, hogy az EU jobban tájékoztassa az európai polgárokat. Ehhez az Uniónak minden szükséges eszközt fel kell használnia a média szabadságának és függetlenségének tiszteletben tartása mellett. Általános és megbízható erőforrásokat és információkat kell biztosítania a médiának az Unió tevékenységeiről és politikáiról. Az Uniónak biztosítania kell, hogy az információkat valamennyi tagállamban egyenlően terjesszék a nemzeti és az európai médián keresztül, és biztosítsa, hogy a tagállamok ösztönözzék a közszolgálati műsorszolgáltatókat és a közszolgálati hírügynökségeket, hogy foglalkozzanak az európai kérdésekkel.” </w:t>
      </w:r>
    </w:p>
    <w:p>
      <w:pPr>
        <w:pStyle w:val="Normal"/>
        <w:rPr/>
      </w:pPr>
      <w:r>
        <w:rPr/>
      </w:r>
    </w:p>
    <w:p>
      <w:pPr>
        <w:pStyle w:val="Normal"/>
        <w:rPr/>
      </w:pPr>
      <w:r>
        <w:rPr/>
        <w:t xml:space="preserve">Ezt azért javasoljuk, mert személyes tapasztalataink szerint és az Eurobarométer adatai szerint az európai polgárok többségét a mainstream média (sajtó, rádió és televízió) tájékoztatja, és ezek a csatornák jelenleg nagyon kevés információt nyújtanak az EU-ról. A média, beleértve a közmédiát is, közszolgálati funkcióval rendelkezik. Ezért e feladat ellátása érdekében alapvető fontosságú az európai lakosságot érintő európai kérdések kezelése. Azt javasoljuk, hogy a különböző tagállamokban terjesztett uniós információk azonosak legyenek az integráció előmozdítása érdekében, és azt javasoljuk, hogy kerüljék el az egyes országok különböző kérdéseire vonatkozó eltérő információkat. Kényelmesebb és olcsóbb a meglévő médiacsatornák használata, mint egy új csatorna létrehozása ugyanazért az eredményért. A meglévő csatornáknak is megvan az az előnye, hogy a polgárok már ismerik őket. Egyetlen polgárnak sem szabad választania a különböző (nemzeti vagy európai) tartalmakhoz való hozzáférés különböző csatornái között. </w:t>
      </w:r>
    </w:p>
    <w:p>
      <w:pPr>
        <w:pStyle w:val="Normal"/>
        <w:rPr/>
      </w:pPr>
      <w:r>
        <w:rPr/>
        <w:t xml:space="preserve"> </w:t>
      </w:r>
    </w:p>
    <w:p>
      <w:pPr>
        <w:pStyle w:val="P68B1DB1Normal15"/>
        <w:rPr>
          <w:b/>
          <w:b/>
        </w:rPr>
      </w:pPr>
      <w:r>
        <w:rPr/>
        <w:t xml:space="preserve">32. „Azt javasoljuk, hogy az EU hozzon létre és mozdítson elő többnyelvű online fórumokat és offline találkozókat, amelyek lehetővé teszik a polgárok számára, hogy vitát folytassanak az EU képviselőivel, függetlenül a felvetett kérdés témájától és földrajzi hatályától. Az online fórumokon és offline találkozókon felvetett kérdésekre jól meghatározott rövid időn belül választ kell adni. Az ezekre a terekre vonatkozó valamennyi információt egy olyan integrált hivatalos honlapon kell központosítani, amely különböző funkciókkal rendelkezik, például a gyakran feltett kérdések számára, az ötletek, javaslatok vagy aggodalmak más polgárokkal való megosztásának lehetőségét, valamint egy olyan mechanizmust, amely jelzi, hogy mely személyek kapják a legtöbb támogatást. Mindenesetre az oldalhoz való hozzáférésnek egyszerűnek kell lennie, és nem bürokratikus nyelvet kell használni. </w:t>
      </w:r>
    </w:p>
    <w:p>
      <w:pPr>
        <w:pStyle w:val="Normal"/>
        <w:rPr/>
      </w:pPr>
      <w:r>
        <w:rPr/>
        <w:t xml:space="preserve"> </w:t>
      </w:r>
    </w:p>
    <w:p>
      <w:pPr>
        <w:pStyle w:val="Normal"/>
        <w:rPr/>
      </w:pPr>
      <w:r>
        <w:rPr/>
        <w:t xml:space="preserve">Ezt azért javasoljuk, mert ez egy módja annak, hogy közvetlen hidat hozzunk létre az európai polgárok és az európai képviselők között, hogy felszólaljanak és együttműködjenek, hogy a polgárok könnyen hozzáférjenek az Unióval kapcsolatos információkhoz, és jobban tájékoztassák őket a már rendelkezésre álló információkról. Ez átláthatóbb és nyitottabb Uniót hoz létre, és segíti a polgárokat abban, hogy megosszák egymással problémáikat és gondolataikat, valamint szakpolitikai válaszokat és megoldásokat kapjanak, valamint lehetővé teszi a polgárok számára, hogy más polgárokkal kapcsolatba lépjenek és megosszák a perspektívákat és tapasztalatokat. </w:t>
      </w:r>
    </w:p>
    <w:p>
      <w:pPr>
        <w:pStyle w:val="Normal"/>
        <w:rPr/>
      </w:pPr>
      <w:r>
        <w:rPr/>
        <w:t xml:space="preserve"> </w:t>
      </w:r>
    </w:p>
    <w:p>
      <w:pPr>
        <w:pStyle w:val="Normal"/>
        <w:rPr>
          <w:b/>
          <w:b/>
        </w:rPr>
      </w:pPr>
      <w:r>
        <w:rPr>
          <w:b/>
        </w:rPr>
        <w:t xml:space="preserve">33. </w:t>
      </w:r>
      <w:commentRangeStart w:id="4"/>
      <w:r>
        <w:rPr>
          <w:b/>
        </w:rPr>
        <w:t>„</w:t>
      </w:r>
      <w:r>
        <w:rPr>
          <w:b/>
          <w:i/>
        </w:rPr>
        <w:t>Azt javasoljuk, hogy az uniós intézmények és képviselők könnyebben hozzáférhető nyelvet használjanak, és ne használják a bürokratikus kifejezéseket kommunikációjuk során, miközben megőrzik a kapott információk minőségét és technikai színvonalát.</w:t>
      </w:r>
      <w:r>
        <w:rPr>
          <w:b/>
        </w:rPr>
        <w:t xml:space="preserve"> </w:t>
      </w:r>
      <w:r>
        <w:rPr>
          <w:b/>
        </w:rPr>
      </w:r>
      <w:commentRangeEnd w:id="4"/>
      <w:r>
        <w:commentReference w:id="4"/>
      </w:r>
      <w:r>
        <w:rPr>
          <w:b/>
        </w:rPr>
        <w:t xml:space="preserve">Az Uniónak továbbá ki kell igazítania a különböző kommunikációs csatornákat és különböző közönségeket (pl. újságokat, televíziót, közösségi médiát) használó polgárok számára nyújtott információkat. Az EU-nak különös erőfeszítéseket kell tennie annak érdekében, hogy a kommunikációt hozzáigazítsa a digitális médiához annak érdekében, hogy növelje a fiatalok elérését szolgáló kapacitását.” </w:t>
      </w:r>
    </w:p>
    <w:p>
      <w:pPr>
        <w:pStyle w:val="Normal"/>
        <w:rPr/>
      </w:pPr>
      <w:r>
        <w:rPr/>
        <w:t xml:space="preserve"> </w:t>
      </w:r>
    </w:p>
    <w:p>
      <w:pPr>
        <w:pStyle w:val="Normal"/>
        <w:rPr/>
      </w:pPr>
      <w:r>
        <w:rPr/>
        <w:t xml:space="preserve">Javasoljuk ezt az intézkedést, mivel az érthető tájékoztatás lehetővé teszi az Unió számára, hogy több európai polgárt érjen el, és ne csak azokat, akik részt vesznek. A konkrét közönség megcélzására szolgáló új, modern eszközökkel a polgárok jobban megismerhetik az uniós tevékenységeket és szakpolitikákat, különösen azokat a fiatalokat, akik nem érzik magukat közel az EU-hoz vagy nem kötődnek az EU-hoz. </w:t>
      </w:r>
    </w:p>
    <w:p>
      <w:pPr>
        <w:pStyle w:val="Normal"/>
        <w:rPr/>
      </w:pPr>
      <w:r>
        <w:rPr/>
      </w:r>
    </w:p>
    <w:p>
      <w:pPr>
        <w:pStyle w:val="Titre3"/>
        <w:numPr>
          <w:ilvl w:val="2"/>
          <w:numId w:val="2"/>
        </w:numPr>
        <w:rPr/>
      </w:pPr>
      <w:bookmarkStart w:id="147" w:name="__RefHeading___Toc297229_1346298689"/>
      <w:bookmarkEnd w:id="147"/>
      <w:r>
        <w:rPr/>
        <w:t xml:space="preserve">5. tengely: A polgárok részvételének erősítése </w:t>
      </w:r>
    </w:p>
    <w:p>
      <w:pPr>
        <w:pStyle w:val="Normal"/>
        <w:rPr/>
      </w:pPr>
      <w:r>
        <w:rPr/>
        <w:t xml:space="preserve"> </w:t>
      </w:r>
    </w:p>
    <w:p>
      <w:pPr>
        <w:pStyle w:val="Titre4"/>
        <w:numPr>
          <w:ilvl w:val="3"/>
          <w:numId w:val="2"/>
        </w:numPr>
        <w:rPr/>
      </w:pPr>
      <w:bookmarkStart w:id="148" w:name="__RefHeading___Toc297231_1346298689"/>
      <w:bookmarkEnd w:id="148"/>
      <w:r>
        <w:rPr/>
        <w:t xml:space="preserve">Altengely A polgárok részvétele </w:t>
      </w:r>
    </w:p>
    <w:p>
      <w:pPr>
        <w:pStyle w:val="Normal"/>
        <w:rPr/>
      </w:pPr>
      <w:r>
        <w:rPr/>
        <w:t xml:space="preserve"> </w:t>
      </w:r>
    </w:p>
    <w:p>
      <w:pPr>
        <w:pStyle w:val="P68B1DB1Normal15"/>
        <w:rPr>
          <w:b/>
          <w:b/>
        </w:rPr>
      </w:pPr>
      <w:r>
        <w:rPr/>
        <w:t xml:space="preserve">34. „Azt javasoljuk, hogy független polgárok megfigyelői legyenek jelen valamennyi uniós döntéshozatali folyamatban. Létre kell hozni a polgárok képviselőiből álló állandó fórumot vagy testületet, amely felelős lenne a releváns és fontos információknak az összes ilyenként meghatározott uniós polgár számára történő terjesztéséért. Ezek a polgárok az összes többi európai polgárt egy felülről lefelé/alulról felfelé irányuló megközelítés keretében folytatnák, ami tovább fejlesztené a polgárok és az uniós intézmények közötti párbeszédet.” </w:t>
      </w:r>
    </w:p>
    <w:p>
      <w:pPr>
        <w:pStyle w:val="Normal"/>
        <w:rPr/>
      </w:pPr>
      <w:r>
        <w:rPr/>
        <w:t xml:space="preserve"> </w:t>
      </w:r>
    </w:p>
    <w:p>
      <w:pPr>
        <w:pStyle w:val="Normal"/>
        <w:rPr/>
      </w:pPr>
      <w:r>
        <w:rPr/>
        <w:t xml:space="preserve">A polgárok természetesen megérdemlik, hogy minden kérdésről tájékoztatást kapjanak, és fontos annak biztosítása, hogy a politikusok ne hagyjanak figyelmen kívül néhány kérdést, amelyeket inkább figyelmen kívül hagynának. Egy ilyen intézkedés új bizalmi utak létrehozásával áthidalná a polgárok és a választott képviselők közötti szakadékot. </w:t>
      </w:r>
    </w:p>
    <w:p>
      <w:pPr>
        <w:pStyle w:val="Normal"/>
        <w:rPr/>
      </w:pPr>
      <w:r>
        <w:rPr/>
        <w:t xml:space="preserve"> </w:t>
      </w:r>
    </w:p>
    <w:p>
      <w:pPr>
        <w:pStyle w:val="P68B1DB1Normal15"/>
        <w:rPr>
          <w:b/>
          <w:b/>
        </w:rPr>
      </w:pPr>
      <w:r>
        <w:rPr/>
        <w:t xml:space="preserve"> </w:t>
      </w:r>
      <w:r>
        <w:rPr/>
        <w:t xml:space="preserve">35. „Azt javasoljuk, hogy az Unió kezdje újra az európai alkotmányról szóló vitát egy olyan alkotmány kidolgozása céljából, amelyet az Unió polgárai ihlettek. A polgároknak képesnek kell lenniük arra, hogy egy ilyen alkotmányra szavazzanak. A tagállamokkal való konfliktusok elkerülése érdekében az emberi jogok és a demokrácia értékeit prioritásként kell belefoglalni ebbe az alkotmányba. Egy ilyen alkotmány kidolgozásakor figyelembe kell venni azokat a korábbi erőfeszítéseket, amelyek soha nem eredményeztek alkotmányt. </w:t>
      </w:r>
    </w:p>
    <w:p>
      <w:pPr>
        <w:pStyle w:val="Normal"/>
        <w:rPr/>
      </w:pPr>
      <w:r>
        <w:rPr/>
        <w:t xml:space="preserve"> </w:t>
      </w:r>
    </w:p>
    <w:p>
      <w:pPr>
        <w:pStyle w:val="Normal"/>
        <w:rPr/>
      </w:pPr>
      <w:r>
        <w:rPr/>
        <w:t xml:space="preserve">Mert ez az alkotmány bevonná a fiatalokat az uniós szintű politikába, és meghiúsítaná a nacionalizmus erőit, amelyek teret nyernek. Közös meghatározást adna arról, hogy mi a demokrácia Európában, és azt valamennyi tagállamban egyenlően hajtanák végre. Mert az EU közös értékeket képvisel a demokráciával és az emberi jogokkal kapcsolatban. Mivel a polgároknak lehetőségük lenne arra, hogy részt vegyenek a döntéshozatali folyamatban, és hogy a folyamatban való részvétel révén jobban azonosuljanak az Unióval. </w:t>
      </w:r>
    </w:p>
    <w:p>
      <w:pPr>
        <w:pStyle w:val="Normal"/>
        <w:rPr/>
      </w:pPr>
      <w:r>
        <w:rPr/>
        <w:t xml:space="preserve"> </w:t>
      </w:r>
    </w:p>
    <w:p>
      <w:pPr>
        <w:pStyle w:val="P68B1DB1Normal15"/>
        <w:rPr>
          <w:b/>
          <w:b/>
        </w:rPr>
      </w:pPr>
      <w:r>
        <w:rPr/>
        <w:t xml:space="preserve">36. Javasoljuk, hogy a politikusok elszámoltathatóbbak legyenek abban, hogyan képviselik az őket megválasztó polgárokat. A fiatalok különösen elszakadnak a politikától, és nem veszik őket komolyan, amikor részt vesznek. De az érdektelenség egyetemes probléma, és minden korosztálynak elkötelezettebbnek kell lennie, mint most. </w:t>
      </w:r>
    </w:p>
    <w:p>
      <w:pPr>
        <w:pStyle w:val="Normal"/>
        <w:rPr/>
      </w:pPr>
      <w:r>
        <w:rPr/>
        <w:t xml:space="preserve"> </w:t>
      </w:r>
    </w:p>
    <w:p>
      <w:pPr>
        <w:pStyle w:val="Normal"/>
        <w:rPr/>
      </w:pPr>
      <w:r>
        <w:rPr/>
        <w:t xml:space="preserve">Mert a demokrácia definícióját aktualizálni kell. Emlékeznünk kell arra, hogy mi is valójában a demokrácia. Mert a fiataloknak elegük van, és kiábrándulnak a politikusok, akiket elitnek tekintenek, akik nem osztják a véleményüket. Ezért kell a polgároknak jobban elköteleződniük az eredeti és vonzóbb módon. Az oktatási rendszer, a közösségi média és a média minden más formája betöltheti ezt a szerepet az életciklus során és minden nyelven. </w:t>
      </w:r>
    </w:p>
    <w:p>
      <w:pPr>
        <w:pStyle w:val="Normal"/>
        <w:rPr/>
      </w:pPr>
      <w:r>
        <w:rPr/>
        <w:t xml:space="preserve"> </w:t>
      </w:r>
    </w:p>
    <w:p>
      <w:pPr>
        <w:pStyle w:val="Titre4"/>
        <w:numPr>
          <w:ilvl w:val="3"/>
          <w:numId w:val="2"/>
        </w:numPr>
        <w:rPr/>
      </w:pPr>
      <w:bookmarkStart w:id="149" w:name="__RefHeading___Toc297233_1346298689"/>
      <w:bookmarkEnd w:id="149"/>
      <w:r>
        <w:rPr/>
        <w:t xml:space="preserve">Altengely A polgárok részvétele </w:t>
      </w:r>
    </w:p>
    <w:p>
      <w:pPr>
        <w:pStyle w:val="Normal"/>
        <w:rPr/>
      </w:pPr>
      <w:r>
        <w:rPr/>
        <w:t xml:space="preserve"> </w:t>
      </w:r>
    </w:p>
    <w:p>
      <w:pPr>
        <w:pStyle w:val="P68B1DB1Normal15"/>
        <w:rPr>
          <w:b/>
          <w:b/>
        </w:rPr>
      </w:pPr>
      <w:r>
        <w:rPr/>
        <w:t xml:space="preserve">37. „Azt javasoljuk, hogy az EU magabiztosabban közelítsen a polgárokhoz. Ennek elérése érdekében a tagállamokat be kell vonni a polgárok Unión belüli részvételének előmozdításába. Az Uniónak kereskedelmi és reklámkampányok létrehozásával elő kell mozdítania a polgárok részvételi mechanizmusainak alkalmazását. A nemzeti és helyi önkormányzatokat kötelezni kell arra, hogy részt vegyenek ebben a folyamatban. Az Uniónak biztosítania kell a részvételi demokrácia platformjainak hatékonyságát.” </w:t>
      </w:r>
    </w:p>
    <w:p>
      <w:pPr>
        <w:pStyle w:val="Normal"/>
        <w:rPr/>
      </w:pPr>
      <w:r>
        <w:rPr/>
        <w:t xml:space="preserve"> </w:t>
      </w:r>
    </w:p>
    <w:p>
      <w:pPr>
        <w:pStyle w:val="Normal"/>
        <w:rPr/>
      </w:pPr>
      <w:r>
        <w:rPr/>
        <w:t xml:space="preserve">Ezt azért javasoljuk, mert a már létező platformot meg kell erősíteni és hatékonyabbá kell tenni: több visszajelzésre van szükség a polgároktól az EU felé, és fordítva. Nincs elegendő vita az EU-n belül sem a polgárok, sem a kormányok között. Mert a polgárok nem nyújtanak be petíciókat, vagy azért, mert nem tudják, hogy létezik a mechanizmus, vagy azért, mert nem hiszik, hogy az ilyen petíciók sikeresek lennének. </w:t>
      </w:r>
    </w:p>
    <w:p>
      <w:pPr>
        <w:pStyle w:val="Normal"/>
        <w:rPr/>
      </w:pPr>
      <w:r>
        <w:rPr/>
        <w:t xml:space="preserve"> </w:t>
      </w:r>
    </w:p>
    <w:p>
      <w:pPr>
        <w:pStyle w:val="P68B1DB1Normal15"/>
        <w:rPr>
          <w:b/>
          <w:b/>
        </w:rPr>
      </w:pPr>
      <w:r>
        <w:rPr/>
        <w:t xml:space="preserve">38. „Azt javasoljuk, hogy az Unió hozzon létre és hajtson végre tanterveket az iskolák számára arról, hogy mi történik az EU-ban a részvételi mechanizmusok tekintetében. Ezeket a programokat be kell építeni az európai polgárságról és etikáról szóló iskolai tantervekbe, a diákok életkorához igazítva. Felnőtteknek szóló programokra is szükség van. Az egész életen át tartó tanulási programokat elérhetővé kell tenni a polgárok számára annak érdekében, hogy elmélyítsék a polgárok Unión belüli részvételi lehetőségeire vonatkozó ismereteiket.” </w:t>
      </w:r>
    </w:p>
    <w:p>
      <w:pPr>
        <w:pStyle w:val="Normal"/>
        <w:rPr/>
      </w:pPr>
      <w:r>
        <w:rPr/>
        <w:t xml:space="preserve"> </w:t>
      </w:r>
    </w:p>
    <w:p>
      <w:pPr>
        <w:pStyle w:val="Normal"/>
        <w:rPr/>
      </w:pPr>
      <w:r>
        <w:rPr/>
        <w:t xml:space="preserve">Azért ajánljuk ezt az intézkedést, mert fontos a gyermekeink jövője szempontjából. A polgárok tudni akarják, hogyan fejezzék ki hangjukat. Fontos, hogy tisztában legyenek a pontos mechanizmusokkal és azok használatával, hogy az Unió meghallgassa hangjukat. Ez fontos ahhoz, hogy minden európai polgár egyenrangú legyen. Európai polgárként tudnunk kell, hogyan éljünk jogaikkal. Európai polgárként jogunk van megismerni ezeket az információkat. </w:t>
      </w:r>
    </w:p>
    <w:p>
      <w:pPr>
        <w:pStyle w:val="Normal"/>
        <w:rPr/>
      </w:pPr>
      <w:r>
        <w:rPr/>
        <w:t xml:space="preserve"> </w:t>
      </w:r>
    </w:p>
    <w:p>
      <w:pPr>
        <w:pStyle w:val="Titre4"/>
        <w:numPr>
          <w:ilvl w:val="3"/>
          <w:numId w:val="2"/>
        </w:numPr>
        <w:rPr/>
      </w:pPr>
      <w:bookmarkStart w:id="150" w:name="__RefHeading___Toc297235_1346298689"/>
      <w:bookmarkEnd w:id="150"/>
      <w:r>
        <w:rPr/>
        <w:t xml:space="preserve">Altengely A polgárok részvétele </w:t>
      </w:r>
    </w:p>
    <w:p>
      <w:pPr>
        <w:pStyle w:val="Normal"/>
        <w:rPr/>
      </w:pPr>
      <w:r>
        <w:rPr/>
        <w:t xml:space="preserve"> </w:t>
      </w:r>
    </w:p>
    <w:p>
      <w:pPr>
        <w:pStyle w:val="P68B1DB1Normal15"/>
        <w:rPr>
          <w:b/>
          <w:b/>
        </w:rPr>
      </w:pPr>
      <w:r>
        <w:rPr/>
        <w:t xml:space="preserve">39. Javasoljuk, hogy az Unió szervezzen polgári közgyűléseket. Határozottan javasoljuk, hogy ezeket jogilag kötelező és kötelező törvény vagy rendelet alapján vezessék be. Ezeket a polgári gyűléseket 12–18 havonta kell megtartani. A polgárok részvételét nem kötelezőnek kell tekinteni, hanem ösztönözni kell, ugyanakkor korlátozott mandátumok alapján kell megszervezni. A résztvevőket a reprezentativitási kritériumok alapján véletlenszerűen kell kiválasztani. Nem képviselhetnek semmilyen szervezetet, és szakmai feladataik miatt nem hívhatják fel őket arra, hogy a közgyűlés tagjaiként részt vegyenek. Szükség esetén szakértők támogatást nyújtanak annak biztosítása érdekében, hogy a közgyűlés tagjai elegendő információval rendelkezzenek a tanácskozáshoz. A döntéshozatal a polgárok kezében lesz. Az Uniónak garantálnia kell a politikusok elkötelezettségét a polgárok által a polgári közgyűléseken hozott döntések iránt. Ha a polgárok javaslatait figyelmen kívül hagyják vagy kifejezetten elutasítják, az európai intézményeknek jelentést kell tenniük róluk, és meg kell indokolniuk a döntés meghozatalát. </w:t>
      </w:r>
    </w:p>
    <w:p>
      <w:pPr>
        <w:pStyle w:val="Normal"/>
        <w:rPr/>
      </w:pPr>
      <w:r>
        <w:rPr/>
        <w:t xml:space="preserve"> </w:t>
      </w:r>
    </w:p>
    <w:p>
      <w:pPr>
        <w:pStyle w:val="Normal"/>
        <w:rPr/>
      </w:pPr>
      <w:r>
        <w:rPr/>
        <w:t xml:space="preserve">Javasoljuk, hogy hozzanak létre polgári közgyűléseket, mert azt akarjuk, hogy a polgárok közelebb érezzék magukat az európai intézményekhez, és közvetlenül hozzájáruljanak a döntéshozatalhoz, kéz a kézben a politikusokkal, hogy erősítsék az összetartozás érzését és a közvetlen hatékonyságot. Emellett azt akarjuk, hogy a politikai pártok elszámoltathatók legyenek a polgárok felé, beleértve választási programjaikat is. </w:t>
      </w:r>
    </w:p>
    <w:p>
      <w:pPr>
        <w:pStyle w:val="Normal"/>
        <w:rPr/>
      </w:pPr>
      <w:r>
        <w:rPr/>
        <w:t xml:space="preserve"> </w:t>
      </w:r>
    </w:p>
    <w:p>
      <w:pPr>
        <w:pStyle w:val="Titre3"/>
        <w:numPr>
          <w:ilvl w:val="2"/>
          <w:numId w:val="2"/>
        </w:numPr>
        <w:rPr/>
      </w:pPr>
      <w:bookmarkStart w:id="151" w:name="__RefHeading___Toc297237_1346298689"/>
      <w:bookmarkEnd w:id="151"/>
      <w:r>
        <w:rPr/>
        <w:t xml:space="preserve">Melléklet: A TESTÜLET ÁLTAL MEGVIZSGÁLT, DE EL NEM FOGADOTT EGYÉB AJÁNLÁSOK </w:t>
      </w:r>
    </w:p>
    <w:p>
      <w:pPr>
        <w:pStyle w:val="Normal"/>
        <w:rPr/>
      </w:pPr>
      <w:r>
        <w:rPr/>
        <w:t xml:space="preserve"> </w:t>
      </w:r>
    </w:p>
    <w:p>
      <w:pPr>
        <w:pStyle w:val="Titre4"/>
        <w:numPr>
          <w:ilvl w:val="3"/>
          <w:numId w:val="2"/>
        </w:numPr>
        <w:rPr/>
      </w:pPr>
      <w:bookmarkStart w:id="152" w:name="__RefHeading___Toc297239_1346298689"/>
      <w:bookmarkEnd w:id="152"/>
      <w:r>
        <w:rPr/>
        <w:t xml:space="preserve">1. tengely: Jogok és megkülönböztetésmentesség biztosítása </w:t>
      </w:r>
    </w:p>
    <w:p>
      <w:pPr>
        <w:pStyle w:val="Normal"/>
        <w:rPr/>
      </w:pPr>
      <w:r>
        <w:rPr/>
        <w:t xml:space="preserve"> </w:t>
      </w:r>
    </w:p>
    <w:p>
      <w:pPr>
        <w:pStyle w:val="Normal"/>
        <w:rPr/>
      </w:pPr>
      <w:r>
        <w:rPr/>
        <w:t xml:space="preserve">Altengely 1.1. Megkülönböztetésmentesség/altengely 1.2 Nemek közötti egyenlőség </w:t>
      </w:r>
    </w:p>
    <w:p>
      <w:pPr>
        <w:pStyle w:val="Normal"/>
        <w:rPr/>
      </w:pPr>
      <w:r>
        <w:rPr/>
        <w:t xml:space="preserve"> </w:t>
      </w:r>
    </w:p>
    <w:p>
      <w:pPr>
        <w:pStyle w:val="P68B1DB1Normal15"/>
        <w:rPr>
          <w:b/>
          <w:b/>
        </w:rPr>
      </w:pPr>
      <w:r>
        <w:rPr/>
        <w:t>„</w:t>
      </w:r>
      <w:r>
        <w:rPr/>
        <w:t xml:space="preserve">Azt javasoljuk, hogy az EU aktívan vonja be a kisebbségeket az állami intézmények (pl. rendőrség és nem kormányzati szervezetek) kulcsfontosságú szempontjaival kapcsolatos politikai döntéshozatalba. Javasoljuk, hogy az Unió hozzon létre egy, a kisebbségek által közvetlenül megválasztott tanácsadó testületet. Elsősorban a kisebbségek képviselőiből, valamint a nem kormányzati szervezetek képviselőiből kell állnia. Képzési szerepet kell játszania abban, hogy felhívja a köztisztviselők figyelmét a kisebbségek szükségleteire. Ennek a testületnek vétójoggal kell rendelkeznie a kisebbségi kérdésekben. </w:t>
      </w:r>
    </w:p>
    <w:p>
      <w:pPr>
        <w:pStyle w:val="Normal"/>
        <w:rPr/>
      </w:pPr>
      <w:r>
        <w:rPr/>
        <w:t xml:space="preserve">Ezt azért ajánljuk, mert a kisebbségek hangjai nem hallhatók eléggé. Saját nevükben, önmeghatározott módon és szakmai szinten kell kifejezniük magukat; ezért ötvöztük a képviseletet szavazással és szakértelemmel. </w:t>
      </w:r>
    </w:p>
    <w:p>
      <w:pPr>
        <w:pStyle w:val="Normal"/>
        <w:rPr/>
      </w:pPr>
      <w:r>
        <w:rPr/>
        <w:t xml:space="preserve"> </w:t>
      </w:r>
    </w:p>
    <w:p>
      <w:pPr>
        <w:pStyle w:val="Titre4"/>
        <w:numPr>
          <w:ilvl w:val="3"/>
          <w:numId w:val="2"/>
        </w:numPr>
        <w:rPr/>
      </w:pPr>
      <w:bookmarkStart w:id="153" w:name="__RefHeading___Toc297241_1346298689"/>
      <w:bookmarkEnd w:id="153"/>
      <w:r>
        <w:rPr/>
        <w:t xml:space="preserve">2. tengely: A demokrácia és a jogállamiság védelme </w:t>
      </w:r>
    </w:p>
    <w:p>
      <w:pPr>
        <w:pStyle w:val="Normal"/>
        <w:rPr/>
      </w:pPr>
      <w:r>
        <w:rPr/>
        <w:t xml:space="preserve"> </w:t>
      </w:r>
    </w:p>
    <w:p>
      <w:pPr>
        <w:pStyle w:val="Normal"/>
        <w:rPr/>
      </w:pPr>
      <w:r>
        <w:rPr/>
        <w:t xml:space="preserve">Altengely A demokrácia védelme és megerősítése/altengely 2.4 Média és félretájékoztatás </w:t>
      </w:r>
    </w:p>
    <w:p>
      <w:pPr>
        <w:pStyle w:val="Normal"/>
        <w:rPr/>
      </w:pPr>
      <w:r>
        <w:rPr/>
        <w:t xml:space="preserve"> </w:t>
      </w:r>
    </w:p>
    <w:p>
      <w:pPr>
        <w:pStyle w:val="P68B1DB1Normal15"/>
        <w:rPr>
          <w:b/>
          <w:b/>
        </w:rPr>
      </w:pPr>
      <w:r>
        <w:rPr/>
        <w:t>„</w:t>
      </w:r>
      <w:r>
        <w:rPr/>
        <w:t xml:space="preserve">Az audiovizuális, nyomtatott és digitális média európai szintű nyomon követésével foglalkozó ügynökség létrehozását javasoljuk. Ennek az ügynökségnek ellenőriznie kell, hogy a nemzeti média tartalmuk előállítása során pártatlan és objektív folyamatot követnek-e. A félretájékoztatás megelőzése érdekében az Ügynökségnek létre kell hoznia egy rendszert a nemzeti média megbízhatóságának értékelésére. Ennek a minősítési rendszernek könnyen érthetőnek kell lennie a polgárok számára. </w:t>
      </w:r>
    </w:p>
    <w:p>
      <w:pPr>
        <w:pStyle w:val="Normal"/>
        <w:rPr/>
      </w:pPr>
      <w:r>
        <w:rPr/>
        <w:t xml:space="preserve"> </w:t>
      </w:r>
    </w:p>
    <w:p>
      <w:pPr>
        <w:pStyle w:val="Normal"/>
        <w:rPr/>
      </w:pPr>
      <w:r>
        <w:rPr/>
        <w:t xml:space="preserve">Ezt azért javasoljuk, mert értékelni kell a médiát és azok megbízhatóságát, de a média sokszínűségét is az uniós országokban. Egy európai ügynökség lenne a legobjektívebb szerv egy ilyen küldetés biztosítására. Emellett egy ilyen minősítési rendszer lehetővé teszi a polgárok számára, hogy megalapozott döntéseket hozzanak, és arra ösztönzi a médiát, hogy megbízható információkat bocsásson rendelkezésre. Amennyiben a minősítési rendszer elégtelennek bizonyul a média megbízhatóságának biztosításához, az ügynökséget is fel kell hatalmazni szankciók kiszabására. </w:t>
      </w:r>
    </w:p>
    <w:p>
      <w:pPr>
        <w:pStyle w:val="Normal"/>
        <w:rPr/>
      </w:pPr>
      <w:r>
        <w:rPr/>
        <w:t xml:space="preserve"> </w:t>
      </w:r>
    </w:p>
    <w:p>
      <w:pPr>
        <w:pStyle w:val="Titre3"/>
        <w:numPr>
          <w:ilvl w:val="2"/>
          <w:numId w:val="2"/>
        </w:numPr>
        <w:rPr/>
      </w:pPr>
      <w:bookmarkStart w:id="154" w:name="__RefHeading___Toc297243_1346298689"/>
      <w:bookmarkEnd w:id="154"/>
      <w:r>
        <w:rPr/>
        <w:t xml:space="preserve">5. tengely: A polgárok részvételének erősítése </w:t>
      </w:r>
    </w:p>
    <w:p>
      <w:pPr>
        <w:pStyle w:val="Normal"/>
        <w:rPr/>
      </w:pPr>
      <w:r>
        <w:rPr/>
        <w:t xml:space="preserve"> </w:t>
      </w:r>
    </w:p>
    <w:p>
      <w:pPr>
        <w:pStyle w:val="Titre4"/>
        <w:numPr>
          <w:ilvl w:val="3"/>
          <w:numId w:val="2"/>
        </w:numPr>
        <w:rPr/>
      </w:pPr>
      <w:r>
        <w:rPr/>
        <w:t xml:space="preserve">Altengely A polgárok részvétele </w:t>
      </w:r>
    </w:p>
    <w:p>
      <w:pPr>
        <w:pStyle w:val="Normal"/>
        <w:rPr/>
      </w:pPr>
      <w:r>
        <w:rPr/>
        <w:t xml:space="preserve"> </w:t>
      </w:r>
    </w:p>
    <w:p>
      <w:pPr>
        <w:pStyle w:val="P68B1DB1Normal15"/>
        <w:rPr>
          <w:b/>
          <w:b/>
        </w:rPr>
      </w:pPr>
      <w:r>
        <w:rPr/>
        <w:t>„</w:t>
      </w:r>
      <w:r>
        <w:rPr/>
        <w:t xml:space="preserve">Azt javasoljuk, hogy hozzanak létre egy polgári képviseleti szervet, amely megvitatja és jelentősen hozzájárul a döntéshozatali folyamathoz, amennyiben az európai polgárok számára kulcsfontosságú kérdésről uniós szinten döntenek (a polgárok döntésének megfelelően – lehetőség szerint vizsgálat útján). Ennek az EU-tagállamok mintegy 100 polgárából álló heterogén csoportnak kell lennie, amelyben az egyes országok egyenlő arányban képviseltetik magukat. Egy rotációs csoportnak kell lennie, amelynek tagjait rendszeresen helyettesítik. </w:t>
      </w:r>
    </w:p>
    <w:p>
      <w:pPr>
        <w:pStyle w:val="Normal"/>
        <w:rPr/>
      </w:pPr>
      <w:r>
        <w:rPr/>
        <w:t xml:space="preserve"> </w:t>
      </w:r>
    </w:p>
    <w:p>
      <w:pPr>
        <w:pStyle w:val="Normal"/>
        <w:rPr/>
      </w:pPr>
      <w:r>
        <w:rPr/>
        <w:t xml:space="preserve">Mert fontos elkerülni az olyan problémákat, mint például a korrupció, amelyek egy állandó képviseleti szervből eredhetnek, és létfontosságú, hogy egy ilyen testület egyenlő képviselettel rendelkezzen minden ország számára, hogy elkerülje a tisztességtelen döntéshozatali hatalmat. Mivel ez az üzemmód elkerülné a távoli technológiák telepítésével vagy állandó használatával kapcsolatos problémákat. </w:t>
      </w:r>
    </w:p>
    <w:p>
      <w:pPr>
        <w:pStyle w:val="Normal"/>
        <w:rPr/>
      </w:pPr>
      <w:r>
        <w:rPr/>
        <w:t xml:space="preserve"> </w:t>
      </w:r>
      <w:r>
        <w:br w:type="page"/>
      </w:r>
    </w:p>
    <w:p>
      <w:pPr>
        <w:pStyle w:val="P68B1DB1Normal19"/>
        <w:rPr>
          <w:rFonts w:ascii="Times New Roman" w:hAnsi="Times New Roman"/>
          <w:color w:val="000000"/>
          <w:sz w:val="24"/>
        </w:rPr>
      </w:pPr>
      <w:r>
        <w:rPr/>
        <w:t xml:space="preserve"> </w:t>
      </w:r>
    </w:p>
    <w:p>
      <w:pPr>
        <w:pStyle w:val="Titre2"/>
        <w:numPr>
          <w:ilvl w:val="1"/>
          <w:numId w:val="2"/>
        </w:numPr>
        <w:rPr/>
      </w:pPr>
      <w:bookmarkStart w:id="155" w:name="__RefHeading___Toc297245_1346298689"/>
      <w:bookmarkEnd w:id="155"/>
      <w:r>
        <w:rPr/>
        <w:t xml:space="preserve">Európai Polgári Panel 3: Éghajlatváltozás és környezetvédelem/Egészségügy </w:t>
      </w:r>
    </w:p>
    <w:p>
      <w:pPr>
        <w:pStyle w:val="Normal"/>
        <w:rPr/>
      </w:pPr>
      <w:r>
        <w:rPr/>
        <w:t xml:space="preserve"> </w:t>
      </w:r>
    </w:p>
    <w:p>
      <w:pPr>
        <w:pStyle w:val="Normal"/>
        <w:rPr/>
      </w:pPr>
      <w:r>
        <w:rPr/>
        <w:t xml:space="preserve">A TESTÜLET ÁLTAL ELFOGADOTT AJÁNLÁSOK (A PLENÁRIS ÜLÉS ELÉ TERJESZTENDŐ) </w:t>
      </w:r>
    </w:p>
    <w:p>
      <w:pPr>
        <w:pStyle w:val="Normal"/>
        <w:rPr/>
      </w:pPr>
      <w:r>
        <w:rPr/>
        <w:t xml:space="preserve"> </w:t>
      </w:r>
    </w:p>
    <w:p>
      <w:pPr>
        <w:pStyle w:val="Titre3"/>
        <w:numPr>
          <w:ilvl w:val="2"/>
          <w:numId w:val="2"/>
        </w:numPr>
        <w:rPr/>
      </w:pPr>
      <w:bookmarkStart w:id="156" w:name="__RefHeading___Toc297247_1346298689"/>
      <w:bookmarkEnd w:id="156"/>
      <w:r>
        <w:rPr/>
        <w:t xml:space="preserve">1. tengely: Jobb életstílusok </w:t>
      </w:r>
    </w:p>
    <w:p>
      <w:pPr>
        <w:pStyle w:val="Normal"/>
        <w:rPr/>
      </w:pPr>
      <w:r>
        <w:rPr/>
        <w:t xml:space="preserve"> </w:t>
      </w:r>
    </w:p>
    <w:p>
      <w:pPr>
        <w:pStyle w:val="Titre4"/>
        <w:numPr>
          <w:ilvl w:val="3"/>
          <w:numId w:val="2"/>
        </w:numPr>
        <w:rPr/>
      </w:pPr>
      <w:bookmarkStart w:id="157" w:name="__RefHeading___Toc297249_1346298689"/>
      <w:bookmarkEnd w:id="157"/>
      <w:r>
        <w:rPr/>
        <w:t xml:space="preserve">Altengely 1.1 Egészséges életmód </w:t>
      </w:r>
    </w:p>
    <w:p>
      <w:pPr>
        <w:pStyle w:val="P68B1DB1Normal15"/>
        <w:rPr>
          <w:b/>
          <w:b/>
        </w:rPr>
      </w:pPr>
      <w:r>
        <w:rPr/>
        <w:t xml:space="preserve">1. Azt javasoljuk, hogy az EU nyújtson támogatást a biogazdálkodásnak, beleértve az ökológiai növényvédő szerekre vonatkozó ösztönzőket is, hogy az ökológiai termékek megfizethetőbbek legyenek. Emellett az EU-nak támogatnia kell a mezőgazdasági termelők biogazdálkodással és fenntartható gazdálkodással kapcsolatos oktatását, és el kell kerülni a monokultúrákat. A biogazdálkodással foglalkozó kisüzemeknek, a nem intenzív gazdaságoknak és a rövid ellátási láncokkal rendelkező gazdaságoknak olyan támogatásban kell részesülniük, amely lehetővé teszi számukra, hogy versenyképesebbek legyenek. </w:t>
      </w:r>
    </w:p>
    <w:p>
      <w:pPr>
        <w:pStyle w:val="Normal"/>
        <w:rPr/>
      </w:pPr>
      <w:r>
        <w:rPr/>
        <w:t xml:space="preserve"> </w:t>
      </w:r>
    </w:p>
    <w:p>
      <w:pPr>
        <w:pStyle w:val="Normal"/>
        <w:rPr/>
      </w:pPr>
      <w:r>
        <w:rPr/>
        <w:t xml:space="preserve">Az ökológiai termékek támogatása megfizethetőbbé tenné őket. Segítenünk kell a kisebb ellátási láncokat használó szupermarketeket és a kistermelőket azáltal, hogy lehetőséget biztosítunk számukra termékeik értékesítésére. Ez lehetővé teszi a frissebb termékekhez való hozzáférés bővítését. Ezenkívül a nem ökológiai termékek alacsony ára nem tükrözi az általuk okozott kárt. </w:t>
      </w:r>
    </w:p>
    <w:p>
      <w:pPr>
        <w:pStyle w:val="Normal"/>
        <w:rPr/>
      </w:pPr>
      <w:r>
        <w:rPr/>
        <w:t xml:space="preserve"> </w:t>
      </w:r>
    </w:p>
    <w:p>
      <w:pPr>
        <w:pStyle w:val="P68B1DB1Normal15"/>
        <w:rPr>
          <w:b/>
          <w:b/>
        </w:rPr>
      </w:pPr>
      <w:r>
        <w:rPr/>
        <w:t xml:space="preserve">2. Javasoljuk, hogy az innovációt a vertikális mezőgazdaságban uniós beruházásokból finanszírozzák. </w:t>
      </w:r>
    </w:p>
    <w:p>
      <w:pPr>
        <w:pStyle w:val="Normal"/>
        <w:rPr/>
      </w:pPr>
      <w:r>
        <w:rPr/>
        <w:t xml:space="preserve">A vertikális mezőgazdaság lehetővé teszi számunkra, hogy olyan földterületeket takarítsunk meg, amelyeket erdészetre lehetne használni. Nem igényel növényvédő szereket, ami lehetővé teszi számunkra, hogy több bioélelmiszert állítsunk elő. Ezenkívül nem befolyásolják a kedvezőtlen időjárási viszonyok, amelyek az éghajlatváltozás miatt egyre gyakoribbak, és lerövidíthetik az ellátási láncokat. </w:t>
      </w:r>
    </w:p>
    <w:p>
      <w:pPr>
        <w:pStyle w:val="Normal"/>
        <w:rPr/>
      </w:pPr>
      <w:r>
        <w:rPr/>
        <w:t xml:space="preserve"> </w:t>
      </w:r>
    </w:p>
    <w:p>
      <w:pPr>
        <w:pStyle w:val="P68B1DB1Normal15"/>
        <w:rPr>
          <w:b/>
          <w:b/>
        </w:rPr>
      </w:pPr>
      <w:r>
        <w:rPr/>
        <w:t xml:space="preserve">3. Az EU-nak minimumszabályokat kell megállapítania az élelmiszerek minőségére, az élelmiszerek nyomonkövethetőségére és a szezonális termékek iskolai étkezdékben történő fogyasztására vonatkozóan. Az iskolai étkezdék egészséges összetevőit ezért támogatni kell annak érdekében, hogy a diákok minőségi, megfizethető élelmiszert kapjanak. </w:t>
      </w:r>
    </w:p>
    <w:p>
      <w:pPr>
        <w:pStyle w:val="Normal"/>
        <w:rPr/>
      </w:pPr>
      <w:r>
        <w:rPr/>
        <w:t xml:space="preserve"> </w:t>
      </w:r>
    </w:p>
    <w:p>
      <w:pPr>
        <w:pStyle w:val="Normal"/>
        <w:rPr/>
      </w:pPr>
      <w:r>
        <w:rPr/>
        <w:t xml:space="preserve">A korai életkorból olyan szokásokat szerezünk, amelyek az egészséghez való hozzáállásunkat alakítják; a jó szokásokat ösztönözni kell az iskolában, és a diákok megismételhetik őket otthon. A társadalmi igazságosságról is szó van: minden uniós diáknak joga kell, hogy legyen az iskolában minőségi élelmiszerekhez. </w:t>
      </w:r>
    </w:p>
    <w:p>
      <w:pPr>
        <w:pStyle w:val="Normal"/>
        <w:rPr/>
      </w:pPr>
      <w:r>
        <w:rPr/>
        <w:t xml:space="preserve"> </w:t>
      </w:r>
    </w:p>
    <w:p>
      <w:pPr>
        <w:pStyle w:val="P68B1DB1Normal15"/>
        <w:rPr>
          <w:b/>
          <w:b/>
        </w:rPr>
      </w:pPr>
      <w:r>
        <w:rPr/>
        <w:t xml:space="preserve">4. Javasoljuk, hogy fektessenek be új kerékpárutakba és a meglévő pályák fejlesztésébe annak érdekében, hogy biztonságossá és vonzóvá tegyék a kerékpározást, és biztosítsák, hogy minden korosztály részesülhessen a közúti közlekedési szabályok képzéséből Európában, különösen az e-kerékpár-használók és a vezetői engedéllyel nem rendelkezők számára. Az elektromos kerékpárok gyártóit kötelezni kell arra, hogy nyújtsanak tájékoztatást az elektromos kerékpár használatáról és a kapcsolódó kockázatokról. A gépjárművet érintő baleset esetén a kerékpárosokat jogi védelemben kell részesíteni (lásd a holland szabályokat). Támogatjuk a városok autómentes területeit (a kereskedelmi területek károsítása nélkül). Tágabb értelemben azt javasoljuk, hogy biztosítsanak elsőbbséget és további jogokat a kerékpárosoknak és a gyalogosoknak a gépjárművekkel szemben, miközben biztosítják a közúti biztonságot és a közlekedési szabályoknak való megfelelést. </w:t>
      </w:r>
    </w:p>
    <w:p>
      <w:pPr>
        <w:pStyle w:val="Normal"/>
        <w:rPr/>
      </w:pPr>
      <w:r>
        <w:rPr/>
        <w:t xml:space="preserve"> </w:t>
      </w:r>
    </w:p>
    <w:p>
      <w:pPr>
        <w:pStyle w:val="Normal"/>
        <w:rPr/>
      </w:pPr>
      <w:r>
        <w:rPr/>
        <w:t xml:space="preserve">Ezek az ajánlások azért fontosak, mert a kerékpározás előnyökkel jár az egyéni és a közegészség, a levegőminőség, a zajszint, az éghajlat és a városközpontok közlekedése szempontjából. A kerékpárosoknak és a gyalogosoknak biztonságban kell érezniük magukat, tekintettel az elektromos kerékpár fokozott használatával járó kockázatokra. Néha a kerékpárutak hiányoznak, vagy rossz állapotban vannak. </w:t>
      </w:r>
    </w:p>
    <w:p>
      <w:pPr>
        <w:pStyle w:val="Normal"/>
        <w:rPr/>
      </w:pPr>
      <w:r>
        <w:rPr/>
        <w:t xml:space="preserve"> </w:t>
      </w:r>
    </w:p>
    <w:p>
      <w:pPr>
        <w:pStyle w:val="P68B1DB1Normal15"/>
        <w:rPr>
          <w:b/>
          <w:b/>
        </w:rPr>
      </w:pPr>
      <w:r>
        <w:rPr/>
        <w:t xml:space="preserve">5. Javasoljuk, hogy az élelmiszer-termelést integrálják a közoktatásba. Javasoljuk a kertek létrehozásának támogatását és támogatását az iskolákban, ha lehetséges, valamint városi kertészeti projekteket köz- és magánterületeken. A várostervezési kereteknek integrálniuk kell a tér, a víz és a támogató infrastruktúra szükségességét. Például a korábbi parkolóhelyeket zöldítési projektekre lehetne használni, az épületeken függőleges kertészeti projekteket lehetne végrehajtani, vagy az építési engedélyek beszerzését a zöld területek integrálásával lehetne függővé tenni. Javasoljuk, hogy valamennyi tagállamban osszák meg az innovatív és bevált gyakorlatokat. </w:t>
      </w:r>
    </w:p>
    <w:p>
      <w:pPr>
        <w:pStyle w:val="Normal"/>
        <w:rPr/>
      </w:pPr>
      <w:r>
        <w:rPr/>
        <w:t xml:space="preserve"> </w:t>
      </w:r>
    </w:p>
    <w:p>
      <w:pPr>
        <w:pStyle w:val="Normal"/>
        <w:rPr/>
      </w:pPr>
      <w:r>
        <w:rPr/>
        <w:t xml:space="preserve">A kertészeti projektek előmozdítják a városok és lakosaik ellenálló képességét, összehozva a különböző korú és társadalmi csoportokat. A zöld területek szaporodása javítja az életminőséget, a levegőminőséget, a mentális és fizikai egészséget és a környezetet. </w:t>
      </w:r>
    </w:p>
    <w:p>
      <w:pPr>
        <w:pStyle w:val="Normal"/>
        <w:rPr/>
      </w:pPr>
      <w:r>
        <w:rPr/>
        <w:t xml:space="preserve"> </w:t>
      </w:r>
    </w:p>
    <w:p>
      <w:pPr>
        <w:pStyle w:val="Titre4"/>
        <w:numPr>
          <w:ilvl w:val="3"/>
          <w:numId w:val="2"/>
        </w:numPr>
        <w:rPr/>
      </w:pPr>
      <w:bookmarkStart w:id="158" w:name="__RefHeading___Toc297251_1346298689"/>
      <w:bookmarkEnd w:id="158"/>
      <w:r>
        <w:rPr/>
        <w:t xml:space="preserve">Altengely: Környezeti nevelés </w:t>
      </w:r>
    </w:p>
    <w:p>
      <w:pPr>
        <w:pStyle w:val="P68B1DB1Normal15"/>
        <w:rPr>
          <w:b/>
          <w:b/>
        </w:rPr>
      </w:pPr>
      <w:r>
        <w:rPr/>
        <w:t>6. Javasoljuk, hogy az EU fogadjon el egy irányelvet, amely előírja, hogy a várostervezési programoknak meg kell felelniük a konkrét környezetvédelmi követelményeknek annak érdekében, hogy a városok zöldebbé váljanak. Ezt az irányelvet a magán- és közjavakra és terekre, különösen a fejlesztés alatt álló új épületekre kell alkalmazni. Minimumkövetelményeket kell előírnia annak biztosítása érdekében, hogy az épületek és a terek a lehető legzöldebbek legyenek. A „zöld” jelző itt a megújuló energiaforrások használatára, a csökkentett energiafogyasztásra, az alacsony szén-dioxid-kibocsátásra</w:t>
      </w:r>
      <w:r>
        <w:rPr>
          <w:vertAlign w:val="subscript"/>
        </w:rPr>
        <w:t>és</w:t>
      </w:r>
      <w:r>
        <w:rPr/>
        <w:t xml:space="preserve"> a létesítmények építészeti projektekbe való felvételére utal. </w:t>
      </w:r>
    </w:p>
    <w:p>
      <w:pPr>
        <w:pStyle w:val="Normal"/>
        <w:rPr/>
      </w:pPr>
      <w:r>
        <w:rPr/>
        <w:t xml:space="preserve"> </w:t>
      </w:r>
    </w:p>
    <w:p>
      <w:pPr>
        <w:pStyle w:val="Normal"/>
        <w:rPr/>
      </w:pPr>
      <w:r>
        <w:rPr/>
        <w:t>A zöldebb városok aktívan hozzájárulnak az éghajlatváltozás és a szén-dioxid-</w:t>
      </w:r>
      <w:r>
        <w:rPr>
          <w:vertAlign w:val="subscript"/>
        </w:rPr>
        <w:t>és</w:t>
      </w:r>
      <w:r>
        <w:rPr/>
        <w:t xml:space="preserve"> ózonkibocsátás hatásainak csökkentéséhez, amelyek negatív hatással vannak a polgárok egészségére. A zöldebb városokba való beruházás hozzájárul a fenntartható közösségfejlesztéshez, amely hosszú távú gazdasági és társadalmi előnyökkel jár. </w:t>
      </w:r>
    </w:p>
    <w:p>
      <w:pPr>
        <w:pStyle w:val="Normal"/>
        <w:rPr/>
      </w:pPr>
      <w:r>
        <w:rPr/>
        <w:t xml:space="preserve"> </w:t>
      </w:r>
    </w:p>
    <w:p>
      <w:pPr>
        <w:pStyle w:val="P68B1DB1Normal15"/>
        <w:rPr>
          <w:b/>
          <w:b/>
        </w:rPr>
      </w:pPr>
      <w:r>
        <w:rPr/>
        <w:t xml:space="preserve">7. Javasoljuk, hogy az EU a tagállamok segítségével dolgozzon ki, fogadjon el és hajtson végre egy olyan közös európai chartát, amely összetett környezeti kérdéseket céloz meg. A Charta keretet biztosít a tagállamok számára a rendszeres tájékoztató és képzési kampányok megszervezéséhez, amelyeket az összes rendelkezésre álló médiacsatornán és egy erre a célra létrehozott új információs portálon terjesztenek. Ezeket a kampányokat az egész EU-ban és minden szinten meg kell szervezni annak érdekében, hogy felhívják a polgárok figyelmét a környezetre. </w:t>
      </w:r>
    </w:p>
    <w:p>
      <w:pPr>
        <w:pStyle w:val="Normal"/>
        <w:rPr/>
      </w:pPr>
      <w:r>
        <w:rPr/>
        <w:t xml:space="preserve"> </w:t>
      </w:r>
    </w:p>
    <w:p>
      <w:pPr>
        <w:pStyle w:val="Normal"/>
        <w:rPr/>
      </w:pPr>
      <w:r>
        <w:rPr/>
        <w:t xml:space="preserve">A tagállamok közötti koordináció hiánya akadályozza a meglévő kampányok hatékonyságát, és lassítja az éghajlatváltozás globális kihívásának kezelésére irányuló erőfeszítéseket. A közös charta elő fogja mozdítani a tagállamok cselekvési tervei közötti szinergiákat, biztosítva az erőfeszítések nagyobb hatékonyságát. Emellett biztosítani fogja, hogy a polgárok következetes és következetes tájékoztatást kapjanak a mindennapi tevékenységeik hatásáról, például a szállítási mód megválasztásáról és a hulladékkezelésről. </w:t>
      </w:r>
    </w:p>
    <w:p>
      <w:pPr>
        <w:pStyle w:val="Normal"/>
        <w:rPr/>
      </w:pPr>
      <w:r>
        <w:rPr/>
        <w:t xml:space="preserve"> </w:t>
      </w:r>
    </w:p>
    <w:p>
      <w:pPr>
        <w:pStyle w:val="Titre3"/>
        <w:numPr>
          <w:ilvl w:val="2"/>
          <w:numId w:val="2"/>
        </w:numPr>
        <w:rPr/>
      </w:pPr>
      <w:bookmarkStart w:id="159" w:name="__RefHeading___Toc297253_1346298689"/>
      <w:bookmarkEnd w:id="159"/>
      <w:r>
        <w:rPr/>
        <w:t xml:space="preserve">2. tengely: Környezetünk és egészségünk védelme </w:t>
      </w:r>
    </w:p>
    <w:p>
      <w:pPr>
        <w:pStyle w:val="Titre4"/>
        <w:numPr>
          <w:ilvl w:val="3"/>
          <w:numId w:val="2"/>
        </w:numPr>
        <w:rPr/>
      </w:pPr>
      <w:bookmarkStart w:id="160" w:name="__RefHeading___Toc297255_1346298689"/>
      <w:bookmarkEnd w:id="160"/>
      <w:r>
        <w:rPr/>
        <w:t xml:space="preserve">2.1. Altengely – Egészséges természeti környezet </w:t>
      </w:r>
    </w:p>
    <w:p>
      <w:pPr>
        <w:pStyle w:val="P68B1DB1Normal15"/>
        <w:rPr>
          <w:b/>
          <w:b/>
        </w:rPr>
      </w:pPr>
      <w:r>
        <w:rPr/>
        <w:t xml:space="preserve">8. Olyan egységes öko-pontszámrendszert ajánlunk, amely az EU-ban megvásárolt minden egyes rendelkezésre álló termék teljes környezeti lábnyomát mutatja. A harmadik országokból származó termékeknek átlátható módon kell tiszteletben tartaniuk ezt az ökopontrendszert. Ennek a rendszernek a termékekre vonatkozó egyértelmű osztályozási kritériumokon kell alapulnia, és például olyan QR-kódot kell használnia, amely részletesebb termékinformációkat nyújt. </w:t>
      </w:r>
    </w:p>
    <w:p>
      <w:pPr>
        <w:pStyle w:val="Normal"/>
        <w:rPr/>
      </w:pPr>
      <w:r>
        <w:rPr/>
        <w:t xml:space="preserve"> </w:t>
      </w:r>
    </w:p>
    <w:p>
      <w:pPr>
        <w:pStyle w:val="Normal"/>
        <w:rPr/>
      </w:pPr>
      <w:r>
        <w:rPr/>
        <w:t xml:space="preserve">Ez a termék életciklusra vonatkozó információ minden uniós polgár számára alapvető fontosságú annak érdekében, hogy a fogyasztók vásárláskor megfelelő lehetőségeket kapjanak. Ez lehetővé teszi az uniós polgárok számára, hogy olyan felelős döntéseket hozzanak, amelyek hozzájárulnak környezetük védelméhez. </w:t>
      </w:r>
    </w:p>
    <w:p>
      <w:pPr>
        <w:pStyle w:val="Normal"/>
        <w:rPr/>
      </w:pPr>
      <w:r>
        <w:rPr/>
        <w:t xml:space="preserve"> </w:t>
      </w:r>
    </w:p>
    <w:p>
      <w:pPr>
        <w:pStyle w:val="P68B1DB1Normal15"/>
        <w:rPr>
          <w:b/>
          <w:b/>
        </w:rPr>
      </w:pPr>
      <w:r>
        <w:rPr/>
        <w:t xml:space="preserve">9. Javasoljuk, hogy több beruházást eszközöljenek az új, környezetbarát energiaforrások feltárására, és ezen új források bevezetéséig a meglévő optimális energiatermelési megoldásokra fordítsanak további beruházásokat. Azt is javasoljuk, hogy átlátható módon tájékoztassák és oktassák az európai polgárokat a konkrét energiaforrásokról. Határozottan javasoljuk, hogy vegyék figyelembe az energiatermelési folyamat általános ökológiai és társadalmi hatásait a jelenlegi és a jövő generációira. </w:t>
      </w:r>
    </w:p>
    <w:p>
      <w:pPr>
        <w:pStyle w:val="Normal"/>
        <w:rPr/>
      </w:pPr>
      <w:r>
        <w:rPr/>
        <w:t xml:space="preserve"> </w:t>
      </w:r>
    </w:p>
    <w:p>
      <w:pPr>
        <w:pStyle w:val="Normal"/>
        <w:rPr/>
      </w:pPr>
      <w:r>
        <w:rPr/>
        <w:t xml:space="preserve">Nagyon magas szén-dioxid-kibocsátással és az energiatermelésből származó egyéb mérgező anyagokkal kell szembenéznünk, amelyek rontják az éghajlatot és a levegő minőségét. Az uniós iránymutatásoknak, az IPCC-jelentések ajánlásainak és a COP26 célkitűzéseinek való megfelelés érdekében meg kell erősítenünk a kutatást és a beruházásokat a klímasemleges energiatermelés megvalósítása érdekében. </w:t>
      </w:r>
    </w:p>
    <w:p>
      <w:pPr>
        <w:pStyle w:val="Normal"/>
        <w:rPr/>
      </w:pPr>
      <w:r>
        <w:rPr/>
        <w:t xml:space="preserve"> </w:t>
      </w:r>
    </w:p>
    <w:p>
      <w:pPr>
        <w:pStyle w:val="Titre4"/>
        <w:numPr>
          <w:ilvl w:val="3"/>
          <w:numId w:val="2"/>
        </w:numPr>
        <w:rPr/>
      </w:pPr>
      <w:bookmarkStart w:id="161" w:name="__RefHeading___Toc297257_1346298689"/>
      <w:bookmarkEnd w:id="161"/>
      <w:r>
        <w:rPr/>
        <w:t xml:space="preserve">Altengely: A biológiai sokféleség védelme </w:t>
      </w:r>
    </w:p>
    <w:p>
      <w:pPr>
        <w:pStyle w:val="P68B1DB1Normal15"/>
        <w:rPr>
          <w:b/>
          <w:b/>
        </w:rPr>
      </w:pPr>
      <w:r>
        <w:rPr/>
        <w:t xml:space="preserve">10. Javasoljuk, hogy drasztikusan csökkentsék a vegyi növényvédő szerek és műtrágyák használatát a mezőgazdaság minden típusában azáltal, hogy biztosítják a szigorúbb közös szabványok alkalmazását, felgyorsítják a természetes alternatívák kutatását és támogatják az új megoldások elfogadását, beleértve a mezőgazdasági termelők képzését is. </w:t>
      </w:r>
    </w:p>
    <w:p>
      <w:pPr>
        <w:pStyle w:val="Normal"/>
        <w:rPr/>
      </w:pPr>
      <w:r>
        <w:rPr/>
        <w:t xml:space="preserve"> </w:t>
      </w:r>
    </w:p>
    <w:p>
      <w:pPr>
        <w:pStyle w:val="Normal"/>
        <w:rPr/>
      </w:pPr>
      <w:r>
        <w:rPr/>
        <w:t xml:space="preserve">Bár előrelépés történt a műtrágyák és az alternatív peszticidek tekintetében, legtöbbjüket még nem használják a nagy gazdaságok. Ezért az új megoldások kidolgozásához tartósabb erőfeszítésekre van szükség. A kutatást közkiadások és a peszticidek és műtrágyák használatára vonatkozó szigorúbb normák révén kell ösztönözni. A kutatási eredményeket gyorsan el kell terjeszteni uniós szinten. </w:t>
      </w:r>
    </w:p>
    <w:p>
      <w:pPr>
        <w:pStyle w:val="Normal"/>
        <w:rPr/>
      </w:pPr>
      <w:r>
        <w:rPr/>
        <w:t xml:space="preserve"> </w:t>
      </w:r>
    </w:p>
    <w:p>
      <w:pPr>
        <w:pStyle w:val="P68B1DB1Normal15"/>
        <w:rPr>
          <w:b/>
          <w:b/>
        </w:rPr>
      </w:pPr>
      <w:r>
        <w:rPr/>
        <w:t xml:space="preserve">11. Javasoljuk a védett területek kiterjesztését a biológiai sokféleség megőrzése érdekében (emlősök, madarak, rovarok és növények), valamint az emberi beavatkozással kapcsolatos jogállamiság megerősítését ezeken a területeken. A védett területek nemcsak szigetként, hanem a zöldebb városi területekkel való kontinuumként is tekintendők, összhangban a harmonizált uniós szabványokkal. </w:t>
      </w:r>
    </w:p>
    <w:p>
      <w:pPr>
        <w:pStyle w:val="Normal"/>
        <w:rPr/>
      </w:pPr>
      <w:r>
        <w:rPr/>
        <w:t xml:space="preserve"> </w:t>
      </w:r>
    </w:p>
    <w:p>
      <w:pPr>
        <w:pStyle w:val="Normal"/>
        <w:rPr/>
      </w:pPr>
      <w:r>
        <w:rPr/>
        <w:t xml:space="preserve">A biológiai sokféleség nagyban szenved az erdőirtástól. A védett területek létrehozása a szárazföldi biológiai sokféleség védelmének egyik fő eszköze. Azonban nehéz megőrizni a védett területeket a szennyezett városok közelében, vagy elkerülni az emberi beavatkozást, amikor a környező területek kevés helyet hagynak a természet számára. Meg kell zöldíteni a lakóterületeket, és integrálni őket a környező természetükbe. </w:t>
      </w:r>
    </w:p>
    <w:p>
      <w:pPr>
        <w:pStyle w:val="Normal"/>
        <w:rPr/>
      </w:pPr>
      <w:r>
        <w:rPr/>
        <w:t xml:space="preserve"> </w:t>
      </w:r>
    </w:p>
    <w:p>
      <w:pPr>
        <w:pStyle w:val="Normal"/>
        <w:rPr/>
      </w:pPr>
      <w:r>
        <w:rPr>
          <w:b/>
        </w:rPr>
        <w:t>12. Javasoljuk, hogy az általános támogatásokat elsősorban a fenntartható mezőgazdaság fejlesztésével kapcsolatos projektekre irányítsák át, beleértve a természet és a munkavállalók tiszteletben tartását is. A kedvezményezetteknek tiszteletben kell tartaniuk az egyértelmű környezetvédelmi normákat, és szorosan nyomon kell követniük őket.</w:t>
      </w:r>
      <w:r>
        <w:rPr/>
        <w:t xml:space="preserve"> </w:t>
      </w:r>
    </w:p>
    <w:p>
      <w:pPr>
        <w:pStyle w:val="Normal"/>
        <w:rPr/>
      </w:pPr>
      <w:r>
        <w:rPr/>
        <w:t xml:space="preserve"> </w:t>
      </w:r>
    </w:p>
    <w:p>
      <w:pPr>
        <w:pStyle w:val="Normal"/>
        <w:rPr/>
      </w:pPr>
      <w:r>
        <w:rPr/>
        <w:t xml:space="preserve">Úgy véljük, hogy csak a fenntartható mezőgazdaságot kellene ösztönözni, ami magában foglalja az általános támogatásokra jelenleg felhasznált források átcsoportosítását. Ezen túlmenően az éves kifizetések helyett az átalakító projektekre és az innovatív megoldásokra való összpontosítás révén növelhető a felhasznált források hatékonysága. Biztosítani kell a mezőgazdasági tevékenységek és projektek ökológiai hatásának jobb nyomon követését. A munkavállalók emberi jogait is a fenntarthatóság szerves részének kell tekinteni. </w:t>
      </w:r>
    </w:p>
    <w:p>
      <w:pPr>
        <w:pStyle w:val="Normal"/>
        <w:rPr/>
      </w:pPr>
      <w:r>
        <w:rPr/>
        <w:t xml:space="preserve"> </w:t>
      </w:r>
    </w:p>
    <w:p>
      <w:pPr>
        <w:pStyle w:val="Normal"/>
        <w:rPr/>
      </w:pPr>
      <w:r>
        <w:rPr>
          <w:b/>
        </w:rPr>
        <w:t>13. Azt javasoljuk, hogy az EU biztosítson tisztességes versenyt a környezetbarát mezőgazdasági termékek tekintetében azáltal, hogy szigorúbb normákat határoz meg mind az uniós, mind az importált termékekre, biztosítva a nyomonkövethetőséget, a címkézést és a minőségellenőrzést.</w:t>
      </w:r>
      <w:r>
        <w:rPr/>
        <w:t xml:space="preserve"> </w:t>
      </w:r>
    </w:p>
    <w:p>
      <w:pPr>
        <w:pStyle w:val="Normal"/>
        <w:rPr/>
      </w:pPr>
      <w:r>
        <w:rPr/>
        <w:t xml:space="preserve"> </w:t>
      </w:r>
    </w:p>
    <w:p>
      <w:pPr>
        <w:pStyle w:val="Normal"/>
        <w:rPr/>
      </w:pPr>
      <w:r>
        <w:rPr/>
        <w:t xml:space="preserve">A fenntartható mezőgazdasági termékek alacsonyabb termelékenysége aláássa költség-versenyképességüket. Az importált termékeknek ugyanazoknak a szigorú előírásoknak kell megfelelniük a termelésük környezetre gyakorolt hatása tekintetében. A hatóságoknak képesnek kell lenniük arra, hogy biztosítsák az importált mezőgazdasági termékek nyomonkövethetőségét. </w:t>
      </w:r>
    </w:p>
    <w:p>
      <w:pPr>
        <w:pStyle w:val="Normal"/>
        <w:rPr/>
      </w:pPr>
      <w:r>
        <w:rPr/>
        <w:t xml:space="preserve"> </w:t>
      </w:r>
    </w:p>
    <w:p>
      <w:pPr>
        <w:pStyle w:val="P68B1DB1Normal15"/>
        <w:rPr>
          <w:b/>
          <w:b/>
        </w:rPr>
      </w:pPr>
      <w:r>
        <w:rPr/>
        <w:t xml:space="preserve">14. Az optimalizált földhasználatnak köszönhetően gyors és tömeges újraerdősítést és erdőtelepítést ajánlunk az EU-ban. Különös figyelmet kell fordítani a kitermelt vagy elpusztult erdők újraerdősítésére és a leromlott talajú területek erdősítésére. Új, felelősségteljesebb megoldásokat kell előmozdítani a fa jobb felhasználása érdekében, például a műanyagok és más vegyi anyagok helyettesítése, a biomasszából származó energiahatékonyság növelése és a fatermékek újrahasznosítása érdekében. </w:t>
      </w:r>
    </w:p>
    <w:p>
      <w:pPr>
        <w:pStyle w:val="Normal"/>
        <w:rPr/>
      </w:pPr>
      <w:r>
        <w:rPr/>
        <w:t xml:space="preserve"> </w:t>
      </w:r>
    </w:p>
    <w:p>
      <w:pPr>
        <w:pStyle w:val="Normal"/>
        <w:rPr/>
      </w:pPr>
      <w:r>
        <w:rPr/>
        <w:t xml:space="preserve">Az újraerdősítés egyértelműen pozitív hatással van a környezetre és általában a biológiai sokféleségre. Ugyanakkor kevesebb fát kell használnunk a fűtéshez, de többet kell ahhoz, hogy magas hozzáadott értékkel rendelkező termékeket állítsunk elő; például a műanyagok helyettesítéséhez a fa használata a legfontosabb. </w:t>
      </w:r>
    </w:p>
    <w:p>
      <w:pPr>
        <w:pStyle w:val="Normal"/>
        <w:rPr/>
      </w:pPr>
      <w:r>
        <w:rPr/>
        <w:t xml:space="preserve"> </w:t>
      </w:r>
    </w:p>
    <w:p>
      <w:pPr>
        <w:pStyle w:val="Titre4"/>
        <w:numPr>
          <w:ilvl w:val="3"/>
          <w:numId w:val="2"/>
        </w:numPr>
        <w:rPr/>
      </w:pPr>
      <w:bookmarkStart w:id="162" w:name="__RefHeading___Toc297259_1346298689"/>
      <w:bookmarkEnd w:id="162"/>
      <w:r>
        <w:rPr/>
        <w:t xml:space="preserve">Altengely: Biztonságos és egészséges élelmiszerek </w:t>
      </w:r>
    </w:p>
    <w:p>
      <w:pPr>
        <w:pStyle w:val="P68B1DB1Normal15"/>
        <w:rPr>
          <w:b/>
          <w:b/>
        </w:rPr>
      </w:pPr>
      <w:r>
        <w:rPr/>
        <w:t xml:space="preserve">15. Javasoljuk az élelmiszerekben használt nem fenntartható csomagolások gyors és fokozatos eltávolítását, beleértve a műanyag csomagolást és más biológiailag nem lebomló csomagolásokat is. Ennek érdekében javasoljuk, hogy nyújtsanak pénzügyi ösztönzőket azoknak a vállalatoknak, amelyek a teljes mértékben biológiailag lebomló csomagolási formák felé mozdulnak el, beruháznak az alternatívák keresésébe, és szankciókat szabnak ki azokra a vállalatokra, amelyek nem használnak biológiailag lebomló csomagolást. </w:t>
      </w:r>
    </w:p>
    <w:p>
      <w:pPr>
        <w:pStyle w:val="Normal"/>
        <w:rPr/>
      </w:pPr>
      <w:r>
        <w:rPr/>
        <w:t xml:space="preserve"> </w:t>
      </w:r>
    </w:p>
    <w:p>
      <w:pPr>
        <w:pStyle w:val="Normal"/>
        <w:rPr/>
      </w:pPr>
      <w:r>
        <w:rPr/>
        <w:t xml:space="preserve">A műanyaghulladék, különösen a mikroműanyagok egyre bőségesebbé és lassan lebomlóvá válnak. A műanyagok fogyasztása aláássa az élelmiszerek minőségét és biztonságát, ugyanakkor kockázatot jelent az emberek és az állatok egészségére nézve. Ezenkívül a biológiailag nem lebomló csomagolások csökkentésére irányuló hatályos uniós jogszabályok nem elégségesek. </w:t>
      </w:r>
    </w:p>
    <w:p>
      <w:pPr>
        <w:pStyle w:val="Normal"/>
        <w:rPr/>
      </w:pPr>
      <w:r>
        <w:rPr/>
        <w:t xml:space="preserve"> </w:t>
      </w:r>
    </w:p>
    <w:p>
      <w:pPr>
        <w:pStyle w:val="P68B1DB1Normal15"/>
        <w:rPr>
          <w:b/>
          <w:b/>
        </w:rPr>
      </w:pPr>
      <w:r>
        <w:rPr/>
        <w:t xml:space="preserve">16. Javasoljuk az intenzív gazdálkodás fokozatos megszüntetését, beleértve az állatok lealacsonyító életkörülményeinek megszüntetését is. Javasoljuk, hogy hozzanak létre közös normákat az állattenyésztésre (pl. az állatok maximális száma, alkalmazkodott kültéri terek) és több beruházást eszközöljenek a nem intenzív módszerekbe (extenzív és fenntartható mezőgazdaság) azáltal, hogy pénzügyi ösztönzőket és képzést biztosítanak a mezőgazdasági termelők számára e fejlődés támogatása érdekében. </w:t>
      </w:r>
    </w:p>
    <w:p>
      <w:pPr>
        <w:pStyle w:val="Normal"/>
        <w:rPr/>
      </w:pPr>
      <w:r>
        <w:rPr/>
        <w:t xml:space="preserve"> </w:t>
      </w:r>
    </w:p>
    <w:p>
      <w:pPr>
        <w:pStyle w:val="Normal"/>
        <w:rPr/>
      </w:pPr>
      <w:r>
        <w:rPr/>
        <w:t xml:space="preserve">Az intenzív mezőgazdaság fokozatos megszüntetése csökkenteni fogja a környezetszennyezés szintjét és erősíti a természet védelmét. Emellett az intenzív állattenyésztés fokozatos megszüntetése csökkenteni fogja az állatbetegségek leküzdéséhez és étrendünk minőségének javításához szükséges gyógyszerek mennyiségét. Az intenzív gazdálkodás szintén nem tartja tiszteletben az állatjólétet, de vannak fenntarthatóbb gazdálkodási formák, mint például a külterjes gazdálkodás; támogatást kell nyújtani a mezőgazdasági termelőknek, hogy segítsék őket ezen az úton. </w:t>
      </w:r>
    </w:p>
    <w:p>
      <w:pPr>
        <w:pStyle w:val="Normal"/>
        <w:rPr/>
      </w:pPr>
      <w:r>
        <w:rPr/>
        <w:t xml:space="preserve"> </w:t>
      </w:r>
    </w:p>
    <w:p>
      <w:pPr>
        <w:pStyle w:val="P68B1DB1Normal15"/>
        <w:rPr>
          <w:b/>
          <w:b/>
        </w:rPr>
      </w:pPr>
      <w:r>
        <w:rPr/>
        <w:t xml:space="preserve">17. Javasoljuk, hogy erősítsék meg az antibiotikumok és egyéb állatgyógyászati készítmények takarmány-adalékanyagokban való szükségtelen használatának tilalmára vonatkozó ellenőrzéseket: valósítsuk meg ezt a kezdeményezést! Javasoljuk, hogy az antibiotikumok állattenyésztésben való alkalmazását csak akkor szabad engedélyezni, ha ez feltétlenül szükséges, az állatok egészségének és jólétének védelme érdekében, nem pedig megelőző módon. Emellett több beruházásra van szükség a hatékonyabb antibiotikumok keresésére, alternatív megoldások kifejlesztésére, az e területen folyó kutatásokra építve. </w:t>
      </w:r>
    </w:p>
    <w:p>
      <w:pPr>
        <w:pStyle w:val="Normal"/>
        <w:rPr/>
      </w:pPr>
      <w:r>
        <w:rPr/>
        <w:t xml:space="preserve"> </w:t>
      </w:r>
    </w:p>
    <w:p>
      <w:pPr>
        <w:pStyle w:val="Normal"/>
        <w:rPr/>
      </w:pPr>
      <w:r>
        <w:rPr/>
        <w:t xml:space="preserve">Az antibiotikumokkal szembeni emberi rezisztencia csökken az olyan állatokból származó élelmiszerek fogyasztása miatt, amelyeknek antibiotikumokat adtak. Ezenkívül időbe telik a meglévő antibiotikumok helyettesítésére szolgáló megfelelő megoldások kidolgozása, valamint annak biztosítása, hogy a mezőgazdasági termelők tájékozottak és hajlandóak legyenek azok használatára. Elismerjük, hogy léteznek uniós antibiotikum-irányelvek; ezeket azonban nem minden tagállamban hajtották végre ugyanúgy. Végül, az állatgyógyászati készítményekkel doppingolás céljából visszaélnek; ezért az e területre vonatkozó szigorúbb jogszabályok javítják az állatok jólétét és javítják életminőségüket. </w:t>
      </w:r>
    </w:p>
    <w:p>
      <w:pPr>
        <w:pStyle w:val="Normal"/>
        <w:rPr/>
      </w:pPr>
      <w:r>
        <w:rPr/>
        <w:t xml:space="preserve"> </w:t>
      </w:r>
    </w:p>
    <w:p>
      <w:pPr>
        <w:pStyle w:val="P68B1DB1Normal15"/>
        <w:rPr>
          <w:b/>
          <w:b/>
        </w:rPr>
      </w:pPr>
      <w:r>
        <w:rPr/>
        <w:t xml:space="preserve">18. Javasoljuk, hogy az uniós jogszabályok írják elő a hormonális anyagok és az endokrin károsító anyagok élelmiszer-előállításban való felhasználásának bejelentését annak érdekében, hogy meghatározzák a felhasznált végtermék típusát, mennyiségét és expozícióját. Minden érintett élelmiszer csomagolásán fel kell tüntetni a jelen lévő anyagokat és felhasználásuk okait egyértelműen feltüntető címkéket. Emellett fel kell gyorsítani a hormonális anyagok és az endokrin károsító anyagok emberi egészségre gyakorolt hatásával kapcsolatos kutatást. </w:t>
      </w:r>
    </w:p>
    <w:p>
      <w:pPr>
        <w:pStyle w:val="Normal"/>
        <w:rPr/>
      </w:pPr>
      <w:r>
        <w:rPr/>
        <w:t xml:space="preserve"> </w:t>
      </w:r>
    </w:p>
    <w:p>
      <w:pPr>
        <w:pStyle w:val="Normal"/>
        <w:rPr/>
      </w:pPr>
      <w:r>
        <w:rPr/>
        <w:t xml:space="preserve">Az élelmiszeripari termékek nyomon követhetősége jelenleg nem kielégítő, különösen a hormonális anyagok és az endokrin károsító anyagok tekintetében. Úgy véljük, hogy az élelmiszer-termelés átláthatósága szükséges az elszámoltathatóság eléréséhez. Ezenkívül a fogyasztóknak képesnek kell lenniük arra, hogy teljes egészében megismerjék az általuk fogyasztott élelmiszerek összetételét, és szabadon megválaszthassák, hogy mit fogyasztanak. Emellett nem áll rendelkezésre elegendő kutatás a hormonális anyagokat és az endokrin károsító anyagokat tartalmazó élelmiszerek fogyasztásával kapcsolatos, az emberekre gyakorolt hatásról (és a lehetséges kockázatokról). </w:t>
      </w:r>
    </w:p>
    <w:p>
      <w:pPr>
        <w:pStyle w:val="Normal"/>
        <w:rPr/>
      </w:pPr>
      <w:r>
        <w:rPr/>
        <w:t xml:space="preserve"> </w:t>
      </w:r>
    </w:p>
    <w:p>
      <w:pPr>
        <w:pStyle w:val="P68B1DB1Normal15"/>
        <w:rPr>
          <w:b/>
          <w:b/>
        </w:rPr>
      </w:pPr>
      <w:r>
        <w:rPr/>
        <w:t xml:space="preserve">19. Javasoljuk a feldolgozott élelmiszerek fogyasztásának eltántorítását azáltal, hogy adót vetnek ki az egészségre káros élelmiszerekre, és pénzt fektetnek az egészséges élelmiszerekbe. Javasoljuk az egészséges élelmiszerek európai szintű minősítési rendszerének létrehozását, amely a tagállamokban bevált gyakorlatokon alapul, és címkét helyez el az élelmiszereken annak érdekében, hogy tájékoztassa a fogyasztókat azok egészségügyi hatásairól. </w:t>
      </w:r>
    </w:p>
    <w:p>
      <w:pPr>
        <w:pStyle w:val="Normal"/>
        <w:rPr/>
      </w:pPr>
      <w:r>
        <w:rPr/>
        <w:t xml:space="preserve"> </w:t>
      </w:r>
    </w:p>
    <w:p>
      <w:pPr>
        <w:pStyle w:val="Normal"/>
        <w:rPr/>
      </w:pPr>
      <w:r>
        <w:rPr/>
        <w:t xml:space="preserve">Ily módon a befolyó források felhasználhatók figyelemfelkeltő és promóciós kampányok kidolgozására, az egészséges táplálkozás előtérbe helyezésére az oktatási ágazatban, valamint az egészségtelen élelmiszerek láthatóságának csökkentésére a szupermarketekben. Az egészséges élelmiszerekbe történő beruházások hozzájárulnak a lakosság általános egészségi állapotának javításához, és ennek következtében a rossz táplálkozásból eredő egészségügyi problémák kezeléséhez szükséges közkiadások szintjének csökkentéséhez is. Úgy véljük továbbá, hogy az adók és támogatások arra ösztönzik a vállalkozásokat, hogy egészségesebb élelmiszereket állítsanak elő. </w:t>
      </w:r>
    </w:p>
    <w:p>
      <w:pPr>
        <w:pStyle w:val="Normal"/>
        <w:rPr/>
      </w:pPr>
      <w:r>
        <w:rPr/>
        <w:t xml:space="preserve"> </w:t>
      </w:r>
    </w:p>
    <w:p>
      <w:pPr>
        <w:pStyle w:val="Titre3"/>
        <w:numPr>
          <w:ilvl w:val="2"/>
          <w:numId w:val="2"/>
        </w:numPr>
        <w:rPr/>
      </w:pPr>
      <w:bookmarkStart w:id="163" w:name="__RefHeading___Toc297261_1346298689"/>
      <w:bookmarkEnd w:id="163"/>
      <w:r>
        <w:rPr/>
        <w:t xml:space="preserve">3. tengely: gazdaságunk és fogyasztásunk átirányítása </w:t>
      </w:r>
    </w:p>
    <w:p>
      <w:pPr>
        <w:pStyle w:val="Titre4"/>
        <w:numPr>
          <w:ilvl w:val="3"/>
          <w:numId w:val="2"/>
        </w:numPr>
        <w:rPr/>
      </w:pPr>
      <w:bookmarkStart w:id="164" w:name="__RefHeading___Toc297263_1346298689"/>
      <w:bookmarkEnd w:id="164"/>
      <w:r>
        <w:rPr/>
        <w:t xml:space="preserve">Altengely A túltermelés és a túlfogyasztás szabályozása </w:t>
      </w:r>
    </w:p>
    <w:p>
      <w:pPr>
        <w:pStyle w:val="P68B1DB1Normal15"/>
        <w:rPr>
          <w:b/>
          <w:b/>
        </w:rPr>
      </w:pPr>
      <w:r>
        <w:rPr/>
        <w:t xml:space="preserve">20. Javasoljuk, hogy az EU tegyen több intézkedést annak érdekében, hogy a fogyasztók hosszabb ideig használhassák a termékeket, és ösztönözze őket erre. Az EU-nak fel kell lépnie a tervezett elavulás ellen azáltal, hogy meghosszabbítja a termékgaranciát, és meghatározza a pótalkatrészek maximális árát a jótállási időszak lejárta után. Svédországhoz hasonlóan valamennyi tagállamnak adócsökkentést kell bevezetnie a javítási szolgáltatások tekintetében. A gyártókat kötelezni kell arra, hogy jelezzék termékeik várható élettartamát. Az EU-nak egy weboldalon és oktatáson keresztül tájékoztatást kell nyújtania a termékek újrafelhasználásának és javításának módjáról. </w:t>
      </w:r>
    </w:p>
    <w:p>
      <w:pPr>
        <w:pStyle w:val="Normal"/>
        <w:rPr/>
      </w:pPr>
      <w:r>
        <w:rPr/>
        <w:t xml:space="preserve"> </w:t>
      </w:r>
    </w:p>
    <w:p>
      <w:pPr>
        <w:pStyle w:val="Normal"/>
        <w:rPr/>
      </w:pPr>
      <w:r>
        <w:rPr/>
        <w:t xml:space="preserve">A hulladék társadalmunk nem életképes, mert túl sok hulladékot termel. A javasolt intézkedések alkalmazásával egy olyan társadalom felé fejlődünk, amelyben a termékeket újra felhasználják és javítják, amelyek száma csökkenni fog, ezáltal csökkentve a túlfogyasztást. </w:t>
      </w:r>
    </w:p>
    <w:p>
      <w:pPr>
        <w:pStyle w:val="Normal"/>
        <w:rPr/>
      </w:pPr>
      <w:r>
        <w:rPr/>
        <w:t xml:space="preserve"> </w:t>
      </w:r>
    </w:p>
    <w:p>
      <w:pPr>
        <w:pStyle w:val="P68B1DB1Normal15"/>
        <w:rPr>
          <w:b/>
          <w:b/>
        </w:rPr>
      </w:pPr>
      <w:r>
        <w:rPr/>
        <w:t xml:space="preserve">21. Javasoljuk, hogy az EU szigorúbb környezetvédelmi normákat alkalmazzon, és biztosítson tisztességes munkakörülményeket a termelési láncban. Az uniós termelési szabványoknak fenntarthatóbbnak és a tagállamok között összehangoltabbnak kell lenniük, és azokat az importált árukra is alkalmazni kell. Ezeknek a normáknak szociális jellegűeknek is kell lenniük, beleértve a munkavállalók tisztességes jövedelmét és a gyárakban a kielégítő munkakörülményeket. Következményekkel kell járnia azokra az árukra, amelyek nem felelnek meg ezeknek a szabványoknak. </w:t>
      </w:r>
    </w:p>
    <w:p>
      <w:pPr>
        <w:pStyle w:val="Normal"/>
        <w:rPr/>
      </w:pPr>
      <w:r>
        <w:rPr/>
        <w:t xml:space="preserve"> </w:t>
      </w:r>
    </w:p>
    <w:p>
      <w:pPr>
        <w:pStyle w:val="Normal"/>
        <w:rPr/>
      </w:pPr>
      <w:r>
        <w:rPr/>
        <w:t xml:space="preserve">Fontos, hogy Európában környezetvédelmi és társadalmi szempontból homogén gyártási szabványokat állapítsanak meg annak biztosítása érdekében, hogy valamennyi kínált termék fenntartható módon készüljön. Ezek az intézkedések elengedhetetlenek gazdaságunk átalakításához és az üzleti termelési minták megváltoztatásához. </w:t>
      </w:r>
    </w:p>
    <w:p>
      <w:pPr>
        <w:pStyle w:val="Normal"/>
        <w:rPr/>
      </w:pPr>
      <w:r>
        <w:rPr/>
        <w:t xml:space="preserve"> </w:t>
      </w:r>
    </w:p>
    <w:p>
      <w:pPr>
        <w:pStyle w:val="P68B1DB1Normal15"/>
        <w:rPr>
          <w:b/>
          <w:b/>
        </w:rPr>
      </w:pPr>
      <w:r>
        <w:rPr/>
        <w:t xml:space="preserve">22. Javasoljuk, hogy az EU és a tagállamok hozzanak intézkedéseket a környezetkárosító termékek reklámozásának korlátozására. Az alacsony tartósságú termékekre kötelező felelősségtilalmi záradékot kell alkalmazni minden olyan reklám formájában, amely azt mutatja, hogy károsak a környezetre. Az EU-nak be kellene tiltania a egyáltalán nem fenntartható termékek reklámozását. </w:t>
      </w:r>
    </w:p>
    <w:p>
      <w:pPr>
        <w:pStyle w:val="Normal"/>
        <w:rPr/>
      </w:pPr>
      <w:r>
        <w:rPr/>
        <w:t xml:space="preserve"> </w:t>
      </w:r>
    </w:p>
    <w:p>
      <w:pPr>
        <w:pStyle w:val="Normal"/>
        <w:rPr/>
      </w:pPr>
      <w:r>
        <w:rPr/>
        <w:t xml:space="preserve">A reklám ösztönzi a fogyasztást; nem szabad kiemelni azokat a termékeket, amelyek károsítják a környezetet. Ily módon a fogyasztók kisebb valószínűséggel vásárolnak környezeti szempontból káros termékeket. </w:t>
      </w:r>
    </w:p>
    <w:p>
      <w:pPr>
        <w:pStyle w:val="Normal"/>
        <w:rPr/>
      </w:pPr>
      <w:r>
        <w:rPr/>
        <w:t xml:space="preserve"> </w:t>
      </w:r>
    </w:p>
    <w:p>
      <w:pPr>
        <w:pStyle w:val="P68B1DB1Normal15"/>
        <w:rPr>
          <w:b/>
          <w:b/>
        </w:rPr>
      </w:pPr>
      <w:r>
        <w:rPr/>
        <w:t xml:space="preserve">23. Javasoljuk, hogy az EU alakítson ki és fejlesszen ki betétrendszer-infrastruktúrát az üveg, műanyag, alumínium stb. elsődleges csomagolásához, Unió-szerte egységesen. A gyártóknak lehetőség szerint újra kell használniuk a visszaküldött csomagolást úgy, hogy sterilizálják őket, ahelyett, hogy egyszerűen újrahasznosítanák az anyagokat. Az élelmiszer- és italcsomagolás mellett az eszköznek más típusú palackokra és tartályokra is ki kell terjednie, például samponpalackokra. </w:t>
      </w:r>
    </w:p>
    <w:p>
      <w:pPr>
        <w:pStyle w:val="Normal"/>
        <w:rPr/>
      </w:pPr>
      <w:r>
        <w:rPr/>
        <w:t xml:space="preserve"> </w:t>
      </w:r>
    </w:p>
    <w:p>
      <w:pPr>
        <w:pStyle w:val="Normal"/>
        <w:rPr/>
      </w:pPr>
      <w:r>
        <w:rPr/>
        <w:t xml:space="preserve">Jelenleg a fogyasztók túl sok csomagolást dobnak, szennyezik és elpusztítják ökoszisztémáinkat. A betéti rendszerek segítenek csökkenteni a hulladékot azáltal, hogy arra ösztönzik a polgárokat, hogy inkább visszahozzák a csomagolást, mintsem eldobják azt. A rendszer fejlesztésével kevesebb erőforrást fogunk felhasználni; a keletkező hulladék mennyisége csökkenni fog. </w:t>
      </w:r>
    </w:p>
    <w:p>
      <w:pPr>
        <w:pStyle w:val="Normal"/>
        <w:rPr/>
      </w:pPr>
      <w:r>
        <w:rPr/>
        <w:t xml:space="preserve"> </w:t>
      </w:r>
    </w:p>
    <w:p>
      <w:pPr>
        <w:pStyle w:val="Titre4"/>
        <w:numPr>
          <w:ilvl w:val="3"/>
          <w:numId w:val="2"/>
        </w:numPr>
        <w:rPr/>
      </w:pPr>
      <w:bookmarkStart w:id="165" w:name="__RefHeading___Toc297265_1346298689"/>
      <w:bookmarkEnd w:id="165"/>
      <w:r>
        <w:rPr/>
        <w:t xml:space="preserve">Sub-axis 3.2 A hulladék csökkentése </w:t>
      </w:r>
    </w:p>
    <w:p>
      <w:pPr>
        <w:pStyle w:val="P68B1DB1Normal15"/>
        <w:rPr>
          <w:b/>
          <w:b/>
        </w:rPr>
      </w:pPr>
      <w:r>
        <w:rPr/>
        <w:t xml:space="preserve">24. Javasoljuk, hogy mozdítsák elő a körforgásos gazdaságra vonatkozó politikák erőteljesebb végrehajtását európai szinten, a vállalkozásokat és a polgárokat egyaránt megcélozva, pénzügyi ösztönzők formájában azok számára, akik betartják azokat. </w:t>
      </w:r>
    </w:p>
    <w:p>
      <w:pPr>
        <w:pStyle w:val="Normal"/>
        <w:rPr/>
      </w:pPr>
      <w:r>
        <w:rPr/>
        <w:t xml:space="preserve"> </w:t>
      </w:r>
    </w:p>
    <w:p>
      <w:pPr>
        <w:pStyle w:val="Normal"/>
        <w:rPr/>
      </w:pPr>
      <w:r>
        <w:rPr/>
        <w:t xml:space="preserve">Sok ember végül munkanélkülinek találja magát, ha a termelő vállalatok csökkentik a munkaerőt, vagy akár a fizetés/erjesztés megszűnésének állapotába kerülnek. A munkanélküliekre vonatkozó átképzési intézkedések ösztönzik a környezetbarát gyakorlatokat, ugyanakkor korlátozzák a munkanélküliséget és előmozdítják a diverzifikált gazdaság korszerűsítését. </w:t>
      </w:r>
    </w:p>
    <w:p>
      <w:pPr>
        <w:pStyle w:val="Normal"/>
        <w:rPr/>
      </w:pPr>
      <w:r>
        <w:rPr/>
        <w:t xml:space="preserve"> </w:t>
      </w:r>
    </w:p>
    <w:p>
      <w:pPr>
        <w:pStyle w:val="P68B1DB1Normal15"/>
        <w:rPr>
          <w:b/>
          <w:b/>
        </w:rPr>
      </w:pPr>
      <w:r>
        <w:rPr/>
        <w:t xml:space="preserve">25. Javasoljuk, hogy az EU szabályozza a környezetbarát csomagolások (azaz a biológiailag lebomló, újrahasznosítható vagy fenntarthatóbb anyagokon alapuló csomagolások) és/vagy a kevésbé terjedelmes csomagolások használatát, valamint egy QR-kóddal, amely a csomagolás használat utáni újrafeldolgozási és/vagy ártalmatlanítási folyamatára vonatkozó információkat tartalmaz. </w:t>
      </w:r>
    </w:p>
    <w:p>
      <w:pPr>
        <w:pStyle w:val="Normal"/>
        <w:rPr/>
      </w:pPr>
      <w:r>
        <w:rPr/>
        <w:t xml:space="preserve"> </w:t>
      </w:r>
    </w:p>
    <w:p>
      <w:pPr>
        <w:pStyle w:val="Normal"/>
        <w:rPr/>
      </w:pPr>
      <w:r>
        <w:rPr/>
        <w:t xml:space="preserve">Ez az ajánlás a csomagolás csökkenését, a hulladék csökkenését és ebből következően a szennyezést eredményezi; a környezet tehát tisztább lesz, és végső soron a szénlábnyom kevesebb lesz. A termelőkre nehezedő adóteher is alacsonyabb lesz. </w:t>
      </w:r>
    </w:p>
    <w:p>
      <w:pPr>
        <w:pStyle w:val="Normal"/>
        <w:rPr/>
      </w:pPr>
      <w:r>
        <w:rPr/>
        <w:t xml:space="preserve"> </w:t>
      </w:r>
    </w:p>
    <w:p>
      <w:pPr>
        <w:pStyle w:val="Titre4"/>
        <w:numPr>
          <w:ilvl w:val="3"/>
          <w:numId w:val="2"/>
        </w:numPr>
        <w:rPr/>
      </w:pPr>
      <w:bookmarkStart w:id="166" w:name="__RefHeading___Toc297267_1346298689"/>
      <w:bookmarkEnd w:id="166"/>
      <w:r>
        <w:rPr/>
        <w:t xml:space="preserve">Altengely: méltányos termékek, egyenlő hozzáférés és méltányos fogyasztás </w:t>
      </w:r>
    </w:p>
    <w:p>
      <w:pPr>
        <w:pStyle w:val="P68B1DB1Normal15"/>
        <w:rPr>
          <w:b/>
          <w:b/>
        </w:rPr>
      </w:pPr>
      <w:r>
        <w:rPr/>
        <w:t xml:space="preserve">26. Javasoljuk, hogy az Európai Unió hozzon létre jogi keretet annak biztosítására, hogy minden európai fogyasztó megfizethető és jobb hozzáféréssel rendelkezzen a minőségi és helyi élelmiszerekhez. </w:t>
      </w:r>
    </w:p>
    <w:p>
      <w:pPr>
        <w:pStyle w:val="Normal"/>
        <w:rPr/>
      </w:pPr>
      <w:r>
        <w:rPr/>
        <w:t xml:space="preserve"> </w:t>
      </w:r>
    </w:p>
    <w:p>
      <w:pPr>
        <w:pStyle w:val="Normal"/>
        <w:rPr/>
      </w:pPr>
      <w:r>
        <w:rPr/>
        <w:t xml:space="preserve">Jelenleg uniós szinten nincs egységes értelmezés arra vonatkozóan, hogy mit kell helyi és minőségi élelmiszernek tekinteni. Ezt a szakadékot meg kell szüntetni. </w:t>
      </w:r>
    </w:p>
    <w:p>
      <w:pPr>
        <w:pStyle w:val="Normal"/>
        <w:rPr/>
      </w:pPr>
      <w:r>
        <w:rPr/>
        <w:t xml:space="preserve">A rossz minőségű termékek behozatala közvetlen negatív hatást gyakorol a környezetre. Az éghajlatváltozás elleni küzdelem érdekében foglalkoznunk kell annak valamennyi okával, beleértve a rossz minőségű termékek behozatalát is: csökkenteni kell a szállítási távolságot és elő kell mozdítani a szezonális termékeket. </w:t>
      </w:r>
    </w:p>
    <w:p>
      <w:pPr>
        <w:pStyle w:val="Normal"/>
        <w:rPr/>
      </w:pPr>
      <w:r>
        <w:rPr/>
        <w:t xml:space="preserve">Ez az ajánlás ígéretes, mivel a nem élelmiszer jellegű termékekre is alkalmazható. </w:t>
      </w:r>
    </w:p>
    <w:p>
      <w:pPr>
        <w:pStyle w:val="Normal"/>
        <w:rPr/>
      </w:pPr>
      <w:r>
        <w:rPr/>
        <w:t xml:space="preserve"> </w:t>
      </w:r>
    </w:p>
    <w:p>
      <w:pPr>
        <w:pStyle w:val="P68B1DB1Normal15"/>
        <w:rPr>
          <w:b/>
          <w:b/>
        </w:rPr>
      </w:pPr>
      <w:r>
        <w:rPr/>
        <w:t xml:space="preserve">27. Javasoljuk, hogy az Európai Unió finanszírozási programok révén ösztönözze a kutatást és fejlesztést annak biztosítása érdekében, hogy a piacon fenntarthatóbb és megfizethetőbb termékek álljanak rendelkezésre az európai piacon. Az Európai Uniónak a döntéshozatal minden szintjén – többek között helyi szinten – konzultációt kell folytatnia a polgárokkal a fenntartható termékek iránti szükségleteik meghatározása érdekében. </w:t>
      </w:r>
    </w:p>
    <w:p>
      <w:pPr>
        <w:pStyle w:val="Normal"/>
        <w:rPr/>
      </w:pPr>
      <w:r>
        <w:rPr/>
        <w:t xml:space="preserve"> </w:t>
      </w:r>
    </w:p>
    <w:p>
      <w:pPr>
        <w:pStyle w:val="Normal"/>
        <w:rPr/>
      </w:pPr>
      <w:r>
        <w:rPr/>
        <w:t xml:space="preserve">Úgy véljük, hogy a fenntartható termékekkel kapcsolatos kutatás nem elegendő, és sürgősen több pénzügyi forrást kell elkülöníteni a kutatásra annak érdekében, hogy az európaiak megfizethetőbb fenntartható termékekhez férjenek hozzá. </w:t>
      </w:r>
    </w:p>
    <w:p>
      <w:pPr>
        <w:pStyle w:val="Normal"/>
        <w:rPr/>
      </w:pPr>
      <w:r>
        <w:rPr/>
        <w:t xml:space="preserve">A polgároknak részt kell venniük a döntéshozatali folyamatban. A kutatási és innovációs cselekvési programot a polgárokkal közösen kell kidolgozni. Tájékoztatni kell őket a nyomon követésről, és az eredményeket közölni kell velük. </w:t>
      </w:r>
    </w:p>
    <w:p>
      <w:pPr>
        <w:pStyle w:val="Normal"/>
        <w:rPr/>
      </w:pPr>
      <w:r>
        <w:rPr/>
      </w:r>
    </w:p>
    <w:p>
      <w:pPr>
        <w:pStyle w:val="P68B1DB1Normal15"/>
        <w:rPr>
          <w:b/>
          <w:b/>
        </w:rPr>
      </w:pPr>
      <w:r>
        <w:rPr/>
        <w:t xml:space="preserve">28. Javasoljuk, hogy az Európai Unió vezessen be szabályozási mechanizmust a közös piacra belépő divatcikkekre vonatkozóan. E mechanizmus célja a jobb fogyasztás ösztönzése egy olyan mutató révén, amely biztosítja, hogy a termék megfeleljen a fenntarthatósági kritériumoknak. </w:t>
      </w:r>
    </w:p>
    <w:p>
      <w:pPr>
        <w:pStyle w:val="Normal"/>
        <w:rPr/>
      </w:pPr>
      <w:r>
        <w:rPr/>
        <w:t xml:space="preserve"> </w:t>
      </w:r>
    </w:p>
    <w:p>
      <w:pPr>
        <w:pStyle w:val="Normal"/>
        <w:rPr/>
      </w:pPr>
      <w:r>
        <w:rPr/>
        <w:t xml:space="preserve">A divatágazat, amely túl sok rossz minőségű árut állít elő az európai határokon kívül, nem alkalmaz etikai normákat, és nem alkalmaz fenntartható magatartást. </w:t>
      </w:r>
    </w:p>
    <w:p>
      <w:pPr>
        <w:pStyle w:val="Normal"/>
        <w:rPr/>
      </w:pPr>
      <w:r>
        <w:rPr/>
        <w:t xml:space="preserve">Olyan tisztességes mechanizmust kell találnunk, amely lehetővé teszi a fogyasztók számára a jobb fogyasztást. Fontos azonban, hogy ne emeljük az adókat, ami vásárlóerejük csökkentésével negatív következményekkel járna a fogyasztókra nézve. </w:t>
      </w:r>
    </w:p>
    <w:p>
      <w:pPr>
        <w:pStyle w:val="Normal"/>
        <w:rPr/>
      </w:pPr>
      <w:r>
        <w:rPr/>
        <w:t xml:space="preserve">A fogyasztóknak tudniuk kell, hogy milyen feltételek mellett gyártják az általuk vásárolt termékeket, és hogy megfelelnek-e a fenntartható minőségi előírásoknak. </w:t>
      </w:r>
    </w:p>
    <w:p>
      <w:pPr>
        <w:pStyle w:val="Normal"/>
        <w:rPr/>
      </w:pPr>
      <w:r>
        <w:rPr/>
        <w:t xml:space="preserve"> </w:t>
      </w:r>
    </w:p>
    <w:p>
      <w:pPr>
        <w:pStyle w:val="Titre3"/>
        <w:numPr>
          <w:ilvl w:val="2"/>
          <w:numId w:val="2"/>
        </w:numPr>
        <w:rPr/>
      </w:pPr>
      <w:bookmarkStart w:id="167" w:name="__RefHeading___Toc297269_1346298689"/>
      <w:bookmarkEnd w:id="167"/>
      <w:r>
        <w:rPr/>
        <w:t xml:space="preserve">4. tengely: a fenntartható társadalom felé </w:t>
      </w:r>
    </w:p>
    <w:p>
      <w:pPr>
        <w:pStyle w:val="Titre4"/>
        <w:numPr>
          <w:ilvl w:val="3"/>
          <w:numId w:val="2"/>
        </w:numPr>
        <w:rPr/>
      </w:pPr>
      <w:bookmarkStart w:id="168" w:name="__RefHeading___Toc297271_1346298689"/>
      <w:bookmarkEnd w:id="168"/>
      <w:r>
        <w:rPr/>
        <w:t xml:space="preserve">Altengely 4.1 Megújuló energiák mostantól </w:t>
      </w:r>
    </w:p>
    <w:p>
      <w:pPr>
        <w:pStyle w:val="P68B1DB1Normal15"/>
        <w:rPr>
          <w:b/>
          <w:b/>
        </w:rPr>
      </w:pPr>
      <w:r>
        <w:rPr/>
        <w:t xml:space="preserve">29. Javasoljuk, hogy az EU tegyen lépéseket a szén-dioxid-szűrők kötelezővé tételére, különösen a széntüzelésű erőművek esetében, egy átmeneti időszakban, mindaddig, amíg továbbra is a hagyományos energiára támaszkodunk. Javasoljuk továbbá, hogy az EU nyújtson pénzügyi támogatást azoknak a tagállamoknak, amelyek nem rendelkeznek pénzügyi forrásokkal a szén-dioxid-szűrők alkalmazásához. A támogatás feltétele a Párizsi Megállapodáshoz, a zöld megállapodáshoz és bármely új éghajlat-változási jogszabályhoz kapcsolódó uniós éghajlat-politika betartása. </w:t>
      </w:r>
    </w:p>
    <w:p>
      <w:pPr>
        <w:pStyle w:val="Normal"/>
        <w:rPr/>
      </w:pPr>
      <w:r>
        <w:rPr>
          <w:b/>
        </w:rPr>
        <w:t>Ez egy konkrét lépés, amelyet az energiatermelés biztonságával kapcsolatos kutatásba való folyamatos beruházással párhuzamosan kell megtenni, és amelynek célja, hogy segítse az uniós tagállamokat a közös szén-dioxid-csökkentési célok fokozatos elérésében.</w:t>
      </w:r>
      <w:r>
        <w:rPr/>
        <w:t xml:space="preserve"> </w:t>
      </w:r>
    </w:p>
    <w:p>
      <w:pPr>
        <w:pStyle w:val="Normal"/>
        <w:rPr/>
      </w:pPr>
      <w:r>
        <w:rPr/>
        <w:t xml:space="preserve"> </w:t>
      </w:r>
    </w:p>
    <w:p>
      <w:pPr>
        <w:pStyle w:val="Normal"/>
        <w:rPr/>
      </w:pPr>
      <w:r>
        <w:rPr/>
        <w:t xml:space="preserve">Tudjuk, hogy a hagyományos üzemanyagok használata üvegházhatást okozó gázok kibocsátásához vezet, és az uniós tagállamoknak csökkenteniük kell a hagyományos üzemanyagok használatát a Párizsi Megállapodásnak való megfelelés érdekében. Mivel nem lehet azonnal megszüntetni a szén-dioxid-kibocsátást, és továbbra is függünk a széntől, rövid és középtávon cselekednünk kell. </w:t>
      </w:r>
    </w:p>
    <w:p>
      <w:pPr>
        <w:pStyle w:val="Normal"/>
        <w:rPr/>
      </w:pPr>
      <w:r>
        <w:rPr/>
        <w:t xml:space="preserve">A szén-dioxid-kibocsátás csökkentése valamennyi polgár számára közös érdek, mind az EU-n belül, mind azon kívül; az EU-nak mint intézménynek saját felelőssége van, és az intézmény ajánlásokat tesz és megoldásokat kínál, mivel a tagállamok önmagukban nem tudják elérni a célkitűzéseket. </w:t>
      </w:r>
    </w:p>
    <w:p>
      <w:pPr>
        <w:pStyle w:val="Normal"/>
        <w:rPr/>
      </w:pPr>
      <w:r>
        <w:rPr/>
      </w:r>
    </w:p>
    <w:p>
      <w:pPr>
        <w:pStyle w:val="P68B1DB1Normal15"/>
        <w:rPr>
          <w:b/>
          <w:b/>
        </w:rPr>
      </w:pPr>
      <w:r>
        <w:rPr/>
        <w:t xml:space="preserve">30. Javasoljuk az intenzív ipari állattenyésztés csökkentését a metántermelés és a vízszennyezés csökkentése érdekében. Ennek érdekében az EU felülvizsgálja közös agrárpolitikáját, hogy támogatásait a fenntartható és helyi mezőgazdaságra irányítsa, többek között egy olyan címkézési rendszer révén, amely lehetővé teszi a fogyasztók számára, hogy elismerjék a fenntartható húskészítményeket. Arra is ösztönözzük az EU-t, hogy fektessen be az állattenyésztésből és más iparágakból származó hulladék újrafelhasználási módszereibe. </w:t>
      </w:r>
    </w:p>
    <w:p>
      <w:pPr>
        <w:pStyle w:val="Normal"/>
        <w:rPr/>
      </w:pPr>
      <w:r>
        <w:rPr/>
        <w:t xml:space="preserve"> </w:t>
      </w:r>
    </w:p>
    <w:p>
      <w:pPr>
        <w:pStyle w:val="Normal"/>
        <w:rPr/>
      </w:pPr>
      <w:r>
        <w:rPr/>
        <w:t xml:space="preserve">A népesség növekszik, ami a jövőben növeli a hús iránti keresletet. Ezért kell csökkenteni a húsfogyasztást. </w:t>
      </w:r>
    </w:p>
    <w:p>
      <w:pPr>
        <w:pStyle w:val="Normal"/>
        <w:rPr/>
      </w:pPr>
      <w:r>
        <w:rPr/>
        <w:t xml:space="preserve">Mivel a metán üvegházhatású gázokat termel, úgy gondoljuk, hogy természetes az állatállomány kibocsátásának csökkentésével kezdeni. </w:t>
      </w:r>
    </w:p>
    <w:p>
      <w:pPr>
        <w:pStyle w:val="Normal"/>
        <w:rPr/>
      </w:pPr>
      <w:r>
        <w:rPr/>
        <w:t xml:space="preserve">Mindannyian tudjuk, hogy kevesebb húst kell fogyasztani, ezért a szarvasmarhák számát ennek megfelelően csökkenteni kell. </w:t>
      </w:r>
    </w:p>
    <w:p>
      <w:pPr>
        <w:pStyle w:val="Normal"/>
        <w:rPr/>
      </w:pPr>
      <w:r>
        <w:rPr/>
        <w:t xml:space="preserve"> </w:t>
      </w:r>
    </w:p>
    <w:p>
      <w:pPr>
        <w:pStyle w:val="P68B1DB1Normal15"/>
        <w:rPr>
          <w:b/>
          <w:b/>
        </w:rPr>
      </w:pPr>
      <w:r>
        <w:rPr/>
        <w:t xml:space="preserve">31. Bár a zöld hidrogén előállítása drága folyamat, mivel a 25% hidrogén előállításához az energia 75%-a szükséges, ennek az energiatípusnak számos pozitív aspektusa van. A legjobb megoldás a szén-dioxid-mentes energia előállítása a zöld hidrogén fejlesztése mellett. A szélenergiát a zöld hidrogén előállítására kell felhasználni, az EU-nak pedig többet kell beruháznia, növelnie kell a szélenergia-termelést, és azt a jövőbeli szükségletek kielégítésére kell tárolnia. </w:t>
      </w:r>
    </w:p>
    <w:p>
      <w:pPr>
        <w:pStyle w:val="Normal"/>
        <w:rPr/>
      </w:pPr>
      <w:r>
        <w:rPr/>
        <w:t xml:space="preserve"> </w:t>
      </w:r>
    </w:p>
    <w:p>
      <w:pPr>
        <w:pStyle w:val="Normal"/>
        <w:rPr/>
      </w:pPr>
      <w:r>
        <w:rPr/>
        <w:t xml:space="preserve">A zöld hidrogén rugalmas, és szükség esetén felhasználható. Nem okoz szén-dioxid-szennyezést. </w:t>
      </w:r>
    </w:p>
    <w:p>
      <w:pPr>
        <w:pStyle w:val="Normal"/>
        <w:rPr/>
      </w:pPr>
      <w:r>
        <w:rPr/>
        <w:t xml:space="preserve"> </w:t>
      </w:r>
    </w:p>
    <w:p>
      <w:pPr>
        <w:pStyle w:val="Titre4"/>
        <w:numPr>
          <w:ilvl w:val="3"/>
          <w:numId w:val="2"/>
        </w:numPr>
        <w:rPr/>
      </w:pPr>
      <w:bookmarkStart w:id="169" w:name="__RefHeading___Toc297273_1346298689"/>
      <w:bookmarkEnd w:id="169"/>
      <w:r>
        <w:rPr/>
        <w:t xml:space="preserve">Altengely 4.2. Támogatja a változást </w:t>
      </w:r>
    </w:p>
    <w:p>
      <w:pPr>
        <w:pStyle w:val="P68B1DB1Normal15"/>
        <w:rPr>
          <w:b/>
          <w:b/>
        </w:rPr>
      </w:pPr>
      <w:r>
        <w:rPr/>
        <w:t xml:space="preserve">32. Javasoljuk, hogy az EU vezessen be kényszerítő és jutalmazási rendszert a szennyezés, többek között a víz, a talaj, a levegő és a sugárzás elleni küzdelem érdekében. Bírságot kell kiszabni a szennyezőkre, kombinálva egy szakosodott szervezet kötelező támogatásával, amelynek célja, hogy segítse a szervezeteket a szennyezés felszámolásában és az ökoszisztéma helyreállításában. Ennek a szakosodott szervezetnek vezető szerepet kell játszania a szennyezések megelőzésében és ellenőrzésében. </w:t>
      </w:r>
    </w:p>
    <w:p>
      <w:pPr>
        <w:pStyle w:val="Normal"/>
        <w:rPr/>
      </w:pPr>
      <w:r>
        <w:rPr/>
        <w:t xml:space="preserve"> </w:t>
      </w:r>
    </w:p>
    <w:p>
      <w:pPr>
        <w:pStyle w:val="Normal"/>
        <w:rPr/>
      </w:pPr>
      <w:r>
        <w:rPr/>
        <w:t xml:space="preserve">Fontos ugyanis, hogy a szennyezők felelősségére összpontosítsunk, és arra ösztönözzük a szervezeteket, hogy csökkentsék a szennyezést azáltal, hogy célba veszik a szennyezőanyag-mentességet. Elengedhetetlen, hogy egészséges bolygónk legyen, mivel közvetlenül kapcsolódik jólétünkhöz és jövőbeli létezésünkhöz. </w:t>
      </w:r>
    </w:p>
    <w:p>
      <w:pPr>
        <w:pStyle w:val="Normal"/>
        <w:rPr/>
      </w:pPr>
      <w:r>
        <w:rPr/>
        <w:t xml:space="preserve"> </w:t>
      </w:r>
    </w:p>
    <w:p>
      <w:pPr>
        <w:pStyle w:val="P68B1DB1Normal15"/>
        <w:rPr>
          <w:b/>
          <w:b/>
        </w:rPr>
      </w:pPr>
      <w:r>
        <w:rPr/>
        <w:t xml:space="preserve">33. Javasoljuk, hogy az EU hozzon létre egy olyan, több szakértő által ellenőrzött weboldalt/platformot, amely sokrétű és rendszeresen frissített környezeti tudományos információkat tartalmaz, és amely minden polgár számára könnyen hozzáférhető és átlátható. Ez a weboldal/platform egy olyan fórumhoz kapcsolódik, ahol a polgárok és a szakértők kapcsolatba léphetnek egymással. Határozottan javasoljuk továbbá, hogy indítsanak médiakampányt a weboldal/platform népszerűsítésére (pl. a közösségi médián, például a YouTube-on, a TikTok-on és a LinkedIn-en keresztül). </w:t>
      </w:r>
    </w:p>
    <w:p>
      <w:pPr>
        <w:pStyle w:val="Normal"/>
        <w:rPr/>
      </w:pPr>
      <w:r>
        <w:rPr/>
        <w:t xml:space="preserve"> </w:t>
      </w:r>
    </w:p>
    <w:p>
      <w:pPr>
        <w:pStyle w:val="Normal"/>
        <w:rPr/>
      </w:pPr>
      <w:r>
        <w:rPr/>
        <w:t xml:space="preserve">Minden polgárnak független, tudományos bizonyítékokon alapuló információforrással kell rendelkeznie ahhoz, hogy megértse az éghajlatváltozáshoz kapcsolódó kihívásokat (következményeit és a visszafordítása érdekében meghozandó intézkedéseket), valamint hogy kezelni tudja a hamis híreket. A médiakampány felhívja a figyelmet ennek a platformnak/weboldalnak a létezésére. Az is fontos, hogy a weboldal/platform által nyújtott információk érthetőek legyenek minden polgár számára, és hozzáférjenek a forrásanyaghoz azok számára, akik szeretnék elmélyíteni a témát. </w:t>
      </w:r>
    </w:p>
    <w:p>
      <w:pPr>
        <w:pStyle w:val="Normal"/>
        <w:rPr/>
      </w:pPr>
      <w:r>
        <w:rPr/>
        <w:t xml:space="preserve"> </w:t>
      </w:r>
    </w:p>
    <w:p>
      <w:pPr>
        <w:pStyle w:val="P68B1DB1Normal15"/>
        <w:rPr>
          <w:b/>
          <w:b/>
        </w:rPr>
      </w:pPr>
      <w:r>
        <w:rPr/>
        <w:t xml:space="preserve">34. Javasoljuk, hogy az EU csökkentse azon importált áruk mennyiségét, amelyek nem felelnek meg az uniós környezeti lábnyomra vonatkozó előírásoknak. </w:t>
      </w:r>
    </w:p>
    <w:p>
      <w:pPr>
        <w:pStyle w:val="Normal"/>
        <w:rPr/>
      </w:pPr>
      <w:r>
        <w:rPr/>
        <w:t xml:space="preserve"> </w:t>
      </w:r>
    </w:p>
    <w:p>
      <w:pPr>
        <w:pStyle w:val="Normal"/>
        <w:rPr/>
      </w:pPr>
      <w:r>
        <w:rPr/>
        <w:t xml:space="preserve">Ennek során biztosítjuk, hogy az EU-ba behozott áruk zöldebb lábnyommal rendelkezzenek. A cél az, hogy globális szinten csökkentsük a szennyezést. Az is fontos, hogy a szabványokat bemutassák az országoknak, ha árukat kívánnak exportálni az EU-ba. </w:t>
      </w:r>
    </w:p>
    <w:p>
      <w:pPr>
        <w:pStyle w:val="Normal"/>
        <w:rPr/>
      </w:pPr>
      <w:r>
        <w:rPr/>
        <w:t xml:space="preserve"> </w:t>
      </w:r>
    </w:p>
    <w:p>
      <w:pPr>
        <w:pStyle w:val="P68B1DB1Normal15"/>
        <w:rPr>
          <w:b/>
          <w:b/>
        </w:rPr>
      </w:pPr>
      <w:r>
        <w:rPr/>
        <w:t xml:space="preserve">35. Azt javasoljuk, hogy az EU ösztönözze, mozdítsa elő és könnyítse meg az éghajlatváltozásról szóló párbeszédet a döntéshozatal valamennyi szintje között, a nagyon helyi (polgárok) és a globális (nemzeti, nemzetközi és interkontinentális) döntéshozatali szintek között, hogy eloszlassa az összes érdekelt fél aggályait. </w:t>
      </w:r>
    </w:p>
    <w:p>
      <w:pPr>
        <w:pStyle w:val="Normal"/>
        <w:rPr/>
      </w:pPr>
      <w:r>
        <w:rPr/>
        <w:t xml:space="preserve"> </w:t>
      </w:r>
    </w:p>
    <w:p>
      <w:pPr>
        <w:pStyle w:val="Normal"/>
        <w:rPr/>
      </w:pPr>
      <w:r>
        <w:rPr/>
        <w:t xml:space="preserve">Mivel a párbeszéd és a konszenzus a legjobb módja az éghajlatváltozással kapcsolatos kihívások kezelésének: ha a felek megértik egymást, nagyobb a hajlandóság a közös alap megtalálására. </w:t>
      </w:r>
    </w:p>
    <w:p>
      <w:pPr>
        <w:pStyle w:val="Normal"/>
        <w:rPr/>
      </w:pPr>
      <w:r>
        <w:rPr/>
        <w:t xml:space="preserve"> </w:t>
      </w:r>
    </w:p>
    <w:p>
      <w:pPr>
        <w:pStyle w:val="Titre4"/>
        <w:numPr>
          <w:ilvl w:val="3"/>
          <w:numId w:val="2"/>
        </w:numPr>
        <w:rPr/>
      </w:pPr>
      <w:bookmarkStart w:id="170" w:name="__RefHeading___Toc297275_1346298689"/>
      <w:bookmarkEnd w:id="170"/>
      <w:r>
        <w:rPr/>
        <w:t xml:space="preserve">Altengely 4.3 Környezetbarát közlekedés </w:t>
      </w:r>
    </w:p>
    <w:p>
      <w:pPr>
        <w:pStyle w:val="Normal"/>
        <w:rPr/>
      </w:pPr>
      <w:r>
        <w:rPr>
          <w:b/>
        </w:rPr>
        <w:t>36. Javasoljuk, hogy az EU pénzügyileg támogassa az európai tagállamokat a vidéki területeken az összeköttetések javításában. Ehhez olyan európai tömegközlekedési hálózat kialakítására van szükség, amely megfizethető árakon (a vasutak előnyben részesítésén) és a tömegközlekedés igénybevételének ösztönzésén alapul. E célból a vidéki térségekben rövid és reális időkereten belül ki kell fejleszteni az internetkapcsolatot.</w:t>
      </w:r>
      <w:r>
        <w:rPr/>
        <w:t xml:space="preserve"> </w:t>
      </w:r>
    </w:p>
    <w:p>
      <w:pPr>
        <w:pStyle w:val="Normal"/>
        <w:rPr/>
      </w:pPr>
      <w:r>
        <w:rPr/>
        <w:t xml:space="preserve"> </w:t>
      </w:r>
    </w:p>
    <w:p>
      <w:pPr>
        <w:pStyle w:val="Normal"/>
        <w:rPr/>
      </w:pPr>
      <w:r>
        <w:rPr/>
        <w:t xml:space="preserve">Azért tesszük ezt az ajánlást, mert a vidéki és városi területek között nincs egyenlő hozzáférés a tömegközlekedéshez és az internetkapcsolathoz. Egy közös európai projektet erősítenének meg, mivel minden polgár úgy érezné, hogy ugyanazok a jogok illetik meg őket. A tömegközlekedési hálózat és az internetkapcsolat megerősítése arra ösztönözné az embereket, hogy vidéken telepedjenek le. Ez a folyamat csökkentené a szennyezést, mivel kevesebb ember élne túlzsúfolt városokban. </w:t>
      </w:r>
    </w:p>
    <w:p>
      <w:pPr>
        <w:pStyle w:val="Normal"/>
        <w:rPr/>
      </w:pPr>
      <w:r>
        <w:rPr/>
        <w:t xml:space="preserve"> </w:t>
      </w:r>
    </w:p>
    <w:p>
      <w:pPr>
        <w:pStyle w:val="P68B1DB1Normal15"/>
        <w:rPr>
          <w:b/>
          <w:b/>
        </w:rPr>
      </w:pPr>
      <w:r>
        <w:rPr/>
        <w:t xml:space="preserve">37. Javasoljuk a használaton kívüli vagy ökológiai szempontból tovább javítható meglévő közlekedési infrastruktúra javítását (elektromos vonatok létesítése). Ezt a folyamatot a környezetvédelmi szempontból védett területek sérelme nélkül kell végrehajtani. </w:t>
      </w:r>
    </w:p>
    <w:p>
      <w:pPr>
        <w:pStyle w:val="Normal"/>
        <w:rPr/>
      </w:pPr>
      <w:r>
        <w:rPr/>
        <w:t xml:space="preserve"> </w:t>
      </w:r>
    </w:p>
    <w:p>
      <w:pPr>
        <w:pStyle w:val="Normal"/>
        <w:rPr/>
      </w:pPr>
      <w:r>
        <w:rPr/>
        <w:t>A meglévő infrastruktúra javítása elkerülné a túl sok erőforrás elköltését, és károsítaná a biológiai sokféleség megőrzését szolgáló fontos védett területeket. A vasúti infrastruktúra növelése csökkentené a szén-dioxid-kibocsátást, és</w:t>
      </w:r>
      <w:r>
        <w:rPr>
          <w:vertAlign w:val="subscript"/>
        </w:rPr>
        <w:t>elősegítené</w:t>
      </w:r>
      <w:r>
        <w:rPr/>
        <w:t xml:space="preserve"> az emberek városi és vidéki területek közötti mobilitását. </w:t>
      </w:r>
    </w:p>
    <w:p>
      <w:pPr>
        <w:pStyle w:val="Normal"/>
        <w:rPr/>
      </w:pPr>
      <w:r>
        <w:rPr/>
        <w:t xml:space="preserve"> </w:t>
      </w:r>
    </w:p>
    <w:p>
      <w:pPr>
        <w:pStyle w:val="P68B1DB1Normal15"/>
        <w:rPr>
          <w:b/>
          <w:b/>
        </w:rPr>
      </w:pPr>
      <w:r>
        <w:rPr/>
        <w:t xml:space="preserve">38. Javasoljuk, hogy az EU ösztönözze a jó akkumulátor-élettartamnak megfelelő elektromos járművek vásárlását. E célból az EU valamennyi tagállam számára ösztönzőket alkalmazhatna, és javíthatná a villamosenergia-infrastruktúrát. Ugyanakkor az EU-nak be kell ruháznia más tiszta technológiák, például a bioüzemanyagok és a hidrogén kifejlesztésébe az olyan járművek esetében, amelyek villamosítása nehezen valósítható meg, mint például a hajók és a tehergépkocsik. </w:t>
      </w:r>
    </w:p>
    <w:p>
      <w:pPr>
        <w:pStyle w:val="Normal"/>
        <w:rPr/>
      </w:pPr>
      <w:r>
        <w:rPr/>
        <w:t xml:space="preserve"> </w:t>
      </w:r>
    </w:p>
    <w:p>
      <w:pPr>
        <w:pStyle w:val="Normal"/>
        <w:rPr/>
      </w:pPr>
      <w:r>
        <w:rPr/>
        <w:t xml:space="preserve">Azért tesszük ezt az ajánlást, mert a villamos energia a leggyorsabb módja annak, hogy csökkentsük a járművek kibocsátását más energiaforrásokkal, például a hidrogénnel és a bioüzemanyagokkal. A leggyorsabb, gazdaságos és megvalósítható megoldás a villamos energia, amelyet a bioüzemanyagok követnek. Hosszabb távon a zöld hidrogénnek kiegészítő szerepet kell játszania a nem villamosítható közlekedési módok lefedésében. </w:t>
      </w:r>
    </w:p>
    <w:p>
      <w:pPr>
        <w:pStyle w:val="Normal"/>
        <w:rPr/>
      </w:pPr>
      <w:r>
        <w:rPr/>
        <w:t xml:space="preserve"> </w:t>
      </w:r>
    </w:p>
    <w:p>
      <w:pPr>
        <w:pStyle w:val="Titre3"/>
        <w:numPr>
          <w:ilvl w:val="2"/>
          <w:numId w:val="2"/>
        </w:numPr>
        <w:rPr/>
      </w:pPr>
      <w:bookmarkStart w:id="171" w:name="__RefHeading___Toc297277_1346298689"/>
      <w:bookmarkEnd w:id="171"/>
      <w:r>
        <w:rPr/>
        <w:t xml:space="preserve">Axis 5 Gondozás mindenki számára </w:t>
      </w:r>
    </w:p>
    <w:p>
      <w:pPr>
        <w:pStyle w:val="Titre4"/>
        <w:numPr>
          <w:ilvl w:val="3"/>
          <w:numId w:val="2"/>
        </w:numPr>
        <w:rPr/>
      </w:pPr>
      <w:bookmarkStart w:id="172" w:name="__RefHeading___Toc297279_1346298689"/>
      <w:bookmarkEnd w:id="172"/>
      <w:r>
        <w:rPr/>
        <w:t xml:space="preserve">Altengely 5.1 Az egészségügyi rendszer megerősítése </w:t>
      </w:r>
    </w:p>
    <w:p>
      <w:pPr>
        <w:pStyle w:val="P68B1DB1Normal15"/>
        <w:rPr>
          <w:b/>
          <w:b/>
        </w:rPr>
      </w:pPr>
      <w:r>
        <w:rPr/>
        <w:t xml:space="preserve">39. Azt javasoljuk, hogy az Európai Unió garantálja a közös egészségügyi normákat, de az Európai Unió egész területén támogassa a tisztességes minimálbéreket, a maximális munkaidőt és az azonos képzési normákat az egészségügyi szakemberek számára. </w:t>
      </w:r>
    </w:p>
    <w:p>
      <w:pPr>
        <w:pStyle w:val="Normal"/>
        <w:rPr/>
      </w:pPr>
      <w:r>
        <w:rPr/>
        <w:t xml:space="preserve"> </w:t>
      </w:r>
    </w:p>
    <w:p>
      <w:pPr>
        <w:pStyle w:val="Normal"/>
        <w:rPr/>
      </w:pPr>
      <w:r>
        <w:rPr/>
        <w:t xml:space="preserve">Ha nem rendelkezünk az egészségügyi ellátásra, a bérekre és az egészségügyi szakemberek közös képzésére vonatkozó közös normákkal, a tagállamok közötti különbségek kiegyensúlyozatlan helyzethez vezethetnek az Európai Unióban. Az egészségügyi ellátás szabványosítása hozzájárulhat egy erősebb, hatékonyabb és ellenállóbb rendszerhez (például a rendszereink stabilitását érintő Covid19-válsághoz). Emellett elősegítené a tudás és az információk megosztását az egészségügyi ágazatban. </w:t>
      </w:r>
    </w:p>
    <w:p>
      <w:pPr>
        <w:pStyle w:val="Normal"/>
        <w:rPr/>
      </w:pPr>
      <w:r>
        <w:rPr/>
        <w:t xml:space="preserve"> </w:t>
      </w:r>
    </w:p>
    <w:p>
      <w:pPr>
        <w:pStyle w:val="P68B1DB1Normal15"/>
        <w:rPr>
          <w:b/>
          <w:b/>
        </w:rPr>
      </w:pPr>
      <w:r>
        <w:rPr/>
        <w:t xml:space="preserve">40. Javasoljuk, hogy az Európai Unió biztosítsa, hogy a kezelések EU-szerte azonos minőségűek és méltányos helyi költségekkel járjanak. Ezt például az Európai Gyógyszerügynökség (EMA) hatáskörének kiterjesztésével vagy egy új európai közbeszerzési ügynökség létrehozásával lehetne biztosítani, amely hatáskörrel rendelkezne arra, hogy valamennyi tagállam számára megfelelőbb gyógyszerárakat tárgyaljon és szerezzen be. Minimálisra kell csökkenteni a gyógyszeripari monopóliumok kockázatát. </w:t>
      </w:r>
    </w:p>
    <w:p>
      <w:pPr>
        <w:pStyle w:val="Normal"/>
        <w:rPr/>
      </w:pPr>
      <w:r>
        <w:rPr/>
        <w:t xml:space="preserve"> </w:t>
      </w:r>
    </w:p>
    <w:p>
      <w:pPr>
        <w:pStyle w:val="Normal"/>
        <w:rPr/>
      </w:pPr>
      <w:r>
        <w:rPr/>
        <w:t xml:space="preserve">Az egészségügyi ellátás és az egészségügyi ellátás egyenlősége az EU-ban minden európai polgár számára egyenlő egészségügyi jogokat garantál. A megnövekedett beszerzési kapacitás jobb beszerzési feltételeket biztosít. Ez azonban nem vezethet monopolstruktúrához és gyógyszeripari lobbitevékenységhez. A Covid19-válság kezelése jó példa az Európai Unió egészének együttműködésen alapuló egészségügyi irányítására. </w:t>
      </w:r>
    </w:p>
    <w:p>
      <w:pPr>
        <w:pStyle w:val="Normal"/>
        <w:rPr/>
      </w:pPr>
      <w:r>
        <w:rPr/>
        <w:t xml:space="preserve"> </w:t>
      </w:r>
    </w:p>
    <w:p>
      <w:pPr>
        <w:pStyle w:val="P68B1DB1Normal15"/>
        <w:rPr>
          <w:b/>
          <w:b/>
        </w:rPr>
      </w:pPr>
      <w:r>
        <w:rPr/>
        <w:t xml:space="preserve">41. Javasoljuk, hogy hozzanak létre egy európai egészségügyi adatbázist, amelyben vészhelyzet vagy betegség esetén hozzáférhetők lennének az orvosi nyilvántartások. A részvételnek opcionálisnak kell lennie, és biztosítani kell a személyes adatok védelmét. </w:t>
      </w:r>
    </w:p>
    <w:p>
      <w:pPr>
        <w:pStyle w:val="Normal"/>
        <w:rPr/>
      </w:pPr>
      <w:r>
        <w:rPr/>
        <w:t xml:space="preserve"> </w:t>
      </w:r>
    </w:p>
    <w:p>
      <w:pPr>
        <w:pStyle w:val="Normal"/>
        <w:rPr/>
      </w:pPr>
      <w:r>
        <w:rPr/>
        <w:t xml:space="preserve">Az adatokhoz való hozzáférés és az adatok felhasználása lehetővé teszi a gyors reagálást azokban az esetekben, amikor az élet veszélyben van. A kalózkodás vagy a visszaélés jelentős fenyegetést jelent egy ilyen európai egészségügyi adatbázis-rendszerre nézve, ezért szükség van az adatok biztonságossá tételére, miközben a részvétel továbbra is választható, és természetesen a biztonsággal kapcsolatos fenyegetések megelőzése érdekében. </w:t>
      </w:r>
    </w:p>
    <w:p>
      <w:pPr>
        <w:pStyle w:val="Normal"/>
        <w:rPr/>
      </w:pPr>
      <w:r>
        <w:rPr/>
        <w:t xml:space="preserve"> </w:t>
      </w:r>
    </w:p>
    <w:p>
      <w:pPr>
        <w:pStyle w:val="P68B1DB1Normal15"/>
        <w:rPr>
          <w:b/>
          <w:b/>
        </w:rPr>
      </w:pPr>
      <w:r>
        <w:rPr/>
        <w:t xml:space="preserve">42. Javasoljuk, hogy az Európai Unió folytassa a meglévő egészségügyi kutatási és innovációs programok kidolgozását és összehangolását, ahogyan az a meglévő Horizont Európa program keretében történik. A tanulmányok eredményeinek minden tagállamban szabadon hozzáférhetőnek kell lenniük. </w:t>
      </w:r>
    </w:p>
    <w:p>
      <w:pPr>
        <w:pStyle w:val="Normal"/>
        <w:rPr/>
      </w:pPr>
      <w:r>
        <w:rPr/>
        <w:t xml:space="preserve"> </w:t>
      </w:r>
    </w:p>
    <w:p>
      <w:pPr>
        <w:pStyle w:val="Normal"/>
        <w:rPr/>
      </w:pPr>
      <w:r>
        <w:rPr/>
        <w:t xml:space="preserve">Az uniós szintű tudományos együttműködés gazdagíthatja az egyes kutatók tudományos kapacitásait és tudását. A tudásmegosztás például korai diagnózishoz és jobb kezelésekhez vezethet a súlyos és halálos betegségek Európa-szerte történő csökkentése érdekében. Előmozdítaná továbbá az európai önellátást a gyógyszerek és felszerelések terén. </w:t>
      </w:r>
    </w:p>
    <w:p>
      <w:pPr>
        <w:pStyle w:val="Normal"/>
        <w:rPr/>
      </w:pPr>
      <w:r>
        <w:rPr/>
        <w:t xml:space="preserve"> </w:t>
      </w:r>
    </w:p>
    <w:p>
      <w:pPr>
        <w:pStyle w:val="P68B1DB1Normal15"/>
        <w:rPr>
          <w:b/>
          <w:b/>
        </w:rPr>
      </w:pPr>
      <w:r>
        <w:rPr/>
        <w:t xml:space="preserve">43. Javasoljuk, hogy az EU növelje a közös egészségügyi kutatási és innovációs projektek költségvetését (a többi uniós egészségügyi program költségvetésének csökkentése nélkül). Ez az európai tudományos és kutatóintézetek egészét is megerősítené. </w:t>
      </w:r>
    </w:p>
    <w:p>
      <w:pPr>
        <w:pStyle w:val="Normal"/>
        <w:rPr/>
      </w:pPr>
      <w:r>
        <w:rPr/>
        <w:t xml:space="preserve"> </w:t>
      </w:r>
    </w:p>
    <w:p>
      <w:pPr>
        <w:pStyle w:val="Normal"/>
        <w:rPr/>
      </w:pPr>
      <w:r>
        <w:rPr/>
        <w:t xml:space="preserve">Az egészségügyi kutatás és beruházások hosszú távon megerősítik a megelőző gyógyászatot, és csökkentik az egészséggel kapcsolatos költségeket. A finanszírozás növelése megakadályozhatná az európai agyelszívást más fejlett országok felé, amelyek magasabb K+F költségvetéssel rendelkeznek az egészségügy terén. Ez a finanszírozás nem származhat az egészségügy meglévő pénzügyi forrásaiból. </w:t>
      </w:r>
    </w:p>
    <w:p>
      <w:pPr>
        <w:pStyle w:val="Normal"/>
        <w:rPr/>
      </w:pPr>
      <w:r>
        <w:rPr/>
        <w:t xml:space="preserve"> </w:t>
      </w:r>
    </w:p>
    <w:p>
      <w:pPr>
        <w:pStyle w:val="Titre4"/>
        <w:numPr>
          <w:ilvl w:val="3"/>
          <w:numId w:val="2"/>
        </w:numPr>
        <w:rPr/>
      </w:pPr>
      <w:bookmarkStart w:id="173" w:name="__RefHeading___Toc297281_1346298689"/>
      <w:bookmarkEnd w:id="173"/>
      <w:r>
        <w:rPr/>
        <w:t xml:space="preserve">Altengely: Az egészség tágabb perspektívája </w:t>
      </w:r>
    </w:p>
    <w:p>
      <w:pPr>
        <w:pStyle w:val="P68B1DB1Normal15"/>
        <w:rPr>
          <w:b/>
          <w:b/>
        </w:rPr>
      </w:pPr>
      <w:r>
        <w:rPr/>
        <w:t xml:space="preserve">44. Javasoljuk, hogy valamennyi tagállamban hozzanak létre egy egészségügyi hetet uniós kezdeményezésként, ugyanazon a héten, amely minden egészségügyi problémával foglalkozik, különös tekintettel a mentális egészségre. Ezen a héten a mentális egészséggel kapcsolatos főbb témákat együttesen tárgyalják és népszerűsítik, valamint más, már meglévő kezdeményezéseket, például a Mental Health Europe kezdeményezéseit. </w:t>
      </w:r>
    </w:p>
    <w:p>
      <w:pPr>
        <w:pStyle w:val="Normal"/>
        <w:rPr/>
      </w:pPr>
      <w:r>
        <w:rPr/>
        <w:t xml:space="preserve"> </w:t>
      </w:r>
    </w:p>
    <w:p>
      <w:pPr>
        <w:pStyle w:val="Normal"/>
        <w:rPr/>
      </w:pPr>
      <w:r>
        <w:rPr/>
        <w:t xml:space="preserve">Azért tesszük ezt az ajánlást, mert minden európai polgárnak el kell fogadnia és be kell vonnia magát, különösen akkor, ha mentális egészségügyi problémákkal küzd. Emellett szükség van a mentális egészségügyi problémák egységesítésére és tudatosítására, valamint a kapcsolódó társadalmi problémák, például a megkülönböztetés megelőzésére. Továbbá, mivel a világjárvány következtében nőttek a mentális egészségügyi problémák, és valószínűleg folytatódni fognak, ez a kezdeményezés annál is inkább fontos. </w:t>
      </w:r>
    </w:p>
    <w:p>
      <w:pPr>
        <w:pStyle w:val="Normal"/>
        <w:rPr/>
      </w:pPr>
      <w:r>
        <w:rPr/>
        <w:t xml:space="preserve"> </w:t>
      </w:r>
    </w:p>
    <w:p>
      <w:pPr>
        <w:pStyle w:val="P68B1DB1Normal15"/>
        <w:rPr>
          <w:b/>
          <w:b/>
        </w:rPr>
      </w:pPr>
      <w:r>
        <w:rPr/>
        <w:t xml:space="preserve">45. Javasoljuk, hogy a női higiéniai termékek ne minősüljenek luxuscikknek az adózás szempontjából, mivel alapvető termékek. Azt is javasoljuk, hogy az orvosi okokból használt hormonális fogamzásgátló szereket, például a fibromyalgiát és az endometriózist rendszeres orvosi kezelésként adóztassák meg. Azt is javasoljuk, hogy az Európai Unió valamennyi tagállamban ösztönözze az orvosilag asszisztált reprodukciós kezelés harmonizálását minden (egyetlen vagy házas) nő esetében. </w:t>
      </w:r>
    </w:p>
    <w:p>
      <w:pPr>
        <w:pStyle w:val="Normal"/>
        <w:rPr/>
      </w:pPr>
      <w:r>
        <w:rPr/>
        <w:t xml:space="preserve"> </w:t>
      </w:r>
    </w:p>
    <w:p>
      <w:pPr>
        <w:pStyle w:val="Normal"/>
        <w:rPr/>
      </w:pPr>
      <w:r>
        <w:rPr/>
        <w:t xml:space="preserve">Egyes európai országokban a női higiéniai termékeket luxuscikkként megadóztatják, ami tisztességtelen. Néhány hormonális fogamzásgátlót orvosi célokra használnak, ezért ennek megfelelően adóztatandók. Mivel a nők reproduktív kezelései, mint például az in vitro megtermékenyítés és a tojásfagyasztási módszerek, eltérő jogosultsági feltételekkel rendelkeznek a tagállamokban, és az Európai Uniónak törekednie kell ezek harmonizálására. </w:t>
      </w:r>
    </w:p>
    <w:p>
      <w:pPr>
        <w:pStyle w:val="Normal"/>
        <w:rPr/>
      </w:pPr>
      <w:r>
        <w:rPr/>
        <w:t xml:space="preserve"> </w:t>
      </w:r>
    </w:p>
    <w:p>
      <w:pPr>
        <w:pStyle w:val="P68B1DB1Normal15"/>
        <w:rPr>
          <w:b/>
          <w:b/>
        </w:rPr>
      </w:pPr>
      <w:r>
        <w:rPr/>
        <w:t xml:space="preserve">46. Javasoljuk, hogy az Európai Unió fogadjon el határozott álláspontot, amely arra ösztönzi az összes tagállamot, hogy adott esetben iskolai tantervükbe foglaljanak bele a mentális egészséggel és a szexuális neveléssel kapcsolatos kérdéseket. Annak elősegítése érdekében, hogy a tagállamok elfogadják ezeket a kérdéseket az iskolai tantervekben, az Európai Uniónak egységes programot kell kidolgoznia és elérhetővé tennie a mentális egészséggel és a szexuális kérdésekkel kapcsolatban. </w:t>
      </w:r>
    </w:p>
    <w:p>
      <w:pPr>
        <w:pStyle w:val="Normal"/>
        <w:rPr/>
      </w:pPr>
      <w:r>
        <w:rPr/>
        <w:t xml:space="preserve"> </w:t>
      </w:r>
    </w:p>
    <w:p>
      <w:pPr>
        <w:pStyle w:val="Normal"/>
        <w:rPr/>
      </w:pPr>
      <w:r>
        <w:rPr/>
        <w:t xml:space="preserve">A mentális egészségügyi problémák tekintetében csökkenteni kell a diszkriminációt és a tabukat. El kell kerülni a félretájékoztatást és a nem tudományos megközelítéseket is. Emellett a szexuális nevelés alapvető fontosságú az egészséges élet és a közösség számára, és megakadályozza az olyan problémákat, mint a tizenéves terhességek. </w:t>
      </w:r>
    </w:p>
    <w:p>
      <w:pPr>
        <w:pStyle w:val="Normal"/>
        <w:rPr/>
      </w:pPr>
      <w:r>
        <w:rPr/>
        <w:t xml:space="preserve"> </w:t>
      </w:r>
    </w:p>
    <w:p>
      <w:pPr>
        <w:pStyle w:val="P68B1DB1Normal15"/>
        <w:rPr>
          <w:b/>
          <w:b/>
        </w:rPr>
      </w:pPr>
      <w:r>
        <w:rPr/>
        <w:t xml:space="preserve">47. Javasoljuk, hogy az Európai Unió fejlesszen ki jobb kommunikációs rendszert a mentális egészséggel kapcsolatos valamennyi kezdeményezése, nevezetesen a bevált gyakorlatokról szóló közegészségügyi portál számára a tagállamokban és valamennyi polgár számára. Az EP-képviselők bemutathatnák egymásnak ezeket a bevált gyakorlatokat annak érdekében, hogy valamennyi tagállamban ismertebbé tegyék azokat. </w:t>
      </w:r>
    </w:p>
    <w:p>
      <w:pPr>
        <w:pStyle w:val="Normal"/>
        <w:rPr/>
      </w:pPr>
      <w:r>
        <w:rPr/>
        <w:t xml:space="preserve"> </w:t>
      </w:r>
    </w:p>
    <w:p>
      <w:pPr>
        <w:pStyle w:val="Normal"/>
        <w:rPr/>
      </w:pPr>
      <w:r>
        <w:rPr/>
        <w:t xml:space="preserve">A polgárok nincsenek kellően tájékozottak az uniós kezdeményezésekről, és a bevált gyakorlatok megosztása lehetővé teszi számunkra, hogy tanuljunk egymástól. </w:t>
      </w:r>
    </w:p>
    <w:p>
      <w:pPr>
        <w:pStyle w:val="Normal"/>
        <w:rPr/>
      </w:pPr>
      <w:r>
        <w:rPr/>
        <w:t xml:space="preserve"> </w:t>
      </w:r>
    </w:p>
    <w:p>
      <w:pPr>
        <w:pStyle w:val="Titre4"/>
        <w:numPr>
          <w:ilvl w:val="3"/>
          <w:numId w:val="2"/>
        </w:numPr>
        <w:rPr/>
      </w:pPr>
      <w:bookmarkStart w:id="174" w:name="__RefHeading___Toc297283_1346298689"/>
      <w:bookmarkEnd w:id="174"/>
      <w:r>
        <w:rPr/>
        <w:t xml:space="preserve">Altengely Az egészségügyi ellátáshoz való egyenlő hozzáférés mindenki számára </w:t>
      </w:r>
    </w:p>
    <w:p>
      <w:pPr>
        <w:pStyle w:val="P68B1DB1Normal15"/>
        <w:rPr>
          <w:b/>
          <w:b/>
        </w:rPr>
      </w:pPr>
      <w:r>
        <w:rPr/>
        <w:t xml:space="preserve">48. Javasoljuk, hogy az EU valamennyi uniós tagállamra vonatkozóan állapítson meg és mozdítson elő minimumszabályokat a minőségi fogászati ellátásra, beleértve a profilaxist is. Gyermekek, alacsony jövedelmű csoportok és más veszélyeztetett csoportok számára ingyenes fogászati ellátást kell biztosítani. Az EU-nak 15–20 éven belül biztosítania kell, hogy a megfizethető fogászati ellátás mindenki számára hozzáférhető legyen. </w:t>
      </w:r>
    </w:p>
    <w:p>
      <w:pPr>
        <w:pStyle w:val="Normal"/>
        <w:rPr/>
      </w:pPr>
      <w:r>
        <w:rPr/>
        <w:t xml:space="preserve"> </w:t>
      </w:r>
    </w:p>
    <w:p>
      <w:pPr>
        <w:pStyle w:val="Normal"/>
        <w:rPr/>
      </w:pPr>
      <w:r>
        <w:rPr/>
        <w:t xml:space="preserve">Azért tesszük ezt az ajánlást, mert a fogászati ellátás jelenleg nem megfizethető az EU-ban élő sok ember számára. A fogászati ellátás hiánya és a fogászati profilaxis káros az egészségre és az élet kilátásaira. Az EU-nak először is meg kell határoznia a fogászati ellátásra vonatkozó minimumkövetelményeket, és ingyenes fogászati ellátást kell előírnia a gyermekek és az alacsony jövedelmű csoportok számára. Végül mindenkinek joga van a minőségi fogászati ellátáshoz. </w:t>
      </w:r>
    </w:p>
    <w:p>
      <w:pPr>
        <w:pStyle w:val="Normal"/>
        <w:rPr/>
      </w:pPr>
      <w:r>
        <w:rPr/>
        <w:t xml:space="preserve"> </w:t>
      </w:r>
    </w:p>
    <w:p>
      <w:pPr>
        <w:pStyle w:val="P68B1DB1Normal15"/>
        <w:rPr>
          <w:b/>
          <w:b/>
        </w:rPr>
      </w:pPr>
      <w:r>
        <w:rPr/>
        <w:t xml:space="preserve">49. Javasoljuk, hogy az egészségügyet és az egészségügyet vonják be az EU és tagállamai közötti megosztott hatáskörökbe. Az új megosztott hatáskör felvétele érdekében módosítani kell az Európai Unió működéséről szóló szerződés (EUMSZ) 4. cikkét. </w:t>
      </w:r>
    </w:p>
    <w:p>
      <w:pPr>
        <w:pStyle w:val="Normal"/>
        <w:rPr/>
      </w:pPr>
      <w:r>
        <w:rPr/>
        <w:t xml:space="preserve"> </w:t>
      </w:r>
    </w:p>
    <w:p>
      <w:pPr>
        <w:pStyle w:val="Normal"/>
        <w:rPr/>
      </w:pPr>
      <w:r>
        <w:rPr/>
        <w:t xml:space="preserve">Azért tesszük ezt az ajánlást, mert az Európai Unió jelenleg nem rendelkezik elegendő hatáskörrel ahhoz, hogy jogszabályokat alkosson az egészségügy területén. A Covid19-világjárvány megmutatta, hogy fokozott uniós jelenlétre van szükség az egészségügyi politikákban. A Szerződés e módosítása lehetővé teszi az EU számára, hogy többet tegyen annak érdekében, hogy valamennyi uniós polgár számára biztosítsa az egészségügyi ellátást, és kötelező erejű rendeleteket és határozatokat hozzon. </w:t>
      </w:r>
    </w:p>
    <w:p>
      <w:pPr>
        <w:pStyle w:val="Normal"/>
        <w:rPr/>
      </w:pPr>
      <w:r>
        <w:rPr/>
        <w:t xml:space="preserve"> </w:t>
      </w:r>
    </w:p>
    <w:p>
      <w:pPr>
        <w:pStyle w:val="P68B1DB1Normal15"/>
        <w:rPr>
          <w:b/>
          <w:b/>
        </w:rPr>
      </w:pPr>
      <w:r>
        <w:rPr/>
        <w:t xml:space="preserve">50. Javasoljuk, hogy az EU minden uniós polgár számára kínáljon ingyenes elsősegély-tanfolyamokat. Az EU fontolóra vehetné e tanfolyamok kötelezővé tételét a diákok és a munkahelyek számára (mind a köz-, mind a magánszektorban). Ezeknek a kurzusoknak praktikusnak, ismétlődőnek és a diákok korához igazodónak kell lenniük. A defibrillátorok minimális számát valamennyi uniós tagállamban nyilvános helyeken is elérhetővé kell tenni. </w:t>
      </w:r>
    </w:p>
    <w:p>
      <w:pPr>
        <w:pStyle w:val="Normal"/>
        <w:rPr/>
      </w:pPr>
      <w:r>
        <w:rPr/>
        <w:t xml:space="preserve"> </w:t>
      </w:r>
    </w:p>
    <w:p>
      <w:pPr>
        <w:pStyle w:val="Normal"/>
        <w:rPr/>
      </w:pPr>
      <w:r>
        <w:rPr/>
        <w:t xml:space="preserve">Azért ajánljuk, mert az Európai Unióban sokan nem állnak készen arra, hogy cselekedjenek, amikor valakinek segítségre van szüksége, és mert nem ismerik az elsősegélyezési technikákat. Ez az oka annak, hogy sok élet veszett el. Néhány nyilvános helyen nem áll rendelkezésre defibrillátor. </w:t>
      </w:r>
    </w:p>
    <w:p>
      <w:pPr>
        <w:pStyle w:val="Normal"/>
        <w:rPr/>
      </w:pPr>
      <w:r>
        <w:rPr/>
        <w:t xml:space="preserve"> </w:t>
      </w:r>
    </w:p>
    <w:p>
      <w:pPr>
        <w:pStyle w:val="P68B1DB1Normal15"/>
        <w:rPr>
          <w:b/>
          <w:b/>
        </w:rPr>
      </w:pPr>
      <w:r>
        <w:rPr/>
        <w:t xml:space="preserve">51. Azt javasoljuk, hogy az Európai Unió biztosítsa, hogy a magán egészségügyi szolgáltatók ne részesüljenek igazságtalanul a közpénzekből, és ne használják ki a közegészségügyi rendszerek forrásait. Az Európai Uniónak határozott ajánlásokat kell tennie a tagállamoknak a közegészségügyi ellátás finanszírozásának növelésére. </w:t>
      </w:r>
    </w:p>
    <w:p>
      <w:pPr>
        <w:pStyle w:val="Normal"/>
        <w:rPr/>
      </w:pPr>
      <w:r>
        <w:rPr/>
        <w:t xml:space="preserve"> </w:t>
      </w:r>
    </w:p>
    <w:p>
      <w:pPr>
        <w:pStyle w:val="Normal"/>
        <w:rPr/>
      </w:pPr>
      <w:r>
        <w:rPr/>
        <w:t xml:space="preserve">Azért tesszük ezt az ajánlást, mert az Európai Uniónak és tagállamainak kötelessége, hogy minden polgáruk számára biztosítsák az egészségügyi ellátáshoz való hozzáférést. Emellett az erősebb közegészségügyi rendszer a jövőbeli világjárványokra való jobb felkészültséget is szükségessé teszi. </w:t>
      </w:r>
    </w:p>
    <w:p>
      <w:pPr>
        <w:pStyle w:val="Normal"/>
        <w:rPr/>
      </w:pPr>
      <w:r>
        <w:rPr/>
        <w:t xml:space="preserve"> </w:t>
      </w:r>
    </w:p>
    <w:p>
      <w:pPr>
        <w:pStyle w:val="Titre3"/>
        <w:numPr>
          <w:ilvl w:val="2"/>
          <w:numId w:val="2"/>
        </w:numPr>
        <w:rPr/>
      </w:pPr>
      <w:bookmarkStart w:id="175" w:name="__RefHeading___Toc297285_1346298689"/>
      <w:bookmarkEnd w:id="175"/>
      <w:r>
        <w:rPr/>
        <w:t xml:space="preserve">Melléklet: A TESTÜLET ÁLTAL MÉRLEGELT EGYÉB AJÁNLÁSOK, AMELYEKET NEM FOGADTAK EL </w:t>
      </w:r>
    </w:p>
    <w:p>
      <w:pPr>
        <w:pStyle w:val="Titre4"/>
        <w:numPr>
          <w:ilvl w:val="3"/>
          <w:numId w:val="2"/>
        </w:numPr>
        <w:rPr/>
      </w:pPr>
      <w:bookmarkStart w:id="176" w:name="__RefHeading___Toc297287_1346298689"/>
      <w:bookmarkEnd w:id="176"/>
      <w:r>
        <w:rPr/>
        <w:t xml:space="preserve">1. tengely: Jobb életstílusok </w:t>
      </w:r>
    </w:p>
    <w:p>
      <w:pPr>
        <w:pStyle w:val="Normal"/>
        <w:rPr/>
      </w:pPr>
      <w:r>
        <w:rPr/>
        <w:t xml:space="preserve">Altengely 1.1 Egészséges életmód </w:t>
      </w:r>
    </w:p>
    <w:p>
      <w:pPr>
        <w:pStyle w:val="P68B1DB1Normal15"/>
        <w:rPr>
          <w:b/>
          <w:b/>
        </w:rPr>
      </w:pPr>
      <w:r>
        <w:rPr/>
        <w:t xml:space="preserve">Javasoljuk, hogy az EU küldjön ajánlást valamennyi tagállamnak az alkohol- és dohányreklámok betiltására vagy korlátozására vonatkozó bevált gyakorlatokról a médiában és minden korosztályban, különös figyelmet fordítva a fiatal közönségre. Az EU-nak biztosítania kell az e termékek kiskorúakra történő értékesítését korlátozó jogszabályok végrehajtását. Valamennyi tagállamnak biztosítania kell a nyilvános helyeken – különösen az iskolákban – a dohányzásra vonatkozó jogi rendelkezések szankciókkal történő végrehajtását, és a dohányzók számára fenntartott tereket kell létrehoznia. </w:t>
      </w:r>
    </w:p>
    <w:p>
      <w:pPr>
        <w:pStyle w:val="Normal"/>
        <w:rPr/>
      </w:pPr>
      <w:r>
        <w:rPr/>
        <w:t xml:space="preserve"> </w:t>
      </w:r>
    </w:p>
    <w:p>
      <w:pPr>
        <w:pStyle w:val="Normal"/>
        <w:rPr/>
      </w:pPr>
      <w:r>
        <w:rPr/>
        <w:t xml:space="preserve">Az egészségkárosító életmód nem jelenhet meg a reklámokban, és kevésbé kell láthatónak lennie a közéletben. Továbbá, mivel az alkohol és a dohány a leggyakrabban használt káros anyagok közé tartozik, ez az ajánlás meg fogja akadályozni azok helytelen használatát. </w:t>
      </w:r>
    </w:p>
    <w:p>
      <w:pPr>
        <w:pStyle w:val="Normal"/>
        <w:rPr/>
      </w:pPr>
      <w:r>
        <w:rPr/>
        <w:t xml:space="preserve"> </w:t>
      </w:r>
    </w:p>
    <w:p>
      <w:pPr>
        <w:pStyle w:val="P68B1DB1Normal15"/>
        <w:rPr>
          <w:b/>
          <w:b/>
        </w:rPr>
      </w:pPr>
      <w:r>
        <w:rPr/>
        <w:t xml:space="preserve">Javasoljuk, hogy az EU ösztönözze a tagállamokat arra, hogy a nemzeti iskolai tantervekbe foglaljanak bele tanfolyamokat annak érdekében, hogy megtanulják, hogyan kell főzni fenntartható, egészséges és ízletes módon. Ennek érdekében az EU online és nyomtatott formában is elérhetővé teheti az egészséges főzési útmutatókat. A fiatalokat a hagyományos és a közösségi médiában való aktív hirdetéssel kell elérni. Azt is meg kell tanítani a szülők, hogy megtanulják, hogyan kell a legjobban használni az élelmiszert, hogy elfogadja az egészséges életmód. Elő kell mozdítani és bővíteni kell az e területen végzett kutatásokat. </w:t>
      </w:r>
    </w:p>
    <w:p>
      <w:pPr>
        <w:pStyle w:val="Normal"/>
        <w:rPr/>
      </w:pPr>
      <w:r>
        <w:rPr/>
        <w:t xml:space="preserve"> </w:t>
      </w:r>
    </w:p>
    <w:p>
      <w:pPr>
        <w:pStyle w:val="Normal"/>
        <w:rPr/>
      </w:pPr>
      <w:r>
        <w:rPr/>
        <w:t xml:space="preserve">A főzési és táplálkozási osztályok iskolai megszervezése javítaná a fiatalok egészségét, és visszatartaná a gyorséttermek fogyasztását. A fiatalok oktatása lehetővé tenné számukra, hogy elmagyarázzák szüleiknek, mit tanultak. Emellett a szülők egészséges életmódra való nevelése lehetővé tenné számukra, hogy példát mutassanak gyermekeiknek. </w:t>
      </w:r>
    </w:p>
    <w:p>
      <w:pPr>
        <w:pStyle w:val="Normal"/>
        <w:rPr/>
      </w:pPr>
      <w:r>
        <w:rPr/>
      </w:r>
    </w:p>
    <w:p>
      <w:pPr>
        <w:pStyle w:val="P68B1DB1Normal15"/>
        <w:rPr>
          <w:b/>
          <w:b/>
        </w:rPr>
      </w:pPr>
      <w:r>
        <w:rPr/>
        <w:t xml:space="preserve">Javasoljuk, hogy konkrét példák és átfogó stratégia révén erősítsék meg az Európai Bizottság által az egészséges életmódért, a HealthyLifestyle4Allért és a társadalmi tevékenység pozitív hatásáért folytatott nyilvános kampányt. Meg kell határozni a jól strukturált célcsoportoknak szóló tájékoztató kampányokat, és e csoportok mindegyike számára megfelelő kommunikációs eszközöket kell kiválasztani. Emellett fontos jutalmazási és ösztönző rendszereket bevezetni a pozitív magatartás előmozdítása érdekében. A kampányoknak befolyásos személyeket, hírességeket vagy hatóságokat kell bevonniuk. Ki kell emelniük a kettős egészségügyi, környezeti és éghajlati előnyöket. Emellett minden tagállamban támogatást kell biztosítani az ingyenes állami sportinfrastruktúra előmozdítására. </w:t>
      </w:r>
    </w:p>
    <w:p>
      <w:pPr>
        <w:pStyle w:val="Normal"/>
        <w:rPr/>
      </w:pPr>
      <w:r>
        <w:rPr/>
        <w:t xml:space="preserve"> </w:t>
      </w:r>
    </w:p>
    <w:p>
      <w:pPr>
        <w:pStyle w:val="Normal"/>
        <w:rPr/>
      </w:pPr>
      <w:r>
        <w:rPr/>
        <w:t xml:space="preserve">Az egészségesebb életmód pozitív hatással van az egészségügyi rendszerre, mert csökkenti az egészségügyi problémákat. A fizikai egészség befolyásolja a mentális egészséget és a boldogságot. A jelenlegi kampányok nem eléggé ismertek. Hatékonyabbak és motiválóbbak, ha személyiségek és befolyásolók társulnak hozzá. </w:t>
      </w:r>
    </w:p>
    <w:p>
      <w:pPr>
        <w:pStyle w:val="Normal"/>
        <w:rPr/>
      </w:pPr>
      <w:r>
        <w:rPr/>
        <w:t xml:space="preserve"> </w:t>
      </w:r>
    </w:p>
    <w:p>
      <w:pPr>
        <w:pStyle w:val="P68B1DB1Normal15"/>
        <w:rPr>
          <w:b/>
          <w:b/>
        </w:rPr>
      </w:pPr>
      <w:r>
        <w:rPr/>
        <w:t xml:space="preserve">Tájékoztató kampányt ajánlunk az egészséges táplálkozásról és táplálkozásról. Az EU-nak ösztönöznie kell a hús és a cukor magasabb adóztatását a tagállamokban. Meg kell vizsgálnia az egészséges élelmiszerek és a káros élelmiszerek megkülönböztetésének lehetőségeit, és differenciált héát kell alkalmaznia rájuk. Javasoljuk, hogy nagyon világos figyelmeztető jelzéseket helyezzenek el az egészségre nagyon káros termékeken (például a dohánytermékeken). Emellett egy egész Európára kiterjedő táplálkozási pontrendszert ajánlunk, amely releváns információkat és QR-kódokat biztosít, amelyek lehetővé teszik a fogyasztók számára, hogy tájékozottabb döntéseket hozzanak. Fedezze fel az egészséges élelmiszerek olcsóbbá tételének lehetőségeit, mint a gyorsételek, és továbbra is ösztönözze a mezőgazdasági termelőket az egészséges termékek előállítására. </w:t>
      </w:r>
    </w:p>
    <w:p>
      <w:pPr>
        <w:pStyle w:val="Normal"/>
        <w:rPr/>
      </w:pPr>
      <w:r>
        <w:rPr/>
        <w:t xml:space="preserve"> </w:t>
      </w:r>
    </w:p>
    <w:p>
      <w:pPr>
        <w:pStyle w:val="Normal"/>
        <w:rPr/>
      </w:pPr>
      <w:r>
        <w:rPr/>
        <w:t xml:space="preserve">Az egészséges táplálkozás az egészséges élet alapja. Mind a termelői, mind a fogyasztói oldalon be kell avatkozni. Az egészséges termékek előállítása szintén pozitív hatással van a környezetre, és segíthet a helyi gazdálkodók támogatásában. Ha az egészséges élelmiszertermelés növekszik, az árak csökkennek és a kereslet nő. </w:t>
      </w:r>
    </w:p>
    <w:p>
      <w:pPr>
        <w:pStyle w:val="Normal"/>
        <w:rPr/>
      </w:pPr>
      <w:r>
        <w:rPr/>
        <w:t xml:space="preserve"> </w:t>
      </w:r>
    </w:p>
    <w:p>
      <w:pPr>
        <w:pStyle w:val="Normal"/>
        <w:rPr/>
      </w:pPr>
      <w:r>
        <w:rPr/>
        <w:t xml:space="preserve">Altengely: Környezeti nevelés </w:t>
      </w:r>
    </w:p>
    <w:p>
      <w:pPr>
        <w:pStyle w:val="P68B1DB1Normal15"/>
        <w:rPr>
          <w:b/>
          <w:b/>
        </w:rPr>
      </w:pPr>
      <w:r>
        <w:rPr/>
        <w:t xml:space="preserve">Javasoljuk, hogy az EU hozzon létre finanszírozási mechanizmust egy hosszú távú környezetvédelmi oktatási program beépítésére az általános és középiskolai gyermekek nemzeti oktatási rendszereibe. Ennek a finanszírozási mechanizmusnak magában kell foglalnia a pénzügyi támogatásra szoruló szülők finanszírozását. </w:t>
      </w:r>
    </w:p>
    <w:p>
      <w:pPr>
        <w:pStyle w:val="Normal"/>
        <w:rPr/>
      </w:pPr>
      <w:r>
        <w:rPr/>
        <w:t xml:space="preserve"> </w:t>
      </w:r>
    </w:p>
    <w:p>
      <w:pPr>
        <w:pStyle w:val="Normal"/>
        <w:rPr/>
      </w:pPr>
      <w:r>
        <w:rPr/>
        <w:t xml:space="preserve">A jelenlegi oktatási rendszerek nem tartalmaznak elegendő gyakorlati elemet, amely megkönnyítené a gyermekek és a környezet közötti közvetlen és mély interakciót. A rövid távú, meglévő programok heterogének, és nem segítik elő a szükséges szemléletváltást. A szülőket támogatni kell annak biztosítása érdekében, hogy minden gyermek egyenlő mértékben részesülhessen a programból, és egyiket se zárják ki pénzügyi okokból. </w:t>
      </w:r>
    </w:p>
    <w:p>
      <w:pPr>
        <w:pStyle w:val="Normal"/>
        <w:rPr/>
      </w:pPr>
      <w:r>
        <w:rPr/>
        <w:t xml:space="preserve"> </w:t>
      </w:r>
    </w:p>
    <w:p>
      <w:pPr>
        <w:pStyle w:val="Titre4"/>
        <w:numPr>
          <w:ilvl w:val="3"/>
          <w:numId w:val="2"/>
        </w:numPr>
        <w:rPr/>
      </w:pPr>
      <w:bookmarkStart w:id="177" w:name="__RefHeading___Toc297289_1346298689"/>
      <w:bookmarkEnd w:id="177"/>
      <w:r>
        <w:rPr/>
        <w:t xml:space="preserve">2. tengely: Környezetünk és egészségünk védelme </w:t>
      </w:r>
    </w:p>
    <w:p>
      <w:pPr>
        <w:pStyle w:val="Normal"/>
        <w:rPr/>
      </w:pPr>
      <w:r>
        <w:rPr/>
        <w:t xml:space="preserve">2.1. Altengely – Egészséges természeti környezet </w:t>
      </w:r>
    </w:p>
    <w:p>
      <w:pPr>
        <w:pStyle w:val="P68B1DB1Normal15"/>
        <w:rPr>
          <w:b/>
          <w:b/>
        </w:rPr>
      </w:pPr>
      <w:r>
        <w:rPr/>
        <w:t xml:space="preserve">Javasoljuk, hogy haladéktalanul hajtsák végre a lehető legmagasabb szintű vízminőségi előírásokat az EU-ban. A víztakarékosság érdekében vízárazáson alapuló jutalmazási rendszert kínálunk, amely ösztönzi és ösztönzi a kevesebb fogyasztást, például: 1) egy olyan dinamikus rendszer létrehozásával, amely eltántorítja a fogyasztókat az átlagos vízfogyasztás túllépésétől (például a vízfogyasztás 10%-os növekedése az ár 11%-os emelkedéséhez vezet), 2) a gyártó vállalatok által szennyezett vízkvóták piaci rendszerének létrehozása, amely hasonló lenne a már meglévő szén-dioxid-kibocsátási engedélyek piacához. </w:t>
      </w:r>
    </w:p>
    <w:p>
      <w:pPr>
        <w:pStyle w:val="Normal"/>
        <w:rPr/>
      </w:pPr>
      <w:r>
        <w:rPr/>
        <w:t xml:space="preserve"> </w:t>
      </w:r>
    </w:p>
    <w:p>
      <w:pPr>
        <w:pStyle w:val="Normal"/>
        <w:rPr/>
      </w:pPr>
      <w:r>
        <w:rPr/>
        <w:t xml:space="preserve">Ezt az ajánlást az indokolja, hogy az áremelkedés minden felhasználót arra ösztönöz, hogy megalapozottabb döntéseket hozzon. Tekintettel az uniós országok eltérő realitásaira, és egy társadalmilag igazságos rendszer megvalósítása érdekében a vízellátási infrastruktúrába és kutatásba történő társberuházások révén támogathatjuk a szegényebb embereket vízgazdálkodásukban. </w:t>
      </w:r>
    </w:p>
    <w:p>
      <w:pPr>
        <w:pStyle w:val="Normal"/>
        <w:rPr/>
      </w:pPr>
      <w:r>
        <w:rPr/>
        <w:t xml:space="preserve"> </w:t>
      </w:r>
    </w:p>
    <w:p>
      <w:pPr>
        <w:pStyle w:val="Titre4"/>
        <w:numPr>
          <w:ilvl w:val="3"/>
          <w:numId w:val="2"/>
        </w:numPr>
        <w:rPr/>
      </w:pPr>
      <w:bookmarkStart w:id="178" w:name="__RefHeading___Toc297291_1346298689"/>
      <w:bookmarkEnd w:id="178"/>
      <w:r>
        <w:rPr/>
        <w:t xml:space="preserve">3. tengely: gazdaságunk és fogyasztásunk átirányítása </w:t>
      </w:r>
    </w:p>
    <w:p>
      <w:pPr>
        <w:pStyle w:val="Normal"/>
        <w:rPr/>
      </w:pPr>
      <w:r>
        <w:rPr/>
        <w:t xml:space="preserve">Altengely A túltermelés és a túlfogyasztás szabályozása </w:t>
      </w:r>
    </w:p>
    <w:p>
      <w:pPr>
        <w:pStyle w:val="P68B1DB1Normal15"/>
        <w:rPr>
          <w:b/>
          <w:b/>
        </w:rPr>
      </w:pPr>
      <w:r>
        <w:rPr/>
        <w:t xml:space="preserve">Javasoljuk, hogy az EU szabjon ki bírságot azokra a vállalatokra, amelyek megszüntetik a túltermelésből származó eladatlan termékeket. </w:t>
      </w:r>
    </w:p>
    <w:p>
      <w:pPr>
        <w:pStyle w:val="Normal"/>
        <w:rPr/>
      </w:pPr>
      <w:r>
        <w:rPr/>
        <w:t xml:space="preserve"> </w:t>
      </w:r>
    </w:p>
    <w:p>
      <w:pPr>
        <w:pStyle w:val="Normal"/>
        <w:rPr/>
      </w:pPr>
      <w:r>
        <w:rPr/>
        <w:t xml:space="preserve">Egyes esetekben a vállalatok úgy vélik, hogy költséghatékonyabb az eladatlan áruk eldobása ahelyett, hogy újrafeldolgoznák vagy újra felhasználnák azokat. Ezért fontos, hogy bírságok kiszabásával visszaszorítsuk a túltermelést, hogy ez a gyakorlat többé ne legyen nyereséges a termelők számára. </w:t>
      </w:r>
    </w:p>
    <w:p>
      <w:pPr>
        <w:pStyle w:val="Normal"/>
        <w:rPr/>
      </w:pPr>
      <w:r>
        <w:rPr/>
        <w:t xml:space="preserve"> </w:t>
      </w:r>
    </w:p>
    <w:p>
      <w:pPr>
        <w:pStyle w:val="Normal"/>
        <w:rPr/>
      </w:pPr>
      <w:r>
        <w:rPr/>
        <w:t xml:space="preserve">Sub-axis 3.2 A hulladék csökkentése </w:t>
      </w:r>
    </w:p>
    <w:p>
      <w:pPr>
        <w:pStyle w:val="P68B1DB1Normal15"/>
        <w:rPr>
          <w:b/>
          <w:b/>
        </w:rPr>
      </w:pPr>
      <w:r>
        <w:rPr/>
        <w:t xml:space="preserve">Javasoljuk, hogy az EU alakítson ki és hajtson végre hulladékgazdálkodási politikát a háztartások és a polgárok számára, felhívva a figyelmet az általuk termelt hulladék tényleges mennyiségére, és kiegészítse azt a szükséges intézkedésekkel, amelyek felhívják a polgárok figyelmét a hulladékkeletkezés és a szelektív hulladékgyűjtés csökkentésének előnyeire. A szociálisan hátrányos helyzetű családokra (pl. kisgyermekes családok, idősek stb.) irányuló intézkedéseket is végre kell hajtani, tiszteletben tartva a „senkit sem hagyunk hátra”. </w:t>
      </w:r>
    </w:p>
    <w:p>
      <w:pPr>
        <w:pStyle w:val="Normal"/>
        <w:rPr/>
      </w:pPr>
      <w:r>
        <w:rPr/>
        <w:t xml:space="preserve"> </w:t>
      </w:r>
    </w:p>
    <w:p>
      <w:pPr>
        <w:pStyle w:val="Normal"/>
        <w:rPr/>
      </w:pPr>
      <w:r>
        <w:rPr/>
        <w:t xml:space="preserve">E politika célja a háztartásokon belüli hulladékgazdálkodás egységes megközelítésének kidolgozása; emellett a hulladékcsökkentés révén megkönnyíti a környezetvédelmet, tovább ösztönzi a körforgásos gazdaságot és növeli a hulladékgyűjtés hatékonyságát. Végül, ami nem elhanyagolható, felhívja a polgárok figyelmét és erősíti a környezeti felelősségérzetet. </w:t>
      </w:r>
    </w:p>
    <w:p>
      <w:pPr>
        <w:pStyle w:val="Normal"/>
        <w:rPr/>
      </w:pPr>
      <w:r>
        <w:rPr/>
        <w:t xml:space="preserve"> </w:t>
      </w:r>
    </w:p>
    <w:p>
      <w:pPr>
        <w:pStyle w:val="P68B1DB1Normal15"/>
        <w:rPr>
          <w:b/>
          <w:b/>
        </w:rPr>
      </w:pPr>
      <w:r>
        <w:rPr/>
        <w:t xml:space="preserve">Javasoljuk, hogy az EU ösztönözze a szabad versenyt, és ösztönözze a magánszektort arra, hogy aktívabban járuljon hozzá a hulladékkezeléshez, többek között a szennyvíz kezeléséhez, valamint a hulladék-újrafeldolgozási és -hasznosítási tevékenységekhez. </w:t>
      </w:r>
    </w:p>
    <w:p>
      <w:pPr>
        <w:pStyle w:val="Normal"/>
        <w:rPr/>
      </w:pPr>
      <w:r>
        <w:rPr/>
        <w:t xml:space="preserve"> </w:t>
      </w:r>
    </w:p>
    <w:p>
      <w:pPr>
        <w:pStyle w:val="Normal"/>
        <w:rPr/>
      </w:pPr>
      <w:r>
        <w:rPr/>
        <w:t xml:space="preserve">Ezen ajánlás végrehajtásához az EU a megfelelő szint, mivel kiegészíti a hulladékokról szóló keretirányelvet és a körforgásos gazdaságra vonatkozó cselekvési tervet. Emellett az ajánlás végrehajtása megerősíti az innovatív hulladékgazdálkodási megoldásokat, javítja a hulladékgazdálkodás minőségét és növeli a kezelt hulladék mennyiségét, mivel több vállalat vesz részt ezekben a tevékenységekben. </w:t>
      </w:r>
    </w:p>
    <w:p>
      <w:pPr>
        <w:pStyle w:val="Normal"/>
        <w:rPr/>
      </w:pPr>
      <w:r>
        <w:rPr/>
        <w:t xml:space="preserve"> </w:t>
      </w:r>
    </w:p>
    <w:p>
      <w:pPr>
        <w:pStyle w:val="Normal"/>
        <w:rPr/>
      </w:pPr>
      <w:r>
        <w:rPr/>
        <w:t xml:space="preserve">Altengely: méltányos termékek, egyenlő hozzáférés és méltányos fogyasztás </w:t>
      </w:r>
    </w:p>
    <w:p>
      <w:pPr>
        <w:pStyle w:val="P68B1DB1Normal15"/>
        <w:rPr>
          <w:b/>
          <w:b/>
        </w:rPr>
      </w:pPr>
      <w:r>
        <w:rPr/>
        <w:t xml:space="preserve">Javasoljuk, hogy az iparágakat az Európai Unióba helyezzék át annak érdekében, hogy kiváló minőségű, tisztességes termékeket kínáljanak, és befolyásolják az éghajlattal kapcsolatos kérdéseket. </w:t>
      </w:r>
    </w:p>
    <w:p>
      <w:pPr>
        <w:pStyle w:val="Normal"/>
        <w:rPr/>
      </w:pPr>
      <w:r>
        <w:rPr/>
        <w:t xml:space="preserve"> </w:t>
      </w:r>
    </w:p>
    <w:p>
      <w:pPr>
        <w:pStyle w:val="Normal"/>
        <w:rPr/>
      </w:pPr>
      <w:r>
        <w:rPr/>
        <w:t xml:space="preserve">Az Európai Unió rendelkezik olyan know-how-val, amelyet saját piacán támogatni kell. </w:t>
      </w:r>
    </w:p>
    <w:p>
      <w:pPr>
        <w:pStyle w:val="Normal"/>
        <w:rPr/>
      </w:pPr>
      <w:r>
        <w:rPr/>
        <w:t xml:space="preserve">Az iparágak EU-n kívülre, különösen Ázsiában történő áthelyezése miatt egyes szakmai készségeket is áthelyeznek. Ez az ajánlás magában foglalja az európai munkavállalók szakképzését. Hangsúlyozzuk, hogy a tisztességtelen verseny elkerülése érdekében el kell kerülni a különböző tagállamok közötti áthelyezést. </w:t>
      </w:r>
    </w:p>
    <w:p>
      <w:pPr>
        <w:pStyle w:val="Normal"/>
        <w:rPr/>
      </w:pPr>
      <w:r>
        <w:rPr/>
        <w:t xml:space="preserve">Megállapítottuk, hogy az iparágak tömeges áthelyezése világszerte hatással van az európai iparágakra. Ezért a helyi termelés javítja a polgárok és a környezet egészségét. </w:t>
      </w:r>
    </w:p>
    <w:p>
      <w:pPr>
        <w:pStyle w:val="Normal"/>
        <w:rPr/>
      </w:pPr>
      <w:r>
        <w:rPr/>
      </w:r>
    </w:p>
    <w:p>
      <w:pPr>
        <w:pStyle w:val="Titre4"/>
        <w:numPr>
          <w:ilvl w:val="3"/>
          <w:numId w:val="2"/>
        </w:numPr>
        <w:rPr/>
      </w:pPr>
      <w:bookmarkStart w:id="179" w:name="__RefHeading___Toc297293_1346298689"/>
      <w:bookmarkEnd w:id="179"/>
      <w:r>
        <w:rPr/>
        <w:t xml:space="preserve">4. tengely: a fenntartható társadalom felé </w:t>
      </w:r>
    </w:p>
    <w:p>
      <w:pPr>
        <w:pStyle w:val="Normal"/>
        <w:rPr/>
      </w:pPr>
      <w:r>
        <w:rPr/>
        <w:t xml:space="preserve">Altengely 4.3 Környezetbarát közlekedés </w:t>
      </w:r>
    </w:p>
    <w:p>
      <w:pPr>
        <w:pStyle w:val="P68B1DB1Normal15"/>
        <w:rPr>
          <w:b/>
          <w:b/>
        </w:rPr>
      </w:pPr>
      <w:r>
        <w:rPr/>
        <w:t xml:space="preserve">Javasoljuk, hogy a nagyvárosokat a tömegközlekedés környezetvédelmi és környezetszennyezési teljesítményének (elektromos járművek, zöld tömegközlekedés, gyalogos területek kialakítása, kerékpárhasználat előmozdítása stb.) megfelelően bírságolják vagy támogassák. A városok helyi önkormányzataira alkalmazandó bírságokat vagy támogatásokat különösen a zöld közlekedésnek az adott város kiinduló helyzetéhez viszonyított változásai alapján kell meghatározni. Az Európai Uniónak jogszabálya révén meg kell határoznia a szennyezéssel kapcsolatos intézkedések teljesítménymutatóit, és meg kell határoznia az arányos csökkentést. E tekintetben minden egyes város kiindulópontját figyelembe kell venni. </w:t>
      </w:r>
    </w:p>
    <w:p>
      <w:pPr>
        <w:pStyle w:val="Normal"/>
        <w:rPr/>
      </w:pPr>
      <w:r>
        <w:rPr/>
        <w:t xml:space="preserve"> </w:t>
      </w:r>
    </w:p>
    <w:p>
      <w:pPr>
        <w:pStyle w:val="Normal"/>
        <w:rPr/>
      </w:pPr>
      <w:r>
        <w:rPr/>
        <w:t xml:space="preserve">Azért tesszük ezt az ajánlást, mert a városokat érintette a légszennyezés, ami egészségügyi problémákat okozott. A zöld közlekedés fejlesztése javítaná az emberek életét és egészségét, és csökkentené az üvegházhatást. A támogatások és a szankciók olyan hatékony intézkedések, amelyek elősegítik a változást és megkönnyítik a különböző városok különböző helyzeteihez való alkalmazkodást. </w:t>
      </w:r>
    </w:p>
    <w:p>
      <w:pPr>
        <w:pStyle w:val="Normal"/>
        <w:rPr/>
      </w:pPr>
      <w:r>
        <w:rPr/>
        <w:t xml:space="preserve"> </w:t>
      </w:r>
    </w:p>
    <w:p>
      <w:pPr>
        <w:pStyle w:val="P68B1DB1Normal15"/>
        <w:rPr>
          <w:b/>
          <w:b/>
        </w:rPr>
      </w:pPr>
      <w:r>
        <w:rPr/>
        <w:t xml:space="preserve">Javasoljuk, hogy az uniós jogszabályok korlátozzák és szabályozzák a rövid távú járatok és a körutazást végző hajók használatát. Az emberek számára környezetbarát közlekedési alternatívákat kell kínálni. Az egyik ilyen alternatíva a vasutak szabványosítása az európai fővárosok összekapcsolása érdekében. Azt is javasoljuk, hogy az EU nyújtson támogatást az áruszállítás környezetbarátabbá tételéhez, beleértve a vasúti és hajós szállítást (rövid utazások esetén). </w:t>
      </w:r>
    </w:p>
    <w:p>
      <w:pPr>
        <w:pStyle w:val="Normal"/>
        <w:rPr/>
      </w:pPr>
      <w:r>
        <w:rPr/>
        <w:t xml:space="preserve"> </w:t>
      </w:r>
    </w:p>
    <w:p>
      <w:pPr>
        <w:pStyle w:val="Normal"/>
        <w:rPr/>
      </w:pPr>
      <w:r>
        <w:rPr/>
        <w:t xml:space="preserve">Ezt az ajánlást tesszük, mert a rövid távú utak túl gyakoriak, szennyezőek és könnyen helyettesíthetők. A körutazást végző hajók korlátozása csökkentené a tengerszennyezést (jelentős környezeti probléma), valamint a part menti városokra gyakorolt negatív hatásokat. Ezért kell a környezetszennyezőbb megoldások helyett megfizethetőbb alternatívákat bevezetni. Az egységes vasúti nyomtáv javítaná az európai fővárosok közötti vasúti összeköttetéseket. </w:t>
      </w:r>
    </w:p>
    <w:p>
      <w:pPr>
        <w:pStyle w:val="Normal"/>
        <w:rPr/>
      </w:pPr>
      <w:r>
        <w:rPr/>
        <w:t xml:space="preserve"> </w:t>
      </w:r>
    </w:p>
    <w:p>
      <w:pPr>
        <w:pStyle w:val="Titre4"/>
        <w:numPr>
          <w:ilvl w:val="3"/>
          <w:numId w:val="2"/>
        </w:numPr>
        <w:rPr/>
      </w:pPr>
      <w:bookmarkStart w:id="180" w:name="__RefHeading___Toc297295_1346298689"/>
      <w:bookmarkEnd w:id="180"/>
      <w:r>
        <w:rPr/>
        <w:t xml:space="preserve">5. tengely: Törődj mindenkivel </w:t>
      </w:r>
    </w:p>
    <w:p>
      <w:pPr>
        <w:pStyle w:val="Normal"/>
        <w:rPr/>
      </w:pPr>
      <w:r>
        <w:rPr/>
        <w:t xml:space="preserve">Altengely: Az egészség tágabb perspektívája </w:t>
      </w:r>
    </w:p>
    <w:p>
      <w:pPr>
        <w:pStyle w:val="Normal"/>
        <w:rPr>
          <w:b/>
          <w:b/>
        </w:rPr>
      </w:pPr>
      <w:r>
        <w:rPr>
          <w:b/>
        </w:rPr>
        <w:t>Javasoljuk, hogy az Európai Unió a HealthyLife4All kampányával összhangban ösztönözze az olyan kezdeményezéseket is</w:t>
      </w:r>
      <w:r>
        <w:rPr>
          <w:b/>
        </w:rPr>
        <w:commentReference w:id="5"/>
      </w:r>
      <w:r>
        <w:rPr>
          <w:b/>
        </w:rPr>
        <w:t xml:space="preserve">, mint a társadalmi sportesemények, az iskolai sporttevékenységek, a minden korosztály számára nyitott kétévenkénti olimpia és az összes sport. Javasoljuk továbbá egy ingyenes európai sportalkalmazás kifejlesztését a kollektív sporttevékenységek ösztönzése érdekében. Ez az alkalmazás segít az embereknek találkozni a sporton keresztül. Emellett ezeket a kezdeményezéseket széles körben ismertetni és terjeszteni kell. </w:t>
      </w:r>
    </w:p>
    <w:p>
      <w:pPr>
        <w:pStyle w:val="Normal"/>
        <w:rPr/>
      </w:pPr>
      <w:r>
        <w:rPr/>
        <w:t xml:space="preserve"> </w:t>
      </w:r>
    </w:p>
    <w:p>
      <w:pPr>
        <w:pStyle w:val="Normal"/>
        <w:rPr/>
      </w:pPr>
      <w:r>
        <w:rPr/>
        <w:t xml:space="preserve">Az európai lakosság egészségének javítása érdekében az Európai Uniónak elő kell mozdítania a sportot és az egészséges életmódot. Ráadásul a lakosság gyakran nem ismeri a sport és az egészséges életmód közötti kapcsolatot. Az alkalmazás azért fontos, mert az emberek jobban hajlandóak sportolni, ha együtt csinálják. </w:t>
      </w:r>
      <w:r>
        <w:br w:type="page"/>
      </w:r>
    </w:p>
    <w:p>
      <w:pPr>
        <w:pStyle w:val="P68B1DB1Normal19"/>
        <w:rPr>
          <w:rFonts w:ascii="Times New Roman" w:hAnsi="Times New Roman"/>
          <w:color w:val="000000"/>
          <w:sz w:val="24"/>
        </w:rPr>
      </w:pPr>
      <w:r>
        <w:rPr/>
        <w:t xml:space="preserve"> </w:t>
      </w:r>
    </w:p>
    <w:p>
      <w:pPr>
        <w:pStyle w:val="Titre2"/>
        <w:numPr>
          <w:ilvl w:val="1"/>
          <w:numId w:val="2"/>
        </w:numPr>
        <w:rPr/>
      </w:pPr>
      <w:bookmarkStart w:id="181" w:name="__RefHeading___Toc297297_1346298689"/>
      <w:bookmarkEnd w:id="181"/>
      <w:r>
        <w:rPr/>
        <w:t xml:space="preserve">Európai Polgári Panel 4: „Az EU a világban/Migráció” </w:t>
      </w:r>
    </w:p>
    <w:p>
      <w:pPr>
        <w:pStyle w:val="Normal"/>
        <w:rPr/>
      </w:pPr>
      <w:r>
        <w:rPr/>
        <w:t xml:space="preserve">A TESTÜLET ÁLTAL ELFOGADOTT AJÁNLÁSOK (A PLENÁRIS ÜLÉS ELÉ TERJESZTENDŐK) </w:t>
      </w:r>
    </w:p>
    <w:p>
      <w:pPr>
        <w:pStyle w:val="Normal"/>
        <w:rPr/>
      </w:pPr>
      <w:r>
        <w:rPr/>
      </w:r>
    </w:p>
    <w:p>
      <w:pPr>
        <w:pStyle w:val="Titre3"/>
        <w:numPr>
          <w:ilvl w:val="2"/>
          <w:numId w:val="2"/>
        </w:numPr>
        <w:rPr/>
      </w:pPr>
      <w:bookmarkStart w:id="182" w:name="__RefHeading___Toc297299_1346298689"/>
      <w:bookmarkEnd w:id="182"/>
      <w:r>
        <w:rPr/>
        <w:t xml:space="preserve">1. tengely: Önellátás és stabilitás </w:t>
      </w:r>
    </w:p>
    <w:p>
      <w:pPr>
        <w:pStyle w:val="Titre4"/>
        <w:numPr>
          <w:ilvl w:val="3"/>
          <w:numId w:val="2"/>
        </w:numPr>
        <w:rPr/>
      </w:pPr>
      <w:bookmarkStart w:id="183" w:name="__RefHeading___Toc297301_1346298689"/>
      <w:bookmarkEnd w:id="183"/>
      <w:r>
        <w:rPr/>
        <w:t xml:space="preserve">Altengely – EU Autonómia </w:t>
      </w:r>
    </w:p>
    <w:p>
      <w:pPr>
        <w:pStyle w:val="Normal"/>
        <w:rPr>
          <w:b/>
          <w:b/>
        </w:rPr>
      </w:pPr>
      <w:r>
        <w:rPr>
          <w:b/>
        </w:rPr>
        <w:t>1. Javasoljuk, hogy a stratégiai európai gyártási termékeket (például mezőgazdasági termékeket, félvezetőket, orvosi termékeket vagy innovatív digitális és környezetvédelmi technológiákat) ösztönözzék és pénzügyileg támogassák annak érdekében, hogy az európai fogyasztók számára elérhetők és hozzáférhetők legyenek, és a lehető legnagyobb mértékben csökkentsék a nem európai beszállítóktól való függőséget. Ez a támogatás magában foglalhatja a strukturális és regionális intézkedéseket, az Unión belüli iparágak és ellátási láncok fenntartásának támogatását,</w:t>
      </w:r>
      <w:r>
        <w:rPr>
          <w:b/>
        </w:rPr>
        <w:commentReference w:id="6"/>
      </w:r>
      <w:r>
        <w:rPr>
          <w:b/>
        </w:rPr>
        <w:t xml:space="preserve"> adókedvezményeket, támogatásokat, aktív kkv-politikát vagy oktatási programokat a releváns készségek és munkahelyek megőrzése érdekében Európában. Mindazonáltal az aktív iparpolitikának szelektívnek kell lennie, és olyan innovatív termékekre vagy termékekre kell összpontosítania, amelyek elengedhetetlenek az alapvető áruk és szolgáltatások biztosításához. </w:t>
      </w:r>
    </w:p>
    <w:p>
      <w:pPr>
        <w:pStyle w:val="Normal"/>
        <w:rPr/>
      </w:pPr>
      <w:r>
        <w:rPr/>
        <w:t xml:space="preserve"> </w:t>
      </w:r>
    </w:p>
    <w:p>
      <w:pPr>
        <w:pStyle w:val="Normal"/>
        <w:rPr/>
      </w:pPr>
      <w:r>
        <w:rPr/>
        <w:t xml:space="preserve">Azért javasoljuk ezeket az intézkedéseket, mert Európa túlságosan függ a </w:t>
      </w:r>
      <w:commentRangeStart w:id="7"/>
      <w:r>
        <w:rPr/>
        <w:t>nem európai beszállítóktól olyan kulcsfontosságú</w:t>
      </w:r>
      <w:r>
        <w:rPr/>
      </w:r>
      <w:commentRangeEnd w:id="7"/>
      <w:r>
        <w:commentReference w:id="7"/>
      </w:r>
      <w:r>
        <w:rPr/>
        <w:t xml:space="preserve"> területeken, amelyek diplomáciai konfliktusokat okozhatnak, és amelyek az alapvető termékek vagy szolgáltatások hiányához vagy stratégiai fontosságúakhoz vezetnek. Mivel a termelési költségek általában magasabbak az EU-ban, mint a világ más részein, az e termékek aktív ösztönzésére és támogatására irányuló politika lehetővé teszi az európaiak számára, hogy versenyképes európai termékeket vásároljanak, és erre ösztönzik őket. Ez a politika erősíti Európa versenyképességét, és megőrzi a jövőbeli iparágakat és munkahelyeket Európában. Emellett a termelés nagyobb regionalizációja csökkenti a szállítási költségeket és elkerüli a környezetkárosodást. </w:t>
      </w:r>
    </w:p>
    <w:p>
      <w:pPr>
        <w:pStyle w:val="Normal"/>
        <w:rPr/>
      </w:pPr>
      <w:r>
        <w:rPr/>
        <w:t xml:space="preserve"> </w:t>
      </w:r>
    </w:p>
    <w:p>
      <w:pPr>
        <w:pStyle w:val="P68B1DB1Normal15"/>
        <w:rPr>
          <w:b/>
          <w:b/>
        </w:rPr>
      </w:pPr>
      <w:r>
        <w:rPr/>
        <w:t>2. Javasoljuk, hogy az EU csökkentse az olaj- és gázimporttól való függőségét. Ehhez aktív támogatásra van szükség a tömegközlekedési és energiahatékonysági projektekhez, a nagy sebességű európai vasúti árufuvarozási hálózathoz, a tiszta és megújuló energiaforrások (beleértve a nap- és szélenergiát is) és az alternatív technológiák (például a hidrogén vagy a hulladék energetikai hasznosítása) bővítéséhez. Az Európai Uniónak ösztönöznie kell továbbá a gondolkodásmód megváltoztatását, és ösztönöznie kell a személygépkocsik elhagyását a tömegközlekedés, az elektromos járművek és kerékpárok révén történő autómegosztás érdekében.</w:t>
      </w:r>
    </w:p>
    <w:p>
      <w:pPr>
        <w:pStyle w:val="Normal"/>
        <w:rPr/>
      </w:pPr>
      <w:r>
        <w:rPr/>
      </w:r>
    </w:p>
    <w:p>
      <w:pPr>
        <w:pStyle w:val="Normal"/>
        <w:rPr/>
      </w:pPr>
      <w:r>
        <w:rPr/>
        <w:t>Ezeket az intézkedéseket azért javasoljuk, mert olyan helyzetet teremtenek, amely elősegíti Európa autonómiáját azáltal, hogy csökkenti külső függőségeit, valamint ambiciózus éghajlat- és szén-dioxid-kibocsátás-csökkentési</w:t>
      </w:r>
      <w:r>
        <w:rPr>
          <w:vertAlign w:val="subscript"/>
        </w:rPr>
        <w:t>célok</w:t>
      </w:r>
      <w:r>
        <w:rPr/>
        <w:t xml:space="preserve"> elérését. Lehetővé teszik továbbá, hogy Európa a jövőbeli technológiák meghatározó szereplőjévé váljon, megerősítse gazdaságát és munkahelyeket teremtsen. </w:t>
      </w:r>
    </w:p>
    <w:p>
      <w:pPr>
        <w:pStyle w:val="Normal"/>
        <w:rPr/>
      </w:pPr>
      <w:r>
        <w:rPr/>
        <w:t xml:space="preserve"> </w:t>
      </w:r>
    </w:p>
    <w:p>
      <w:pPr>
        <w:pStyle w:val="P68B1DB1Normal15"/>
        <w:rPr>
          <w:b/>
          <w:b/>
        </w:rPr>
      </w:pPr>
      <w:r>
        <w:rPr/>
        <w:t xml:space="preserve">3. Javasoljuk, hogy fogadjanak el uniós szintű jogszabályt annak biztosítása érdekében, hogy valamennyi uniós termelési és ellátási folyamat és importált áru megfeleljen az európai minőségi, etikai és fenntarthatósági normáknak, valamint az összes alkalmazandó európai emberi jogi normának, valamint az e kritériumoknak megfelelő termékek tanúsításának. </w:t>
      </w:r>
    </w:p>
    <w:p>
      <w:pPr>
        <w:pStyle w:val="Normal"/>
        <w:rPr/>
      </w:pPr>
      <w:r>
        <w:rPr/>
        <w:t xml:space="preserve"> </w:t>
      </w:r>
    </w:p>
    <w:p>
      <w:pPr>
        <w:pStyle w:val="Normal"/>
        <w:rPr/>
      </w:pPr>
      <w:r>
        <w:rPr/>
        <w:t xml:space="preserve">Ezeket az intézkedéseket azért javasoljuk, mert lehetővé teszik a fogyasztók és a kereskedők számára, hogy könnyen hozzáférjenek az általuk vásárolt vagy értékesített termékekkel kapcsolatos információkhoz. Ehhez egyszerűen olvassa el a tanúsítási rendszert. A tanúsítás csökkenti a piacon elérhető olcsó és drága termékek közötti szakadékot is. Az olcsó termékek nem felelnek meg az előírt kritériumoknak, ezért nem lesznek képesek jó minőségűnek mutatkozni. A tanúsítási kritériumoknak való megfelelés révén a környezet védett lesz, erőforrás-megtakarítással és a felelős fogyasztás ösztönzésével. </w:t>
      </w:r>
    </w:p>
    <w:p>
      <w:pPr>
        <w:pStyle w:val="Normal"/>
        <w:rPr/>
      </w:pPr>
      <w:r>
        <w:rPr/>
        <w:t xml:space="preserve"> </w:t>
      </w:r>
    </w:p>
    <w:p>
      <w:pPr>
        <w:pStyle w:val="P68B1DB1Normal15"/>
        <w:rPr>
          <w:b/>
          <w:b/>
        </w:rPr>
      </w:pPr>
      <w:r>
        <w:rPr/>
        <w:t xml:space="preserve">4. Javasoljuk egy olyan európai program végrehajtását, amely valamennyi tagállamban támogatja a kis helyi termelőket a stratégiai ágazatokban. Ezek a gyártók szakképzésben, támogatásokon keresztül nyújtott pénzügyi támogatásban részesülnek, és (amennyiben az Unióban nyersanyagok állnak rendelkezésre) arra ösztönöznék, hogy a behozatal kárára több támogatható árut állítsanak elő. </w:t>
      </w:r>
    </w:p>
    <w:p>
      <w:pPr>
        <w:pStyle w:val="Normal"/>
        <w:rPr/>
      </w:pPr>
      <w:r>
        <w:rPr/>
        <w:t xml:space="preserve"> </w:t>
      </w:r>
    </w:p>
    <w:p>
      <w:pPr>
        <w:pStyle w:val="Normal"/>
        <w:rPr/>
      </w:pPr>
      <w:r>
        <w:rPr/>
        <w:t xml:space="preserve">Ezeket az intézkedéseket azért ajánljuk, mert az Unióban található stratégiai ágazatokban működő gyártók támogatása révén az Unió ezekben az ágazatokban képes megszerezni gazdasági függetlenségét. Ez csak a teljes termelési folyamat megerősítését és ezáltal az innovációt ösztönözheti. Ez fenntarthatóbb nyersanyag-termelést eredményez az EU-ban, ami csökkenti a szállítási költségeket és védi a környezetet. </w:t>
      </w:r>
    </w:p>
    <w:p>
      <w:pPr>
        <w:pStyle w:val="Normal"/>
        <w:rPr/>
      </w:pPr>
      <w:r>
        <w:rPr/>
        <w:t xml:space="preserve"> </w:t>
      </w:r>
    </w:p>
    <w:p>
      <w:pPr>
        <w:pStyle w:val="P68B1DB1Normal15"/>
        <w:rPr>
          <w:b/>
          <w:b/>
        </w:rPr>
      </w:pPr>
      <w:r>
        <w:rPr/>
        <w:t xml:space="preserve">5. Javasoljuk az emberi jogok európai szintű végrehajtásának javítását az alábbiak szerint: a tudatosság növelése azon országok körében, amelyek a megfelelő mértékben nem felelnek meg az emberi jogok európai egyezményének (EJEE), illetve az emberi jogok és alapvető szabadságok védelméről szóló egyezménynek; az Európai Unió és az igazságügyi eredménytábla által koordinált szigorú nyomon követés arról, hogy a különböző tagállamokban milyen mértékben tartják tiszteletben az emberi jogokat, és a szankciók különböző formái révén biztosítsák azok szigorú betartását. </w:t>
      </w:r>
    </w:p>
    <w:p>
      <w:pPr>
        <w:pStyle w:val="Normal"/>
        <w:rPr/>
      </w:pPr>
      <w:r>
        <w:rPr/>
        <w:t xml:space="preserve"> </w:t>
      </w:r>
    </w:p>
    <w:p>
      <w:pPr>
        <w:pStyle w:val="Normal"/>
        <w:rPr/>
      </w:pPr>
      <w:r>
        <w:rPr/>
        <w:t xml:space="preserve">Ezeket az intézkedéseket azért javasoljuk, mert a tagállamok már elfogadták az emberi jogokat az emberi jogok európai egyezményének ratifikálásakor, de most valamennyi tagállamban javítani kell elfogadásukat annak érdekében, hogy az emberi jogok ismertek legyenek és aktívan érvényesüljenek ezekben a tagállamokban. </w:t>
      </w:r>
    </w:p>
    <w:p>
      <w:pPr>
        <w:pStyle w:val="Normal"/>
        <w:rPr/>
      </w:pPr>
      <w:r>
        <w:rPr/>
        <w:t xml:space="preserve"> </w:t>
      </w:r>
    </w:p>
    <w:p>
      <w:pPr>
        <w:pStyle w:val="P68B1DB1Normal15"/>
        <w:rPr>
          <w:b/>
          <w:b/>
        </w:rPr>
      </w:pPr>
      <w:r>
        <w:rPr/>
        <w:t xml:space="preserve">6. Javasoljuk, hogy indítsanak felülvizsgálatot és szervezzenek intenzív európai szintű kommunikációs kampányt annak biztosítása érdekében, hogy az EURES (az Európai Foglalkoztatási Szolgálatok Hálózata), az EU bevándorlási portálja és a harmadik országok állampolgárainak szóló európai készségprofil-eszköz jobban megismerjék az európai polgárokat, és az uniós vállalatok gyakrabban használják őket állásajánlataik közzétételére és reklámozására. </w:t>
      </w:r>
    </w:p>
    <w:p>
      <w:pPr>
        <w:pStyle w:val="Normal"/>
        <w:rPr/>
      </w:pPr>
      <w:r>
        <w:rPr/>
        <w:t xml:space="preserve"> </w:t>
      </w:r>
    </w:p>
    <w:p>
      <w:pPr>
        <w:pStyle w:val="Normal"/>
        <w:rPr/>
      </w:pPr>
      <w:r>
        <w:rPr/>
        <w:t xml:space="preserve">Javasoljuk, hogy ne hozzanak létre új online platformot az európai fiataloknak szóló állásajánlatok közzétételére. Már most is több, mint elegendő ilyen kezdeményezés létezik európai szinten. Úgy véljük, hogy annak érdekében, hogy felhívjuk a figyelmet a meglévő munkaerőre és foglalkoztatási lehetőségekre európai szinten, előnyösebb a már meglévők javítása. </w:t>
      </w:r>
    </w:p>
    <w:p>
      <w:pPr>
        <w:pStyle w:val="Normal"/>
        <w:rPr/>
      </w:pPr>
      <w:r>
        <w:rPr/>
        <w:t xml:space="preserve"> </w:t>
      </w:r>
    </w:p>
    <w:p>
      <w:pPr>
        <w:pStyle w:val="Titre4"/>
        <w:numPr>
          <w:ilvl w:val="3"/>
          <w:numId w:val="2"/>
        </w:numPr>
        <w:rPr/>
      </w:pPr>
      <w:bookmarkStart w:id="184" w:name="__RefHeading___Toc297303_1346298689"/>
      <w:bookmarkEnd w:id="184"/>
      <w:r>
        <w:rPr/>
        <w:t xml:space="preserve">Altengely – Határok </w:t>
      </w:r>
    </w:p>
    <w:p>
      <w:pPr>
        <w:pStyle w:val="P68B1DB1Normal15"/>
        <w:rPr>
          <w:b/>
          <w:b/>
        </w:rPr>
      </w:pPr>
      <w:r>
        <w:rPr/>
        <w:t xml:space="preserve">7. Javasoljuk, hogy az európai munkaerőpiacok valós igényei alapján hozzanak létre munkaerő-migrációs mechanizmust az EU-ban. Egységes rendszert kell kialakítani az Európai Unióban és harmadik országokban létező szakmai és egyetemi diplomák elismerésére. Szakmai képesítést, valamint kulturális és nyelvi integrációs ajánlatokat kell nyújtani a képzett migránsok számára. A megfelelő képesítéssel rendelkező menedékkérők számára hozzáférést kell biztosítani a munkaerőpiachoz. Létre kell hozni egy integrált ügynökséget, amelynek alapját a foglalkoztatási szolgálatok európai hálózata képezheti. </w:t>
      </w:r>
    </w:p>
    <w:p>
      <w:pPr>
        <w:pStyle w:val="Normal"/>
        <w:rPr/>
      </w:pPr>
      <w:r>
        <w:rPr/>
        <w:t xml:space="preserve"> </w:t>
      </w:r>
    </w:p>
    <w:p>
      <w:pPr>
        <w:pStyle w:val="Normal"/>
        <w:rPr/>
      </w:pPr>
      <w:r>
        <w:rPr/>
        <w:t xml:space="preserve">Azért ajánljuk ezeket az intézkedéseket, mert Európának szakképzett munkaerőre van szüksége bizonyos ágazatokban, ahol nem lehet teljes mértékben fedezni az uniós munkavállalók keresletét. Jelenleg nincs elég életképes módja annak, hogy legálisan kérelmezzenek munkavállalási engedélyt az EU-ban. A szakmai és egyetemi diplomák elismerésének európai rendszere megkönnyíti ezen igények kielégítését, és egyszerűsíti az Unión belüli munkaerő-migrációt és az Unión kívüli országokból érkező munkaerő-migrációt. Így jobban ki lehetne elégíteni a munkaerő iránti keresletet, és jobban lehetne kezelni az illegális bevándorlást. A munkaerő-migráció mechanizmusának a menedékkérők előtti megnyitása felgyorsítaná az európai gazdaságokba és társadalmakba való beilleszkedésüket. </w:t>
      </w:r>
    </w:p>
    <w:p>
      <w:pPr>
        <w:pStyle w:val="Normal"/>
        <w:rPr/>
      </w:pPr>
      <w:r>
        <w:rPr/>
        <w:t xml:space="preserve"> </w:t>
      </w:r>
    </w:p>
    <w:p>
      <w:pPr>
        <w:pStyle w:val="P68B1DB1Normal15"/>
        <w:rPr>
          <w:b/>
          <w:b/>
        </w:rPr>
      </w:pPr>
      <w:r>
        <w:rPr/>
        <w:t xml:space="preserve">8. Javasoljuk, hogy az Európai Unió erősítse meg jogszabályait annak érdekében, hogy a Frontex nagyobb hatalmat és függetlenséget kapjon. Így minden tagállamban képes lesz beavatkozni az Unió külső határai védelmének biztosítása érdekében, az Uniónak azonban ellenőriznie kell a Frontex szervezeti folyamatait, mivel átlátható módon kell működnie a visszaélések elkerülése érdekében. </w:t>
      </w:r>
    </w:p>
    <w:p>
      <w:pPr>
        <w:pStyle w:val="Normal"/>
        <w:rPr/>
      </w:pPr>
      <w:r>
        <w:rPr/>
        <w:t xml:space="preserve"> </w:t>
      </w:r>
    </w:p>
    <w:p>
      <w:pPr>
        <w:pStyle w:val="Normal"/>
        <w:rPr/>
      </w:pPr>
      <w:r>
        <w:rPr/>
        <w:t xml:space="preserve">Azért javasoljuk ezeket az intézkedéseket, mert véleményünk szerint elfogadhatatlan, hogy a Frontextől megtagadják a határokhoz való hozzáférést, különösen az emberi jogok megsértése esetén. Biztosak akarunk lenni abban, hogy a Frontex alkalmazza az európai jogszabályokat. Magát a Frontexet is ellenőrzésnek és ellenőrzésnek kell alávetni annak érdekében, hogy elkerülje a nem megfelelő magatartást. </w:t>
      </w:r>
    </w:p>
    <w:p>
      <w:pPr>
        <w:pStyle w:val="Normal"/>
        <w:rPr/>
      </w:pPr>
      <w:r>
        <w:rPr/>
        <w:t xml:space="preserve"> </w:t>
      </w:r>
    </w:p>
    <w:p>
      <w:pPr>
        <w:pStyle w:val="P68B1DB1Normal15"/>
        <w:rPr>
          <w:b/>
          <w:b/>
        </w:rPr>
      </w:pPr>
      <w:r>
        <w:rPr/>
        <w:t xml:space="preserve">9. Javasoljuk, hogy az Európai Unió szervezze meg – különösen a gazdasági migránsok számára – a származási országban élő polgárok kiválasztásának lehetőségét (bizonyos készségeik, hátterük stb. alapján), hogy megállapítsák, ki léphet az EU-ba a gazdaság szükségleteinek és a fogadó ország üres álláshelyeinek megfelelően. Ezeknek a kiválasztási kritériumoknak nyilvánosnak és mindenki számára hozzáférhetőnek kell lenniük. Ehhez létre kell hozni az Európai Bevándorlási Ügynökséget (online). </w:t>
      </w:r>
    </w:p>
    <w:p>
      <w:pPr>
        <w:pStyle w:val="Normal"/>
        <w:rPr/>
      </w:pPr>
      <w:r>
        <w:rPr/>
        <w:t xml:space="preserve"> </w:t>
      </w:r>
    </w:p>
    <w:p>
      <w:pPr>
        <w:pStyle w:val="Normal"/>
        <w:rPr/>
      </w:pPr>
      <w:r>
        <w:rPr/>
        <w:t xml:space="preserve">Azért javasoljuk ezeket az intézkedéseket, mert így már nem lenne szükség a jogellenes határátlépésre. Az EU-ba belépő személyek áramlását ellenőriznék, ami csökkentené a határokon nehezedő nyomást, ugyanakkor megkönnyítené a fogadó országok munkaerő-szükségletének kielégítését. </w:t>
      </w:r>
    </w:p>
    <w:p>
      <w:pPr>
        <w:pStyle w:val="Normal"/>
        <w:rPr/>
      </w:pPr>
      <w:r>
        <w:rPr/>
        <w:t xml:space="preserve"> </w:t>
      </w:r>
    </w:p>
    <w:p>
      <w:pPr>
        <w:pStyle w:val="P68B1DB1Normal15"/>
        <w:rPr>
          <w:b/>
          <w:b/>
        </w:rPr>
      </w:pPr>
      <w:r>
        <w:rPr/>
        <w:t xml:space="preserve">10. Javasoljuk, hogy az Európai Unió biztosítsa, hogy a befogadási politika és a létesítmények minden határon azonosak legyenek, tiszteletben tartsák az emberi jogokat, és biztosítsák valamennyi migráns (beleértve például a várandós nőket és a gyermekeket) biztonságát és egészségét. </w:t>
      </w:r>
    </w:p>
    <w:p>
      <w:pPr>
        <w:pStyle w:val="Normal"/>
        <w:rPr/>
      </w:pPr>
      <w:r>
        <w:rPr/>
        <w:t xml:space="preserve"> </w:t>
      </w:r>
    </w:p>
    <w:p>
      <w:pPr>
        <w:pStyle w:val="Normal"/>
        <w:rPr/>
      </w:pPr>
      <w:r>
        <w:rPr/>
        <w:t xml:space="preserve">Ezeket az intézkedéseket azért javasoljuk, mert nagy jelentőséget tulajdonítunk a migránsokkal szembeni egyenlő bánásmódnak minden határon. Biztosítani akarjuk, hogy a migránsok ne maradjanak túl sokáig a határokon, és hogy a tagállamokat túlterhelje a migránsok áramlása. A tagállamoknak megfelelően fel kell készülniük a befogadásukra. </w:t>
      </w:r>
    </w:p>
    <w:p>
      <w:pPr>
        <w:pStyle w:val="Normal"/>
        <w:rPr/>
      </w:pPr>
      <w:r>
        <w:rPr/>
        <w:t xml:space="preserve"> </w:t>
      </w:r>
    </w:p>
    <w:p>
      <w:pPr>
        <w:pStyle w:val="Titre3"/>
        <w:numPr>
          <w:ilvl w:val="2"/>
          <w:numId w:val="2"/>
        </w:numPr>
        <w:rPr/>
      </w:pPr>
      <w:bookmarkStart w:id="185" w:name="__RefHeading___Toc297305_1346298689"/>
      <w:bookmarkEnd w:id="185"/>
      <w:r>
        <w:rPr/>
        <w:t xml:space="preserve">2. tengely: Az EU mint nemzetközi partner </w:t>
      </w:r>
    </w:p>
    <w:p>
      <w:pPr>
        <w:pStyle w:val="Titre4"/>
        <w:numPr>
          <w:ilvl w:val="3"/>
          <w:numId w:val="2"/>
        </w:numPr>
        <w:rPr/>
      </w:pPr>
      <w:bookmarkStart w:id="186" w:name="__RefHeading___Toc297307_1346298689"/>
      <w:bookmarkEnd w:id="186"/>
      <w:r>
        <w:rPr/>
        <w:t xml:space="preserve">Altengely – Kereskedelem és kapcsolatok etikai szempontból </w:t>
      </w:r>
    </w:p>
    <w:p>
      <w:pPr>
        <w:pStyle w:val="P68B1DB1Normal15"/>
        <w:rPr>
          <w:b/>
          <w:b/>
        </w:rPr>
      </w:pPr>
      <w:r>
        <w:rPr/>
        <w:t xml:space="preserve">11. Javasoljuk, hogy az EU vezessen be korlátozásokat a gyermekmunkát lehetővé tevő országokból származó termékek behozatalára. Ennek érdekében össze kell állítani a vállalatok feketelistáját, amelyet a fejleményeknek megfelelően rendszeresen frissítenek. Azt is javasoljuk, hogy biztosítsák a munkát abbahagyó gyermekek oktatáshoz való fokozatos hozzáférését, valamint a gyermekmunkával kapcsolatos fogyasztói tudatosság növelését az Európai Unió által hivatalosan terjesztett információk, például kampányok vagy történetmesélés révén. </w:t>
      </w:r>
    </w:p>
    <w:p>
      <w:pPr>
        <w:pStyle w:val="Normal"/>
        <w:rPr/>
      </w:pPr>
      <w:r>
        <w:rPr/>
        <w:t xml:space="preserve"> </w:t>
      </w:r>
    </w:p>
    <w:p>
      <w:pPr>
        <w:pStyle w:val="Normal"/>
        <w:rPr/>
      </w:pPr>
      <w:r>
        <w:rPr/>
        <w:t xml:space="preserve">Ezeket az intézkedéseket azért javasoljuk, mert úgy véljük, hogy kapcsolat van az iskoláztatás hiánya és a gyermekmunka között. Ezzel az ajánlással szeretnénk felhívni a fogyasztók figyelmét és csökkenteni a gyermekek által gyártott termékek iránti keresletet, hogy ez a gyakorlat végül eltűnjön. </w:t>
      </w:r>
    </w:p>
    <w:p>
      <w:pPr>
        <w:pStyle w:val="Normal"/>
        <w:rPr/>
      </w:pPr>
      <w:r>
        <w:rPr/>
        <w:t xml:space="preserve"> </w:t>
      </w:r>
    </w:p>
    <w:p>
      <w:pPr>
        <w:pStyle w:val="P68B1DB1Normal15"/>
        <w:rPr>
          <w:b/>
          <w:b/>
        </w:rPr>
      </w:pPr>
      <w:r>
        <w:rPr/>
        <w:t xml:space="preserve">12. Azt javasoljuk, hogy az Európai Unió alakítson ki partnerségeket a fejlődő országokkal az infrastruktúrájuk támogatása és a szakértelem megosztása érdekében, cserébe kölcsönösen előnyös kereskedelmi megállapodásokért cserébe, amelyek segítik őket a zöld energiaforrásokra való átállásban. </w:t>
      </w:r>
    </w:p>
    <w:p>
      <w:pPr>
        <w:pStyle w:val="Normal"/>
        <w:rPr/>
      </w:pPr>
      <w:r>
        <w:rPr/>
        <w:t xml:space="preserve"> </w:t>
      </w:r>
    </w:p>
    <w:p>
      <w:pPr>
        <w:pStyle w:val="Normal"/>
        <w:rPr/>
      </w:pPr>
      <w:r>
        <w:rPr/>
        <w:t xml:space="preserve">Ezeket az intézkedéseket azért javasoljuk, hogy kereskedelmi partnerségek és diplomáciai megállapodások révén megkönnyítsék a fejlődő országok megújuló energiára való átállását. Az Európai Unió és a fejlődő országok ezáltal jó hosszú távú kapcsolatokat alakítanának ki, ami hozzájárulna az éghajlatváltozás elleni küzdelemhez. </w:t>
      </w:r>
    </w:p>
    <w:p>
      <w:pPr>
        <w:pStyle w:val="Normal"/>
        <w:rPr/>
      </w:pPr>
      <w:r>
        <w:rPr/>
        <w:t xml:space="preserve"> </w:t>
      </w:r>
    </w:p>
    <w:p>
      <w:pPr>
        <w:pStyle w:val="P68B1DB1Normal15"/>
        <w:rPr>
          <w:b/>
          <w:b/>
        </w:rPr>
      </w:pPr>
      <w:r>
        <w:rPr/>
        <w:t xml:space="preserve">13. Javasoljuk, hogy az Európai Unió vezessen be egy európai környezeti hatásmutatót (ecoscore) minden fogyasztási cikkre. Az Ecoscore kiszámítása a termelésből és a szállításból származó kibocsátások, valamint a tartalom káros volta alapján, a veszélyes termékek listája alapján történne. Az Ecoscore-t egy európai hatóságnak kell irányítania és ellenőriznie. </w:t>
      </w:r>
    </w:p>
    <w:p>
      <w:pPr>
        <w:pStyle w:val="Normal"/>
        <w:rPr/>
      </w:pPr>
      <w:r>
        <w:rPr/>
        <w:t xml:space="preserve"> </w:t>
      </w:r>
    </w:p>
    <w:p>
      <w:pPr>
        <w:pStyle w:val="Normal"/>
        <w:rPr/>
      </w:pPr>
      <w:r>
        <w:rPr/>
        <w:t xml:space="preserve">Ezeket az intézkedéseket javasoljuk annak érdekében, hogy az európai fogyasztók jobban tisztában legyenek az általuk vásárolt termékek környezeti lábnyomával. Az Ecoscore egyszerűsítené annak jelzését, hogy egy adott termék milyen mértékben tartja tiszteletben a környezetet egy egész Európában elterjedt léptéken keresztül. Az Ecoscore-nak a termék hátoldalán QR-kóddal kell rendelkeznie annak érdekében, hogy a termék környezeti lábnyomára vonatkozó további információkat betekinthessen. </w:t>
      </w:r>
    </w:p>
    <w:p>
      <w:pPr>
        <w:pStyle w:val="Normal"/>
        <w:rPr/>
      </w:pPr>
      <w:r>
        <w:rPr/>
        <w:t xml:space="preserve"> </w:t>
      </w:r>
    </w:p>
    <w:p>
      <w:pPr>
        <w:pStyle w:val="Titre4"/>
        <w:numPr>
          <w:ilvl w:val="3"/>
          <w:numId w:val="2"/>
        </w:numPr>
        <w:rPr/>
      </w:pPr>
      <w:bookmarkStart w:id="187" w:name="__RefHeading___Toc297309_1346298689"/>
      <w:bookmarkEnd w:id="187"/>
      <w:r>
        <w:rPr/>
        <w:t xml:space="preserve">Altengely – Nemzetközi éghajlat-politika </w:t>
      </w:r>
    </w:p>
    <w:p>
      <w:pPr>
        <w:pStyle w:val="P68B1DB1Normal15"/>
        <w:rPr>
          <w:b/>
          <w:b/>
        </w:rPr>
      </w:pPr>
      <w:r>
        <w:rPr/>
        <w:t xml:space="preserve">14. Javasoljuk, hogy az Európai Unió fogadjon el stratégiát annak érdekében, hogy autonómabbá tegye az energiatermelést. A jelenlegi európai energiaügyi intézményeket tömörítő európai szervnek – szuverenitásuk tiszteletben tartása mellett – össze kell hangolnia a megújuló energia fejlesztését a tagállamok szükségleteinek, kapacitásainak és erőforrásainak megfelelően. Az intézmények e stratégia végrehajtása érdekében ösztönzik az egymás közötti tudáscserét. </w:t>
      </w:r>
    </w:p>
    <w:p>
      <w:pPr>
        <w:pStyle w:val="Normal"/>
        <w:rPr/>
      </w:pPr>
      <w:r>
        <w:rPr/>
        <w:t xml:space="preserve"> </w:t>
      </w:r>
    </w:p>
    <w:p>
      <w:pPr>
        <w:pStyle w:val="Normal"/>
        <w:rPr/>
      </w:pPr>
      <w:r>
        <w:rPr/>
        <w:t xml:space="preserve">Azért javasoljuk ezeket az intézkedéseket, mert a jelenlegi függőségünk sebezhetővé tesz bennünket abban az esetben, ha politikai feszültségek alakulnak ki azokkal az országokkal, amelyekkel az energiánkat importáljuk. Most ezt látjuk a villamosenergia-válsággal. Ennek ellenére a koordinációnak tiszteletben kell tartania az egyes országok szuverenitását. </w:t>
      </w:r>
    </w:p>
    <w:p>
      <w:pPr>
        <w:pStyle w:val="Normal"/>
        <w:rPr/>
      </w:pPr>
      <w:r>
        <w:rPr/>
        <w:t xml:space="preserve"> </w:t>
      </w:r>
    </w:p>
    <w:p>
      <w:pPr>
        <w:pStyle w:val="P68B1DB1Normal15"/>
        <w:rPr>
          <w:b/>
          <w:b/>
        </w:rPr>
      </w:pPr>
      <w:r>
        <w:rPr/>
        <w:t xml:space="preserve">15. Javasoljuk a hulladék EU-n belüli és kívüli kivitelére vonatkozó környezetvédelmi előírások szigorítását, valamint az illegális kivitel megállítása érdekében szigorúbb ellenőrzéseket és szankciókat. Az EU-nak ösztönöznie kell a tagállamokat a saját hulladékaik további újrafeldolgozására és energiatermelésre való felhasználására. </w:t>
      </w:r>
    </w:p>
    <w:p>
      <w:pPr>
        <w:pStyle w:val="Normal"/>
        <w:rPr/>
      </w:pPr>
      <w:r>
        <w:rPr/>
        <w:t xml:space="preserve"> </w:t>
      </w:r>
    </w:p>
    <w:p>
      <w:pPr>
        <w:pStyle w:val="Normal"/>
        <w:rPr/>
      </w:pPr>
      <w:r>
        <w:rPr/>
        <w:t xml:space="preserve">Javasoljuk ezeket az intézkedéseket, hogy vessenek véget azoknak az országoknak, amelyek hulladékaikat más országok kárára ártalmatlanítják, különösen akkor, ha a környezetvédelmi előírásoknak való megfelelés teljes mértékben hiányzik. </w:t>
      </w:r>
    </w:p>
    <w:p>
      <w:pPr>
        <w:pStyle w:val="Normal"/>
        <w:rPr/>
      </w:pPr>
      <w:r>
        <w:rPr/>
        <w:t xml:space="preserve"> </w:t>
      </w:r>
    </w:p>
    <w:p>
      <w:pPr>
        <w:pStyle w:val="P68B1DB1Normal15"/>
        <w:rPr>
          <w:b/>
          <w:b/>
        </w:rPr>
      </w:pPr>
      <w:r>
        <w:rPr/>
        <w:t xml:space="preserve">16. Azt javasoljuk, hogy az EU határozottan ösztönözze a folyamatban lévő ökológiai átállást azáltal, hogy a szennyező csomagolás felszámolását célozza. Ezt a csomagolás csökkentésének ösztönzésével vagy a környezetbarátabb csomagolás előmozdításával kell megvalósítani. Ahhoz, hogy a kisvállalkozások alkalmazkodhassanak, támogatást és kiigazításokat kell kapniuk. </w:t>
      </w:r>
    </w:p>
    <w:p>
      <w:pPr>
        <w:pStyle w:val="Normal"/>
        <w:rPr/>
      </w:pPr>
      <w:r>
        <w:rPr/>
        <w:t xml:space="preserve"> </w:t>
      </w:r>
    </w:p>
    <w:p>
      <w:pPr>
        <w:pStyle w:val="Normal"/>
        <w:rPr/>
      </w:pPr>
      <w:r>
        <w:rPr/>
        <w:t xml:space="preserve">Ezeket az intézkedéseket azért javasoljuk, mert csökkentenünk kell a természeti erőforrások felhasználását, beleértve az EU-n kívüli országokból származó nyersanyagokat is. Csökkentenünk kell az európaiak által bolygónkon és annak éghajlatában okozott károkat is. Alapvető fontosságú, hogy jobban támogassák a kisvállalkozásokat annak érdekében, hogy az árak emelése nélkül alkalmazkodhassanak. </w:t>
      </w:r>
    </w:p>
    <w:p>
      <w:pPr>
        <w:pStyle w:val="Normal"/>
        <w:rPr/>
      </w:pPr>
      <w:r>
        <w:rPr/>
        <w:t xml:space="preserve"> </w:t>
      </w:r>
    </w:p>
    <w:p>
      <w:pPr>
        <w:pStyle w:val="P68B1DB1Normal15"/>
        <w:rPr>
          <w:b/>
          <w:b/>
        </w:rPr>
      </w:pPr>
      <w:r>
        <w:rPr/>
        <w:t xml:space="preserve">17. Javasoljuk, hogy az Európai Unió országai közösen vizsgálják meg az atomenergia kérdését. Fokozni kell az együttműködést az atomenergia felhasználásának és az európai zöld energiára való átállásban játszott szerepének értékelése érdekében. </w:t>
      </w:r>
    </w:p>
    <w:p>
      <w:pPr>
        <w:pStyle w:val="Normal"/>
        <w:rPr/>
      </w:pPr>
      <w:r>
        <w:rPr/>
        <w:t xml:space="preserve"> </w:t>
      </w:r>
    </w:p>
    <w:p>
      <w:pPr>
        <w:pStyle w:val="Normal"/>
        <w:rPr/>
      </w:pPr>
      <w:r>
        <w:rPr/>
        <w:t xml:space="preserve">Ezeket az intézkedéseket azért javasoljuk, mert a nukleáris problémát nem lehet elszigetelten megoldani. A tagállamok felében jelenleg több mint 100 reaktor működik, és új reaktorok épülnek. Mivel közös villamosenergia-hálózatunk van, az általuk termelt alacsony szén-dioxid-kibocsátású villamos energia minden európai polgár számára előnyös, és növeli kontinensünk energiafüggetlenségét. Emellett a nukleáris hulladék elhagyása vagy egy baleset több országot érintene. Függetlenül attól, hogy az atomenergia alkalmazásáról döntenek-e vagy sem, az európaiaknak közösen kell megvitatniuk azt, és a nemzeti szuverenitás tiszteletben tartása mellett egységesebb stratégiákat kell meghatározniuk. </w:t>
      </w:r>
    </w:p>
    <w:p>
      <w:pPr>
        <w:pStyle w:val="Normal"/>
        <w:rPr/>
      </w:pPr>
      <w:r>
        <w:rPr/>
        <w:t xml:space="preserve"> </w:t>
      </w:r>
    </w:p>
    <w:p>
      <w:pPr>
        <w:pStyle w:val="Titre4"/>
        <w:numPr>
          <w:ilvl w:val="3"/>
          <w:numId w:val="2"/>
        </w:numPr>
        <w:rPr/>
      </w:pPr>
      <w:bookmarkStart w:id="188" w:name="__RefHeading___Toc297311_1346298689"/>
      <w:bookmarkEnd w:id="188"/>
      <w:r>
        <w:rPr/>
        <w:t xml:space="preserve">Altengely – Az európai értékek előmozdítása </w:t>
      </w:r>
    </w:p>
    <w:p>
      <w:pPr>
        <w:pStyle w:val="P68B1DB1Normal15"/>
        <w:rPr>
          <w:b/>
          <w:b/>
        </w:rPr>
      </w:pPr>
      <w:r>
        <w:rPr/>
        <w:t xml:space="preserve">18. Az EU-nak közelebb kell állnia a polgárokhoz. Javasoljuk, hogy az EU alakítson ki és erősítse meg kapcsolatait a polgárokkal és a helyi intézményekkel, például a helyi hatóságokkal, iskolákkal és önkormányzatokkal. A cél az átláthatóság javítása, a polgárok elérése, a konkrét uniós kezdeményezésekről való jobb tájékoztatás és az általános uniós információk jobb kommunikálása. </w:t>
      </w:r>
    </w:p>
    <w:p>
      <w:pPr>
        <w:pStyle w:val="Normal"/>
        <w:rPr/>
      </w:pPr>
      <w:r>
        <w:rPr/>
        <w:t xml:space="preserve"> </w:t>
      </w:r>
    </w:p>
    <w:p>
      <w:pPr>
        <w:pStyle w:val="Normal"/>
        <w:rPr/>
      </w:pPr>
      <w:r>
        <w:rPr/>
        <w:t xml:space="preserve">Azért javasoljuk ezeket az intézkedéseket, mert az EU-ról szóló jelenlegi információk nem minden társadalmi csoport számára érhetők el megfelelően, és nem érintik az átlagpolgárokat. Gyakran unalmasak, nehezen érthetők és barátságtalanok. Ennek a helyzetnek változnia kell, hogy a polgárok világos képet kapjanak az EU fellépéseiről és szerepéről. A közérdek felkeltése érdekében az EU-val kapcsolatos információknak könnyen megtalálhatónak, motiválónak, érdekesnek és közös nyelven írhatónak kell lenniük. Íme a javaslataink: az európai politikusok iskolai látogatásainak szervezése, rádiókampányok podcastok, levelek, sajtócikkek, reklámbuszok és közösségi média formájában, helyi polgári közgyűlések szervezése, valamint egy kifejezetten az EU kommunikációjának javítását célzó munkacsoport létrehozása. Ezek az intézkedések lehetővé teszik a polgárok számára, hogy olyan információkhoz jussanak az EU-ról, amelyeket nem szűrnek a nemzeti média. </w:t>
      </w:r>
    </w:p>
    <w:p>
      <w:pPr>
        <w:pStyle w:val="Normal"/>
        <w:rPr/>
      </w:pPr>
      <w:r>
        <w:rPr/>
        <w:t xml:space="preserve"> </w:t>
      </w:r>
    </w:p>
    <w:p>
      <w:pPr>
        <w:pStyle w:val="P68B1DB1Normal15"/>
        <w:rPr>
          <w:b/>
          <w:b/>
        </w:rPr>
      </w:pPr>
      <w:r>
        <w:rPr/>
        <w:t xml:space="preserve">19. Javasoljuk, hogy a polgárok nagyobb mértékben vegyenek részt az uniós politikákban. Javasoljuk, hogy szervezzenek rendezvényeket a polgárok közvetlen részvételével az Európa jövőjéről szóló konferencia mintájára. Ezeket nemzeti, helyi és európai szinten kell megszervezni. Az EU-nak koherens stratégiát és központosított iránymutatást kell meghatároznia ezekre az eseményekre vonatkozóan. </w:t>
      </w:r>
    </w:p>
    <w:p>
      <w:pPr>
        <w:pStyle w:val="Normal"/>
        <w:rPr/>
      </w:pPr>
      <w:r>
        <w:rPr/>
        <w:t xml:space="preserve"> </w:t>
      </w:r>
    </w:p>
    <w:p>
      <w:pPr>
        <w:pStyle w:val="Normal"/>
        <w:rPr/>
      </w:pPr>
      <w:r>
        <w:rPr/>
        <w:t xml:space="preserve">Ezeket az intézkedéseket azért javasoljuk, mert ezek a részvételi demokráciagyakorlatok megfelelő tájékoztatást nyújtanak az EU-ról és javítják az uniós szakpolitikák minőségét. A rendezvényeket úgy kell megszervezni, hogy előmozdítsák az Unió alapvető értékeit – a demokráciát és a polgárok részvételét. Ezek az események lehetőséget teremtenének a politikusok számára, hogy bemutassák a polgároknak, hogy fontos számukra, hogy a polgárokat tájékoztassák az aktuális eseményekről, és kapcsolódjanak a definíciójukhoz. A központosított iránymutatás biztosítja a nemzeti és helyi konferenciák következetességét és következetességét. </w:t>
      </w:r>
    </w:p>
    <w:p>
      <w:pPr>
        <w:pStyle w:val="Normal"/>
        <w:rPr/>
      </w:pPr>
      <w:r>
        <w:rPr/>
        <w:t xml:space="preserve"> </w:t>
      </w:r>
    </w:p>
    <w:p>
      <w:pPr>
        <w:pStyle w:val="Titre3"/>
        <w:numPr>
          <w:ilvl w:val="2"/>
          <w:numId w:val="2"/>
        </w:numPr>
        <w:rPr/>
      </w:pPr>
      <w:bookmarkStart w:id="189" w:name="__RefHeading___Toc297313_1346298689"/>
      <w:bookmarkEnd w:id="189"/>
      <w:r>
        <w:rPr/>
        <w:t xml:space="preserve">3. tengely: Erős EU a békés világban </w:t>
      </w:r>
    </w:p>
    <w:p>
      <w:pPr>
        <w:pStyle w:val="Titre4"/>
        <w:numPr>
          <w:ilvl w:val="3"/>
          <w:numId w:val="2"/>
        </w:numPr>
        <w:rPr/>
      </w:pPr>
      <w:bookmarkStart w:id="190" w:name="__RefHeading___Toc297315_1346298689"/>
      <w:bookmarkEnd w:id="190"/>
      <w:r>
        <w:rPr/>
        <w:t xml:space="preserve">Altengely – Biztonság és védelem </w:t>
      </w:r>
    </w:p>
    <w:p>
      <w:pPr>
        <w:pStyle w:val="P68B1DB1Normal15"/>
        <w:rPr>
          <w:b/>
          <w:b/>
        </w:rPr>
      </w:pPr>
      <w:r>
        <w:rPr/>
        <w:t xml:space="preserve">20. Javasoljuk, hogy a jövőben az Európai Unió közös fegyveres erőit elsősorban védelmi célokra használják fel. Minden agresszív katonai akció, függetlenül annak jellegétől, kizárt. Európában ez biztosítaná a segítségnyújtás eszközeit válság esetén, különösen természeti katasztrófa esetén. Az európai határokon kívül ez lehetővé tenné az erőforrások kivételes körülményekkel rendelkező területekre történő bevetését, kizárólag az ENSZ Biztonsági Tanácsának jogi megbízatása keretében, és ezáltal a nemzetközi joggal összhangban. </w:t>
      </w:r>
    </w:p>
    <w:p>
      <w:pPr>
        <w:pStyle w:val="Normal"/>
        <w:rPr/>
      </w:pPr>
      <w:r>
        <w:rPr/>
        <w:t xml:space="preserve"> </w:t>
      </w:r>
    </w:p>
    <w:p>
      <w:pPr>
        <w:pStyle w:val="Normal"/>
        <w:rPr/>
      </w:pPr>
      <w:r>
        <w:rPr/>
        <w:t xml:space="preserve">Végrehajtása lehetővé tenné, hogy az Európai Uniót hiteles, felelős, erős és békés partnernek tekintsék a nemzetközi színtéren. A belföldi és külföldi válsághelyzetekre való fokozott reagálási képességének ezért meg kell védenie alapvető értékeit. </w:t>
      </w:r>
    </w:p>
    <w:p>
      <w:pPr>
        <w:pStyle w:val="Normal"/>
        <w:rPr/>
      </w:pPr>
      <w:r>
        <w:rPr/>
        <w:t xml:space="preserve"> </w:t>
      </w:r>
    </w:p>
    <w:p>
      <w:pPr>
        <w:pStyle w:val="Titre4"/>
        <w:numPr>
          <w:ilvl w:val="3"/>
          <w:numId w:val="2"/>
        </w:numPr>
        <w:rPr/>
      </w:pPr>
      <w:bookmarkStart w:id="191" w:name="__RefHeading___Toc297317_1346298689"/>
      <w:bookmarkEnd w:id="191"/>
      <w:r>
        <w:rPr/>
        <w:t xml:space="preserve">Altengely – Döntéshozatal és az EU külpolitikája </w:t>
      </w:r>
    </w:p>
    <w:p>
      <w:pPr>
        <w:pStyle w:val="P68B1DB1Normal15"/>
        <w:rPr>
          <w:b/>
          <w:b/>
        </w:rPr>
      </w:pPr>
      <w:r>
        <w:rPr/>
        <w:t xml:space="preserve">21. Javasoljuk, hogy minden olyan területet, ahol egyhangú döntés születik, minősített többséggel hozzák meg. Az egyetlen kivétel az új tagállamok Unióba való belépése, valamint a Lisszaboni Szerződés 2. cikkében és az Európai Unió Alapjogi Chartájában foglalt alapvető uniós elvek módosítása. </w:t>
      </w:r>
    </w:p>
    <w:p>
      <w:pPr>
        <w:pStyle w:val="Normal"/>
        <w:rPr/>
      </w:pPr>
      <w:r>
        <w:rPr/>
        <w:t xml:space="preserve"> </w:t>
      </w:r>
    </w:p>
    <w:p>
      <w:pPr>
        <w:pStyle w:val="Normal"/>
        <w:rPr/>
      </w:pPr>
      <w:r>
        <w:rPr/>
        <w:t xml:space="preserve">Ez megerősítené az EU pozícióját a világban azáltal, hogy egységes frontot mutatna be a harmadik országokkal szemben, és megkönnyítené általános reagálási képességét, beleértve a válságreagálást is. </w:t>
      </w:r>
    </w:p>
    <w:p>
      <w:pPr>
        <w:pStyle w:val="Normal"/>
        <w:rPr/>
      </w:pPr>
      <w:r>
        <w:rPr/>
        <w:t xml:space="preserve"> </w:t>
      </w:r>
    </w:p>
    <w:p>
      <w:pPr>
        <w:pStyle w:val="P68B1DB1Normal15"/>
        <w:rPr>
          <w:b/>
          <w:b/>
        </w:rPr>
      </w:pPr>
      <w:r>
        <w:rPr/>
        <w:t xml:space="preserve">22. Javasoljuk, hogy az Európai Unió erősítse meg azon képességét, hogy szankciókat szabjon ki azokra a tagállamokra, kormányokra, szervezetekre, csoportokra vagy szervezetekre és magánszemélyekre, amelyek nem tartják tiszteletben alapelveit, megállapodásait és törvényeit. Elengedhetetlen, hogy a már létező szankciókat gyorsan végrehajtsák és hatékonyan betartsák. A harmadik országokkal szemben kiszabott szankcióknak arányosaknak kell lenniük az azokat kiváltó intézkedésekkel, hatékonyaknak kell lenniük és időben alkalmazniuk kell őket. </w:t>
      </w:r>
    </w:p>
    <w:p>
      <w:pPr>
        <w:pStyle w:val="Normal"/>
        <w:rPr/>
      </w:pPr>
      <w:r>
        <w:rPr/>
        <w:t xml:space="preserve"> </w:t>
      </w:r>
    </w:p>
    <w:p>
      <w:pPr>
        <w:pStyle w:val="Normal"/>
        <w:rPr/>
      </w:pPr>
      <w:r>
        <w:rPr/>
        <w:t xml:space="preserve">Ahhoz, hogy az EU hiteles és megbízható legyen, szankciókat kell kiszabnia azokra, akik megsértik az uniós elveket. Az ilyen szankciókat hatékonyan és gyorsan kell alkalmazni, és ellenőrzésnek kell alávetni. </w:t>
      </w:r>
    </w:p>
    <w:p>
      <w:pPr>
        <w:pStyle w:val="Normal"/>
        <w:rPr/>
      </w:pPr>
      <w:r>
        <w:rPr/>
        <w:t xml:space="preserve"> </w:t>
      </w:r>
    </w:p>
    <w:p>
      <w:pPr>
        <w:pStyle w:val="Titre4"/>
        <w:numPr>
          <w:ilvl w:val="3"/>
          <w:numId w:val="2"/>
        </w:numPr>
        <w:rPr/>
      </w:pPr>
      <w:bookmarkStart w:id="192" w:name="__RefHeading___Toc297319_1346298689"/>
      <w:bookmarkEnd w:id="192"/>
      <w:r>
        <w:rPr/>
        <w:t xml:space="preserve">Altengely – A szomszédos országok és a bővítés </w:t>
      </w:r>
    </w:p>
    <w:p>
      <w:pPr>
        <w:pStyle w:val="P68B1DB1Normal15"/>
        <w:rPr>
          <w:b/>
          <w:b/>
        </w:rPr>
      </w:pPr>
      <w:r>
        <w:rPr/>
        <w:t xml:space="preserve">23. Javasoljuk, hogy az Európai Unió külön költségvetést különítsen el az EU működésével és értékeivel foglalkozó oktatási programok fejlesztésére. Ezeket a programokat ezután felajánlják a tagállamoknak, ha be kívánják építeni azokat iskolai tantervükbe (alap- és középfokú oktatás, valamint egyetemek). Emellett az EU-ról és annak működéséről szóló külön tanfolyamot is fel lehetne ajánlani azoknak a diákoknak, akik az Erasmus program keretében egy másik európai országban szeretnének tanulni. Azok a diákok, akik ezt a kurzust választják, elsőbbséget élveznek annak érdekében, hogy részesülhessenek ezen Erasmus programok előnyeiből. </w:t>
      </w:r>
    </w:p>
    <w:p>
      <w:pPr>
        <w:pStyle w:val="Normal"/>
        <w:rPr/>
      </w:pPr>
      <w:r>
        <w:rPr/>
        <w:t xml:space="preserve"> </w:t>
      </w:r>
    </w:p>
    <w:p>
      <w:pPr>
        <w:pStyle w:val="Normal"/>
        <w:rPr/>
      </w:pPr>
      <w:r>
        <w:rPr/>
        <w:t xml:space="preserve">Ezeket az intézkedéseket az EU-hoz tartozás érzésének növelése érdekében javasoljuk. Ily módon a polgárok jobban azonosulnak az Unióval, és közvetítik annak értékeit. Ezen túlmenően ezek az intézkedések javítják az EU működésének átláthatóságát, a benne rejlő előnyöket, valamint az Európa-ellenes mozgalmak elleni küzdelmet. Ezek az intézkedések visszatartják a tagállamokat attól, hogy kilépjenek az EU-ból. </w:t>
      </w:r>
    </w:p>
    <w:p>
      <w:pPr>
        <w:pStyle w:val="Normal"/>
        <w:rPr/>
      </w:pPr>
      <w:r>
        <w:rPr/>
        <w:t xml:space="preserve"> </w:t>
      </w:r>
    </w:p>
    <w:p>
      <w:pPr>
        <w:pStyle w:val="P68B1DB1Normal15"/>
        <w:rPr>
          <w:b/>
          <w:b/>
        </w:rPr>
      </w:pPr>
      <w:r>
        <w:rPr/>
        <w:t xml:space="preserve">24. Azt javasoljuk, hogy az EU nagyobb mértékben használja fel politikai és gazdasági súlyát a többi országgal fenntartott kapcsolataiban annak megakadályozása érdekében, hogy egyes tagállamok bilaterális gazdasági, politikai és társadalmi nyomásnak legyenek kitéve. </w:t>
      </w:r>
    </w:p>
    <w:p>
      <w:pPr>
        <w:pStyle w:val="Normal"/>
        <w:rPr/>
      </w:pPr>
      <w:r>
        <w:rPr/>
        <w:t xml:space="preserve"> </w:t>
      </w:r>
    </w:p>
    <w:p>
      <w:pPr>
        <w:pStyle w:val="Normal"/>
        <w:rPr/>
      </w:pPr>
      <w:r>
        <w:rPr/>
        <w:t xml:space="preserve">Ezeket az intézkedéseket három okból ajánljuk. Először is, erősítik az EU-n belüli egység érzését. Másodszor, az egyoldalú válasz egyértelmű, határozott és gyors válasz lesz arra, hogy a harmadik országok ne kíséreljék meg megfélemlíteni vagy fellépni az EU tagállamaival szemben. Végezetül megerősítik az Unió biztonságát, és biztosítják, hogy egyetlen tagállam se érezze magát elhanyagolva vagy figyelmen kívül hagyva. A kétoldalú reakciók megosztották az EU-t, és olyan gyengeséget jelentenek, amelyet a harmadik országok ellenünk használnak. </w:t>
      </w:r>
    </w:p>
    <w:p>
      <w:pPr>
        <w:pStyle w:val="Normal"/>
        <w:rPr/>
      </w:pPr>
      <w:r>
        <w:rPr/>
        <w:t xml:space="preserve"> </w:t>
      </w:r>
    </w:p>
    <w:p>
      <w:pPr>
        <w:pStyle w:val="P68B1DB1Normal15"/>
        <w:rPr>
          <w:b/>
          <w:b/>
        </w:rPr>
      </w:pPr>
      <w:r>
        <w:rPr/>
        <w:t xml:space="preserve">25. „Azt javasoljuk, hogy az Unió javítsa kommunikációs stratégiáját”. Egyrészt az EU-nak növelnie kell láthatóságát a közösségi hálózatokon, és aktívan elő kell mozdítania annak tartalmát. Másrészt minden évben folytatnia kell az olyan konferenciák szervezését, mint az Európa jövőjéről szóló konferencia. Azt is javasoljuk, hogy továbbra is ösztönözze az innovációt egy hozzáférhető európai szociális hálózat előmozdításával. </w:t>
      </w:r>
    </w:p>
    <w:p>
      <w:pPr>
        <w:pStyle w:val="Normal"/>
        <w:rPr/>
      </w:pPr>
      <w:r>
        <w:rPr/>
        <w:t xml:space="preserve"> </w:t>
      </w:r>
    </w:p>
    <w:p>
      <w:pPr>
        <w:pStyle w:val="Normal"/>
        <w:rPr/>
      </w:pPr>
      <w:r>
        <w:rPr/>
        <w:t xml:space="preserve">Ezek a javaslatok nemcsak a fiatalokat érnék el, hanem egy vonzóbb és hatékonyabb kommunikációs eszköz révén növelnék az európai polgárok érdeklődését és részvételét is. Az olyan rendezvények szervezésének, mint például az Európa jövőjéről szóló konferencia, lehetővé kell tennie, hogy a polgárok nagyobb mértékben részt vehessenek a döntéshozatali folyamatban, és biztosítani kell a véleményük meghallgatását. </w:t>
      </w:r>
    </w:p>
    <w:p>
      <w:pPr>
        <w:pStyle w:val="Normal"/>
        <w:rPr/>
      </w:pPr>
      <w:r>
        <w:rPr/>
        <w:t xml:space="preserve"> </w:t>
      </w:r>
    </w:p>
    <w:p>
      <w:pPr>
        <w:pStyle w:val="P68B1DB1Normal15"/>
        <w:rPr>
          <w:b/>
          <w:b/>
        </w:rPr>
      </w:pPr>
      <w:r>
        <w:rPr/>
        <w:t xml:space="preserve">26. Javasoljuk, hogy a tagállamok az Unió további bővítése előtt fogadjanak el határozott jövőképet és közös stratégiát az európai identitás és egység harmonizálására és megszilárdítására. </w:t>
      </w:r>
    </w:p>
    <w:p>
      <w:pPr>
        <w:pStyle w:val="Normal"/>
        <w:rPr/>
      </w:pPr>
      <w:r>
        <w:rPr/>
        <w:t xml:space="preserve"> </w:t>
      </w:r>
    </w:p>
    <w:p>
      <w:pPr>
        <w:pStyle w:val="Normal"/>
        <w:rPr/>
      </w:pPr>
      <w:r>
        <w:rPr/>
        <w:t xml:space="preserve">Úgy véljük, hogy elengedhetetlen az EU megerősítése és a tagállamok közötti kapcsolatok megerősítése, mielőtt fontolóra vennék más országok integrációját. Minél több tagállam van az EU-ban, annál bonyolultabb a döntéshozatali folyamat; ezért fontos az egyhangú szavazás felülvizsgálata a döntéshozatali folyamatokban. </w:t>
      </w:r>
    </w:p>
    <w:p>
      <w:pPr>
        <w:pStyle w:val="Normal"/>
        <w:rPr/>
      </w:pPr>
      <w:r>
        <w:rPr/>
        <w:t xml:space="preserve"> </w:t>
      </w:r>
    </w:p>
    <w:p>
      <w:pPr>
        <w:pStyle w:val="Titre3"/>
        <w:numPr>
          <w:ilvl w:val="2"/>
          <w:numId w:val="2"/>
        </w:numPr>
        <w:rPr/>
      </w:pPr>
      <w:bookmarkStart w:id="193" w:name="__RefHeading___Toc297321_1346298689"/>
      <w:bookmarkEnd w:id="193"/>
      <w:r>
        <w:rPr/>
        <w:t xml:space="preserve">4. tengely: Migráció emberi szemszögből </w:t>
      </w:r>
    </w:p>
    <w:p>
      <w:pPr>
        <w:pStyle w:val="Titre4"/>
        <w:numPr>
          <w:ilvl w:val="3"/>
          <w:numId w:val="2"/>
        </w:numPr>
        <w:rPr/>
      </w:pPr>
      <w:bookmarkStart w:id="194" w:name="__RefHeading___Toc297323_1346298689"/>
      <w:bookmarkEnd w:id="194"/>
      <w:r>
        <w:rPr/>
        <w:t xml:space="preserve">Altengely – A kivándorlás okainak kezelése </w:t>
      </w:r>
    </w:p>
    <w:p>
      <w:pPr>
        <w:pStyle w:val="P68B1DB1Normal15"/>
        <w:rPr>
          <w:b/>
          <w:b/>
        </w:rPr>
      </w:pPr>
      <w:r>
        <w:rPr/>
        <w:t xml:space="preserve">27. Javasoljuk, hogy az Európai Unió aktívan vegyen részt azon harmadik országok és országok gazdasági fejlődésében, amelyekből a legnagyobb migránsáramlás származik. Az érintett szervek (helyi nem kormányzati szervezetek és helyi politikusok, szakértői terepmunkások stb.) segítségével az EU-nak meg kell keresnie a békés és hatékony beavatkozás módjait azokban az országokban, ahol a legnagyobb migránsáramlás származik, és amelyek egyetértettek az együttműködés módozataival. Ezeknek a beavatkozásoknak kézzelfogható és mérhető hatásokkal kell rendelkezniük, amelyeket egyértelműen ki kell emelni annak érdekében, hogy az európai polgárok megértsék az Unió fejlesztési támogatási politikáját. Ezért az EU fejlesztési segélyezési intézkedéseinek láthatóbbá kell válniuk. </w:t>
      </w:r>
    </w:p>
    <w:p>
      <w:pPr>
        <w:pStyle w:val="Normal"/>
        <w:rPr/>
      </w:pPr>
      <w:r>
        <w:rPr/>
        <w:t xml:space="preserve"> </w:t>
      </w:r>
    </w:p>
    <w:p>
      <w:pPr>
        <w:pStyle w:val="Normal"/>
        <w:rPr/>
      </w:pPr>
      <w:r>
        <w:rPr/>
        <w:t xml:space="preserve">Még ha az EU a nemzetközi fejlesztésen is dolgozik, folytatnia kell fellépését, és be kell ruháznia az e területre vonatkozó politikájának átláthatóságába és láthatóságába. </w:t>
      </w:r>
    </w:p>
    <w:p>
      <w:pPr>
        <w:pStyle w:val="Normal"/>
        <w:rPr/>
      </w:pPr>
      <w:r>
        <w:rPr/>
        <w:t xml:space="preserve"> </w:t>
      </w:r>
    </w:p>
    <w:p>
      <w:pPr>
        <w:pStyle w:val="P68B1DB1Normal15"/>
        <w:rPr>
          <w:b/>
          <w:b/>
        </w:rPr>
      </w:pPr>
      <w:r>
        <w:rPr/>
        <w:t xml:space="preserve">28. Javasoljuk egy közös európai keret létrehozását a munkakörülmények Unió-szerte történő harmonizálására (minimális bér, munkaidő stb.). Az EU-nak törekednie kell arra, hogy közös alapvető munkaügyi normákat hozzon létre annak megakadályozása érdekében, hogy a polgárok elhagyják országukat, hogy máshol jobb munkakörülményeket keressenek. E normák keretében az EU-nak meg kell erősítenie a szakszervezetek szerepét transznacionális szinten azáltal, hogy az EU felismerné, hogy a belső gazdasági migráció (az uniós polgárok migrációja) súlyos problémát jelent. </w:t>
      </w:r>
    </w:p>
    <w:p>
      <w:pPr>
        <w:pStyle w:val="Normal"/>
        <w:rPr/>
      </w:pPr>
      <w:r>
        <w:rPr/>
        <w:t xml:space="preserve"> </w:t>
      </w:r>
    </w:p>
    <w:p>
      <w:pPr>
        <w:pStyle w:val="Normal"/>
        <w:rPr/>
      </w:pPr>
      <w:r>
        <w:rPr/>
        <w:t xml:space="preserve">Ez az ajánlás abból a megállapításból ered, hogy az EU-ban nagyszámú ember vándorol gazdasági okokból, a tagállamok munkakörülményei közötti különbségek miatt. Meg kell akadályozni ezt az agyelszívást annak érdekében, hogy a tagállamok megőrizzék tehetségüket és munkaerejüket. Támogatjuk a polgárok szabad mozgását, de úgy véljük, hogy az uniós polgárok különböző tagállamok közötti migrációja, ha nem kívánatos, gazdasági okoknak tudható be. Ezért fontos közös munkakeretet létrehozni. </w:t>
      </w:r>
    </w:p>
    <w:p>
      <w:pPr>
        <w:pStyle w:val="Normal"/>
        <w:rPr/>
      </w:pPr>
      <w:r>
        <w:rPr/>
        <w:t xml:space="preserve"> </w:t>
      </w:r>
    </w:p>
    <w:p>
      <w:pPr>
        <w:pStyle w:val="Titre4"/>
        <w:numPr>
          <w:ilvl w:val="3"/>
          <w:numId w:val="2"/>
        </w:numPr>
        <w:rPr/>
      </w:pPr>
      <w:bookmarkStart w:id="195" w:name="__RefHeading___Toc297325_1346298689"/>
      <w:bookmarkEnd w:id="195"/>
      <w:r>
        <w:rPr/>
        <w:t xml:space="preserve">Sub-axis 4.2 – Emberi megfontolások </w:t>
      </w:r>
    </w:p>
    <w:p>
      <w:pPr>
        <w:pStyle w:val="P68B1DB1Normal15"/>
        <w:rPr>
          <w:b/>
          <w:b/>
        </w:rPr>
      </w:pPr>
      <w:r>
        <w:rPr/>
        <w:t xml:space="preserve">29. A szolidaritás elvén alapuló közös migrációs politika végrehajtását javasoljuk. Azt akarjuk, hogy összpontosítsunk a menekültkérdésre. Az összes uniós tagállamra vonatkozó közös eljárásnak az összes uniós ország leghatékonyabb gyakorlatán kell alapulnia. Ezt az eljárást a nemzeti hatóságoknak és az uniós hatóságoknak proaktívan kell végrehajtaniuk. </w:t>
      </w:r>
    </w:p>
    <w:p>
      <w:pPr>
        <w:pStyle w:val="Normal"/>
        <w:rPr/>
      </w:pPr>
      <w:r>
        <w:rPr/>
        <w:t xml:space="preserve"> </w:t>
      </w:r>
    </w:p>
    <w:p>
      <w:pPr>
        <w:pStyle w:val="Normal"/>
        <w:rPr/>
      </w:pPr>
      <w:r>
        <w:rPr/>
        <w:t xml:space="preserve">A menekültkérdés minden tagországot érint. Jelenleg ezek az államok túlságosan eltérő gyakorlatokat alkalmaznak, ami negatív hatással van a menekültekre és az uniós polgárokra. Ezért koherens és következetes megközelítést kell alkalmazni. </w:t>
      </w:r>
    </w:p>
    <w:p>
      <w:pPr>
        <w:pStyle w:val="Normal"/>
        <w:rPr/>
      </w:pPr>
      <w:r>
        <w:rPr/>
        <w:t xml:space="preserve"> </w:t>
      </w:r>
    </w:p>
    <w:p>
      <w:pPr>
        <w:pStyle w:val="P68B1DB1Normal15"/>
        <w:rPr>
          <w:b/>
          <w:b/>
        </w:rPr>
      </w:pPr>
      <w:r>
        <w:rPr/>
        <w:t xml:space="preserve">30. Javasoljuk, hogy az EU fokozza erőfeszítéseit annak érdekében, hogy tájékoztassa és oktassa a tagállamok polgárait a migrációval kapcsolatos kérdésekről. Ezt úgy kell elérni, hogy a gyermekeket az általános iskola kezdetétől kezdve a lehető leghamarabb oktatják olyan témákban, mint a migráció és az integráció. Ha ezt a korai oktatást nem kormányzati szervezetek és ifjúsági szervezetek tevékenységével, valamint nagyszabású médiakampányokkal kombináljuk, akkor teljes mértékben elérhetjük célunkat. Emellett számos kommunikációs média is használható: szórólapok, televízió és közösségi hálózatok. </w:t>
      </w:r>
    </w:p>
    <w:p>
      <w:pPr>
        <w:pStyle w:val="Normal"/>
        <w:rPr/>
      </w:pPr>
      <w:r>
        <w:rPr/>
        <w:t xml:space="preserve"> </w:t>
      </w:r>
    </w:p>
    <w:p>
      <w:pPr>
        <w:pStyle w:val="Normal"/>
        <w:rPr/>
      </w:pPr>
      <w:r>
        <w:rPr/>
        <w:t xml:space="preserve">Fontos megmutatni, hogy a migrációnak számos pozitív aspektusa is van, például a további munkaerő. Szeretnénk hangsúlyozni a két folyamat tudatosításának fontosságát, hogy a polgárok megértsék a migráció okait és következményeit annak érdekében, hogy megszüntessék a migránsként érzékelt megbélyegzést. </w:t>
      </w:r>
    </w:p>
    <w:p>
      <w:pPr>
        <w:pStyle w:val="Normal"/>
        <w:rPr/>
      </w:pPr>
      <w:r>
        <w:rPr/>
        <w:t xml:space="preserve"> </w:t>
      </w:r>
    </w:p>
    <w:p>
      <w:pPr>
        <w:pStyle w:val="Titre4"/>
        <w:numPr>
          <w:ilvl w:val="3"/>
          <w:numId w:val="2"/>
        </w:numPr>
        <w:rPr/>
      </w:pPr>
      <w:bookmarkStart w:id="196" w:name="__RefHeading___Toc297327_1346298689"/>
      <w:bookmarkEnd w:id="196"/>
      <w:r>
        <w:rPr/>
        <w:t xml:space="preserve">Altengely – Határok </w:t>
      </w:r>
    </w:p>
    <w:p>
      <w:pPr>
        <w:pStyle w:val="P68B1DB1Normal15"/>
        <w:rPr>
          <w:b/>
          <w:b/>
        </w:rPr>
      </w:pPr>
      <w:r>
        <w:rPr/>
        <w:t xml:space="preserve">31. Javasoljuk, hogy a menedékkérők tagállamokban történő befogadására vonatkozó minimumszabályokról szóló 2013/33/EU irányelv helyébe egy kötelező uniós rendelet lépjen, amely valamennyi tagállamban egységesen alkalmazandó lesz. Elsőbbséget kell biztosítani a befogadási és szálláslehetőségek javításának. Javasoljuk, hogy hozzanak létre egy külön uniós ellenőrző szervet a rendelet végrehajtására. </w:t>
      </w:r>
    </w:p>
    <w:p>
      <w:pPr>
        <w:pStyle w:val="Normal"/>
        <w:rPr/>
      </w:pPr>
      <w:r>
        <w:rPr/>
        <w:t xml:space="preserve"> </w:t>
      </w:r>
    </w:p>
    <w:p>
      <w:pPr>
        <w:pStyle w:val="Normal"/>
        <w:rPr/>
      </w:pPr>
      <w:r>
        <w:rPr/>
        <w:t xml:space="preserve">Az irányelvet ugyanis nem minden tagállamban egységesen hajtják végre. El kell kerülnünk a Moria menekülttáborban megfigyelt körülmények megismétlését. Az ajánlott rendeletet ezért végre kell hajtani, és kötelező szankciókat is magában kell foglalni. Az ellenőrző szervezetnek szilárdnak és megbízhatónak kell lennie. </w:t>
      </w:r>
    </w:p>
    <w:p>
      <w:pPr>
        <w:pStyle w:val="Normal"/>
        <w:rPr/>
      </w:pPr>
      <w:r>
        <w:rPr/>
        <w:t xml:space="preserve"> </w:t>
      </w:r>
    </w:p>
    <w:p>
      <w:pPr>
        <w:pStyle w:val="P68B1DB1Normal15"/>
        <w:rPr>
          <w:b/>
          <w:b/>
        </w:rPr>
      </w:pPr>
      <w:r>
        <w:rPr/>
        <w:t xml:space="preserve">32. Javasoljuk, hogy az EU biztosítsa, hogy minden menedékkérő és menekült vegyen részt nyelvi és integrációs tanfolyamokon, amíg tartózkodási kérelmüket megvizsgálják. A tanfolyamoknak kötelezőnek, ingyenesnek kell lenniük, és magukban kell foglalniuk a kezdeti integrációhoz szükséges személyes segítséget. A tartózkodási kérelem benyújtásától számított két héten belül meg kell kezdeni. Ösztönző és szankciós mechanizmusokat is létre kell hozni. </w:t>
      </w:r>
    </w:p>
    <w:p>
      <w:pPr>
        <w:pStyle w:val="Normal"/>
        <w:rPr/>
      </w:pPr>
      <w:r>
        <w:rPr/>
        <w:t xml:space="preserve"> </w:t>
      </w:r>
    </w:p>
    <w:p>
      <w:pPr>
        <w:pStyle w:val="Normal"/>
        <w:rPr/>
      </w:pPr>
      <w:r>
        <w:rPr/>
        <w:t xml:space="preserve">A nyelv elsajátítása és az érkezési ország kultúrájának, történelmének és etikájának megértése alapvető lépés az integrációban. A kezdeti integrációs folyamat megkezdése előtti késedelem hossza negatív hatással van a migránsok társadalmi asszimilációjára. A szankcionálási mechanizmusok segíthetnek a migránsok beilleszkedési hajlandóságának azonosításában. </w:t>
      </w:r>
    </w:p>
    <w:p>
      <w:pPr>
        <w:pStyle w:val="Normal"/>
        <w:rPr/>
      </w:pPr>
      <w:r>
        <w:rPr/>
        <w:t xml:space="preserve"> </w:t>
      </w:r>
    </w:p>
    <w:p>
      <w:pPr>
        <w:pStyle w:val="Titre3"/>
        <w:numPr>
          <w:ilvl w:val="2"/>
          <w:numId w:val="2"/>
        </w:numPr>
        <w:rPr/>
      </w:pPr>
      <w:bookmarkStart w:id="197" w:name="__RefHeading___Toc297329_1346298689"/>
      <w:bookmarkEnd w:id="197"/>
      <w:r>
        <w:rPr/>
        <w:t xml:space="preserve">5. tengely: Felelősség és szolidaritás az EU-ban </w:t>
      </w:r>
    </w:p>
    <w:p>
      <w:pPr>
        <w:pStyle w:val="Titre4"/>
        <w:numPr>
          <w:ilvl w:val="3"/>
          <w:numId w:val="2"/>
        </w:numPr>
        <w:rPr/>
      </w:pPr>
      <w:bookmarkStart w:id="198" w:name="__RefHeading___Toc297331_1346298689"/>
      <w:bookmarkEnd w:id="198"/>
      <w:r>
        <w:rPr/>
        <w:t xml:space="preserve">Altengely – A migránsok elosztása </w:t>
      </w:r>
    </w:p>
    <w:p>
      <w:pPr>
        <w:pStyle w:val="P68B1DB1Normal15"/>
        <w:rPr>
          <w:b/>
          <w:b/>
        </w:rPr>
      </w:pPr>
      <w:r>
        <w:rPr/>
        <w:t xml:space="preserve">33. Javasoljuk, hogy a dublini rendszert egy jogilag kötelező erejű szerződéssel váltsák fel annak érdekében, hogy biztosítsák a menedékkérők igazságos, kiegyensúlyozott és arányos elosztását az EU-ban a szolidaritás és az igazságszolgáltatás alapján. Jelenleg a menekülteknek az első érkezési tagállamban kell menedékjogot kérelmezniük. A rendszerváltásnak a lehető leggyorsabbnak kell lennie. Az Európai Bizottság 2020. évi új migrációs és menekültügyi paktumra irányuló javaslata jó kiindulópontot jelent, és jogi formát kell öltenie, mivel kvótákat biztosít a menekültek uniós tagállamok közötti elosztására. </w:t>
      </w:r>
    </w:p>
    <w:p>
      <w:pPr>
        <w:pStyle w:val="Normal"/>
        <w:rPr/>
      </w:pPr>
      <w:r>
        <w:rPr/>
        <w:t xml:space="preserve"> </w:t>
      </w:r>
    </w:p>
    <w:p>
      <w:pPr>
        <w:pStyle w:val="Normal"/>
        <w:rPr/>
      </w:pPr>
      <w:r>
        <w:rPr/>
        <w:t xml:space="preserve">Ezt azért javasoljuk, mert a jelenlegi dublini rendszer nem tartja tiszteletben a szolidaritás és az igazságosság elveit. Súlyos terhet ró az EU külső határaihoz közeli tagállamokra, amelyeket a menedékkérők átlépnek, hogy belépjenek a területére. Minden tagállamnak felelősséget kell vállalnia az EU-ba irányuló menekültáramlások kezeléséért. Az EU a közös értékek közössége, és ennek megfelelően kell cselekednie. </w:t>
      </w:r>
    </w:p>
    <w:p>
      <w:pPr>
        <w:pStyle w:val="Normal"/>
        <w:rPr/>
      </w:pPr>
      <w:r>
        <w:rPr/>
        <w:t xml:space="preserve"> </w:t>
      </w:r>
    </w:p>
    <w:p>
      <w:pPr>
        <w:pStyle w:val="P68B1DB1Normal15"/>
        <w:rPr>
          <w:b/>
          <w:b/>
        </w:rPr>
      </w:pPr>
      <w:r>
        <w:rPr/>
        <w:t xml:space="preserve">34. Javasoljuk, hogy az EU segítse tagállamait a menedékjog iránti kérelmek gyorsabb és közös normák szerinti feldolgozásában. Emellett humanitárius lakhatást kell biztosítani a menekülteknek. Az érkező országok kirakodása és menedékjog iránti kérelmük máshonnan történő feldolgozása érdekében javasoljuk, hogy a menekülteket az EU-ba való első érkezésüket követően gyorsan és hatékonyan helyezzék át a különböző tagállamokba. E célból uniós pénzügyi támogatásra és szervezeti támogatásra van szükség az Európai Unió Menekültügyi Ügynökségétől. Azokat a személyeket, akiknek menedékjog iránti kérelmét elutasították, ténylegesen vissza kell küldeni származási országukba, feltéve, hogy származási országuk biztonságosnak minősül. </w:t>
      </w:r>
    </w:p>
    <w:p>
      <w:pPr>
        <w:pStyle w:val="Normal"/>
        <w:rPr/>
      </w:pPr>
      <w:r>
        <w:rPr/>
        <w:t xml:space="preserve"> </w:t>
      </w:r>
    </w:p>
    <w:p>
      <w:pPr>
        <w:pStyle w:val="Normal"/>
        <w:rPr/>
      </w:pPr>
      <w:r>
        <w:rPr/>
        <w:t xml:space="preserve">Ezt azért javasoljuk, mert a menekültügyi eljárások jelenleg túl sokáig tartanak, és tagállamonként eltérőek lehetnek. A menekültügyi eljárások felgyorsításával a menekültek kevesebb időt töltenek a végleges döntésre várva az ideiglenes szálláshelyeken. A menedékkérőket gyorsabban lehet integrálni. </w:t>
      </w:r>
    </w:p>
    <w:p>
      <w:pPr>
        <w:pStyle w:val="Normal"/>
        <w:rPr/>
      </w:pPr>
      <w:r>
        <w:rPr/>
        <w:t xml:space="preserve"> </w:t>
      </w:r>
    </w:p>
    <w:p>
      <w:pPr>
        <w:pStyle w:val="P68B1DB1Normal15"/>
        <w:rPr>
          <w:b/>
          <w:b/>
        </w:rPr>
      </w:pPr>
      <w:r>
        <w:rPr/>
        <w:t xml:space="preserve">35. Erős uniós pénzügyi, logisztikai és operatív támogatást ajánlunk az első befogadás igazgatásához, amely esetleg az irreguláris migránsok integrációjához vagy hazaszállításához vezet. E támogatás kedvezményezettjei az EU határ menti államai, amelyek viselik a migrációs beáramlás terhét. </w:t>
      </w:r>
    </w:p>
    <w:p>
      <w:pPr>
        <w:pStyle w:val="Normal"/>
        <w:rPr/>
      </w:pPr>
      <w:r>
        <w:rPr/>
        <w:t xml:space="preserve"> </w:t>
      </w:r>
    </w:p>
    <w:p>
      <w:pPr>
        <w:pStyle w:val="Normal"/>
        <w:rPr/>
      </w:pPr>
      <w:r>
        <w:rPr/>
        <w:t xml:space="preserve">Földrajzi elhelyezkedésük miatt egyes </w:t>
      </w:r>
      <w:r>
        <w:rPr/>
        <w:commentReference w:id="8"/>
      </w:r>
      <w:r>
        <w:rPr/>
        <w:t xml:space="preserve"> tagállamokat érinti leginkább a migránsok beáramlása. </w:t>
      </w:r>
    </w:p>
    <w:p>
      <w:pPr>
        <w:pStyle w:val="Normal"/>
        <w:rPr/>
      </w:pPr>
      <w:r>
        <w:rPr/>
        <w:t xml:space="preserve"> </w:t>
      </w:r>
    </w:p>
    <w:p>
      <w:pPr>
        <w:pStyle w:val="P68B1DB1Normal15"/>
        <w:rPr>
          <w:b/>
          <w:b/>
        </w:rPr>
      </w:pPr>
      <w:r>
        <w:rPr/>
        <w:t xml:space="preserve">36. Javasoljuk az Európai Unió Menekültügyi Ügynöksége megbízatásának megerősítését a menedékkérők tagállamok közötti igazságos elosztása érdekében. Ennek elérése érdekében figyelembe kell venni az ilyen menedékkérők szükségleteit, valamint a tagállamok logisztikai és gazdasági kapacitásait, valamint munkaerő-piaci szükségleteiket. </w:t>
      </w:r>
    </w:p>
    <w:p>
      <w:pPr>
        <w:pStyle w:val="Normal"/>
        <w:rPr/>
      </w:pPr>
      <w:r>
        <w:rPr/>
        <w:t xml:space="preserve"> </w:t>
      </w:r>
    </w:p>
    <w:p>
      <w:pPr>
        <w:pStyle w:val="Normal"/>
        <w:rPr/>
      </w:pPr>
      <w:r>
        <w:rPr/>
        <w:t xml:space="preserve">A menedékkérők összehangolt és központosított elosztása, amelyet a tagállamok és polgáraik méltányosnak tartanak, elkerüli a kaotikus helyzeteket és a társadalmi feszültségeket, és erősíti a tagállamok közötti szolidaritást. </w:t>
      </w:r>
    </w:p>
    <w:p>
      <w:pPr>
        <w:pStyle w:val="Normal"/>
        <w:rPr/>
      </w:pPr>
      <w:r>
        <w:rPr/>
        <w:t xml:space="preserve"> </w:t>
      </w:r>
    </w:p>
    <w:p>
      <w:pPr>
        <w:pStyle w:val="Titre4"/>
        <w:numPr>
          <w:ilvl w:val="3"/>
          <w:numId w:val="2"/>
        </w:numPr>
        <w:rPr/>
      </w:pPr>
      <w:bookmarkStart w:id="199" w:name="__RefHeading___Toc297333_1346298689"/>
      <w:bookmarkEnd w:id="199"/>
      <w:r>
        <w:rPr/>
        <w:t xml:space="preserve">Altengely – A menekültügy közös megközelítése </w:t>
      </w:r>
    </w:p>
    <w:p>
      <w:pPr>
        <w:pStyle w:val="P68B1DB1Normal15"/>
        <w:rPr>
          <w:b/>
          <w:b/>
        </w:rPr>
      </w:pPr>
      <w:r>
        <w:rPr/>
        <w:t xml:space="preserve">37. Javasoljuk egy átfogó európai intézmény létrehozását vagy az Európai Unió Menekültügyi Ügynökségének megerősítését annak érdekében, hogy az az Európai Unió egészére kiterjedően feldolgozhassa a menedékjog iránti kérelmeket, és egységes normák alapján járhasson el. Az ügynökség feladata a menekültek méltányos elosztása is. Meg kell határoznia továbbá a biztonságos és nem biztonságos származási országokat, és felelősnek kell lennie azon menedékkérők visszaküldéséért, akiknek a kérelmét elutasították. </w:t>
      </w:r>
    </w:p>
    <w:p>
      <w:pPr>
        <w:pStyle w:val="Normal"/>
        <w:rPr/>
      </w:pPr>
      <w:r>
        <w:rPr/>
        <w:t xml:space="preserve"> </w:t>
      </w:r>
    </w:p>
    <w:p>
      <w:pPr>
        <w:pStyle w:val="Normal"/>
        <w:rPr/>
      </w:pPr>
      <w:r>
        <w:rPr/>
        <w:t xml:space="preserve">A jelenlegi menekültügyi politikát az uniós tagállamok nem egyértelmű felelősségi körei és eltérő normái jellemzik. A menekültügyi eljárások kezelése tehát nem azonos a különböző tagállamokban. Emellett az Európai Unió Menekültügyi Ügynöksége jelenleg csak befolyási jogkörrel rendelkezik. Csak menekültügyi kérdésekben adhat tanácsot a tagállamoknak. </w:t>
      </w:r>
    </w:p>
    <w:p>
      <w:pPr>
        <w:pStyle w:val="Normal"/>
        <w:rPr/>
      </w:pPr>
      <w:r>
        <w:rPr/>
        <w:t xml:space="preserve"> </w:t>
      </w:r>
    </w:p>
    <w:p>
      <w:pPr>
        <w:pStyle w:val="P68B1DB1Normal15"/>
        <w:rPr>
          <w:b/>
          <w:b/>
        </w:rPr>
      </w:pPr>
      <w:r>
        <w:rPr/>
        <w:t xml:space="preserve">38. Javasoljuk, hogy haladéktalanul hozzanak létre speciális menekültügyi központokat a kísérő nélküli kiskorúak számára valamennyi uniós tagállamban. A cél az, hogy különleges igényeiknek megfelelően és a lehető leghamarabb üdvözöljük és gondozzuk a kiskorúakat. </w:t>
      </w:r>
    </w:p>
    <w:p>
      <w:pPr>
        <w:pStyle w:val="Normal"/>
        <w:rPr/>
      </w:pPr>
      <w:r>
        <w:rPr/>
        <w:t xml:space="preserve"> </w:t>
      </w:r>
    </w:p>
    <w:p>
      <w:pPr>
        <w:pStyle w:val="Normal"/>
        <w:rPr/>
      </w:pPr>
      <w:r>
        <w:rPr/>
        <w:t xml:space="preserve">Ezt az ajánlást azért tesszük, mert: </w:t>
      </w:r>
    </w:p>
    <w:p>
      <w:pPr>
        <w:pStyle w:val="Normal"/>
        <w:rPr/>
      </w:pPr>
      <w:r>
        <w:rPr/>
        <w:t xml:space="preserve">1) Sok kiskorú valószínűleg traumatizálódik (mert konfliktusövezetekből származnak); </w:t>
      </w:r>
    </w:p>
    <w:p>
      <w:pPr>
        <w:pStyle w:val="Normal"/>
        <w:rPr/>
      </w:pPr>
      <w:r>
        <w:rPr/>
        <w:t xml:space="preserve">2) A különböző gyermekeknek eltérő igényeik vannak (életkortól, egészségi állapottól függően stb.); </w:t>
      </w:r>
    </w:p>
    <w:p>
      <w:pPr>
        <w:pStyle w:val="Normal"/>
        <w:rPr/>
      </w:pPr>
      <w:r>
        <w:rPr/>
        <w:t xml:space="preserve">(3) végrehajtás esetén biztosítaná, hogy a kiszolgáltatott és traumatizált kiskorúak a lehető leghamarabb megkapják a szükséges ellátást; </w:t>
      </w:r>
    </w:p>
    <w:p>
      <w:pPr>
        <w:pStyle w:val="Normal"/>
        <w:rPr/>
      </w:pPr>
      <w:r>
        <w:rPr/>
        <w:t xml:space="preserve">4) ezek a kiskorúak jövőbeli európai polgárok, ezért megfelelő bánásmód esetén pozitívan kell hozzájárulniuk Európa jövőjéhez. </w:t>
      </w:r>
    </w:p>
    <w:p>
      <w:pPr>
        <w:pStyle w:val="Normal"/>
        <w:rPr/>
      </w:pPr>
      <w:r>
        <w:rPr/>
        <w:t xml:space="preserve"> </w:t>
      </w:r>
    </w:p>
    <w:p>
      <w:pPr>
        <w:pStyle w:val="P68B1DB1Normal15"/>
        <w:rPr>
          <w:b/>
          <w:b/>
        </w:rPr>
      </w:pPr>
      <w:r>
        <w:rPr/>
        <w:t xml:space="preserve">39. Javasoljuk egy közös, gyors és átlátható rendszer létrehozását a menedékjog iránti kérelmek feldolgozására. Ennek a folyamatnak minimumszabályokat kell előírnia, és azt minden tagállamban azonos módon kell alkalmazni. </w:t>
      </w:r>
    </w:p>
    <w:p>
      <w:pPr>
        <w:pStyle w:val="Normal"/>
        <w:rPr/>
      </w:pPr>
      <w:r>
        <w:rPr/>
        <w:t xml:space="preserve"> </w:t>
      </w:r>
    </w:p>
    <w:p>
      <w:pPr>
        <w:pStyle w:val="Normal"/>
        <w:rPr/>
      </w:pPr>
      <w:r>
        <w:rPr/>
        <w:t xml:space="preserve">Ezt az ajánlást azért tesszük, mert: </w:t>
      </w:r>
    </w:p>
    <w:p>
      <w:pPr>
        <w:pStyle w:val="Normal"/>
        <w:rPr/>
      </w:pPr>
      <w:r>
        <w:rPr/>
        <w:t xml:space="preserve">(1) ha ezt az ajánlást végrehajtanák, a menedékjog iránti kérelmek feldolgozása gyorsabb és átláthatóbb lenne; </w:t>
      </w:r>
    </w:p>
    <w:p>
      <w:pPr>
        <w:pStyle w:val="Normal"/>
        <w:rPr/>
      </w:pPr>
      <w:r>
        <w:rPr/>
        <w:t xml:space="preserve">2) a jelenlegi eljárások lassúsága jogellenességhez és bűnözéshez vezet; </w:t>
      </w:r>
    </w:p>
    <w:p>
      <w:pPr>
        <w:pStyle w:val="Normal"/>
        <w:rPr/>
      </w:pPr>
      <w:r>
        <w:rPr/>
        <w:t xml:space="preserve">3) Az ajánlásban előirányzott minimumszabályoknak magukban kell foglalniuk az emberi jogok, az egészség és a menedékkérők oktatási szükségleteinek tiszteletben tartását; </w:t>
      </w:r>
    </w:p>
    <w:p>
      <w:pPr>
        <w:pStyle w:val="Normal"/>
        <w:rPr/>
      </w:pPr>
      <w:r>
        <w:rPr/>
        <w:t xml:space="preserve">4) ezen ajánlás végrehajtása a foglalkoztatáshoz való jobb hozzáférést és az önellátást eredményezné, ami pozitív hozzájárulást tenne lehetővé az európai társadalom számára; kevésbé valószínű, hogy munkakörnyezetükben visszaélnek az olyan menedékkérőkkel, akiknek a szakmai státuszát szabályosították; ez csak valamennyi érintett integrációját mozdíthatja elő; </w:t>
      </w:r>
    </w:p>
    <w:p>
      <w:pPr>
        <w:pStyle w:val="Normal"/>
        <w:rPr/>
      </w:pPr>
      <w:r>
        <w:rPr/>
        <w:t xml:space="preserve">5) A menekültügyi központokban való hosszabb tartózkodás káros hatással van az utasok mentális egészségére és jóllétére. </w:t>
      </w:r>
    </w:p>
    <w:p>
      <w:pPr>
        <w:pStyle w:val="Normal"/>
        <w:rPr/>
      </w:pPr>
      <w:r>
        <w:rPr/>
        <w:t xml:space="preserve"> </w:t>
      </w:r>
    </w:p>
    <w:p>
      <w:pPr>
        <w:pStyle w:val="P68B1DB1Normal15"/>
        <w:rPr>
          <w:b/>
          <w:b/>
        </w:rPr>
      </w:pPr>
      <w:r>
        <w:rPr/>
        <w:t xml:space="preserve">40. Határozottan javasoljuk az európai menekültügyre és bevándorlásra vonatkozó valamennyi megállapodás és jogszabály átfogó felülvizsgálatát. Javasoljuk, hogy egész Európára kiterjedő megközelítést alkalmazzanak. </w:t>
      </w:r>
    </w:p>
    <w:p>
      <w:pPr>
        <w:pStyle w:val="Normal"/>
        <w:rPr/>
      </w:pPr>
      <w:r>
        <w:rPr/>
        <w:t xml:space="preserve"> </w:t>
      </w:r>
    </w:p>
    <w:p>
      <w:pPr>
        <w:pStyle w:val="Normal"/>
        <w:rPr/>
      </w:pPr>
      <w:r>
        <w:rPr/>
        <w:t xml:space="preserve">Ezt az ajánlást azért tesszük, mert: </w:t>
      </w:r>
    </w:p>
    <w:p>
      <w:pPr>
        <w:pStyle w:val="Normal"/>
        <w:rPr/>
      </w:pPr>
      <w:r>
        <w:rPr/>
        <w:t xml:space="preserve">1) 2015 óta minden jelenlegi megállapodás nem alkalmazható, kivitelezhetetlen és alkalmatlan; </w:t>
      </w:r>
    </w:p>
    <w:p>
      <w:pPr>
        <w:pStyle w:val="Normal"/>
        <w:rPr/>
      </w:pPr>
      <w:r>
        <w:rPr/>
        <w:t xml:space="preserve">2) az EU-t kell a fő „ügynökségnek” tekinteni, amely felügyeli az összes többi olyan ügynökséget és nem kormányzati szervezetet, amelynek feladata, hogy közvetlenül foglalkozzon a menekültügyi kérdésekkel; </w:t>
      </w:r>
    </w:p>
    <w:p>
      <w:pPr>
        <w:pStyle w:val="Normal"/>
        <w:rPr/>
      </w:pPr>
      <w:r>
        <w:rPr/>
        <w:t xml:space="preserve">(3) azok a tagállamok, amelyek a leginkább szenvednek a helyzettől, azok, amelyek nagyrészt önmagukban küzdenek a problémával; egyes tagállamok „à la carte” választásai nem adnak képet az egységről; </w:t>
      </w:r>
    </w:p>
    <w:p>
      <w:pPr>
        <w:pStyle w:val="Normal"/>
        <w:rPr/>
      </w:pPr>
      <w:r>
        <w:rPr/>
        <w:t xml:space="preserve">4) az új célzott jogszabályok javítanák valamennyi menedékkérő jövőjét, és erősítenék Európa egységét; </w:t>
      </w:r>
    </w:p>
    <w:p>
      <w:pPr>
        <w:pStyle w:val="Normal"/>
        <w:rPr/>
      </w:pPr>
      <w:r>
        <w:rPr/>
        <w:t xml:space="preserve">5) a jelenlegi jogszabályok hiányosságai konfliktusokhoz és a harmonizáció hiányához vezetnek Európa-szerte, és az európai polgárok körében fokozódik a migránsokkal szembeni intolerancia. </w:t>
      </w:r>
    </w:p>
    <w:p>
      <w:pPr>
        <w:pStyle w:val="Normal"/>
        <w:rPr/>
      </w:pPr>
      <w:r>
        <w:rPr/>
        <w:t>6) A szigorúbb és releváns jogszabályok csökkentenék a bűnözést és a jelenlegi menekültügyi rendszerrel való visszaélést.</w:t>
      </w:r>
    </w:p>
    <w:p>
      <w:pPr>
        <w:pStyle w:val="Normal"/>
        <w:rPr/>
      </w:pPr>
      <w:r>
        <w:rPr/>
        <w:t xml:space="preserve"> </w:t>
      </w:r>
    </w:p>
    <w:p>
      <w:pPr>
        <w:pStyle w:val="Titre3"/>
        <w:numPr>
          <w:ilvl w:val="2"/>
          <w:numId w:val="2"/>
        </w:numPr>
        <w:rPr/>
      </w:pPr>
      <w:bookmarkStart w:id="200" w:name="__RefHeading___Toc297335_1346298689"/>
      <w:bookmarkEnd w:id="200"/>
      <w:r>
        <w:rPr/>
        <w:t xml:space="preserve">Melléklet: A TESTÜLET ÁLTAL MEGVIZSGÁLT, DE EL NEM FOGADOTT EGYÉB AJÁNLÁSOK </w:t>
      </w:r>
    </w:p>
    <w:p>
      <w:pPr>
        <w:pStyle w:val="Titre4"/>
        <w:numPr>
          <w:ilvl w:val="3"/>
          <w:numId w:val="2"/>
        </w:numPr>
        <w:rPr/>
      </w:pPr>
      <w:bookmarkStart w:id="201" w:name="__RefHeading___Toc297337_1346298689"/>
      <w:bookmarkEnd w:id="201"/>
      <w:r>
        <w:rPr/>
        <w:t xml:space="preserve">1. tengely: Önellátás és stabilitás </w:t>
      </w:r>
    </w:p>
    <w:p>
      <w:pPr>
        <w:pStyle w:val="Normal"/>
        <w:rPr/>
      </w:pPr>
      <w:r>
        <w:rPr/>
        <w:t xml:space="preserve">Altengely – EU Autonómia </w:t>
      </w:r>
    </w:p>
    <w:p>
      <w:pPr>
        <w:pStyle w:val="P68B1DB1Normal15"/>
        <w:rPr>
          <w:b/>
          <w:b/>
        </w:rPr>
      </w:pPr>
      <w:r>
        <w:rPr/>
        <w:t xml:space="preserve">Amennyiben a fejlődő országok kérik, javasoljuk, hogy a gazdasági fejlődésre irányuló beavatkozási programokat az egyes országok igényeihez és/vagy kereskedelmi megállapodásokhoz igazított partnerségek alapján dolgozzák ki. Ehhez először meg kell vizsgálni a szóban forgó országok gazdasági potenciálját, majd biztosítani kell számukra a szükséges gazdasági támogatást és szakképzést. </w:t>
      </w:r>
    </w:p>
    <w:p>
      <w:pPr>
        <w:pStyle w:val="Normal"/>
        <w:rPr/>
      </w:pPr>
      <w:r>
        <w:rPr/>
        <w:t xml:space="preserve">Ez nagyobb ipari függetlenséget eredményezne, és munkahelyek teremtése révén javítaná az általános migrációs helyzetet; ez jobb kereskedelmi megállapodásokat is eredményezne a fejlődő országokban. </w:t>
      </w:r>
    </w:p>
    <w:p>
      <w:pPr>
        <w:pStyle w:val="Normal"/>
        <w:rPr/>
      </w:pPr>
      <w:r>
        <w:rPr/>
        <w:t xml:space="preserve"> </w:t>
      </w:r>
    </w:p>
    <w:p>
      <w:pPr>
        <w:pStyle w:val="Titre4"/>
        <w:numPr>
          <w:ilvl w:val="3"/>
          <w:numId w:val="2"/>
        </w:numPr>
        <w:rPr/>
      </w:pPr>
      <w:bookmarkStart w:id="202" w:name="__RefHeading___Toc297339_1346298689"/>
      <w:bookmarkEnd w:id="202"/>
      <w:r>
        <w:rPr/>
        <w:t xml:space="preserve">2. tengely: Az EU mint nemzetközi partner </w:t>
      </w:r>
    </w:p>
    <w:p>
      <w:pPr>
        <w:pStyle w:val="Normal"/>
        <w:rPr/>
      </w:pPr>
      <w:r>
        <w:rPr/>
        <w:t xml:space="preserve">Altengely – A kereskedelmi kapcsolatok etikai perspektívája </w:t>
      </w:r>
    </w:p>
    <w:p>
      <w:pPr>
        <w:pStyle w:val="P68B1DB1Normal15"/>
        <w:rPr>
          <w:b/>
          <w:b/>
        </w:rPr>
      </w:pPr>
      <w:r>
        <w:rPr/>
        <w:t xml:space="preserve">Javasoljuk, hogy az EU vezessen be olyan szabályokat, amelyek előírják a vállalatok számára, hogy ellenőrizzék ellátási láncukat, és rendszeresen nyújtsanak be átfogó ellenőrzési jelentést, valamint olyan rendelkezéseket, amelyek etikai kritériumok alapján jutalmazzák vagy korlátozzák a behozatalt. A vállalatoknak méretük alapján belső és/vagy külső ellenőrzési jelentést kell benyújtaniuk. </w:t>
      </w:r>
    </w:p>
    <w:p>
      <w:pPr>
        <w:pStyle w:val="Normal"/>
        <w:rPr/>
      </w:pPr>
      <w:r>
        <w:rPr/>
        <w:t xml:space="preserve"> </w:t>
      </w:r>
    </w:p>
    <w:p>
      <w:pPr>
        <w:pStyle w:val="Normal"/>
        <w:rPr/>
      </w:pPr>
      <w:r>
        <w:rPr/>
        <w:t xml:space="preserve">Fejleszteni kell az EU-val folytatott kereskedelem etikai aspektusát. Ez a nemzetközi ellátási láncokban folytatott üzleti tevékenységek nyomon követésével és a vállalatok etikai kritériumok – például veszélyes termékek, munkajogok és munkakörülmények, gyermekmunka és környezetvédelem – szerinti magatartásának ösztönzésével érhető el. Ez az ajánlás nem vonatkozna a közvetlenül a fogyasztó által vásárolt online termékekre. </w:t>
      </w:r>
    </w:p>
    <w:p>
      <w:pPr>
        <w:pStyle w:val="Normal"/>
        <w:rPr/>
      </w:pPr>
      <w:r>
        <w:rPr/>
        <w:t xml:space="preserve"> </w:t>
      </w:r>
    </w:p>
    <w:p>
      <w:pPr>
        <w:pStyle w:val="Titre4"/>
        <w:numPr>
          <w:ilvl w:val="3"/>
          <w:numId w:val="2"/>
        </w:numPr>
        <w:rPr/>
      </w:pPr>
      <w:bookmarkStart w:id="203" w:name="__RefHeading___Toc297341_1346298689"/>
      <w:bookmarkEnd w:id="203"/>
      <w:r>
        <w:rPr/>
        <w:t xml:space="preserve">3. tengely: Erős EU a békés világban </w:t>
      </w:r>
    </w:p>
    <w:p>
      <w:pPr>
        <w:pStyle w:val="Normal"/>
        <w:rPr/>
      </w:pPr>
      <w:r>
        <w:rPr/>
        <w:t xml:space="preserve">Altengely – Biztonság és védelem </w:t>
      </w:r>
    </w:p>
    <w:p>
      <w:pPr>
        <w:pStyle w:val="P68B1DB1Normal15"/>
        <w:rPr>
          <w:b/>
          <w:b/>
        </w:rPr>
      </w:pPr>
      <w:r>
        <w:rPr/>
        <w:t xml:space="preserve">Javasoljuk, hogy gondolja át a jelenlegi európai biztonsági architektúrát annak érdekében, hogy hatékonyabb és hatékonyabb szupranacionális struktúrát alakítson ki, nagyobb kapacitással, egy közös európai uniós hadsereg létrehozása céljából. Ennek érdekében a nemzeti fegyveres erőket fokozatosan össze kell vonni és át kell alakítani. A cél az, hogy a katonai képességeknek az Európai Unióban való összevonása hosszú távon is előmozdítsa az európai integrációt. A közös uniós hadsereg létrehozása új együttműködési megállapodást is igényelne az uniós tagállamokkal és nem európai NATO-tagokkal. </w:t>
      </w:r>
    </w:p>
    <w:p>
      <w:pPr>
        <w:pStyle w:val="Normal"/>
        <w:rPr/>
      </w:pPr>
      <w:r>
        <w:rPr/>
        <w:t xml:space="preserve"> </w:t>
      </w:r>
    </w:p>
    <w:p>
      <w:pPr>
        <w:pStyle w:val="Normal"/>
        <w:rPr/>
      </w:pPr>
      <w:r>
        <w:rPr/>
        <w:t xml:space="preserve">Ha ezt az ajánlást végrehajtják, úgy véljük, hogy az Európai Unión belüli katonai struktúrák költséghatékonyabbak lesznek, és szükség esetén képesek lesznek reagálni és cselekedni. Ez az integrált megközelítés megerősítené az EU azon képességét, hogy kritikus helyzetekben határozott és összehangolt módon lépjen fel. </w:t>
      </w:r>
    </w:p>
    <w:p>
      <w:pPr>
        <w:pStyle w:val="Normal"/>
        <w:rPr/>
      </w:pPr>
      <w:r>
        <w:rPr/>
        <w:t xml:space="preserve"> </w:t>
      </w:r>
    </w:p>
    <w:p>
      <w:pPr>
        <w:pStyle w:val="Titre4"/>
        <w:numPr>
          <w:ilvl w:val="3"/>
          <w:numId w:val="2"/>
        </w:numPr>
        <w:rPr/>
      </w:pPr>
      <w:bookmarkStart w:id="204" w:name="__RefHeading___Toc297343_1346298689"/>
      <w:bookmarkEnd w:id="204"/>
      <w:r>
        <w:rPr/>
        <w:t xml:space="preserve">4. tengely: Emigráció emberi szemszögből </w:t>
      </w:r>
    </w:p>
    <w:p>
      <w:pPr>
        <w:pStyle w:val="Normal"/>
        <w:rPr/>
      </w:pPr>
      <w:r>
        <w:rPr/>
        <w:t xml:space="preserve">Altengely – A kivándorlás okainak kezelése </w:t>
      </w:r>
    </w:p>
    <w:p>
      <w:pPr>
        <w:pStyle w:val="P68B1DB1Normal15"/>
        <w:rPr>
          <w:b/>
          <w:b/>
        </w:rPr>
      </w:pPr>
      <w:r>
        <w:rPr/>
        <w:t xml:space="preserve">Javasoljuk, hogy az EU vezessen be cselekvési jegyzőkönyvet a következő migrációs válságra, a klímamenekültekre való felkészüléshez. E jegyzőkönyv értelmében az EU-nak ki kell terjesztenie a menekültek és menedékkérők fogalommeghatározását az éghajlatváltozás által érintett személyekre is. Mivel sok migráns származási országa lakhatatlanná válik, a jegyzőkönyvnek azt is biztosítania kell, hogy az éghajlatváltozás által érintett területeken új felhasználási lehetőségeket találjanak annak érdekében, hogy támogassák azokat, akik elhagyták ezeket a területeket. Például az elárasztott területeket szélerőműparkok létrehozására lehetne használni. </w:t>
      </w:r>
    </w:p>
    <w:p>
      <w:pPr>
        <w:pStyle w:val="Normal"/>
        <w:rPr/>
      </w:pPr>
      <w:r>
        <w:rPr/>
        <w:t xml:space="preserve"> </w:t>
      </w:r>
    </w:p>
    <w:p>
      <w:pPr>
        <w:pStyle w:val="Normal"/>
        <w:rPr/>
      </w:pPr>
      <w:r>
        <w:rPr/>
        <w:t xml:space="preserve">Azért tesszük ezt az ajánlást, mert mindannyian felelősek vagyunk az éghajlati válságért. Tehát felelősséggel tartozunk azok iránt, akik a leginkább érintettek. Még ha nincsenek sem előrejelzéseink, sem konkrét adataink a jövőbeli menekültekről, az éghajlatváltozás kétségtelenül emberek millióit fogja érinteni. </w:t>
      </w:r>
    </w:p>
    <w:p>
      <w:pPr>
        <w:pStyle w:val="Normal"/>
        <w:rPr/>
      </w:pPr>
      <w:r>
        <w:rPr/>
        <w:t xml:space="preserve"> </w:t>
      </w:r>
    </w:p>
    <w:p>
      <w:pPr>
        <w:pStyle w:val="Normal"/>
        <w:rPr/>
      </w:pPr>
      <w:r>
        <w:rPr/>
        <w:t xml:space="preserve">Sub-axis 4.2 – Emberi megfontolások </w:t>
      </w:r>
    </w:p>
    <w:p>
      <w:pPr>
        <w:pStyle w:val="P68B1DB1Normal15"/>
        <w:rPr>
          <w:b/>
          <w:b/>
        </w:rPr>
      </w:pPr>
      <w:r>
        <w:rPr/>
        <w:t xml:space="preserve">Javasoljuk, hogy haladéktalanul erősítsék meg és finanszírozzák a legális és humanitárius utakat és közlekedési eszközöket, hogy a menekültek szervezett módon tudjanak kiköltözni a válság sújtotta térségekből. Az európai sávokra vonatkozó különleges biztonsági rendszert a kifejezetten erre a célra létrehozott szervnek kell létrehoznia és szabályoznia. Ezt az ügynökséget a jogalkotási eljárásnak megfelelően kell létrehozni, és az eljárási szabályzatában meghatározott különleges hatáskörökkel kell rendelkeznie. </w:t>
      </w:r>
    </w:p>
    <w:p>
      <w:pPr>
        <w:pStyle w:val="Normal"/>
        <w:rPr/>
      </w:pPr>
      <w:r>
        <w:rPr/>
        <w:t xml:space="preserve"> </w:t>
      </w:r>
    </w:p>
    <w:p>
      <w:pPr>
        <w:pStyle w:val="Normal"/>
        <w:rPr/>
      </w:pPr>
      <w:r>
        <w:rPr/>
        <w:t xml:space="preserve">Az emberkereskedelem és a migránsok csempészete komoly kérdések, amelyekkel foglalkozni kell. Ajánlásunk minden bizonnyal csökkentené ezeket az aggályokat. </w:t>
      </w:r>
    </w:p>
    <w:p>
      <w:pPr>
        <w:pStyle w:val="Normal"/>
        <w:rPr/>
      </w:pPr>
      <w:r>
        <w:rPr/>
        <w:t xml:space="preserve"> </w:t>
      </w:r>
    </w:p>
    <w:p>
      <w:pPr>
        <w:pStyle w:val="Normal"/>
        <w:rPr/>
      </w:pPr>
      <w:r>
        <w:rPr/>
        <w:t xml:space="preserve">Altengely – Határok </w:t>
      </w:r>
    </w:p>
    <w:p>
      <w:pPr>
        <w:pStyle w:val="P68B1DB1Normal15"/>
        <w:rPr>
          <w:b/>
          <w:b/>
        </w:rPr>
      </w:pPr>
      <w:r>
        <w:rPr/>
        <w:t xml:space="preserve">Javasoljuk, hogy egy európai irányelv biztosítsa, hogy az egyes tagállamokban minden lakóterületen ne legyen több, mint 30% harmadik ország lakosa. Ezt a célt 2030-ig várhatóan el kell érni, és az uniós tagállamoknak támogatást kell kapniuk e cél végrehajtásához. </w:t>
      </w:r>
    </w:p>
    <w:p>
      <w:pPr>
        <w:pStyle w:val="Normal"/>
        <w:rPr/>
      </w:pPr>
      <w:r>
        <w:rPr/>
        <w:t xml:space="preserve"> </w:t>
      </w:r>
    </w:p>
    <w:p>
      <w:pPr>
        <w:pStyle w:val="Normal"/>
        <w:rPr/>
      </w:pPr>
      <w:r>
        <w:rPr/>
        <w:t xml:space="preserve">Azért tesszük ezt az ajánlást, mert a méltányosabb földrajzi eloszlás azt eredményezi, hogy a migránsok jobban elfogadják a helyi lakosságot, és ezáltal lehetővé teszik számukra, hogy jobban integrálódjanak. Ez az arány egy közelmúltbeli dán politikai megállapodáson alapul. </w:t>
      </w:r>
      <w:r>
        <w:br w:type="page"/>
      </w:r>
    </w:p>
    <w:p>
      <w:pPr>
        <w:pStyle w:val="Titre1"/>
        <w:numPr>
          <w:ilvl w:val="0"/>
          <w:numId w:val="2"/>
        </w:numPr>
        <w:rPr/>
      </w:pPr>
      <w:bookmarkStart w:id="205" w:name="__RefHeading___Toc297345_1346298689"/>
      <w:bookmarkEnd w:id="205"/>
      <w:r>
        <w:rPr/>
        <w:t xml:space="preserve">II A – Nemzeti panelek: Belgium </w:t>
      </w:r>
    </w:p>
    <w:p>
      <w:pPr>
        <w:pStyle w:val="Normal"/>
        <w:spacing w:before="1285" w:after="57"/>
        <w:rPr/>
      </w:pPr>
      <w:r>
        <w:rPr/>
        <w:drawing>
          <wp:anchor behindDoc="0" distT="0" distB="0" distL="0" distR="0" simplePos="0" locked="0" layoutInCell="1" allowOverlap="1" relativeHeight="33">
            <wp:simplePos x="0" y="0"/>
            <wp:positionH relativeFrom="column">
              <wp:align>center</wp:align>
            </wp:positionH>
            <wp:positionV relativeFrom="paragraph">
              <wp:posOffset>635</wp:posOffset>
            </wp:positionV>
            <wp:extent cx="6120130" cy="815975"/>
            <wp:effectExtent l="0" t="0" r="0" b="0"/>
            <wp:wrapSquare wrapText="largest"/>
            <wp:docPr id="74" name="Kép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Kép32" descr=""/>
                    <pic:cNvPicPr>
                      <a:picLocks noChangeAspect="1" noChangeArrowheads="1"/>
                    </pic:cNvPicPr>
                  </pic:nvPicPr>
                  <pic:blipFill>
                    <a:blip r:embed="rId84"/>
                    <a:stretch>
                      <a:fillRect/>
                    </a:stretch>
                  </pic:blipFill>
                  <pic:spPr bwMode="auto">
                    <a:xfrm>
                      <a:off x="0" y="0"/>
                      <a:ext cx="6120130" cy="815975"/>
                    </a:xfrm>
                    <a:prstGeom prst="rect">
                      <a:avLst/>
                    </a:prstGeom>
                  </pic:spPr>
                </pic:pic>
              </a:graphicData>
            </a:graphic>
          </wp:anchor>
        </w:drawing>
      </w:r>
    </w:p>
    <w:p>
      <w:pPr>
        <w:pStyle w:val="P68B1DB1Normal20"/>
        <w:widowControl w:val="false"/>
        <w:spacing w:lineRule="exact" w:line="316"/>
        <w:ind w:left="0" w:right="152" w:hanging="0"/>
        <w:jc w:val="both"/>
        <w:rPr/>
      </w:pPr>
      <w:r>
        <w:rPr/>
        <w:t xml:space="preserve">Itt található a Sophie Wilmès miniszterelnök-helyettes, kül- és európai ügyekért felelős miniszter égisze alatt szervezett polgári bizottság 50 polgára által tett valamennyi ajánlás a belga szövetségi kormánynak az Európa jövőjéről szóló konferenciához való hozzájárulásaként. Ennek a panelnek a témája a következő volt: „Hogyan lehet jobban bevonni a polgárokat az európai demokráciába”. Bár tisztában van azzal, hogy a konferencia szélesebb körű, mint az uniós ügyek egyedül, e testület témája tisztázza, hogy miért van olyan sok kifejezett utalás az EU-ra és annak intézményeire. Adott esetben általában Európára kell hivatkozni. </w:t>
      </w:r>
    </w:p>
    <w:p>
      <w:pPr>
        <w:pStyle w:val="P68B1DB1Normal19"/>
        <w:widowControl w:val="false"/>
        <w:spacing w:lineRule="exact" w:line="388" w:before="146" w:after="0"/>
        <w:ind w:left="0" w:right="0" w:hanging="0"/>
        <w:jc w:val="left"/>
        <w:rPr>
          <w:rFonts w:ascii="Times New Roman" w:hAnsi="Times New Roman"/>
          <w:color w:val="000000"/>
          <w:sz w:val="24"/>
        </w:rPr>
      </w:pPr>
      <w:r>
        <w:rPr/>
        <w:t xml:space="preserve"> </w:t>
      </w:r>
    </w:p>
    <w:p>
      <w:pPr>
        <w:pStyle w:val="P68B1DB1Normal21"/>
        <w:widowControl w:val="false"/>
        <w:spacing w:lineRule="exact" w:line="316" w:before="102" w:after="0"/>
        <w:ind w:left="0" w:right="176" w:hanging="0"/>
        <w:jc w:val="left"/>
        <w:rPr/>
      </w:pPr>
      <w:r>
        <w:rPr>
          <w:color w:val="000000"/>
        </w:rPr>
        <w:t xml:space="preserve">A polgárok valamennyi hozzájárulásának tükrözése érdekében ez a jelentés az összes ajánlást tartalmazza, beleértve azokat is, amelyek nem kaptak egyszerű többséget az összes ajánlásról szóló végső szavazáson. Egyértelműen felismerhető a </w:t>
      </w:r>
      <w:r>
        <w:rPr>
          <w:b/>
          <w:color w:val="FF0000"/>
        </w:rPr>
        <w:t>piros és a félkövér százalékos arány miatt.</w:t>
      </w:r>
      <w:r>
        <w:rPr>
          <w:color w:val="000000"/>
        </w:rPr>
        <w:t xml:space="preserve"> Emellett egyes ajánlások ellentmondanak egymásnak, és még a végső megbeszélések során is, a polgárok továbbra sem meggyőzőek ezekről. Ezek az ajánlások felismerhetők, mert </w:t>
      </w:r>
      <w:r>
        <w:rPr>
          <w:i/>
          <w:color w:val="000000"/>
        </w:rPr>
        <w:t>dőlt betűvel vannak ellátva.</w:t>
      </w:r>
      <w:r>
        <w:rPr>
          <w:color w:val="000000"/>
        </w:rPr>
        <w:t xml:space="preserve"> Egyetlen ajánlás esetében a divízió annyira egyértelmű volt, hogy a szavazás egy </w:t>
      </w:r>
      <w:r>
        <w:rPr>
          <w:i/>
          <w:color w:val="000000"/>
        </w:rPr>
        <w:t xml:space="preserve">ex-aequo-val végződött, </w:t>
      </w:r>
      <w:r>
        <w:rPr>
          <w:color w:val="000000"/>
        </w:rPr>
        <w:t xml:space="preserve">ezt </w:t>
      </w:r>
      <w:r>
        <w:rPr>
          <w:b/>
          <w:color w:val="FF9900"/>
        </w:rPr>
        <w:t>narancssárga és félkövér betűtípus jelzi</w:t>
      </w:r>
      <w:r>
        <w:rPr>
          <w:color w:val="000000"/>
        </w:rPr>
        <w:t xml:space="preserve">. A polgárok osztják azt a tényt, hogy az ezen ajánlásokra vonatkozó vélemények eltérnek egymástól. Ezért azt javasolják, hogy a CoFE szervei és az uniós intézmények legyenek éberek ezen ajánlások végrehajtása során, mivel létezik egy szavazáson alapuló megosztottság. </w:t>
      </w:r>
    </w:p>
    <w:p>
      <w:pPr>
        <w:pStyle w:val="Normal"/>
        <w:rPr/>
      </w:pPr>
      <w:r>
        <w:rPr/>
      </w:r>
      <w:r>
        <w:br w:type="page"/>
      </w:r>
    </w:p>
    <w:p>
      <w:pPr>
        <w:pStyle w:val="Normal"/>
        <w:rPr/>
      </w:pPr>
      <w:r>
        <w:rPr/>
        <w:t>1. Kommunikáció</w:t>
      </w:r>
    </w:p>
    <w:p>
      <w:pPr>
        <w:pStyle w:val="Normal"/>
        <w:rPr/>
      </w:pPr>
      <w:r>
        <w:rPr/>
      </w:r>
    </w:p>
    <w:tbl>
      <w:tblPr>
        <w:tblW w:w="9638" w:type="dxa"/>
        <w:jc w:val="center"/>
        <w:tblInd w:w="0" w:type="dxa"/>
        <w:tblBorders>
          <w:top w:val="single" w:sz="2" w:space="0" w:color="000001"/>
          <w:left w:val="single" w:sz="2" w:space="0" w:color="000001"/>
          <w:bottom w:val="single" w:sz="2" w:space="0" w:color="000001"/>
          <w:insideH w:val="single" w:sz="2" w:space="0" w:color="000001"/>
        </w:tblBorders>
        <w:tblCellMar>
          <w:top w:w="28" w:type="dxa"/>
          <w:left w:w="25" w:type="dxa"/>
          <w:bottom w:w="28" w:type="dxa"/>
          <w:right w:w="28" w:type="dxa"/>
        </w:tblCellMar>
      </w:tblPr>
      <w:tblGrid>
        <w:gridCol w:w="2004"/>
        <w:gridCol w:w="6469"/>
        <w:gridCol w:w="1165"/>
      </w:tblGrid>
      <w:tr>
        <w:trPr/>
        <w:tc>
          <w:tcPr>
            <w:tcW w:w="2004" w:type="dxa"/>
            <w:tcBorders>
              <w:top w:val="single" w:sz="2" w:space="0" w:color="000001"/>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Style w:val="Accentuationforte"/>
              </w:rPr>
              <w:t xml:space="preserve">Problémák </w:t>
            </w:r>
          </w:p>
        </w:tc>
        <w:tc>
          <w:tcPr>
            <w:tcW w:w="6469" w:type="dxa"/>
            <w:tcBorders>
              <w:top w:val="single" w:sz="2" w:space="0" w:color="000001"/>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Style w:val="Accentuationforte"/>
              </w:rPr>
              <w:t xml:space="preserve">Ajánlások </w:t>
            </w:r>
          </w:p>
        </w:tc>
        <w:tc>
          <w:tcPr>
            <w:tcW w:w="116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Style w:val="Accentuationforte"/>
              </w:rPr>
              <w:t xml:space="preserve">Támogatott (%) </w:t>
            </w:r>
          </w:p>
        </w:tc>
      </w:tr>
      <w:tr>
        <w:trPr/>
        <w:tc>
          <w:tcPr>
            <w:tcW w:w="2004" w:type="dxa"/>
            <w:vMerge w:val="restart"/>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1. Az EU-ról szóló közlemény nem kielégítő </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1.1 Javasoljuk, hogy az általános iskola harmadik szintjétől kezdve az Európai Unióról szóló tanfolyamokat is bevonjuk. A cél valamennyi polgár elérése és az Európai Unióval kapcsolatos ismeretek bővítése. </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88,4%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1.2 Az Európai Uniónak és különösen az Európai Bizottságnak az Európa működéséről szóló tananyagot kellene elérhetővé tennie a különböző tagállamok oktatási minisztériumai számára. Az intézmények működésének, összetételének és hatásköreinek kifejtése mellett ezeknek a formációknak rövid áttekintést kell adniuk az európai integráció történetéről is. Különös figyelmet kell fordítani a világos és érthető, hozzáférhető nyelvekre, valamint az olyan oktatási eszközökre, mint a dokumentumfilmek, klipek vagy iskolai televíziós műsorok mind a 24 nyelven. </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95,0% </w:t>
            </w:r>
          </w:p>
        </w:tc>
      </w:tr>
      <w:tr>
        <w:trPr/>
        <w:tc>
          <w:tcPr>
            <w:tcW w:w="2004" w:type="dxa"/>
            <w:vMerge w:val="restart"/>
            <w:tcBorders>
              <w:left w:val="single" w:sz="2" w:space="0" w:color="000001"/>
              <w:bottom w:val="single" w:sz="2" w:space="0" w:color="000001"/>
              <w:insideH w:val="single" w:sz="2" w:space="0" w:color="000001"/>
            </w:tcBorders>
            <w:shd w:fill="auto" w:val="clear"/>
            <w:vAlign w:val="center"/>
          </w:tcPr>
          <w:p>
            <w:pPr>
              <w:pStyle w:val="Normal"/>
              <w:spacing w:before="57" w:after="57"/>
              <w:jc w:val="left"/>
              <w:rPr/>
            </w:pPr>
            <w:r>
              <w:rPr/>
              <w:t xml:space="preserve">2. Az európai projekt továbbra is idegen a polgárok számára </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2.1 Azt javasoljuk, hogy az európai intézmények kommunikációjukban gondoskodjanak arról, hogy jobban elmagyarázzák, mi tartozik az EU hatáskörébe, és mi nem tartozik a hatáskörébe. </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97,6%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2.2 Az Európai Uniónak kommunikációjában ismert példákat kellene tartalmaznia az európaiak mindennapi életéből. Ezeket a magyarázatokat a tagállamokon belül az európai intézmények és a nemzeti közszolgálati televíziós csatornák közötti megállapodásokon keresztül kell közvetíteni a széles közönség elérése érdekében. </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80,5%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2.3 Ezenkívül a tagállamok állampolgárait rendszeresen tájékoztatni kell – például videoklipek segítségével – az Európai Unió más tagállamokban betöltött szerepéről. Európa előnyeit és hátrányait tehát jobban szem előtt tartanák az Európa jövőjéről szóló viták során. </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85,7%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2.4 Az európai identitás erősítése érdekében javasoljuk, hogy rendszeresen emlékeztessük meg és tegyük elérhetővé az arra vonatkozó információkat, hogy milyen lenne az európaiak élete az EU és annak konkrét eredményei nélkül.</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92,7%</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2.5 Javasoljuk továbbá, hogy az Európa-nap (május 9.) valamennyi uniós polgár számára európai munkaszüneti nap legyen.</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81,4%</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2.6 Azt javasoljuk, hogy az európai intézmények még nagyobb figyelmet fordítsanak az európai szinten tárgyalt kiemelt témákkal kapcsolatos információk egyszerűsítésére, megértésére és hozzáférhetőségére</w:t>
            </w:r>
            <w:r>
              <w:rPr/>
              <w:commentReference w:id="9"/>
            </w:r>
            <w:r>
              <w:rPr/>
              <w:t>.</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97,6%</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2.7 Azt javasoljuk, hogy az Európai Unió bocsásson rendelkezésre egy </w:t>
            </w:r>
            <w:commentRangeStart w:id="10"/>
            <w:r>
              <w:rPr/>
              <w:t>eredménytáblát, amely minden egyes ország számára</w:t>
            </w:r>
            <w:r>
              <w:rPr/>
            </w:r>
            <w:commentRangeEnd w:id="10"/>
            <w:r>
              <w:commentReference w:id="10"/>
            </w:r>
            <w:r>
              <w:rPr/>
              <w:t xml:space="preserve"> bemutatja az EU által az egyes kiemelt témákhoz rendelt forrásokat. Minden ilyen információnak elérhetőnek kell lennie az Európai Unió honlapján.</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93,0%</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2.8 Azt javasoljuk, hogy az Európai Unió nyújtson egyértelmű tájékoztatást a folyamatban lévő jogalkotási munkáról. Minden ilyen információnak elérhetőnek kell lennie az Európai Unió honlapján.</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90,7%</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2.9 Azt akarjuk, hogy az európai intézmények hozzáférhetőbbek legyenek az </w:t>
            </w:r>
            <w:commentRangeStart w:id="11"/>
            <w:r>
              <w:rPr/>
              <w:t>európaiak számára</w:t>
            </w:r>
            <w:r>
              <w:rPr/>
            </w:r>
            <w:commentRangeEnd w:id="11"/>
            <w:r>
              <w:commentReference w:id="11"/>
            </w:r>
            <w:r>
              <w:rPr/>
              <w:t>. Meg kell könnyíteni az Európai Parlament ülésein folytatott vitákban való részvételüket.</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79,0%</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2.10 Javasoljuk, hogy az Erasmus programban való részvételt minden diákra terjesszék ki, tekintet nélkül oktatási pályájukra (szakképzési technológia, váltakozás). Mindenkinek képesnek kell lennie arra, hogy részt vegyen az európai csereprogramokban.</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79,5%</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2.11 Azt javasoljuk, hogy a helyi vállalkozások számára is lehetővé tegyük a munkaképes lakosság számára, hogy – tevékenységi ágazattól függetlenül – részesülhessenek az európai csereprogramok előnyeiből. Mindenkinek képesnek kell lennie arra, hogy részt vegyen az európai csereprogramokban.</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83,7%</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2.12 Azt javasoljuk, hogy minden európai polgár számára hozzanak létre európai állampolgársági tanfolyamokat.</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83,7%</w:t>
            </w:r>
          </w:p>
        </w:tc>
      </w:tr>
      <w:tr>
        <w:trPr/>
        <w:tc>
          <w:tcPr>
            <w:tcW w:w="2004"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3. Az uniós jogszabályokat a tagállamokban nem alkalmazzák ugyanúgy.</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3.1 Azt javasoljuk, hogy az Európai Unió jobban alkalmazza a tagállamokban közvetlenül alkalmazandó jogszabályokat. Ez csökkentené a nemzeti különbségeket az uniós jogszabályok végrehajtásában, ami gyengítené az európai projektet. Ez fokozná a legfontosabb európai eredményeket is, például a belső piacot, az eurót és a schengeni térséget.</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81,4%</w:t>
            </w:r>
          </w:p>
        </w:tc>
      </w:tr>
      <w:tr>
        <w:trPr/>
        <w:tc>
          <w:tcPr>
            <w:tcW w:w="2004" w:type="dxa"/>
            <w:vMerge w:val="restart"/>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4. Az európai demokrácia veszélyben van.</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4.1 Azt javasoljuk, hogy az európai demokráciáról szóló uniós közlemény fáradhatatlanul és egyértelműen emlékezzen arra, hogy mit jelent Európában az európaiak számára.</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78,0%</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4.2 Az Európai Unió szerződéseinek értékei és elvei, amelyekhez a tagállamok csatlakozásukkor csatlakoztak, visszafordíthatatlanok. Védelmüket továbbra is biztosítani kell.</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81,0%</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4.3 A Szerződésekben foglalt értékek és elvek védelmét</w:t>
            </w:r>
            <w:r>
              <w:rPr/>
              <w:commentReference w:id="12"/>
            </w:r>
            <w:r>
              <w:rPr/>
              <w:t xml:space="preserve"> az Európai Bíróság biztosítja, és azt a tagállamok nem kérdőjelezhetik meg.</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81,0%</w:t>
            </w:r>
          </w:p>
        </w:tc>
      </w:tr>
      <w:tr>
        <w:trPr/>
        <w:tc>
          <w:tcPr>
            <w:tcW w:w="2004"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5. Az EU-ra vonatkozó információk nem könnyen hozzáférhetők és nehezen érthetők</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5.1 Az európai kérdésekkel kapcsolatos információk ellenőrzésének megerősítését javasoljuk. Az intézmények által terjesztett és ellenőrzött információknak könnyen hozzáférhetőnek kell lenniük az európai nyilvánosság és az egyes tagállamok nemzeti médiája számára.</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83,3%</w:t>
            </w:r>
          </w:p>
        </w:tc>
      </w:tr>
      <w:tr>
        <w:trPr/>
        <w:tc>
          <w:tcPr>
            <w:tcW w:w="2004"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6. A nemzeti média gyakran negatív képet közvetít az EU-ról</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6.1 A proaktívabb kommunikáció révén az EU-nak nagyobb mértékben kell jelen lennie az európaiak mindennapi életében. (Pl. olyan kulturális események szponzorálásával, amelyek összehozzák a polgárokat, és büszkék arra, hogy uniós polgárok. A jelentéstevők és a teastorok azt is lehetővé tennék az európaiak számára, hogy hozzáférjenek az</w:t>
            </w:r>
            <w:r>
              <w:rPr/>
              <w:commentReference w:id="13"/>
            </w:r>
            <w:r>
              <w:rPr/>
              <w:t xml:space="preserve"> EU-val kapcsolatos, kontextusba foglalt információkhoz.</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85,7%</w:t>
            </w:r>
          </w:p>
        </w:tc>
      </w:tr>
      <w:tr>
        <w:trPr/>
        <w:tc>
          <w:tcPr>
            <w:tcW w:w="2004" w:type="dxa"/>
            <w:vMerge w:val="restart"/>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7. A polgárok nem ismerik azokat, akik képviselik őket az Európai Parlamentben.</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7.1 Azt javasoljuk, hogy a parlamenti képviselőket jobban ismerjék hazájukban, különösen a választási időszakokon kívül. Hozzáférhetőbbnek kell lenniük. Az Európai Parlamentben való szavazásuk okait az Európai Unió honlapján keresztül könnyebben hozzáférhetővé kell tenni az európai polgárok számára.</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92,7%</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7.2 Azt javasoljuk, hogy a nemzeti politikai pártok biztosítsák az európai parlamenti választásokon bemutatott listákon szereplő jelöltek megfiatalítását. Egy ilyen megbízás nem tekinthető a nemzeti politikában nyújtott jó és lojális szolgáltatások jutalmának.</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74,4%</w:t>
            </w:r>
          </w:p>
        </w:tc>
      </w:tr>
      <w:tr>
        <w:trPr/>
        <w:tc>
          <w:tcPr>
            <w:tcW w:w="2004" w:type="dxa"/>
            <w:vMerge w:val="restart"/>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 Az uniós közlemény túlságosan egységes; nem veszi figyelembe a lakosság sokféleségét</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8.1 A kellően széles és sokszínű közönség elérése érdekében azt javasoljuk, hogy az EU a fogantatási szakasztól kezdve inkluzív kommunikáció révén vegye figyelembe az érintett személyek iskolai végzettségét és esetleges fogyatékosságát. Javasoljuk továbbá magánszemélyek és szervezetek (utcai oktatók, szomszédsági ügynökök, CPAS, civil társadalom) bevonását a közlemény továbbításába.</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73,2%</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8.2 A munkaerő elérése érdekében javasoljuk, hogy fordítsanak többet a meglévő kommunikációs csatornák használatára annak érdekében, hogy rendszeres időközönként megfelelő tájékoztatást nyújtsanak az EU-ról, például magyarázó programok révén. Javasoljuk továbbá, hogy az uniós projektet népszerűsítő nagykövetekre (mind magánszemélyekre, mind szervezetekre) támaszkodjanak.</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83,7%</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8.3 Annak érdekében, hogy eljussunk a fiatalokhoz és a diákokhoz, javasoljuk, hogy a meglévő csatornákon, például az oktatáson és a releváns ifjúsági mozgalmakon kívül hívjuk fel a nagyköveteket is, különösen azok számára, akik a közösségi médián keresztül érhetik el a fiatalokat. Egy másik ajánlás egy páneurópai verseny megszervezése lenne, amelynek célja, hogy olyan rajzfilmfigurát hozzon létre, amely vonzóvá teszi a fiatalokat, és európai üzeneteket küld nekik.</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69,8%</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8.4 Az idősek számára azt javasoljuk, hogy ugyanazokat a csatornákat használják, mint amelyeket a munkaerő számára kínálnak. Javasoljuk továbbá, hogy keressük a megfelelő egyensúlyt a digitális és a nem digitális kommunikáció (írott sajtó, rádió, személyes események) között, hogy megfeleljen mindenki igényeinek, beleértve azokat is, akik kevésbé kényelmesek a digitális környezetben, valamint azokat, akik kevésbé mobilak a társadalomban.</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85,7%</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8.5 Azt javasoljuk, hogy a számos tagállamban már létező integrációs tanfolyamokon keresztül az EU vállalja, hogy bevonja az „új európaiakat” (azok az emberek, akik egy vagy másik legális bevándorlási eljáráson keresztül az EU-ban tartózkodnak), és felhívhatják őket a többi hagyományos csatornára, amelyen keresztül az EU kommunikál. Végül azt is javasoljuk, hogy adjunk helyet a helyi asszociatív világnak.</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76,7%</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8.6 Azt is javasoljuk, hogy az EU-t inkluzív kommunikációval kísérjék az utcákon. Például (digitális) hirdetőtáblákat lehetne használni, csakúgy, mint az új kommunikációs eszközöket, például a QR-kódokat és a hagyományos eszközöket.</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62,8%</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8.7 Egyéb ajánlások az EU vizuálisabbá tétele (kisfilmeken vagy infografikákon keresztül), egy európai sportmozgalom létrehozása, amely kapcsolatot/hozzátartozás érzését kelti, és ismertebbé teszi az európai himnuszt.</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68,2%</w:t>
            </w:r>
          </w:p>
        </w:tc>
      </w:tr>
    </w:tbl>
    <w:p>
      <w:pPr>
        <w:pStyle w:val="Normal"/>
        <w:rPr/>
      </w:pPr>
      <w:r>
        <w:rPr/>
      </w:r>
    </w:p>
    <w:p>
      <w:pPr>
        <w:pStyle w:val="Normal"/>
        <w:rPr/>
      </w:pPr>
      <w:r>
        <w:rPr/>
        <w:t>2. Dezinformáció</w:t>
      </w:r>
    </w:p>
    <w:tbl>
      <w:tblPr>
        <w:tblW w:w="9645"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2204"/>
        <w:gridCol w:w="5625"/>
        <w:gridCol w:w="1816"/>
      </w:tblGrid>
      <w:tr>
        <w:trPr/>
        <w:tc>
          <w:tcPr>
            <w:tcW w:w="2204"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Problémák</w:t>
            </w:r>
          </w:p>
        </w:tc>
        <w:tc>
          <w:tcPr>
            <w:tcW w:w="5625"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Ajánlások</w:t>
            </w:r>
          </w:p>
        </w:tc>
        <w:tc>
          <w:tcPr>
            <w:tcW w:w="1816"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Támogatott (%)</w:t>
            </w:r>
          </w:p>
        </w:tc>
      </w:tr>
      <w:tr>
        <w:trPr/>
        <w:tc>
          <w:tcPr>
            <w:tcW w:w="2204"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 A félretájékoztatás kockázata egyre inkább jelen van a médiában</w:t>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1.1 Javasoljuk a média finanszírozási modelljének felülvizsgálatát, valamint a bevételi források kötelező közzétételét, világos és hozzáférhető módon. A médiafinanszírozási modell a szenzációhoz vezeti őket, és így az információkat a kontextuson kívül teszik közzé, félretájékoztatássá téve őket.</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73,8%</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1.2 Javasoljuk, hogy a média kötelezően hivatkozzon a forrásokra azáltal, hogy linkeket ad meg azok ellenőrzéséhez. Ellenkező esetben az információkat ellenőrizetlenként kell címkézni.</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90,2%</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1.3 Azt javasoljuk, hogy a félretájékoztatás elleni küzdelemmel foglalkozó európai szabályozó hatóság (lásd a 2. pontot) legyen felelős az információellenőrző szervezetek akkreditálásáért („tényellenőrzők”) is.</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85,4%</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1.4 Javasoljuk, hogy minden tagállamban hozzanak létre egy független hatóságot, amely a médiasemlegesség ellenőrzéséért felelős. Ezt a hatóságot az Európai Uniónak kell finanszíroznia és ellenőriznie.</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75,6%</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1.5 Az EU hivatalos weboldalainak URL-címeire vonatkozó információk terjesztését javasoljuk annak érdekében, hogy a polgárokat megnyugtassák az információk eredetével kapcsolatban.</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90,2%</w:t>
            </w:r>
          </w:p>
        </w:tc>
      </w:tr>
      <w:tr>
        <w:trPr/>
        <w:tc>
          <w:tcPr>
            <w:tcW w:w="2204"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 Sokan kételkednek a média semlegességében</w:t>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2.1 Javasoljuk egy európai szabályozó hatóság létrehozását a félretájékoztatás elleni küzdelem érdekében. Ennek a szabályozónak különösen az lenne a feladata, hogy meghatározza a semlegességi címke kritériumait, és adott esetben létrehozza a semlegességi normáknak való megfeleléshez kapcsolódó szankciók vagy ösztönzők rendszerét. Alternatív megoldásként fontolóra lehetne venni az etikai charta betartását. A címkét a független nemzeti hatóság biztosítaná, és figyelembe venné a média által a félretájékoztatás elleni küzdelem érdekében hozott intézkedéseket.</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87,5%</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2.2 Azt javasoljuk, hogy hozzanak létre egy európai forródrótot, amely lehetővé teszi a polgárok számára az európai (politikai és gazdasági) kompetenciákkal kapcsolatos félretájékoztatás kifogásolását.</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82,1%</w:t>
            </w:r>
          </w:p>
        </w:tc>
      </w:tr>
      <w:tr>
        <w:trPr/>
        <w:tc>
          <w:tcPr>
            <w:tcW w:w="2204"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 A polgárok nincsenek tisztában a félretájékoztatás kockázataival, amelyeknek ki vannak téve.</w:t>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3.1 Azt javasoljuk, hogy a platformokat kötelezzék arra, hogy egyértelmű és érthető információkat tegyenek közzé azokról a dezinformációs kockázatokról, amelyeknek felhasználóik ki vannak téve. Ezt az információt a számla megnyitásakor automatikusan közölni kell.</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85,7%</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3.2 Az oktatási rendszer különböző szintjeihez igazított, korai életkortól kezdve kötelező képzést ajánlunk a média használatáról.</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74,4%</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3.3 Azt javasoljuk, hogy az Európai Unió indítson ismétlődő kampányokat a félretájékoztatás ellen. Ezeket a kampányokat logóval vagy kabalával lehet azonosítani. Az Európai Unió arra kényszeríthetné a közösségi hálózatokat, hogy közvetítsék azokat a foltok terjesztésével.</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87,5%</w:t>
            </w:r>
          </w:p>
        </w:tc>
      </w:tr>
      <w:tr>
        <w:trPr/>
        <w:tc>
          <w:tcPr>
            <w:tcW w:w="2204"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 A félretájékoztatás elleni küzdelem eszközei nem elégségesek.</w:t>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4.1 Javasoljuk, hogy a platformfelhasználók által fogadott üzeneteket szervező algoritmusokkal kapcsolatos egyszerű és érthető nyelvi információk közzétételére kerüljön sor.</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83,3%</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4.2 Azt javasoljuk, hogy a felhasználók egyszerűen letilthassák a viselkedési elfogultságot fokozó algoritmusokat. Meg lehetne vizsgálni azt a kötelezettséget is, hogy a felhasználók számára hozzáférést kell biztosítani az azonos tárgyú különböző álláspontokat védő más forrásokhoz.</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80,0%</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4.3 Azt javasoljuk, hogy az Európai Unió támogassa egy olyan közösségimédia-platform létrehozását, amely megfelel saját normáinak a semlegesség és a félretájékoztatás elleni küzdelem tekintetében. Alternatív megoldásként az Európa jövőjéről szóló konferenciát támogató többnyelvű platformot új funkciókkal lehetne kiegészíteni.</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56,4%</w:t>
            </w:r>
          </w:p>
        </w:tc>
      </w:tr>
    </w:tbl>
    <w:p>
      <w:pPr>
        <w:pStyle w:val="Normal"/>
        <w:rPr/>
      </w:pPr>
      <w:r>
        <w:rPr/>
      </w:r>
    </w:p>
    <w:p>
      <w:pPr>
        <w:pStyle w:val="Normal"/>
        <w:rPr/>
      </w:pPr>
      <w:r>
        <w:rPr/>
        <w:t>3. Civil panelek</w:t>
      </w:r>
    </w:p>
    <w:tbl>
      <w:tblPr>
        <w:tblW w:w="9645" w:type="dxa"/>
        <w:jc w:val="left"/>
        <w:tblInd w:w="0" w:type="dxa"/>
        <w:tblBorders>
          <w:top w:val="single" w:sz="2" w:space="0" w:color="000001"/>
          <w:left w:val="single" w:sz="2" w:space="0" w:color="000001"/>
          <w:right w:val="single" w:sz="2" w:space="0" w:color="000001"/>
          <w:insideV w:val="single" w:sz="2" w:space="0" w:color="000001"/>
        </w:tblBorders>
        <w:tblCellMar>
          <w:top w:w="28" w:type="dxa"/>
          <w:left w:w="25" w:type="dxa"/>
          <w:bottom w:w="28" w:type="dxa"/>
          <w:right w:w="28" w:type="dxa"/>
        </w:tblCellMar>
      </w:tblPr>
      <w:tblGrid>
        <w:gridCol w:w="2204"/>
        <w:gridCol w:w="5790"/>
        <w:gridCol w:w="1651"/>
      </w:tblGrid>
      <w:tr>
        <w:trPr/>
        <w:tc>
          <w:tcPr>
            <w:tcW w:w="2204" w:type="dxa"/>
            <w:tcBorders>
              <w:top w:val="single" w:sz="2" w:space="0" w:color="000001"/>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t>Problémák</w:t>
            </w:r>
          </w:p>
        </w:tc>
        <w:tc>
          <w:tcPr>
            <w:tcW w:w="5790" w:type="dxa"/>
            <w:tcBorders>
              <w:top w:val="single" w:sz="2" w:space="0" w:color="000001"/>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t>Ajánlások</w:t>
            </w:r>
          </w:p>
        </w:tc>
        <w:tc>
          <w:tcPr>
            <w:tcW w:w="1651" w:type="dxa"/>
            <w:tcBorders>
              <w:top w:val="single" w:sz="2" w:space="0" w:color="000001"/>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t>Támogatott (%)</w:t>
            </w:r>
          </w:p>
        </w:tc>
      </w:tr>
      <w:tr>
        <w:trPr/>
        <w:tc>
          <w:tcPr>
            <w:tcW w:w="2204" w:type="dxa"/>
            <w:vMerge w:val="restart"/>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t>1. Nehézséget okoz a polgári testület reprezentativitásának biztosítása. Végső soron a lakosságnak csak egy kis része vesz részt benne.</w:t>
            </w:r>
          </w:p>
        </w:tc>
        <w:tc>
          <w:tcPr>
            <w:tcW w:w="5790" w:type="dxa"/>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t>1.1 Javasoljuk annak nyomon követését, amit a deliberatív demokráciával kapcsolatos legújabb tudományos munka javasol a mintavétel, a kiválasztási módszer kidolgozása és tudományos validálása tekintetében a lehető legjobb reprezentativitás biztosítása érdekében.</w:t>
            </w:r>
          </w:p>
        </w:tc>
        <w:tc>
          <w:tcPr>
            <w:tcW w:w="1651" w:type="dxa"/>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t>89,7%</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1.2 Azt javasoljuk, hogy legyen elegendő számú ember az asztal körül a vélemények és profilok sokféleségének biztosítása érdekében, beleértve – de nem csak – a témával közvetlenül foglalkozó személyeket.</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90,2%</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1.3 Javasoljuk, hogy a mintavételi kritériumokba a szülőség kritériumát (azaz, hogy az adott személynek van-e gyermeke?) a hagyományosabb kritériumok mellett, mint például a nem, az életkor, a lakóhely vagy az iskolai végzettség.</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33,3%</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1.4 Azt javasoljuk, hogy határozzanak meg kvótákat földrajzi terület szerint, azaz határozzák meg, hogy az európai polgári testületnek európai földrajzi területenként X-ből kell állnia (meg kell határozni), hogy ez a testület valóban európainak és értelmesen megfontoltnak minősülhessen.</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73,2%</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1.5 Javasoljuk, hogy a népesség-nyilvántartásokat (vagy annak megfelelőit, országtól függően) használják fel a sorsolás elsődleges adatbázisaként annak érdekében, hogy mindenki azonos esélyt kapjon a kiválasztásra, és érdeklődést keltsen a lakosságon belül egy téma iránt.</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70,0%</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1.6 Azt javasoljuk, hogy a résztvevőket kompenzálják, hogy értékeljék befektetéseiket, és vonzzák azokat az embereket, akik nem vennének részt, ha nem lennének kompenzációban.</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87,5%</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1.7 Értesítést javaslunk – minimálisan: sem túl sok információ, sem túl bonyolult információ – az első résztvevők szakértői előadásokon keresztül biztosítják, hogy még az előzetes tudással nem rendelkezők is kényelmesen részt vegyenek a megbeszéléseken.</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82,9%</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1.7.2 Javasoljuk, hogy a polgári vitacsoport témáját előzetesen közöljék annak érdekében, hogy az emberek megismerhessék, melyik témát kötelezik el a vitára.</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78,6%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1.8 Azt javasoljuk, hogy ne követeljük meg a polgárok részvételét.</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97,6%</w:t>
            </w:r>
          </w:p>
        </w:tc>
      </w:tr>
      <w:tr>
        <w:trPr/>
        <w:tc>
          <w:tcPr>
            <w:tcW w:w="2204" w:type="dxa"/>
            <w:vMerge w:val="restart"/>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 Nehézséget okoz egy európai szintű vitafórum szervezése.</w:t>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 Azt javasoljuk, hogy az európai polgári vitacsoport üléseit hibrid formában (jelenlegi/diszkánciális) tarthassák meg. Akik fizikailag nem tudnak mozogni, azok is részt vehetnek.</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70,0%</w:t>
            </w:r>
          </w:p>
        </w:tc>
      </w:tr>
      <w:tr>
        <w:trPr/>
        <w:tc>
          <w:tcPr>
            <w:tcW w:w="2204"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2.2 Azt javasoljuk, hogy az Európai Unió a könnyebb hozzáférés és a szervezés érdekében ruházza át a (európai témákkal foglalkozó) polgári vitacsoportok szervezését nemzeti szinten különböző szintű hatóságokra.</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69,0%</w:t>
            </w:r>
          </w:p>
        </w:tc>
      </w:tr>
      <w:tr>
        <w:trPr/>
        <w:tc>
          <w:tcPr>
            <w:tcW w:w="2204"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2.3 Azt javasoljuk, hogy az európai szinten szervezett panelek egy-egy témát válasszanak. Ez lehetővé teszi valamennyi résztvevő számára, hogy ugyanazt a témát megvitassák, függetlenül attól, hogy honnan érkeznek Európából.</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80,5%</w:t>
            </w:r>
          </w:p>
        </w:tc>
      </w:tr>
      <w:tr>
        <w:trPr/>
        <w:tc>
          <w:tcPr>
            <w:tcW w:w="2204" w:type="dxa"/>
            <w:vMerge w:val="restart"/>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3. Kerülje a panelt </w:t>
              <w:br/>
              <w:t>a polgárokat nem térítik el a bejelentett céloktól eltérő célokra.</w:t>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3.1 Azt javasoljuk, hogy bármely polgár terjesszen elő egy témát vitatásra, és hogy ez a jog ne legyen fenntartva a politikai világnak vagy a lobbisták világának.</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82,1%</w:t>
            </w:r>
          </w:p>
        </w:tc>
      </w:tr>
      <w:tr>
        <w:trPr/>
        <w:tc>
          <w:tcPr>
            <w:tcW w:w="2204"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3.2 Azt javasoljuk, hogy a kezdeményezési jogot ruházzák az Európai Parlamentre, hogy az Európai Parlament határozza meg a megvitatandó témát, majd fogadja el a tanácskozások során megfogalmazott ajánlások nyomon követéséhez szükséges szövegeket.</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63,4%</w:t>
            </w:r>
          </w:p>
        </w:tc>
      </w:tr>
      <w:tr>
        <w:trPr/>
        <w:tc>
          <w:tcPr>
            <w:tcW w:w="2204" w:type="dxa"/>
            <w:vMerge w:val="restart"/>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 Nehéz eldönteni, hogyan lehet a legjobban megszervezni a folyamatot a polgárok legjobb képviselete érdekében.</w:t>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4.1.1 Azt javasoljuk, hogy a parlament mellett hozzanak létre egy állandó polgári bizottságot, amely konkrét feladatokat lát el. Rendszeresen megújítják. Ez lehetővé tenné a polgárok hosszú távú összefogását és a vitákhoz szükséges időt. Az idő lehetővé teszi a viták és a konszenzus árnyalatát. Az állandó panel mellett az ad hoc polgári bizottságok is megvitatják az állandó testület által kiválasztott témákat. Javasoljuk, hogy kövessük a német nyelvű közösség modelljét.</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54,8%</w:t>
            </w:r>
          </w:p>
        </w:tc>
      </w:tr>
      <w:tr>
        <w:trPr/>
        <w:tc>
          <w:tcPr>
            <w:tcW w:w="2204"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4.1.2 Azt javasoljuk, hogy csak egy vagy több nem állandó európai polgári vitafórumot hozzanak létre, amely csak egy adott témával találkozna és megvitatna egy adott témát csak egy adott időszakra.</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58,5%</w:t>
            </w:r>
          </w:p>
        </w:tc>
      </w:tr>
      <w:tr>
        <w:trPr/>
        <w:tc>
          <w:tcPr>
            <w:tcW w:w="2204"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4.2 Azt javasoljuk, hogy ne szervezzenek európai polgári vitacsoportokat sürgős kérdésekben, mivel elegendő időre van szükség a viták minőségének biztosításához.</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63,4%</w:t>
            </w:r>
          </w:p>
        </w:tc>
      </w:tr>
      <w:tr>
        <w:trPr/>
        <w:tc>
          <w:tcPr>
            <w:tcW w:w="2204"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 A részvételi demokráciával kapcsolatos kezdeményezésekben, például a civil panelekben részt vevő polgárok túl gyakran nem kapnak visszajelzést a munkájuk nyomon követéséről, akár rövid, akár hosszú távon.</w:t>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5.1 Javasoljuk, hogy a polgárok visszajelzést kapjanak az európai polgári vitacsoportok után kiadott ajánlások nyomon követéséről (vagy nem). Ha az ajánlásokat nem követik, az érintett európai intézményeknek meg kell indokolniuk döntésüket (pl. hatáskör hiánya). Ennek érdekében javasoljuk rendszeres összefoglalók írását az egész folyamat során egy panelt követően.</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97,5%</w:t>
            </w:r>
          </w:p>
        </w:tc>
      </w:tr>
      <w:tr>
        <w:trPr/>
        <w:tc>
          <w:tcPr>
            <w:tcW w:w="2204"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6.1 Az aktív részvételre és a vitára való figyelemfelkeltés érdekében azt javasoljuk, hogy szervezzenek civil vitafórumokat, még fiatal kortól (pl. 10–16 éves kortól) is. Ezt az iskolákban is meg lehet szervezni.</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59,5%</w:t>
            </w:r>
          </w:p>
        </w:tc>
      </w:tr>
    </w:tbl>
    <w:p>
      <w:pPr>
        <w:pStyle w:val="Normal"/>
        <w:rPr/>
      </w:pPr>
      <w:r>
        <w:rPr/>
      </w:r>
    </w:p>
    <w:p>
      <w:pPr>
        <w:pStyle w:val="Normal"/>
        <w:rPr/>
      </w:pPr>
      <w:r>
        <w:rPr/>
        <w:t>4. Népszavazások</w:t>
      </w:r>
    </w:p>
    <w:tbl>
      <w:tblPr>
        <w:tblW w:w="9645"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2160"/>
        <w:gridCol w:w="5835"/>
        <w:gridCol w:w="1650"/>
      </w:tblGrid>
      <w:tr>
        <w:trPr/>
        <w:tc>
          <w:tcPr>
            <w:tcW w:w="2160"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Problémák</w:t>
            </w:r>
          </w:p>
        </w:tc>
        <w:tc>
          <w:tcPr>
            <w:tcW w:w="5835"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Ajánlások</w:t>
            </w:r>
          </w:p>
        </w:tc>
        <w:tc>
          <w:tcPr>
            <w:tcW w:w="165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Támogatott (%)</w:t>
            </w:r>
          </w:p>
        </w:tc>
      </w:tr>
      <w:tr>
        <w:trPr/>
        <w:tc>
          <w:tcPr>
            <w:tcW w:w="2160"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0.1 Azt javasoljuk, hogy európai szinten tartsanak népszavazást az európai ügyekről.</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73,3%</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 A népszavazás kultúrája tagállamonként igen eltérő.</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1.1 Kutatást javaslunk azzal kapcsolatban, hogy miként lehetne létrehozni egy közös európai népszavazási kultúrát.</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70,7%</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1.2 Javasoljuk, hogy egy adott témában európai szintű népszavazás szükségességéről és lehetőségéről (független szakértők által) végezzenek kutatást.</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77,5%</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 A népszavazáson feltett kérdés megfogalmazása kedvezőtlen hatással járhat, csakúgy, mint az a képesség, hogy csak igennel vagy nemmel válaszoljunk, ami gyakran polarizálja a vitákat és a társadalmakat.</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2.1 Azt javasoljuk, hogy hozzanak létre egy tudományos bizottságot, hogy gondolkodjanak el arról, hogyan lehetne az európai népszavazás tárgyát képező kérdéseket a lehető legobjektívebb módon feltenni.</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87,2%</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2.2 Azt javasoljuk, hogy az „igen” és a „nem” közötti egyszerű alternatíván túlmutató, többszörös választ igénylő kérdéseket tegyenek fel annak érdekében, hogy az „igen” és a „nem” (azaz az „igen, ha”, „nem, ha”) feltételhez kapcsolódjanak.</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65,0%</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2.3 Azt javasoljuk, hogy a fehér szavazatokat ne vegyék figyelembe a többség (egyszerű többség vagy abszolút többség) kiszámításakor. Elegendő szavazatra van szükség (a határozatképességet tiszteletben kell tartani).</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75,0%</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A téma kiválasztása is kényes.</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2.4.1 Azt javasoljuk, hogy az európai népszavazáson felvetett kérdés az Európai Unió hatáskörébe tartozó bármely európai téma hatálya alá tartozzon.</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87,5%</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2.4.2 Azt javasoljuk, hogy zárják ki azokat a témákat, amelyek konfliktusforrásként szolgálhatnak a tagállamok között.</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39,0%</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2.5 Azt javasoljuk, hogy egyértelmű megfogalmazással technikai és nehéz kérdéseket is fel lehessen tenni, mivel az emberek képesek megfelelő tájékoztatásra.</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77,5%</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 A népszavazás nem demokratikus eszköz, ha csak a politikai világ dönthet úgy, hogy megszervezi azt.</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3.1 Azt javasoljuk, hogy az Európai Parlamentnek legyen kezdeményezési joga az</w:t>
            </w:r>
            <w:r>
              <w:rPr/>
              <w:commentReference w:id="14"/>
            </w:r>
            <w:r>
              <w:rPr/>
              <w:t xml:space="preserve"> európai népszavazások megtartásához, és hogy ezt követően végre tudja hajtani annak eredményét (az Európai Bizottságnak és a Tanácsnak a blokkolás lehetősége nélkül kellene követnie).</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67,5%</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3.2 Azt javasoljuk, hogy a kezdeményezés maguktól a polgároktól is származzon (pl. az európai polgári kezdeményezésre vonatkozó szabályokhoz hasonló szabályok betartásával).</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77,5%</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3.3 Azt javasoljuk, hogy az európai népszavazás gyakorlati megszervezése semleges testület legyen.</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75,0%</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 xml:space="preserve">4. A népszavazás konzultatív vagy kötelező aspektusa az </w:t>
              <w:br/>
              <w:t>világosan meghatározva.</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4.1.1 Azt javasoljuk, hogy az európai népszavazás eredménye csak akkor legyen kötelező érvényű, ha bizonyos részvételi feltételek teljesülnek.</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92,7%</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4.1.2 Azt javasoljuk, hogy a népszavazás eredményei csak bizonyos többség esetén legyenek kötelező érvényűek (51/49, 70/30). Ezeket a feltételeket minden népszavazás előtt rögzítik.</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72,5%</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4.2 Azt javasoljuk, hogy az európai népszavazás eredménye legyen kötelező érvényű, ha a kezdeményezést a polgárok kezdeményezték volna (akiknek sikerült volna számos aláírást összegyűjteniük erre a célra), de jelzésértékű, ha a kezdeményezést politikai intézmény valósítja meg.</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47,5%</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4.3 Azt javasoljuk, hogy az európai népszavazás eredményét csak bizonyos témákban tegyék kötelezővé, de azokra ne, amelyekre nézve a szavazás következményei nagyon súlyosak lehetnek.</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40,0%</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 A lakosságot gyakran rosszul tájékoztatják, mielőtt népszavazáson szavaznának. Ugyanakkor alapvető fontosságú a közölt információk ellenőrzése annak érdekében, hogy elkerülhetők legyenek a (belső vagy külföldi) szavazásra gyakorolt káros hatások.</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5.1 Azt javasoljuk, hogy az európai népszavazás előtt egyértelműen tájékoztassák a közvéleményt arról, hogy a szavazás milyen hatással van a mindennapi életükre, brosúrákon keresztül, mint Svájcban, és/vagy tájékoztató üléseken.</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97,5%</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5.2 Azt javasoljuk, hogy minden európai népszavazásra hozzanak létre egy tudományos bizottságot, amely garantálja a közölt információk semlegességét.</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87,2%</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6. Bár a népszavazás az egész lakosságot arra ösztönzi, hogy közvetlenül szavazzon (a polgári bizottsággal ellentétben), mindig van egy bizonyos hiányzás, többé-kevésbé fontos.</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6.1.1 Azt javasoljuk, hogy az európai népszavazáson való részvétel kötelező legyen.</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43,6%</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6.1.2 Azt javasoljuk, hogy az európai népszavazáson való szavazás önkéntes legyen.</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52,5%</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6.2 A távolmaradás csökkentése érdekében javasoljuk, hogy a papíralapú szavazás mellett (vagy más szavazási módokon, például postai szavazáson kívül) is engedélyezzék az elektronikus szavazást. Az elektronikus szavazás különösen érdekes azok számára, akik nyaralni mennek, és arra is ösztönzi azokat, akik kevésbé érdeklődnek a szavazás iránt, mert az utazás kényszere már nem létezik.</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90,0%</w:t>
            </w:r>
          </w:p>
        </w:tc>
      </w:tr>
      <w:tr>
        <w:trPr/>
        <w:tc>
          <w:tcPr>
            <w:tcW w:w="2160"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7. Túl gyakran előfordul, hogy a részvételi demokráciával kapcsolatos kezdeményezésekben, például a népszavazásokban részt vevő polgárok nem</w:t>
            </w:r>
            <w:r>
              <w:rPr/>
              <w:commentReference w:id="15"/>
            </w:r>
            <w:r>
              <w:rPr/>
              <w:t xml:space="preserve"> kapnak megtérülést sem rövid, sem hosszú távon a szavazásuk nyomon követése után.</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7.1 Azt javasoljuk, hogy a polgárok visszajelzést adjanak a polgárok által az európai népszavazáson hozott döntések nyomon követéséről (vagy nem).</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92,5%</w:t>
            </w:r>
          </w:p>
        </w:tc>
      </w:tr>
    </w:tbl>
    <w:p>
      <w:pPr>
        <w:pStyle w:val="Normal"/>
        <w:rPr/>
      </w:pPr>
      <w:r>
        <w:rPr/>
      </w:r>
    </w:p>
    <w:p>
      <w:pPr>
        <w:pStyle w:val="Normal"/>
        <w:rPr/>
      </w:pPr>
      <w:r>
        <w:rPr/>
        <w:t>5. Meglévő eszközök</w:t>
      </w:r>
    </w:p>
    <w:p>
      <w:pPr>
        <w:pStyle w:val="Normal"/>
        <w:rPr/>
      </w:pPr>
      <w:r>
        <w:rPr/>
        <w:t>5.1. Európai választások.</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1867"/>
        <w:gridCol w:w="6749"/>
        <w:gridCol w:w="1022"/>
      </w:tblGrid>
      <w:tr>
        <w:trPr>
          <w:trHeight w:val="596" w:hRule="atLeast"/>
        </w:trPr>
        <w:tc>
          <w:tcPr>
            <w:tcW w:w="186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Problémák</w:t>
            </w:r>
          </w:p>
        </w:tc>
        <w:tc>
          <w:tcPr>
            <w:tcW w:w="67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Ajánlások</w:t>
            </w:r>
          </w:p>
        </w:tc>
        <w:tc>
          <w:tcPr>
            <w:tcW w:w="10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Támogatott (%)</w:t>
            </w:r>
          </w:p>
        </w:tc>
      </w:tr>
      <w:tr>
        <w:trPr/>
        <w:tc>
          <w:tcPr>
            <w:tcW w:w="1867" w:type="dxa"/>
            <w:vMerge w:val="restart"/>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 Különbségek vannak a különböző tagállamokban a szabályozásban</w:t>
            </w:r>
          </w:p>
        </w:tc>
        <w:tc>
          <w:tcPr>
            <w:tcW w:w="67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1.1 Javasoljuk, hogy az Európai Parlament számára kötelező legyen a szavazásban való részvétel, de elegendő információ álljon rendelkezésre a polgárok számára ahhoz, hogy megértsék ennek okait.</w:t>
            </w:r>
          </w:p>
        </w:tc>
        <w:tc>
          <w:tcPr>
            <w:tcW w:w="10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50,0%</w:t>
            </w:r>
          </w:p>
        </w:tc>
      </w:tr>
      <w:tr>
        <w:trPr/>
        <w:tc>
          <w:tcPr>
            <w:tcW w:w="1867"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67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1.2 Ajánlatunk, hogy az Európai Parlament választási szabályait minden országban a lehető legnagyobb mértékben alakítsuk ki, beleértve a minimális korhatárt is.</w:t>
            </w:r>
          </w:p>
        </w:tc>
        <w:tc>
          <w:tcPr>
            <w:tcW w:w="10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87,2%</w:t>
            </w:r>
          </w:p>
        </w:tc>
      </w:tr>
      <w:tr>
        <w:trPr/>
        <w:tc>
          <w:tcPr>
            <w:tcW w:w="1867" w:type="dxa"/>
            <w:vMerge w:val="restart"/>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 Az EP-képviselők életkora, származása és neme tekintetében nincs kellő változatosság.</w:t>
            </w:r>
          </w:p>
        </w:tc>
        <w:tc>
          <w:tcPr>
            <w:tcW w:w="67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2.1.1 Javasoljuk, hogy az európai parlamenti képviselők életkortól és hátterűek legyenek.</w:t>
            </w:r>
          </w:p>
        </w:tc>
        <w:tc>
          <w:tcPr>
            <w:tcW w:w="10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82,1%</w:t>
            </w:r>
          </w:p>
        </w:tc>
      </w:tr>
      <w:tr>
        <w:trPr/>
        <w:tc>
          <w:tcPr>
            <w:tcW w:w="1867"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67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2.1.2 Azt javasoljuk, hogy az európai parlamenti képviselők szándékosan válasszák az európai karriert, és ne csak azért, mert karrierjük végén járnak.</w:t>
            </w:r>
          </w:p>
        </w:tc>
        <w:tc>
          <w:tcPr>
            <w:tcW w:w="10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82,5%</w:t>
            </w:r>
          </w:p>
        </w:tc>
      </w:tr>
      <w:tr>
        <w:trPr/>
        <w:tc>
          <w:tcPr>
            <w:tcW w:w="1867"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674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2.1.3 Javasoljuk, hogy a nemek kiegyensúlyozott elosztását válasszuk, például a választói névjegyzékben szereplő nemek váltakozásával</w:t>
            </w:r>
            <w:r>
              <w:rPr/>
              <w:commentReference w:id="16"/>
            </w:r>
            <w:r>
              <w:rPr/>
              <w:t>. Az EU-nak meg kell állapítania ezeket a kritériumokat, és ellenőriznie kell, hogy teljesülnek-e a kvótaösszetételben. Ha egy jelölt elutasítja a hivatali idejét, a következő jelölt preferencia szerinti sorrendben és azonos nemű jelölt veszi át a helyét.</w:t>
            </w:r>
          </w:p>
        </w:tc>
        <w:tc>
          <w:tcPr>
            <w:tcW w:w="102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82,5%</w:t>
            </w:r>
          </w:p>
        </w:tc>
      </w:tr>
      <w:tr>
        <w:trPr/>
        <w:tc>
          <w:tcPr>
            <w:tcW w:w="1867"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674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2.1.4 Azt javasoljuk, hogy az európai listákon szereplő jelöltek megválasztásuk esetén gyakorolják megbízatásukat.</w:t>
            </w:r>
          </w:p>
        </w:tc>
        <w:tc>
          <w:tcPr>
            <w:tcW w:w="102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89,2%</w:t>
            </w:r>
          </w:p>
        </w:tc>
      </w:tr>
      <w:tr>
        <w:trPr/>
        <w:tc>
          <w:tcPr>
            <w:tcW w:w="1867" w:type="dxa"/>
            <w:vMerge w:val="restart"/>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 Az Európai Parlamentre szavazunk, és nincs beleszólásunk a bizottság összetételébe.</w:t>
            </w:r>
          </w:p>
        </w:tc>
        <w:tc>
          <w:tcPr>
            <w:tcW w:w="674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3.1 Javasoljuk a szerződés módosítását, amelynek értelmében az Európai Parlament legnagyobb pártja nevezheti ki az Európai Bizottság elnökét.</w:t>
            </w:r>
          </w:p>
        </w:tc>
        <w:tc>
          <w:tcPr>
            <w:tcW w:w="102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48,6%</w:t>
            </w:r>
          </w:p>
        </w:tc>
      </w:tr>
      <w:tr>
        <w:trPr/>
        <w:tc>
          <w:tcPr>
            <w:tcW w:w="1867"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674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3.2 Az Európai Bizottság összetételének bizonyos alapvető szabályok szerinti átláthatóbbá tételét javasoljuk, hogy az összetétel tükrözze a polgárok hangját, és hogy a polgárok tudják, hogyan történt a kiválasztás.</w:t>
            </w:r>
          </w:p>
        </w:tc>
        <w:tc>
          <w:tcPr>
            <w:tcW w:w="102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88,9%</w:t>
            </w:r>
          </w:p>
        </w:tc>
      </w:tr>
      <w:tr>
        <w:trPr/>
        <w:tc>
          <w:tcPr>
            <w:tcW w:w="1867"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 Nincs sok információ a jelöltekről, nem sokat tudunk róluk és programjukról, valamint arról, hogy milyen politikai frakciót fognak képviselni az Európai Parlamentben.</w:t>
            </w:r>
          </w:p>
        </w:tc>
        <w:tc>
          <w:tcPr>
            <w:tcW w:w="674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4.1 Azt javasoljuk, hogy az európai jelöltek helyileg konkrétabban jelenjenek meg célkitűzéseikkel és programjaikkal különböző csatornákon keresztül (közlemény).</w:t>
            </w:r>
          </w:p>
        </w:tc>
        <w:tc>
          <w:tcPr>
            <w:tcW w:w="102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84,2%</w:t>
            </w:r>
          </w:p>
        </w:tc>
      </w:tr>
    </w:tbl>
    <w:p>
      <w:pPr>
        <w:pStyle w:val="Normal"/>
        <w:rPr/>
      </w:pPr>
      <w:r>
        <w:rPr/>
      </w:r>
    </w:p>
    <w:p>
      <w:pPr>
        <w:pStyle w:val="Normal"/>
        <w:rPr/>
      </w:pPr>
      <w:r>
        <w:rPr/>
        <w:t>5.1.2 Európai ombudsman</w:t>
      </w:r>
    </w:p>
    <w:tbl>
      <w:tblPr>
        <w:tblW w:w="9645"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3179"/>
        <w:gridCol w:w="5431"/>
        <w:gridCol w:w="1035"/>
      </w:tblGrid>
      <w:tr>
        <w:trPr/>
        <w:tc>
          <w:tcPr>
            <w:tcW w:w="3179"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Problémák</w:t>
            </w:r>
          </w:p>
        </w:tc>
        <w:tc>
          <w:tcPr>
            <w:tcW w:w="5431"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Ajánlások</w:t>
            </w:r>
          </w:p>
        </w:tc>
        <w:tc>
          <w:tcPr>
            <w:tcW w:w="1035"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Támogatott (%)</w:t>
            </w:r>
          </w:p>
        </w:tc>
      </w:tr>
      <w:tr>
        <w:trPr/>
        <w:tc>
          <w:tcPr>
            <w:tcW w:w="317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 Az oldal az angoltól eltérő nyelveken csak angol nyelvű információkat tartalmaz az első két oldalon. Ez akadályt jelent azoknak a polgároknak, akik nem tanulnak angolul</w:t>
            </w:r>
          </w:p>
        </w:tc>
        <w:tc>
          <w:tcPr>
            <w:tcW w:w="543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1.1 Javasoljuk, hogy az információkat az egyes polgárok nyelvén helyezzék el a kezdőlapon, és ha nem lehet lefordítani, a híreket másutt is közzétesszük angol nyelven.</w:t>
            </w:r>
          </w:p>
        </w:tc>
        <w:tc>
          <w:tcPr>
            <w:tcW w:w="1035"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89,2%</w:t>
            </w:r>
          </w:p>
        </w:tc>
      </w:tr>
      <w:tr>
        <w:trPr/>
        <w:tc>
          <w:tcPr>
            <w:tcW w:w="317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 Az ombudsman nem részes fele a büntetésnek és a panaszosnak járó kártérítésnek</w:t>
            </w:r>
          </w:p>
        </w:tc>
        <w:tc>
          <w:tcPr>
            <w:tcW w:w="543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2.1 Azt javasoljuk, hogy az ombudsman vegyen részt a megoldás/szankció/kompenzáció megtalálásának és megvalósításának folyamatában, és legyen szó az ügyben.</w:t>
            </w:r>
          </w:p>
        </w:tc>
        <w:tc>
          <w:tcPr>
            <w:tcW w:w="1035"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71,1%</w:t>
            </w:r>
          </w:p>
        </w:tc>
      </w:tr>
      <w:tr>
        <w:trPr/>
        <w:tc>
          <w:tcPr>
            <w:tcW w:w="317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 A határidő néha nagyon hosszú a helyszínen történő regisztráció érvényesítésére (érvényesítési e-mail) Néha 24 órát vesz igénybe, és lefokozza a polgárt, aki valami másra költözik.</w:t>
            </w:r>
          </w:p>
        </w:tc>
        <w:tc>
          <w:tcPr>
            <w:tcW w:w="543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3.1 Az azonnali érvényesítési rendszer bevezetését javasoljuk.</w:t>
            </w:r>
          </w:p>
        </w:tc>
        <w:tc>
          <w:tcPr>
            <w:tcW w:w="1035"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47,4%</w:t>
            </w:r>
          </w:p>
        </w:tc>
      </w:tr>
      <w:tr>
        <w:trPr/>
        <w:tc>
          <w:tcPr>
            <w:tcW w:w="317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 Amikor panaszt nyújtunk be, a következő kérdést tesszük fel: használtál már minden lehetséges eljárást? Az állampolgár nem mindig ismeri az összes eljárást, és nem tud válaszolni a kérdésre.</w:t>
            </w:r>
          </w:p>
        </w:tc>
        <w:tc>
          <w:tcPr>
            <w:tcW w:w="543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4.1 Az egyéb eljárások egyszerű bemutatásához/magyarázatához való hivatkozás beillesztését javasoljuk.</w:t>
            </w:r>
          </w:p>
        </w:tc>
        <w:tc>
          <w:tcPr>
            <w:tcW w:w="1035"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89,5%</w:t>
            </w:r>
          </w:p>
        </w:tc>
      </w:tr>
      <w:tr>
        <w:trPr/>
        <w:tc>
          <w:tcPr>
            <w:tcW w:w="317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w:t>
            </w:r>
            <w:r>
              <w:rPr/>
              <w:commentReference w:id="17"/>
            </w:r>
            <w:r>
              <w:rPr/>
              <w:t>. Az ombudsman honlapja jól sikerült, de nem rendelkezik egyértelmű európai képpel, így ez kérdéseket vet fel a polgárok számára (jó helyen vagyok-e, hiteles-e? ...).</w:t>
            </w:r>
          </w:p>
        </w:tc>
        <w:tc>
          <w:tcPr>
            <w:tcW w:w="543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5.1 Javasoljuk, hogy vizsgálják felül a honlap grafikai chartáját, és jobban igazítsák azt az EU-éhoz (első tanács: emelje fel az európai zászlót az oldal tetejére). Az első „kattintáskor” egyértelművé kell tenni, hogy a polgár az intézmények ombudsmanjának honlapján található.</w:t>
            </w:r>
          </w:p>
        </w:tc>
        <w:tc>
          <w:tcPr>
            <w:tcW w:w="1035"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78,4%</w:t>
            </w:r>
          </w:p>
        </w:tc>
      </w:tr>
    </w:tbl>
    <w:p>
      <w:pPr>
        <w:pStyle w:val="Normal"/>
        <w:rPr/>
      </w:pPr>
      <w:r>
        <w:rPr/>
      </w:r>
    </w:p>
    <w:p>
      <w:pPr>
        <w:pStyle w:val="Normal"/>
        <w:rPr/>
      </w:pPr>
      <w:r>
        <w:rPr/>
        <w:t>5.1.3 Nyilvános konzultáció</w:t>
      </w:r>
      <w:r>
        <w:rPr/>
        <w:commentReference w:id="18"/>
      </w:r>
    </w:p>
    <w:tbl>
      <w:tblPr>
        <w:tblW w:w="9645"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3211"/>
        <w:gridCol w:w="5398"/>
        <w:gridCol w:w="1036"/>
      </w:tblGrid>
      <w:tr>
        <w:trPr/>
        <w:tc>
          <w:tcPr>
            <w:tcW w:w="3211"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Problémák</w:t>
            </w:r>
          </w:p>
        </w:tc>
        <w:tc>
          <w:tcPr>
            <w:tcW w:w="5398"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Ajánlások</w:t>
            </w:r>
          </w:p>
        </w:tc>
        <w:tc>
          <w:tcPr>
            <w:tcW w:w="1036"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Támogatott (%)</w:t>
            </w:r>
          </w:p>
        </w:tc>
      </w:tr>
      <w:tr>
        <w:trPr/>
        <w:tc>
          <w:tcPr>
            <w:tcW w:w="321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 A konzultációk weboldala megváltozott, és az állampolgárt első fokon egy elavult webhelyre küldik. Meg kell keresnie, hogy megtalálja az új webhely címét.</w:t>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1.1. Javasoljuk, hogy törölje a régi webhelyet, és először hivatkozzon az új webhelyre.</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81,6%</w:t>
            </w:r>
          </w:p>
        </w:tc>
      </w:tr>
      <w:tr>
        <w:trPr/>
        <w:tc>
          <w:tcPr>
            <w:tcW w:w="3211"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 A konzultáció ütemtervét (angol) és véleményeit (a polgárok szerkesztőjének nyelve) nem fordítják le az állampolgári olvasó nyelvére</w:t>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2.1. Határozottan javasoljuk, hogy az ütemtervet fordítsák le a polgárok nyelvére. Az angol nyelvű útiterv blokkol minden olyan állampolgárt, aki nem</w:t>
            </w:r>
            <w:commentRangeStart w:id="19"/>
            <w:r>
              <w:rPr/>
              <w:t>tanul</w:t>
            </w:r>
            <w:r>
              <w:rPr/>
            </w:r>
            <w:commentRangeEnd w:id="19"/>
            <w:r>
              <w:commentReference w:id="19"/>
            </w:r>
            <w:r>
              <w:rPr/>
              <w:t xml:space="preserve"> angolul a részvételében.</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81,6%</w:t>
            </w:r>
          </w:p>
        </w:tc>
      </w:tr>
      <w:tr>
        <w:trPr/>
        <w:tc>
          <w:tcPr>
            <w:tcW w:w="3211"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 xml:space="preserve">2.2. Javasoljuk, hogy helyezzen el egy fület/ikont „automata fordítás” minden egyes felülvizsgálat, amely csatlakozik egy nyílt forráskódú fordítási motor, mint a </w:t>
            </w:r>
            <w:commentRangeStart w:id="20"/>
            <w:r>
              <w:rPr/>
              <w:t>Google Translate vagy DeepL.</w:t>
            </w:r>
            <w:commentRangeEnd w:id="20"/>
            <w:r>
              <w:commentReference w:id="20"/>
            </w:r>
            <w:r>
              <w:rPr/>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65,8%</w:t>
            </w:r>
          </w:p>
        </w:tc>
      </w:tr>
      <w:tr>
        <w:trPr/>
        <w:tc>
          <w:tcPr>
            <w:tcW w:w="321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 A konzultáció nyomon követéséhez feliratkoznia kell.</w:t>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3.1. Javasoljuk, hogy a folyamatkövetést automatikusan küldjük el bárkinek, aki reagált, a leiratkozás lehetőségével.</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89,5%</w:t>
            </w:r>
          </w:p>
        </w:tc>
      </w:tr>
      <w:tr>
        <w:trPr/>
        <w:tc>
          <w:tcPr>
            <w:tcW w:w="3211"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 Nem tudjuk, hogy a vélemények száma bizonyos értelemben befolyásolja-e a szakbizottságot, vagy hogy a hasonló véleményeket egyetlen véleménynek tekintik-e (súlyozás vagy sem). Ha a vélemények száma bizonyos értelemben számít, aggódunk a lobbisták/aktivisták/nagyvállalatok súlya miatt a konzultációk során, és de facto az EU által a polgárokkal és az asszociatív világgal szemben hozott intézkedések miatt.</w:t>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4.1. Javasoljuk, hogy erről a webhelyen egyértelmű információkat helyezzen el.</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81,6%</w:t>
            </w:r>
          </w:p>
        </w:tc>
      </w:tr>
      <w:tr>
        <w:trPr/>
        <w:tc>
          <w:tcPr>
            <w:tcW w:w="3211"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4.2. Ha az egyik irányba mutató vélemények száma hatással van, javasoljuk egy olyan rendszer felállítását, amely képes a lobbisták/aktivisták/nagyvállalatok stb. szűrésére, hogy ne legyen aránytalan súlyuk.</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60,5%</w:t>
            </w:r>
          </w:p>
        </w:tc>
      </w:tr>
      <w:tr>
        <w:trPr/>
        <w:tc>
          <w:tcPr>
            <w:tcW w:w="3211"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4.3. Javasoljuk, hogy hozzon létre mesterséges intelligencia szoftver, amely rangsorolja a különböző értékeléseket, és számít ellentétes vagy kedvező vélemények.</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47,4%</w:t>
            </w:r>
          </w:p>
        </w:tc>
      </w:tr>
      <w:tr>
        <w:trPr/>
        <w:tc>
          <w:tcPr>
            <w:tcW w:w="3211"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4.4. Javasoljuk a polgárok és egyesületek (katonaiak) közötti közvetítések szervezését: legyenek olyan helyek, ahol a polgárok eljöhetnek, és kifejthetik véleményüket „Európa Házak” formájában, amelyek segíthetnek a polgárok véleményeinek európai szintű terjesztésében. Ezeket a helyeket különböző helyszíneken, helyi szinten kell létrehozni és áthelyezni.</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62,2%</w:t>
            </w:r>
          </w:p>
        </w:tc>
      </w:tr>
      <w:tr>
        <w:trPr/>
        <w:tc>
          <w:tcPr>
            <w:tcW w:w="321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 Az értesítési űrlap nem egyértelmű: van egy nyitott kérdés és egy kérdőív. Mi az egyes dokumentumok szerepe, mit kell kitölteni?</w:t>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5.1 Pontosítsa ezt az információt a webhelyen.</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81,6%</w:t>
            </w:r>
          </w:p>
        </w:tc>
      </w:tr>
      <w:tr>
        <w:trPr/>
        <w:tc>
          <w:tcPr>
            <w:tcW w:w="321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6. Túl sok képzettségi szint van, amikor az eszközökről van szó</w:t>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6.1 Olyan diszpécserközpont létrehozását javasoljuk, amely lehetővé teszi, hogy a kéréseket az illetékes hatósághoz irányítsák.</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78,9%</w:t>
            </w:r>
          </w:p>
        </w:tc>
      </w:tr>
    </w:tbl>
    <w:p>
      <w:pPr>
        <w:pStyle w:val="Normal"/>
        <w:rPr/>
      </w:pPr>
      <w:r>
        <w:rPr/>
      </w:r>
    </w:p>
    <w:p>
      <w:pPr>
        <w:pStyle w:val="Normal"/>
        <w:rPr/>
      </w:pPr>
      <w:r>
        <w:rPr/>
        <w:t>5.1.4 Európai polgári kezdeményezés</w:t>
      </w:r>
    </w:p>
    <w:tbl>
      <w:tblPr>
        <w:tblW w:w="9645"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2190"/>
        <w:gridCol w:w="6375"/>
        <w:gridCol w:w="1080"/>
      </w:tblGrid>
      <w:tr>
        <w:trPr>
          <w:trHeight w:val="596" w:hRule="atLeast"/>
        </w:trPr>
        <w:tc>
          <w:tcPr>
            <w:tcW w:w="219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Problémák</w:t>
            </w:r>
          </w:p>
        </w:tc>
        <w:tc>
          <w:tcPr>
            <w:tcW w:w="63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Ajánlások</w:t>
            </w:r>
          </w:p>
        </w:tc>
        <w:tc>
          <w:tcPr>
            <w:tcW w:w="10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Támogatott (%)</w:t>
            </w:r>
          </w:p>
        </w:tc>
      </w:tr>
      <w:tr>
        <w:trPr>
          <w:trHeight w:val="1481" w:hRule="atLeast"/>
        </w:trPr>
        <w:tc>
          <w:tcPr>
            <w:tcW w:w="219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 Az internettel nem rendelkező polgárokat nehezebb elérni.</w:t>
            </w:r>
          </w:p>
        </w:tc>
        <w:tc>
          <w:tcPr>
            <w:tcW w:w="63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1.1 Javasoljuk, hogy a kormánytól független helyi hatóságok vagy könyvtárak is részt vegyenek a kezdeményezés terjesztésében és aláírások gyűjtésében. Elektronikusan és papíron egyaránt. Az EU-nak országonként számba kell vennie ezt a hálózatot, és azt a kezdeményezők rendelkezésére kell bocsátania.</w:t>
            </w:r>
          </w:p>
        </w:tc>
        <w:tc>
          <w:tcPr>
            <w:tcW w:w="10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71,1%</w:t>
            </w:r>
          </w:p>
        </w:tc>
      </w:tr>
      <w:tr>
        <w:trPr>
          <w:trHeight w:val="1481" w:hRule="atLeast"/>
        </w:trPr>
        <w:tc>
          <w:tcPr>
            <w:tcW w:w="219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 A részvételre szoruló országok száma túl alacsony ahhoz, hogy elegendő támogatásban részesüljön.</w:t>
            </w:r>
          </w:p>
        </w:tc>
        <w:tc>
          <w:tcPr>
            <w:tcW w:w="63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 Javasoljuk, hogy az aláírásokat gyűjtő országok számát 13 országra emeljük annak érdekében, hogy nagyobb támogatást kapjunk a javaslathoz. Az aláírások számát a lakosok számával arányosan kell tiszteletben tartani.</w:t>
            </w:r>
          </w:p>
        </w:tc>
        <w:tc>
          <w:tcPr>
            <w:tcW w:w="10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64,9%</w:t>
            </w:r>
          </w:p>
        </w:tc>
      </w:tr>
      <w:tr>
        <w:trPr>
          <w:trHeight w:val="596" w:hRule="atLeast"/>
        </w:trPr>
        <w:tc>
          <w:tcPr>
            <w:tcW w:w="2190" w:type="dxa"/>
            <w:vMerge w:val="restart"/>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 Az aláírások összegyűjtésének költsége és erőfeszítése magas</w:t>
            </w:r>
          </w:p>
        </w:tc>
        <w:tc>
          <w:tcPr>
            <w:tcW w:w="63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3.1 Javasoljuk, hogy uniós finanszírozás álljon rendelkezésre e kezdeményezések támogatására.</w:t>
            </w:r>
          </w:p>
        </w:tc>
        <w:tc>
          <w:tcPr>
            <w:tcW w:w="10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71,1%</w:t>
            </w:r>
          </w:p>
        </w:tc>
      </w:tr>
      <w:tr>
        <w:trPr>
          <w:trHeight w:val="596" w:hRule="atLeast"/>
        </w:trPr>
        <w:tc>
          <w:tcPr>
            <w:tcW w:w="2190"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637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3.2 Azt javasoljuk, hogy hozzanak létre egy testületet, amely megkönnyíti a különböző országok közötti koordinációt.</w:t>
            </w:r>
          </w:p>
        </w:tc>
        <w:tc>
          <w:tcPr>
            <w:tcW w:w="108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75,7%</w:t>
            </w:r>
          </w:p>
        </w:tc>
      </w:tr>
      <w:tr>
        <w:trPr>
          <w:trHeight w:val="596" w:hRule="atLeast"/>
        </w:trPr>
        <w:tc>
          <w:tcPr>
            <w:tcW w:w="21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 Az eljárás összetett a polgárok számára.</w:t>
            </w:r>
          </w:p>
        </w:tc>
        <w:tc>
          <w:tcPr>
            <w:tcW w:w="637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4.1 Azt javasoljuk, hogy hozzanak létre egy ügyfélszolgálatot, amely segíti a polgárokat a folyamat befejezésében.</w:t>
            </w:r>
          </w:p>
        </w:tc>
        <w:tc>
          <w:tcPr>
            <w:tcW w:w="108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83,8%</w:t>
            </w:r>
          </w:p>
        </w:tc>
      </w:tr>
      <w:tr>
        <w:trPr>
          <w:trHeight w:val="596" w:hRule="atLeast"/>
        </w:trPr>
        <w:tc>
          <w:tcPr>
            <w:tcW w:w="2190" w:type="dxa"/>
            <w:vMerge w:val="restart"/>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 A polgári kezdeményezés eredménye nem egyértelmű.</w:t>
            </w:r>
          </w:p>
        </w:tc>
        <w:tc>
          <w:tcPr>
            <w:tcW w:w="637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5.1 Azt javasoljuk, hogy az Európai Bizottságot kötelezzük a javaslat nyomon követésének megvitatására és az azzal kapcsolatos munkára, és ne egyszerűen válaszoljon és igazolja a kézhezvételt. Ha a Bizottság úgy dönt, hogy nem tesz eleget a javaslatnak, azt indokolnia kell.</w:t>
            </w:r>
          </w:p>
        </w:tc>
        <w:tc>
          <w:tcPr>
            <w:tcW w:w="108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100,0%</w:t>
            </w:r>
          </w:p>
        </w:tc>
      </w:tr>
      <w:tr>
        <w:trPr>
          <w:trHeight w:val="596" w:hRule="atLeast"/>
        </w:trPr>
        <w:tc>
          <w:tcPr>
            <w:tcW w:w="2190"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637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5.2 Az Európai Polgári Kezdeményezés kézhezvételekor azt javasoljuk, hogy szervezzünk konzultációt a polgárokkal, hogy kérjék meg véleményüket arról, mielőtt a bizottság nyomon követi azt. Ezzel elkerülhető lenne, hogy csak szélsőséges vélemények/szavazatok legyenek a kezdeményezésre, és ne legyenek olyan emberek, akik nem írták alá. Ezen túlmenően, ha minden polgár véleményt nyilvánít, a javaslatnak nagyobb súlya lesz uniós szinten és annak nyomon követése.</w:t>
            </w:r>
          </w:p>
        </w:tc>
        <w:tc>
          <w:tcPr>
            <w:tcW w:w="108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55,3%</w:t>
            </w:r>
          </w:p>
        </w:tc>
      </w:tr>
    </w:tbl>
    <w:p>
      <w:pPr>
        <w:pStyle w:val="Normal"/>
        <w:rPr/>
      </w:pPr>
      <w:r>
        <w:rPr/>
      </w:r>
    </w:p>
    <w:p>
      <w:pPr>
        <w:pStyle w:val="Normal"/>
        <w:rPr/>
      </w:pPr>
      <w:r>
        <w:rPr/>
        <w:t>5.1.5 A petícióhoz való jog</w:t>
      </w:r>
    </w:p>
    <w:tbl>
      <w:tblPr>
        <w:tblW w:w="9645"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3276"/>
        <w:gridCol w:w="5168"/>
        <w:gridCol w:w="1201"/>
      </w:tblGrid>
      <w:tr>
        <w:trPr>
          <w:trHeight w:val="356" w:hRule="atLeast"/>
        </w:trPr>
        <w:tc>
          <w:tcPr>
            <w:tcW w:w="32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Problémák</w:t>
            </w:r>
          </w:p>
        </w:tc>
        <w:tc>
          <w:tcPr>
            <w:tcW w:w="516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Ajánlások</w:t>
            </w:r>
          </w:p>
        </w:tc>
        <w:tc>
          <w:tcPr>
            <w:tcW w:w="120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Támogatott (%)</w:t>
            </w:r>
          </w:p>
        </w:tc>
      </w:tr>
      <w:tr>
        <w:trPr>
          <w:trHeight w:val="656" w:hRule="atLeast"/>
        </w:trPr>
        <w:tc>
          <w:tcPr>
            <w:tcW w:w="32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 Az Európai Bizottság hozza meg a végső döntést, nincs bizonyosság az eredményről</w:t>
            </w:r>
          </w:p>
        </w:tc>
        <w:tc>
          <w:tcPr>
            <w:tcW w:w="516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1.1 Javasoljuk, hogy az Európai Parlament ajánlását kövesse a bizottság.</w:t>
            </w:r>
          </w:p>
        </w:tc>
        <w:tc>
          <w:tcPr>
            <w:tcW w:w="120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81,1%</w:t>
            </w:r>
          </w:p>
        </w:tc>
      </w:tr>
      <w:tr>
        <w:trPr>
          <w:trHeight w:val="941" w:hRule="atLeast"/>
        </w:trPr>
        <w:tc>
          <w:tcPr>
            <w:tcW w:w="32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 Kevés az átláthatóság a döntés folyamatával és motivációjával kapcsolatban.</w:t>
            </w:r>
          </w:p>
        </w:tc>
        <w:tc>
          <w:tcPr>
            <w:tcW w:w="516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 Azt javasoljuk, hogy a petíció benyújtóját rendszeresen tájékoztassák az előrehaladásról és a döntésekről. A végső következtetést szintén meg kell indokolni.</w:t>
            </w:r>
          </w:p>
        </w:tc>
        <w:tc>
          <w:tcPr>
            <w:tcW w:w="120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94,4%</w:t>
            </w:r>
          </w:p>
        </w:tc>
      </w:tr>
      <w:tr>
        <w:trPr>
          <w:trHeight w:val="656" w:hRule="atLeast"/>
        </w:trPr>
        <w:tc>
          <w:tcPr>
            <w:tcW w:w="32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 A polgárok számára nehéz bizonyítani, hogy új jogszabályra van szükség.</w:t>
            </w:r>
          </w:p>
        </w:tc>
        <w:tc>
          <w:tcPr>
            <w:tcW w:w="516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3.1 Azt javasoljuk, hogy egy petíciót is használjanak az új jogszabályok szükségességének bizonyítására.</w:t>
            </w:r>
          </w:p>
        </w:tc>
        <w:tc>
          <w:tcPr>
            <w:tcW w:w="120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78,4%</w:t>
            </w:r>
          </w:p>
        </w:tc>
      </w:tr>
    </w:tbl>
    <w:p>
      <w:pPr>
        <w:pStyle w:val="Normal"/>
        <w:rPr/>
      </w:pPr>
      <w:r>
        <w:rPr/>
      </w:r>
    </w:p>
    <w:p>
      <w:pPr>
        <w:pStyle w:val="Normal"/>
        <w:rPr/>
      </w:pPr>
      <w:r>
        <w:rPr/>
      </w:r>
    </w:p>
    <w:p>
      <w:pPr>
        <w:pStyle w:val="Normal"/>
        <w:rPr/>
      </w:pPr>
      <w:r>
        <w:rPr/>
      </w:r>
      <w:r>
        <w:br w:type="page"/>
      </w:r>
    </w:p>
    <w:p>
      <w:pPr>
        <w:pStyle w:val="Titre1"/>
        <w:numPr>
          <w:ilvl w:val="0"/>
          <w:numId w:val="2"/>
        </w:numPr>
        <w:rPr/>
      </w:pPr>
      <w:bookmarkStart w:id="206" w:name="__RefHeading___Toc297349_1346298689"/>
      <w:bookmarkEnd w:id="206"/>
      <w:r>
        <w:rPr/>
        <w:t>II B. Nemzeti panelek: Franciaország</w:t>
      </w:r>
    </w:p>
    <w:p>
      <w:pPr>
        <w:pStyle w:val="Normal"/>
        <w:spacing w:before="15880" w:after="57"/>
        <w:rPr/>
      </w:pPr>
      <w:r>
        <w:rPr/>
        <mc:AlternateContent>
          <mc:Choice Requires="wps">
            <w:drawing>
              <wp:anchor behindDoc="0" distT="72390" distB="72390" distL="72390" distR="72390" simplePos="0" locked="0" layoutInCell="1" allowOverlap="1" relativeHeight="39">
                <wp:simplePos x="0" y="0"/>
                <wp:positionH relativeFrom="column">
                  <wp:posOffset>914400</wp:posOffset>
                </wp:positionH>
                <wp:positionV relativeFrom="paragraph">
                  <wp:posOffset>5288280</wp:posOffset>
                </wp:positionV>
                <wp:extent cx="4782820" cy="1020445"/>
                <wp:effectExtent l="0" t="0" r="0" b="0"/>
                <wp:wrapTopAndBottom/>
                <wp:docPr id="75" name="Keretrendszer14"/>
                <a:graphic xmlns:a="http://schemas.openxmlformats.org/drawingml/2006/main">
                  <a:graphicData uri="http://schemas.microsoft.com/office/word/2010/wordprocessingShape">
                    <wps:wsp>
                      <wps:cNvSpPr/>
                      <wps:spPr>
                        <a:xfrm>
                          <a:off x="0" y="0"/>
                          <a:ext cx="4782240" cy="1019880"/>
                        </a:xfrm>
                        <a:prstGeom prst="rect">
                          <a:avLst/>
                        </a:prstGeom>
                        <a:solidFill>
                          <a:srgbClr val="eeeeee">
                            <a:alpha val="50000"/>
                          </a:srgbClr>
                        </a:solidFill>
                        <a:ln>
                          <a:noFill/>
                        </a:ln>
                      </wps:spPr>
                      <wps:style>
                        <a:lnRef idx="0"/>
                        <a:fillRef idx="0"/>
                        <a:effectRef idx="0"/>
                        <a:fontRef idx="minor"/>
                      </wps:style>
                      <wps:txbx>
                        <w:txbxContent>
                          <w:p>
                            <w:pPr>
                              <w:pStyle w:val="P68B1DB1Contenudecadre22"/>
                              <w:spacing w:before="57" w:after="57"/>
                              <w:rPr>
                                <w:color w:val="FFFFFF"/>
                              </w:rPr>
                            </w:pPr>
                            <w:r>
                              <w:rPr/>
                              <w:t xml:space="preserve">Ez a dokumentum „A polgárok hozzájárulása az Európa jövőjéről szóló konferenciához” című, Franciaország által szervezett jelentés összefoglalója. A jelentés teljes francia nyelvű változata az alábbi linken érhető el: </w:t>
                            </w:r>
                          </w:p>
                          <w:p>
                            <w:pPr>
                              <w:pStyle w:val="Contenudecadre"/>
                              <w:spacing w:before="57" w:after="57"/>
                              <w:rPr/>
                            </w:pPr>
                            <w:hyperlink r:id="rId85">
                              <w:r>
                                <w:rPr>
                                  <w:rStyle w:val="LienInternet"/>
                                </w:rPr>
                                <w:t>https://participation-citoyenne.gouv.fr/sites/default/files/2021-11/20211126%20-%20COFE%20-%20Rapport%20final.pdf</w:t>
                              </w:r>
                            </w:hyperlink>
                            <w:r>
                              <w:rPr>
                                <w:color w:val="FFFFFF"/>
                              </w:rPr>
                              <w:t xml:space="preserve"> </w:t>
                            </w:r>
                          </w:p>
                        </w:txbxContent>
                      </wps:txbx>
                      <wps:bodyPr lIns="54000" rIns="54000" tIns="54000" bIns="54000">
                        <a:noAutofit/>
                      </wps:bodyPr>
                    </wps:wsp>
                  </a:graphicData>
                </a:graphic>
              </wp:anchor>
            </w:drawing>
          </mc:Choice>
          <mc:Fallback>
            <w:pict>
              <v:rect id="shape_0" ID="Keretrendszer14" fillcolor="#eeeeee" stroked="f" style="position:absolute;margin-left:72pt;margin-top:416.4pt;width:376.5pt;height:80.25pt">
                <w10:wrap type="square"/>
                <v:fill o:detectmouseclick="t" type="solid" color2="#111111" opacity="0.5"/>
                <v:stroke color="#3465a4" joinstyle="round" endcap="flat"/>
                <v:textbox>
                  <w:txbxContent>
                    <w:p>
                      <w:pPr>
                        <w:pStyle w:val="P68B1DB1Contenudecadre22"/>
                        <w:spacing w:before="57" w:after="57"/>
                        <w:rPr>
                          <w:color w:val="FFFFFF"/>
                        </w:rPr>
                      </w:pPr>
                      <w:r>
                        <w:rPr/>
                        <w:t xml:space="preserve">Ez a dokumentum „A polgárok hozzájárulása az Európa jövőjéről szóló konferenciához” című, Franciaország által szervezett jelentés összefoglalója. A jelentés teljes francia nyelvű változata az alábbi linken érhető el: </w:t>
                      </w:r>
                    </w:p>
                    <w:p>
                      <w:pPr>
                        <w:pStyle w:val="Contenudecadre"/>
                        <w:spacing w:before="57" w:after="57"/>
                        <w:rPr/>
                      </w:pPr>
                      <w:hyperlink r:id="rId86">
                        <w:r>
                          <w:rPr>
                            <w:rStyle w:val="LienInternet"/>
                          </w:rPr>
                          <w:t>https://participation-citoyenne.gouv.fr/sites/default/files/2021-11/20211126%20-%20COFE%20-%20Rapport%20final.pdf</w:t>
                        </w:r>
                      </w:hyperlink>
                      <w:r>
                        <w:rPr>
                          <w:color w:val="FFFFFF"/>
                        </w:rPr>
                        <w:t xml:space="preserve"> </w:t>
                      </w:r>
                    </w:p>
                  </w:txbxContent>
                </v:textbox>
              </v:rect>
            </w:pict>
          </mc:Fallback>
        </mc:AlternateContent>
        <w:drawing>
          <wp:anchor behindDoc="0" distT="0" distB="0" distL="0" distR="0" simplePos="0" locked="0" layoutInCell="1" allowOverlap="1" relativeHeight="34">
            <wp:simplePos x="0" y="0"/>
            <wp:positionH relativeFrom="column">
              <wp:align>center</wp:align>
            </wp:positionH>
            <wp:positionV relativeFrom="paragraph">
              <wp:posOffset>635</wp:posOffset>
            </wp:positionV>
            <wp:extent cx="5443855" cy="6813550"/>
            <wp:effectExtent l="0" t="0" r="0" b="0"/>
            <wp:wrapTopAndBottom/>
            <wp:docPr id="77" name="Kép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Kép33" descr=""/>
                    <pic:cNvPicPr>
                      <a:picLocks noChangeAspect="1" noChangeArrowheads="1"/>
                    </pic:cNvPicPr>
                  </pic:nvPicPr>
                  <pic:blipFill>
                    <a:blip r:embed="rId87"/>
                    <a:stretch>
                      <a:fillRect/>
                    </a:stretch>
                  </pic:blipFill>
                  <pic:spPr bwMode="auto">
                    <a:xfrm>
                      <a:off x="0" y="0"/>
                      <a:ext cx="5443855" cy="6813550"/>
                    </a:xfrm>
                    <a:prstGeom prst="rect">
                      <a:avLst/>
                    </a:prstGeom>
                  </pic:spPr>
                </pic:pic>
              </a:graphicData>
            </a:graphic>
          </wp:anchor>
        </w:drawing>
        <w:drawing>
          <wp:anchor behindDoc="0" distT="0" distB="0" distL="0" distR="0" simplePos="0" locked="0" layoutInCell="1" allowOverlap="1" relativeHeight="35">
            <wp:simplePos x="0" y="0"/>
            <wp:positionH relativeFrom="column">
              <wp:posOffset>5186680</wp:posOffset>
            </wp:positionH>
            <wp:positionV relativeFrom="paragraph">
              <wp:posOffset>6484620</wp:posOffset>
            </wp:positionV>
            <wp:extent cx="838200" cy="485775"/>
            <wp:effectExtent l="0" t="0" r="0" b="0"/>
            <wp:wrapSquare wrapText="largest"/>
            <wp:docPr id="78" name="Kép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Kép38" descr=""/>
                    <pic:cNvPicPr>
                      <a:picLocks noChangeAspect="1" noChangeArrowheads="1"/>
                    </pic:cNvPicPr>
                  </pic:nvPicPr>
                  <pic:blipFill>
                    <a:blip r:embed="rId88"/>
                    <a:stretch>
                      <a:fillRect/>
                    </a:stretch>
                  </pic:blipFill>
                  <pic:spPr bwMode="auto">
                    <a:xfrm>
                      <a:off x="0" y="0"/>
                      <a:ext cx="838200" cy="485775"/>
                    </a:xfrm>
                    <a:prstGeom prst="rect">
                      <a:avLst/>
                    </a:prstGeom>
                  </pic:spPr>
                </pic:pic>
              </a:graphicData>
            </a:graphic>
          </wp:anchor>
        </w:drawing>
        <w:drawing>
          <wp:anchor behindDoc="0" distT="0" distB="0" distL="0" distR="0" simplePos="0" locked="0" layoutInCell="1" allowOverlap="1" relativeHeight="36">
            <wp:simplePos x="0" y="0"/>
            <wp:positionH relativeFrom="column">
              <wp:posOffset>3897630</wp:posOffset>
            </wp:positionH>
            <wp:positionV relativeFrom="paragraph">
              <wp:posOffset>6478270</wp:posOffset>
            </wp:positionV>
            <wp:extent cx="1212850" cy="419100"/>
            <wp:effectExtent l="0" t="0" r="0" b="0"/>
            <wp:wrapSquare wrapText="largest"/>
            <wp:docPr id="79" name="Kép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Kép37" descr=""/>
                    <pic:cNvPicPr>
                      <a:picLocks noChangeAspect="1" noChangeArrowheads="1"/>
                    </pic:cNvPicPr>
                  </pic:nvPicPr>
                  <pic:blipFill>
                    <a:blip r:embed="rId89"/>
                    <a:stretch>
                      <a:fillRect/>
                    </a:stretch>
                  </pic:blipFill>
                  <pic:spPr bwMode="auto">
                    <a:xfrm>
                      <a:off x="0" y="0"/>
                      <a:ext cx="1212850" cy="419100"/>
                    </a:xfrm>
                    <a:prstGeom prst="rect">
                      <a:avLst/>
                    </a:prstGeom>
                  </pic:spPr>
                </pic:pic>
              </a:graphicData>
            </a:graphic>
          </wp:anchor>
        </w:drawing>
        <w:drawing>
          <wp:anchor behindDoc="0" distT="0" distB="0" distL="0" distR="0" simplePos="0" locked="0" layoutInCell="1" allowOverlap="1" relativeHeight="37">
            <wp:simplePos x="0" y="0"/>
            <wp:positionH relativeFrom="column">
              <wp:posOffset>2844800</wp:posOffset>
            </wp:positionH>
            <wp:positionV relativeFrom="paragraph">
              <wp:posOffset>6459220</wp:posOffset>
            </wp:positionV>
            <wp:extent cx="1007745" cy="490855"/>
            <wp:effectExtent l="0" t="0" r="0" b="0"/>
            <wp:wrapSquare wrapText="largest"/>
            <wp:docPr id="80" name="Kép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Kép36" descr=""/>
                    <pic:cNvPicPr>
                      <a:picLocks noChangeAspect="1" noChangeArrowheads="1"/>
                    </pic:cNvPicPr>
                  </pic:nvPicPr>
                  <pic:blipFill>
                    <a:blip r:embed="rId90"/>
                    <a:stretch>
                      <a:fillRect/>
                    </a:stretch>
                  </pic:blipFill>
                  <pic:spPr bwMode="auto">
                    <a:xfrm>
                      <a:off x="0" y="0"/>
                      <a:ext cx="1007745" cy="490855"/>
                    </a:xfrm>
                    <a:prstGeom prst="rect">
                      <a:avLst/>
                    </a:prstGeom>
                  </pic:spPr>
                </pic:pic>
              </a:graphicData>
            </a:graphic>
          </wp:anchor>
        </w:drawing>
        <w:drawing>
          <wp:anchor behindDoc="0" distT="0" distB="0" distL="0" distR="0" simplePos="0" locked="0" layoutInCell="1" allowOverlap="1" relativeHeight="38">
            <wp:simplePos x="0" y="0"/>
            <wp:positionH relativeFrom="column">
              <wp:posOffset>1290955</wp:posOffset>
            </wp:positionH>
            <wp:positionV relativeFrom="paragraph">
              <wp:posOffset>6459220</wp:posOffset>
            </wp:positionV>
            <wp:extent cx="1554480" cy="240030"/>
            <wp:effectExtent l="0" t="0" r="0" b="0"/>
            <wp:wrapSquare wrapText="largest"/>
            <wp:docPr id="81" name="Kép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Kép34" descr=""/>
                    <pic:cNvPicPr>
                      <a:picLocks noChangeAspect="1" noChangeArrowheads="1"/>
                    </pic:cNvPicPr>
                  </pic:nvPicPr>
                  <pic:blipFill>
                    <a:blip r:embed="rId91"/>
                    <a:stretch>
                      <a:fillRect/>
                    </a:stretch>
                  </pic:blipFill>
                  <pic:spPr bwMode="auto">
                    <a:xfrm>
                      <a:off x="0" y="0"/>
                      <a:ext cx="1554480" cy="240030"/>
                    </a:xfrm>
                    <a:prstGeom prst="rect">
                      <a:avLst/>
                    </a:prstGeom>
                  </pic:spPr>
                </pic:pic>
              </a:graphicData>
            </a:graphic>
          </wp:anchor>
        </w:drawing>
        <w:drawing>
          <wp:anchor behindDoc="0" distT="0" distB="0" distL="0" distR="0" simplePos="0" locked="0" layoutInCell="1" allowOverlap="1" relativeHeight="56">
            <wp:simplePos x="0" y="0"/>
            <wp:positionH relativeFrom="column">
              <wp:posOffset>-47625</wp:posOffset>
            </wp:positionH>
            <wp:positionV relativeFrom="paragraph">
              <wp:posOffset>6496050</wp:posOffset>
            </wp:positionV>
            <wp:extent cx="1281430" cy="614680"/>
            <wp:effectExtent l="0" t="0" r="0" b="0"/>
            <wp:wrapSquare wrapText="largest"/>
            <wp:docPr id="82" name="Kép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Kép35" descr=""/>
                    <pic:cNvPicPr>
                      <a:picLocks noChangeAspect="1" noChangeArrowheads="1"/>
                    </pic:cNvPicPr>
                  </pic:nvPicPr>
                  <pic:blipFill>
                    <a:blip r:embed="rId92"/>
                    <a:stretch>
                      <a:fillRect/>
                    </a:stretch>
                  </pic:blipFill>
                  <pic:spPr bwMode="auto">
                    <a:xfrm>
                      <a:off x="0" y="0"/>
                      <a:ext cx="1281430" cy="614680"/>
                    </a:xfrm>
                    <a:prstGeom prst="rect">
                      <a:avLst/>
                    </a:prstGeom>
                  </pic:spPr>
                </pic:pic>
              </a:graphicData>
            </a:graphic>
          </wp:anchor>
        </w:drawing>
      </w:r>
    </w:p>
    <w:p>
      <w:pPr>
        <w:pStyle w:val="Normal"/>
        <w:widowControl w:val="false"/>
        <w:spacing w:lineRule="exact" w:line="388" w:before="80" w:after="0"/>
        <w:ind w:left="0" w:right="0" w:hanging="0"/>
        <w:jc w:val="left"/>
        <w:rPr>
          <w:rFonts w:ascii="Times New Roman" w:hAnsi="Times New Roman"/>
          <w:color w:val="000000"/>
          <w:sz w:val="24"/>
        </w:rPr>
      </w:pPr>
      <w:r>
        <w:rPr>
          <w:rFonts w:ascii="Times New Roman" w:hAnsi="Times New Roman"/>
          <w:color w:val="000000"/>
          <w:sz w:val="24"/>
        </w:rPr>
      </w:r>
      <w:r>
        <w:br w:type="page"/>
      </w:r>
    </w:p>
    <w:sdt>
      <w:sdtPr>
        <w:docPartObj>
          <w:docPartGallery w:val="Table of Contents"/>
          <w:docPartUnique w:val="true"/>
        </w:docPartObj>
      </w:sdtPr>
      <w:sdtContent>
        <w:p>
          <w:pPr>
            <w:pStyle w:val="TOAHeading"/>
            <w:suppressLineNumbers/>
            <w:ind w:left="0" w:right="0" w:hanging="0"/>
            <w:rPr/>
          </w:pPr>
          <w:r>
            <w:rPr/>
            <w:t>Összefoglaló</w:t>
          </w:r>
        </w:p>
        <w:p>
          <w:pPr>
            <w:pStyle w:val="Tabledesmatiresniveau1"/>
            <w:rPr/>
          </w:pPr>
          <w:r>
            <w:fldChar w:fldCharType="begin"/>
          </w:r>
          <w:r>
            <w:rPr>
              <w:rStyle w:val="Sautdindex"/>
            </w:rPr>
            <w:instrText> TOC \f \o "1-3" \h</w:instrText>
          </w:r>
          <w:r>
            <w:rPr>
              <w:rStyle w:val="Sautdindex"/>
            </w:rPr>
            <w:fldChar w:fldCharType="separate"/>
          </w:r>
          <w:hyperlink w:anchor="__RefHeading___Toc297349_1346298689">
            <w:r>
              <w:rPr>
                <w:rStyle w:val="Sautdindex"/>
              </w:rPr>
              <w:t>II B Panels nationaux : France</w:t>
              <w:tab/>
              <w:t>192</w:t>
            </w:r>
          </w:hyperlink>
        </w:p>
        <w:p>
          <w:pPr>
            <w:pStyle w:val="Tabledesmatiresniveau2"/>
            <w:tabs>
              <w:tab w:val="right" w:pos="9638" w:leader="dot"/>
            </w:tabs>
            <w:rPr/>
          </w:pPr>
          <w:hyperlink w:anchor="__RefHeading___Toc300448_1346298689">
            <w:r>
              <w:rPr>
                <w:rStyle w:val="Sautdindex"/>
              </w:rPr>
              <w:t>Introduction</w:t>
              <w:tab/>
              <w:t>194</w:t>
            </w:r>
          </w:hyperlink>
        </w:p>
        <w:p>
          <w:pPr>
            <w:pStyle w:val="Tabledesmatiresniveau2"/>
            <w:tabs>
              <w:tab w:val="right" w:pos="9638" w:leader="dot"/>
            </w:tabs>
            <w:rPr/>
          </w:pPr>
          <w:hyperlink w:anchor="__RefHeading___Toc300450_1346298689">
            <w:r>
              <w:rPr>
                <w:rStyle w:val="Sautdindex"/>
              </w:rPr>
              <w:t>Présentation des principaux résultats</w:t>
              <w:tab/>
              <w:t>197</w:t>
            </w:r>
          </w:hyperlink>
        </w:p>
        <w:p>
          <w:pPr>
            <w:pStyle w:val="Tabledesmatiresniveau2"/>
            <w:tabs>
              <w:tab w:val="right" w:pos="9638" w:leader="dot"/>
            </w:tabs>
            <w:rPr/>
          </w:pPr>
          <w:hyperlink w:anchor="__RefHeading___Toc300452_1346298689">
            <w:r>
              <w:rPr>
                <w:rStyle w:val="Sautdindex"/>
              </w:rPr>
              <w:t>Présentation des panels des conférences régionales</w:t>
              <w:tab/>
              <w:t>199</w:t>
            </w:r>
          </w:hyperlink>
        </w:p>
        <w:p>
          <w:pPr>
            <w:pStyle w:val="Tabledesmatiresniveau2"/>
            <w:tabs>
              <w:tab w:val="right" w:pos="9638" w:leader="dot"/>
            </w:tabs>
            <w:rPr/>
          </w:pPr>
          <w:hyperlink w:anchor="__RefHeading___Toc300454_1346298689">
            <w:r>
              <w:rPr>
                <w:rStyle w:val="Sautdindex"/>
              </w:rPr>
              <w:t>Engagements et partis pris méthodologiques</w:t>
              <w:tab/>
              <w:t>201</w:t>
            </w:r>
          </w:hyperlink>
        </w:p>
        <w:p>
          <w:pPr>
            <w:pStyle w:val="Tabledesmatiresniveau2"/>
            <w:tabs>
              <w:tab w:val="right" w:pos="9638" w:leader="dot"/>
            </w:tabs>
            <w:rPr/>
          </w:pPr>
          <w:hyperlink w:anchor="__RefHeading___Toc300456_1346298689">
            <w:r>
              <w:rPr>
                <w:rStyle w:val="Sautdindex"/>
              </w:rPr>
              <w:t>Première partie: présentation des résultats des conférences régionales sur l’avenir de l’Europe</w:t>
              <w:tab/>
              <w:t>207</w:t>
            </w:r>
          </w:hyperlink>
        </w:p>
        <w:p>
          <w:pPr>
            <w:pStyle w:val="Tabledesmatiresniveau2"/>
            <w:tabs>
              <w:tab w:val="right" w:pos="9638" w:leader="dot"/>
            </w:tabs>
            <w:rPr/>
          </w:pPr>
          <w:hyperlink w:anchor="__RefHeading___Toc297351_1346298689">
            <w:r>
              <w:rPr>
                <w:rStyle w:val="Sautdindex"/>
              </w:rPr>
              <w:t>Seconde partie: présentation des résultats de la consultation « Parole aux Jeunes »</w:t>
              <w:tab/>
              <w:t>218</w:t>
            </w:r>
          </w:hyperlink>
        </w:p>
        <w:p>
          <w:pPr>
            <w:pStyle w:val="Tabledesmatiresniveau2"/>
            <w:tabs>
              <w:tab w:val="right" w:pos="9638" w:leader="dot"/>
            </w:tabs>
            <w:rPr/>
          </w:pPr>
          <w:hyperlink w:anchor="__RefHeading___Toc300458_1346298689">
            <w:r>
              <w:rPr>
                <w:rStyle w:val="Sautdindex"/>
              </w:rPr>
              <w:t>Conclusion</w:t>
              <w:tab/>
              <w:t>221</w:t>
            </w:r>
          </w:hyperlink>
        </w:p>
      </w:sdtContent>
    </w:sdt>
    <w:p>
      <w:pPr>
        <w:pStyle w:val="Normal"/>
        <w:spacing w:before="57" w:after="57"/>
        <w:ind w:left="0" w:right="0" w:hanging="0"/>
        <w:rPr>
          <w:rFonts w:ascii="Arial" w:hAnsi="Arial"/>
          <w:sz w:val="22"/>
        </w:rPr>
      </w:pPr>
      <w:r>
        <w:rPr>
          <w:sz w:val="22"/>
        </w:rPr>
      </w:r>
      <w:r>
        <w:rPr>
          <w:sz w:val="22"/>
        </w:rPr>
        <w:fldChar w:fldCharType="end"/>
      </w:r>
    </w:p>
    <w:p>
      <w:pPr>
        <w:pStyle w:val="Normal"/>
        <w:rPr/>
      </w:pPr>
      <w:r>
        <w:rPr/>
      </w:r>
      <w:r>
        <w:br w:type="page"/>
      </w:r>
    </w:p>
    <w:p>
      <w:pPr>
        <w:pStyle w:val="Titre2"/>
        <w:numPr>
          <w:ilvl w:val="1"/>
          <w:numId w:val="2"/>
        </w:numPr>
        <w:rPr/>
      </w:pPr>
      <w:bookmarkStart w:id="207" w:name="__RefHeading___Toc300448_1346298689"/>
      <w:bookmarkEnd w:id="207"/>
      <w:r>
        <w:rPr/>
        <w:t xml:space="preserve">Bevezetés </w:t>
      </w:r>
    </w:p>
    <w:p>
      <w:pPr>
        <w:pStyle w:val="P68B1DB1Normal19"/>
        <w:widowControl w:val="false"/>
        <w:spacing w:lineRule="auto" w:line="240" w:before="156" w:after="0"/>
        <w:ind w:left="0" w:right="0" w:hanging="0"/>
        <w:jc w:val="both"/>
        <w:rPr/>
      </w:pPr>
      <w:r>
        <w:rPr/>
        <w:t xml:space="preserve">Az Európa jövőjéről szóló konferencia példa nélküli polgári részvétel, amelynek célja az Európai Unió 27 tagállamának polgáraival való konzultáció annak érdekében, hogy az elkövetkező évek és évtizedek során meghozandó döntések középpontjába kerüljenek. Ezért felkérjük az uniós polgárokat, hogy hallassák hangjukat, javasolva olyan változtatásokat és konkrét cselekvési módokat, amelyek lehetővé teszik Európa számára, hogy új célokat tűzzön ki, és kezelje a mai globális kihívásokat. </w:t>
      </w:r>
    </w:p>
    <w:p>
      <w:pPr>
        <w:pStyle w:val="P68B1DB1Normal19"/>
        <w:widowControl w:val="false"/>
        <w:spacing w:lineRule="auto" w:line="240" w:before="156" w:after="0"/>
        <w:ind w:left="0" w:right="0" w:hanging="0"/>
        <w:jc w:val="both"/>
        <w:rPr/>
      </w:pPr>
      <w:r>
        <w:rPr/>
        <w:t xml:space="preserve">A francia kormány támogatja az Európa jövőjéről szóló konferencia elnökségi triójának kezdeményezéseit, különösen azáltal, hogy arra ösztönzi polgárait, hogy jelentős mértékben járuljanak hozzá az online platformhoz, és országszerte szervezzenek rendezvényeket. </w:t>
      </w:r>
    </w:p>
    <w:p>
      <w:pPr>
        <w:pStyle w:val="P68B1DB1Normal19"/>
        <w:widowControl w:val="false"/>
        <w:spacing w:lineRule="auto" w:line="240" w:before="156" w:after="0"/>
        <w:ind w:left="0" w:right="0" w:hanging="0"/>
        <w:jc w:val="left"/>
        <w:rPr/>
      </w:pPr>
      <w:r>
        <w:rPr/>
        <w:t xml:space="preserve">Ezekkel az európai kezdeményezésekkel párhuzamosan a kormány részt kíván venni nemzeti szinten. </w:t>
      </w:r>
    </w:p>
    <w:p>
      <w:pPr>
        <w:pStyle w:val="P68B1DB1Normal19"/>
        <w:widowControl w:val="false"/>
        <w:spacing w:lineRule="auto" w:line="240" w:before="156" w:after="0"/>
        <w:ind w:left="0" w:right="0" w:hanging="0"/>
        <w:jc w:val="both"/>
        <w:rPr/>
      </w:pPr>
      <w:r>
        <w:rPr/>
        <w:t xml:space="preserve">A Parlamenttel fenntartott kapcsolatokért és a polgárok részvételéért felelős minisztérium (MRPCC) támogatásával, valamint az Állampolgári Részvételi Minisztérium (ICPC) szakértelmével az Európa és Külügyminisztérium (MEAE) erőteljes módszertani elfogultságon alapuló polgári gyakorlatot szervezett (lásd alább: „Módszertani kötelezettségvállalások és elfogultságok”). A MEAE a Roland Berger, a Wavestone, a Missions Publiques és a Harris Interactive beszállítói konzorciumára támaszkodott. A regionális prefektúrák végre kulcsszerepet játszottak az ország 18 konferenciájának megszervezésében. </w:t>
      </w:r>
    </w:p>
    <w:p>
      <w:pPr>
        <w:pStyle w:val="P68B1DB1Normal19"/>
        <w:widowControl w:val="false"/>
        <w:spacing w:lineRule="auto" w:line="240" w:before="156" w:after="0"/>
        <w:ind w:left="0" w:right="0" w:hanging="0"/>
        <w:jc w:val="both"/>
        <w:rPr/>
      </w:pPr>
      <w:r>
        <w:rPr/>
        <w:t xml:space="preserve">A konzultáció keretében egyetlen kérdést tettek fel a résztvevőknek: </w:t>
      </w:r>
      <w:r>
        <w:rPr>
          <w:b/>
          <w:i/>
        </w:rPr>
        <w:t>Francia állampolgárként milyen változtatásokat szeretne Európa számára?</w:t>
      </w:r>
      <w:r>
        <w:rPr/>
        <w:t xml:space="preserve"> (Lásd a IV. mellékletet: „A részvétel megbízatása”). </w:t>
      </w:r>
    </w:p>
    <w:p>
      <w:pPr>
        <w:pStyle w:val="P68B1DB1Normal19"/>
        <w:widowControl w:val="false"/>
        <w:spacing w:lineRule="auto" w:line="240" w:before="156" w:after="0"/>
        <w:ind w:left="0" w:right="0" w:hanging="0"/>
        <w:jc w:val="both"/>
        <w:rPr/>
      </w:pPr>
      <w:r>
        <w:rPr/>
        <w:t xml:space="preserve">Ez a nemzeti gyakorlat 18 regionális konferencia formáját öltötte a 13 nagyvárosi régióban és az 5 francia ultramarine-régióban, amelyekre 2021 szeptemberében és októberében három hétvégén került sor, és amelyek mindegyike 30–50 polgárt hozott össze sorsolással (összesen 746 fő). E 18 regionális panel összefoglalóját ezt követően a Gazdasági, Szociális és Környezetvédelmi Tanács (EGSZB Párizsban) 2021. október 15. és 17. között tartott nemzeti konferenciáján végezték el, amelyen 98 önkéntes polgár vett részt a regionális konferenciák résztvevői között. </w:t>
      </w:r>
    </w:p>
    <w:p>
      <w:pPr>
        <w:pStyle w:val="P68B1DB1Normal19"/>
        <w:widowControl w:val="false"/>
        <w:spacing w:lineRule="auto" w:line="240" w:before="156" w:after="0"/>
        <w:ind w:left="0" w:right="0" w:hanging="0"/>
        <w:jc w:val="both"/>
        <w:rPr/>
      </w:pPr>
      <w:r>
        <w:rPr/>
        <w:t xml:space="preserve">Ezen túlmenően, valamint a francia fiatalok 2022-es európai évét megelőző szavainak kiemelése érdekében az Európa és a Külügyek Minisztériuma a Make.org </w:t>
      </w:r>
      <w:r>
        <w:rPr>
          <w:i/>
        </w:rPr>
        <w:t>-gal partnerségben online konzultációt szervezett „Beszéd az ifjúsághoz”</w:t>
      </w:r>
      <w:r>
        <w:rPr/>
        <w:t xml:space="preserve">címmel. Több mint 50 000 15 és 35 év közötti fiatal fejezte ki elképzeléseit és prioritásait a 2035-ös Európa számára. </w:t>
      </w:r>
    </w:p>
    <w:p>
      <w:pPr>
        <w:pStyle w:val="P68B1DB1Normal19"/>
        <w:widowControl w:val="false"/>
        <w:spacing w:lineRule="auto" w:line="240" w:before="156" w:after="0"/>
        <w:ind w:left="0" w:right="0" w:hanging="0"/>
        <w:jc w:val="left"/>
        <w:rPr>
          <w:rFonts w:ascii="Times New Roman" w:hAnsi="Times New Roman"/>
          <w:color w:val="000000"/>
          <w:sz w:val="24"/>
        </w:rPr>
      </w:pPr>
      <w:r>
        <w:rPr/>
        <w:t xml:space="preserve">Ez a jelentés a kormány által folytatott két konzultáció főbb eredményeit mutatja be. </w:t>
      </w:r>
    </w:p>
    <w:p>
      <w:pPr>
        <w:pStyle w:val="Normal"/>
        <w:widowControl w:val="false"/>
        <w:spacing w:lineRule="auto" w:line="240" w:before="156" w:after="0"/>
        <w:ind w:left="0" w:right="0" w:hanging="0"/>
        <w:jc w:val="left"/>
        <w:rPr>
          <w:rFonts w:ascii="Times New Roman" w:hAnsi="Times New Roman"/>
          <w:color w:val="000000"/>
          <w:sz w:val="24"/>
        </w:rPr>
      </w:pPr>
      <w:r>
        <w:rPr>
          <w:rFonts w:ascii="Times New Roman" w:hAnsi="Times New Roman"/>
          <w:color w:val="000000"/>
          <w:sz w:val="24"/>
        </w:rPr>
      </w:r>
    </w:p>
    <w:p>
      <w:pPr>
        <w:pStyle w:val="P68B1DB1Normal23"/>
        <w:widowControl w:val="false"/>
        <w:spacing w:lineRule="auto" w:line="240" w:before="156" w:after="0"/>
        <w:ind w:left="0" w:right="0" w:hanging="0"/>
        <w:jc w:val="left"/>
        <w:rPr>
          <w:rFonts w:ascii="Times New Roman" w:hAnsi="Times New Roman"/>
          <w:color w:val="000000"/>
          <w:sz w:val="24"/>
          <w:u w:val="single"/>
        </w:rPr>
      </w:pPr>
      <w:r>
        <w:rPr/>
        <w:t xml:space="preserve">Konzultációs módszertan </w:t>
      </w:r>
    </w:p>
    <w:p>
      <w:pPr>
        <w:pStyle w:val="P68B1DB1Normal19"/>
        <w:widowControl w:val="false"/>
        <w:spacing w:lineRule="auto" w:line="240" w:before="156" w:after="0"/>
        <w:ind w:left="0" w:right="0" w:hanging="0"/>
        <w:jc w:val="both"/>
        <w:rPr/>
      </w:pPr>
      <w:r>
        <w:rPr/>
        <w:t xml:space="preserve">A regionális konferenciákon részt vevő polgárok toborzása a résztvevők véletlenszerű, telefonszámuk véletlenszerű kiválasztásával történő kiválasztását és a profilok célzott kiválasztását ötvözte annak érdekében, hogy a lehető legkülönbözőbb területeket képviselő testülethez jusson. </w:t>
      </w:r>
    </w:p>
    <w:p>
      <w:pPr>
        <w:pStyle w:val="P68B1DB1Normal19"/>
        <w:widowControl w:val="false"/>
        <w:spacing w:lineRule="auto" w:line="240" w:before="156" w:after="0"/>
        <w:ind w:left="0" w:right="0" w:hanging="0"/>
        <w:jc w:val="both"/>
        <w:rPr/>
      </w:pPr>
      <w:r>
        <w:rPr/>
        <w:t xml:space="preserve">A regionális panelek során a résztvevők csoportonként váltakozva szólaltak meg, 6–8 polgárból álló táblázatonként, amelyet egy szervező és a plenáris ülésen tartott előadási idő kísér. Szakértők voltak jelen a gondolkodási idő alatt, hogy válaszoljanak a polgárok kérdéseire, és fényt derítsenek, miközben megőrizték a semlegességet. </w:t>
      </w:r>
    </w:p>
    <w:p>
      <w:pPr>
        <w:pStyle w:val="P68B1DB1Normal19"/>
        <w:widowControl w:val="false"/>
        <w:spacing w:lineRule="auto" w:line="240" w:before="156" w:after="0"/>
        <w:ind w:left="0" w:right="0" w:hanging="0"/>
        <w:jc w:val="both"/>
        <w:rPr/>
      </w:pPr>
      <w:r>
        <w:rPr/>
        <w:t>A polgárokat először arra kérték fel, hogy vitassák meg a jelenlegi Európáról alkotott képüket. Ezt követően képviselőcsoportként</w:t>
      </w:r>
      <w:r>
        <w:rPr>
          <w:b/>
        </w:rPr>
        <w:t>, majd a plenáris ülésen kifejezték kívánságukat a 2035-ös Európa</w:t>
      </w:r>
      <w:r>
        <w:rPr/>
        <w:t xml:space="preserve"> iránt. Ezek a megbeszélések lehetővé tették, hogy régiónként 3–8 kívánságot határozzanak meg. E kívánságok mindegyikére vonatkozóan a polgárok megfogalmazták azokat a </w:t>
      </w:r>
      <w:r>
        <w:rPr>
          <w:b/>
        </w:rPr>
        <w:t>változtatásokat</w:t>
      </w:r>
      <w:r>
        <w:rPr/>
        <w:t xml:space="preserve">, amelyeket szükségesnek tartottak ahhoz, hogy elérjék a kívánt Európát, majd konkrét, végrehajtandó javaslatokkal illusztrálták őket. Ez a folyamat összesen 515 változtatást és 1301 konkrét javaslatot eredményezett nemzeti szinten. </w:t>
      </w:r>
    </w:p>
    <w:p>
      <w:pPr>
        <w:pStyle w:val="P68B1DB1Normal19"/>
        <w:widowControl w:val="false"/>
        <w:spacing w:lineRule="auto" w:line="240" w:before="156" w:after="0"/>
        <w:ind w:left="0" w:right="0" w:hanging="0"/>
        <w:jc w:val="left"/>
        <w:rPr/>
      </w:pPr>
      <w:r>
        <w:rPr/>
        <w:t xml:space="preserve">Minden regionális konferencia eredményeként regionális összefoglaló jelentést írtak meg, amelyet a nemzeti konferenciát megelőzően valamennyi résztvevőnek átadtak. </w:t>
      </w:r>
    </w:p>
    <w:p>
      <w:pPr>
        <w:pStyle w:val="P68B1DB1Normal19"/>
        <w:widowControl w:val="false"/>
        <w:spacing w:lineRule="auto" w:line="240" w:before="156" w:after="0"/>
        <w:ind w:left="0" w:right="0" w:hanging="0"/>
        <w:jc w:val="both"/>
        <w:rPr/>
      </w:pPr>
      <w:r>
        <w:rPr/>
        <w:t xml:space="preserve">A Nemzeti Szintéziskonferencia a 18 regionális konferencia résztvevői között 98 véletlenszerűen kiválasztott polgárt tömörített. A nemzeti testület sokszínűségének biztosítása érdekében a franciaországi és a Réunioni regionális konferenciák önkéntesei közül 6 polgárt vontak sorshúzással, és 4 polgárt ultramarine konferenciákon, tiszteletben tartva az egyenlőséget és az életkor sokféleségét minden egyes regionális sorsoláson (lásd a II. mellékletet). </w:t>
      </w:r>
    </w:p>
    <w:p>
      <w:pPr>
        <w:pStyle w:val="Normal"/>
        <w:widowControl w:val="false"/>
        <w:spacing w:lineRule="auto" w:line="240" w:before="156" w:after="0"/>
        <w:ind w:left="0" w:right="0" w:hanging="0"/>
        <w:jc w:val="both"/>
        <w:rPr/>
      </w:pPr>
      <w:r>
        <w:rPr>
          <w:rFonts w:ascii="Times New Roman" w:hAnsi="Times New Roman"/>
          <w:color w:val="000000"/>
          <w:sz w:val="24"/>
        </w:rPr>
        <w:t>A nemzeti konferencia előkészítéseként a regionális konferenciákon azonosított 515 változtatást elemezték és egyeztették, amikor az alapul szolgáló szándékuk hasonlónak vagy közelinek tűnt, hogy 14 változáscsoportot képezzenek,</w:t>
      </w:r>
      <w:r>
        <w:rPr>
          <w:rFonts w:ascii="Times New Roman" w:hAnsi="Times New Roman"/>
          <w:b/>
          <w:color w:val="000000"/>
          <w:sz w:val="24"/>
        </w:rPr>
        <w:t xml:space="preserve"> </w:t>
      </w:r>
      <w:r>
        <w:rPr>
          <w:rFonts w:ascii="Times New Roman" w:hAnsi="Times New Roman"/>
          <w:color w:val="000000"/>
          <w:sz w:val="24"/>
        </w:rPr>
        <w:t>amelyek Európa közös kívánságát tükrözik (lásd a 6. részt). Ez a 14 európai kívánság szolgált alapul a nemzeti konferencia 98 résztvevőjének munkájához, akiknek az volt a küldetésük, hogy gazdagítsák a régiókban végzett munkát, és szembeszálljanak Európa kívánságaival, a változásokkal és a javaslatokkal, húsz szakértő segítségével, hogy elkészítsék a prioritási változások listáját. Az egyes csoportok végül három kulcsfontosságú változtatást választottak ki,</w:t>
      </w:r>
      <w:r>
        <w:rPr>
          <w:rFonts w:ascii="Times New Roman" w:hAnsi="Times New Roman"/>
          <w:b/>
          <w:color w:val="000000"/>
          <w:sz w:val="24"/>
        </w:rPr>
        <w:t xml:space="preserve"> </w:t>
      </w:r>
      <w:r>
        <w:rPr>
          <w:rFonts w:ascii="Times New Roman" w:hAnsi="Times New Roman"/>
          <w:color w:val="000000"/>
          <w:sz w:val="24"/>
        </w:rPr>
        <w:t xml:space="preserve">amelyek közül az elsőt mind a 98 polgár megszavazta, meghatározva a 14 prioritási módosítás végső rangsorolását. Az összefoglaló jelentés összefoglalja a konferencia összes munkáját. </w:t>
      </w:r>
      <w:r>
        <w:br w:type="page"/>
      </w:r>
    </w:p>
    <w:p>
      <w:pPr>
        <w:pStyle w:val="P68B1DB1Normal19"/>
        <w:spacing w:lineRule="auto" w:line="240" w:before="156" w:after="0"/>
        <w:ind w:left="0" w:right="0" w:hanging="0"/>
        <w:rPr/>
      </w:pPr>
      <w:r>
        <w:rPr/>
        <w:t xml:space="preserve">A Make.org-gal partnerségben folytatott „Parole aux Jeunes” online konzultációra 2021 májusa és júliusa között került sor. Több mint 50 000 résztvevő vett részt, és közel 3000 pályázatot nyújtott be Európára. A fiatal polgárok összes reakciója alapján 35 fő elképzelést azonosítottak, amelyek közül 22-t széles körben elismertek, és 13-at vitattak meg a résztvevők között (lásd a 11. részt). </w:t>
      </w:r>
    </w:p>
    <w:p>
      <w:pPr>
        <w:pStyle w:val="P68B1DB1Normal19"/>
        <w:widowControl w:val="false"/>
        <w:spacing w:lineRule="auto" w:line="240" w:before="156" w:after="0"/>
        <w:ind w:left="0" w:right="0" w:hanging="0"/>
        <w:jc w:val="left"/>
        <w:rPr/>
      </w:pPr>
      <w:r>
        <w:rPr>
          <w:u w:val="single"/>
        </w:rPr>
        <w:t>Kilépési pont és vám azonnal</w:t>
      </w:r>
      <w:r>
        <w:rPr/>
        <w:t xml:space="preserve"> </w:t>
      </w:r>
    </w:p>
    <w:p>
      <w:pPr>
        <w:pStyle w:val="P68B1DB1Normal19"/>
        <w:widowControl w:val="false"/>
        <w:spacing w:lineRule="auto" w:line="240" w:before="156" w:after="0"/>
        <w:ind w:left="0" w:right="0" w:hanging="0"/>
        <w:jc w:val="both"/>
        <w:rPr/>
      </w:pPr>
      <w:r>
        <w:rPr/>
        <w:t xml:space="preserve">Ezt a jelentést a polgárok 2021. november 29-én nyújtják be a kormánynak az Európa jövőjéről szóló konferencia plenáris ülésének francia választott tagjai jelenlétében. A konferencia elnökségi triója az Európai Unió Tanácsának francia elnöksége alatt kerül bemutatásra. </w:t>
      </w:r>
    </w:p>
    <w:p>
      <w:pPr>
        <w:pStyle w:val="P68B1DB1Normal19"/>
        <w:widowControl w:val="false"/>
        <w:spacing w:lineRule="auto" w:line="240" w:before="156" w:after="0"/>
        <w:ind w:left="0" w:right="0" w:hanging="0"/>
        <w:jc w:val="both"/>
        <w:rPr/>
      </w:pPr>
      <w:r>
        <w:rPr/>
        <w:t xml:space="preserve">Az EGSZB-ben megrendezett nemzeti szintéziskonferencia végén, valamint a polgárok sokak által támasztott magas elvárásainak való megfelelés érdekében létrehoztak egy polgári nyomonkövetési bizottságot, amely a résztvevők nyomonkövetési jogát testesíti meg. Ez a bizottság, amely 15 tagból – a regionális konferenciák 14 képviselőjéből és a „Parole aux Jeunes” konzultáció egy képviselőjéből áll – feladata, hogy tájékoztassa a polgárokat a javaslataik jövőjéről. A konferencia Közgyűlésének minden ülésén a Monitoring Bizottság egyik vagy egyik tagja a francia gyakorlat képviselőjeként részt vesz az e jelentésben foglalt javaslatok kiemelése érdekében, miközben közös álláspontot alakít ki az összes képviselt európai polgárral. </w:t>
      </w:r>
    </w:p>
    <w:p>
      <w:pPr>
        <w:pStyle w:val="P68B1DB1Normal19"/>
        <w:widowControl w:val="false"/>
        <w:spacing w:lineRule="auto" w:line="240" w:before="156" w:after="0"/>
        <w:ind w:left="0" w:right="0" w:hanging="0"/>
        <w:jc w:val="both"/>
        <w:rPr/>
      </w:pPr>
      <w:r>
        <w:rPr/>
        <w:t xml:space="preserve">A francia konzultáció valamennyi dokumentuma nyilvános lesz, és mindenki számára hozzáférhető lesz a francia állam polgári részvételi platformján: részvételi megbízás, regionális összefoglalók, nemzeti szintézis, kezesi jelentés és zárójelentés. </w:t>
      </w:r>
    </w:p>
    <w:p>
      <w:pPr>
        <w:pStyle w:val="Normal"/>
        <w:spacing w:lineRule="auto" w:line="240" w:before="156" w:after="0"/>
        <w:ind w:left="0" w:right="0" w:hanging="0"/>
        <w:rPr/>
      </w:pPr>
      <w:r>
        <w:rPr/>
      </w:r>
    </w:p>
    <w:p>
      <w:pPr>
        <w:pStyle w:val="Normal"/>
        <w:rPr/>
      </w:pPr>
      <w:r>
        <w:rPr/>
      </w:r>
      <w:r>
        <w:br w:type="page"/>
      </w:r>
    </w:p>
    <w:p>
      <w:pPr>
        <w:pStyle w:val="Titre2"/>
        <w:numPr>
          <w:ilvl w:val="1"/>
          <w:numId w:val="2"/>
        </w:numPr>
        <w:rPr/>
      </w:pPr>
      <w:bookmarkStart w:id="208" w:name="__RefHeading___Toc300450_1346298689"/>
      <w:bookmarkEnd w:id="208"/>
      <w:r>
        <mc:AlternateContent>
          <mc:Choice Requires="wps">
            <w:drawing>
              <wp:anchor behindDoc="0" distT="72390" distB="72390" distL="72390" distR="72390" simplePos="0" locked="0" layoutInCell="1" allowOverlap="1" relativeHeight="46">
                <wp:simplePos x="0" y="0"/>
                <wp:positionH relativeFrom="column">
                  <wp:posOffset>3595370</wp:posOffset>
                </wp:positionH>
                <wp:positionV relativeFrom="paragraph">
                  <wp:posOffset>108585</wp:posOffset>
                </wp:positionV>
                <wp:extent cx="2486660" cy="6927215"/>
                <wp:effectExtent l="0" t="0" r="0" b="0"/>
                <wp:wrapSquare wrapText="bothSides"/>
                <wp:docPr id="83" name="Keretrendszer21"/>
                <a:graphic xmlns:a="http://schemas.openxmlformats.org/drawingml/2006/main">
                  <a:graphicData uri="http://schemas.microsoft.com/office/word/2010/wordprocessingShape">
                    <wps:wsp>
                      <wps:cNvSpPr/>
                      <wps:spPr>
                        <a:xfrm>
                          <a:off x="0" y="0"/>
                          <a:ext cx="2486160" cy="6926760"/>
                        </a:xfrm>
                        <a:prstGeom prst="rect">
                          <a:avLst/>
                        </a:prstGeom>
                        <a:solidFill>
                          <a:srgbClr val="ffffff"/>
                        </a:solidFill>
                        <a:ln w="720">
                          <a:solidFill>
                            <a:srgbClr val="000000"/>
                          </a:solidFill>
                          <a:round/>
                        </a:ln>
                      </wps:spPr>
                      <wps:style>
                        <a:lnRef idx="0"/>
                        <a:fillRef idx="0"/>
                        <a:effectRef idx="0"/>
                        <a:fontRef idx="minor"/>
                      </wps:style>
                      <wps:txbx>
                        <w:txbxContent>
                          <w:p>
                            <w:pPr>
                              <w:pStyle w:val="Contenudecadre"/>
                              <w:spacing w:before="57" w:after="57"/>
                              <w:rPr>
                                <w:color w:val="auto"/>
                              </w:rPr>
                            </w:pPr>
                            <w:r>
                              <w:rPr>
                                <w:color w:val="auto"/>
                              </w:rPr>
                              <w:t>Az Európa jövőjéről szóló konferenciához való francia hozzájárulás áttekintése</w:t>
                            </w:r>
                          </w:p>
                          <w:p>
                            <w:pPr>
                              <w:pStyle w:val="Contenudecadre"/>
                              <w:rPr>
                                <w:color w:val="auto"/>
                              </w:rPr>
                            </w:pPr>
                            <w:r>
                              <w:rPr>
                                <w:color w:val="auto"/>
                              </w:rPr>
                            </w:r>
                          </w:p>
                          <w:p>
                            <w:pPr>
                              <w:pStyle w:val="Contenudecadre"/>
                              <w:rPr>
                                <w:color w:val="auto"/>
                              </w:rPr>
                            </w:pPr>
                            <w:r>
                              <w:rPr>
                                <w:color w:val="auto"/>
                              </w:rPr>
                              <w:t>A sorshúzással kivont polgároknak meg kellett válaszolniuk a kérdést: „Francia állampolgárokként milyen változtatásokat szeretne Európa számára?”</w:t>
                            </w:r>
                          </w:p>
                          <w:p>
                            <w:pPr>
                              <w:pStyle w:val="Contenudecadre"/>
                              <w:rPr>
                                <w:color w:val="auto"/>
                              </w:rPr>
                            </w:pPr>
                            <w:r>
                              <w:rPr>
                                <w:color w:val="auto"/>
                              </w:rPr>
                            </w:r>
                          </w:p>
                          <w:p>
                            <w:pPr>
                              <w:pStyle w:val="Contenudecadre"/>
                              <w:rPr>
                                <w:color w:val="auto"/>
                              </w:rPr>
                            </w:pPr>
                            <w:r>
                              <w:rPr>
                                <w:color w:val="auto"/>
                              </w:rPr>
                              <w:t xml:space="preserve">Top 10 kiemelt változás Európa számára 2035-ben </w:t>
                            </w:r>
                          </w:p>
                          <w:p>
                            <w:pPr>
                              <w:pStyle w:val="Contenudecadre"/>
                              <w:rPr>
                                <w:color w:val="auto"/>
                              </w:rPr>
                            </w:pPr>
                            <w:r>
                              <w:rPr>
                                <w:color w:val="auto"/>
                              </w:rPr>
                            </w:r>
                          </w:p>
                          <w:p>
                            <w:pPr>
                              <w:pStyle w:val="Contenudecadre"/>
                              <w:rPr>
                                <w:color w:val="auto"/>
                              </w:rPr>
                            </w:pPr>
                            <w:r>
                              <w:rPr>
                                <w:color w:val="auto"/>
                              </w:rPr>
                              <w:t xml:space="preserve">1. Fejlessze </w:t>
                            </w:r>
                            <w:r>
                              <w:rPr>
                                <w:b/>
                                <w:color w:val="auto"/>
                              </w:rPr>
                              <w:t>az energia józanságát</w:t>
                            </w:r>
                            <w:r>
                              <w:rPr>
                                <w:color w:val="auto"/>
                              </w:rPr>
                              <w:t>, hogy kevesebbet fogyasszon azáltal, hogy megállítja a felesleges</w:t>
                            </w:r>
                          </w:p>
                          <w:p>
                            <w:pPr>
                              <w:pStyle w:val="Contenudecadre"/>
                              <w:rPr>
                                <w:b w:val="false"/>
                                <w:b w:val="false"/>
                                <w:color w:val="auto"/>
                              </w:rPr>
                            </w:pPr>
                            <w:r>
                              <w:rPr>
                                <w:b w:val="false"/>
                                <w:color w:val="auto"/>
                              </w:rPr>
                            </w:r>
                          </w:p>
                          <w:p>
                            <w:pPr>
                              <w:pStyle w:val="Contenudecadre"/>
                              <w:rPr>
                                <w:color w:val="auto"/>
                              </w:rPr>
                            </w:pPr>
                            <w:r>
                              <w:rPr>
                                <w:color w:val="auto"/>
                              </w:rPr>
                              <w:t>2. Az Európai Unió</w:t>
                            </w:r>
                            <w:r>
                              <w:rPr>
                                <w:b/>
                                <w:color w:val="auto"/>
                              </w:rPr>
                              <w:t>közös védelmének és biztonságának</w:t>
                            </w:r>
                            <w:r>
                              <w:rPr>
                                <w:color w:val="auto"/>
                              </w:rPr>
                              <w:t>megerősítése</w:t>
                            </w:r>
                          </w:p>
                          <w:p>
                            <w:pPr>
                              <w:pStyle w:val="Contenudecadre"/>
                              <w:rPr>
                                <w:b w:val="false"/>
                                <w:b w:val="false"/>
                                <w:color w:val="auto"/>
                              </w:rPr>
                            </w:pPr>
                            <w:r>
                              <w:rPr>
                                <w:b w:val="false"/>
                                <w:color w:val="auto"/>
                              </w:rPr>
                            </w:r>
                          </w:p>
                          <w:p>
                            <w:pPr>
                              <w:pStyle w:val="Contenudecadre"/>
                              <w:rPr>
                                <w:color w:val="auto"/>
                              </w:rPr>
                            </w:pPr>
                            <w:r>
                              <w:rPr>
                                <w:color w:val="auto"/>
                              </w:rPr>
                              <w:t xml:space="preserve">3. A </w:t>
                            </w:r>
                            <w:r>
                              <w:rPr>
                                <w:b/>
                                <w:color w:val="auto"/>
                              </w:rPr>
                              <w:t>kollektív gazdasági teljesítmény</w:t>
                            </w:r>
                            <w:r>
                              <w:rPr>
                                <w:color w:val="auto"/>
                              </w:rPr>
                              <w:t xml:space="preserve"> előmozdítása autonóm, versenyképes és értékes uniós ipar révén</w:t>
                            </w:r>
                          </w:p>
                          <w:p>
                            <w:pPr>
                              <w:pStyle w:val="Contenudecadre"/>
                              <w:rPr>
                                <w:b w:val="false"/>
                                <w:b w:val="false"/>
                                <w:color w:val="auto"/>
                              </w:rPr>
                            </w:pPr>
                            <w:r>
                              <w:rPr>
                                <w:b w:val="false"/>
                                <w:color w:val="auto"/>
                              </w:rPr>
                            </w:r>
                          </w:p>
                          <w:p>
                            <w:pPr>
                              <w:pStyle w:val="Contenudecadre"/>
                              <w:rPr>
                                <w:color w:val="auto"/>
                              </w:rPr>
                            </w:pPr>
                            <w:r>
                              <w:rPr>
                                <w:color w:val="auto"/>
                              </w:rPr>
                              <w:t xml:space="preserve">4. </w:t>
                            </w:r>
                            <w:r>
                              <w:rPr>
                                <w:b/>
                                <w:color w:val="auto"/>
                              </w:rPr>
                              <w:t>A polgárok szerepének erősítése</w:t>
                            </w:r>
                            <w:r>
                              <w:rPr>
                                <w:color w:val="auto"/>
                              </w:rPr>
                              <w:t xml:space="preserve"> több szinten: részvétel, döntés, ellenőrzés</w:t>
                            </w:r>
                          </w:p>
                          <w:p>
                            <w:pPr>
                              <w:pStyle w:val="Contenudecadre"/>
                              <w:rPr>
                                <w:b w:val="false"/>
                                <w:b w:val="false"/>
                                <w:color w:val="auto"/>
                              </w:rPr>
                            </w:pPr>
                            <w:r>
                              <w:rPr>
                                <w:b w:val="false"/>
                                <w:color w:val="auto"/>
                              </w:rPr>
                            </w:r>
                          </w:p>
                          <w:p>
                            <w:pPr>
                              <w:pStyle w:val="Contenudecadre"/>
                              <w:rPr>
                                <w:color w:val="auto"/>
                              </w:rPr>
                            </w:pPr>
                            <w:r>
                              <w:rPr>
                                <w:color w:val="auto"/>
                              </w:rPr>
                              <w:t xml:space="preserve">5. A közös érdekű területeken erős kompetenciákkal rendelkező </w:t>
                            </w:r>
                            <w:r>
                              <w:rPr>
                                <w:b/>
                                <w:color w:val="auto"/>
                              </w:rPr>
                              <w:t>európai államok föderációja</w:t>
                            </w:r>
                            <w:r>
                              <w:rPr>
                                <w:color w:val="auto"/>
                              </w:rPr>
                              <w:t xml:space="preserve"> felé való elmozdulás</w:t>
                            </w:r>
                          </w:p>
                          <w:p>
                            <w:pPr>
                              <w:pStyle w:val="Contenudecadre"/>
                              <w:rPr>
                                <w:b w:val="false"/>
                                <w:b w:val="false"/>
                                <w:color w:val="auto"/>
                              </w:rPr>
                            </w:pPr>
                            <w:r>
                              <w:rPr>
                                <w:b w:val="false"/>
                                <w:color w:val="auto"/>
                              </w:rPr>
                            </w:r>
                          </w:p>
                          <w:p>
                            <w:pPr>
                              <w:pStyle w:val="Contenudecadre"/>
                              <w:spacing w:before="57" w:after="57"/>
                              <w:rPr>
                                <w:color w:val="auto"/>
                              </w:rPr>
                            </w:pPr>
                            <w:r>
                              <w:rPr>
                                <w:color w:val="auto"/>
                              </w:rPr>
                              <w:t xml:space="preserve">6. Egész életen át tartó </w:t>
                            </w:r>
                            <w:r>
                              <w:rPr>
                                <w:b/>
                                <w:color w:val="auto"/>
                              </w:rPr>
                              <w:t>csereprogramok</w:t>
                            </w:r>
                          </w:p>
                        </w:txbxContent>
                      </wps:txbx>
                      <wps:bodyPr lIns="54000" rIns="54000" tIns="54000" bIns="54000">
                        <a:noAutofit/>
                      </wps:bodyPr>
                    </wps:wsp>
                  </a:graphicData>
                </a:graphic>
              </wp:anchor>
            </w:drawing>
          </mc:Choice>
          <mc:Fallback>
            <w:pict>
              <v:rect id="shape_0" ID="Keretrendszer21" fillcolor="white" stroked="t" style="position:absolute;margin-left:283.1pt;margin-top:8.55pt;width:195.7pt;height:545.35pt">
                <w10:wrap type="square"/>
                <v:fill o:detectmouseclick="t" type="solid" color2="black"/>
                <v:stroke color="black" weight="720" joinstyle="round" endcap="flat"/>
                <v:textbox>
                  <w:txbxContent>
                    <w:p>
                      <w:pPr>
                        <w:pStyle w:val="Contenudecadre"/>
                        <w:spacing w:before="57" w:after="57"/>
                        <w:rPr>
                          <w:color w:val="auto"/>
                        </w:rPr>
                      </w:pPr>
                      <w:r>
                        <w:rPr>
                          <w:color w:val="auto"/>
                        </w:rPr>
                        <w:t>Az Európa jövőjéről szóló konferenciához való francia hozzájárulás áttekintése</w:t>
                      </w:r>
                    </w:p>
                    <w:p>
                      <w:pPr>
                        <w:pStyle w:val="Contenudecadre"/>
                        <w:rPr>
                          <w:color w:val="auto"/>
                        </w:rPr>
                      </w:pPr>
                      <w:r>
                        <w:rPr>
                          <w:color w:val="auto"/>
                        </w:rPr>
                      </w:r>
                    </w:p>
                    <w:p>
                      <w:pPr>
                        <w:pStyle w:val="Contenudecadre"/>
                        <w:rPr>
                          <w:color w:val="auto"/>
                        </w:rPr>
                      </w:pPr>
                      <w:r>
                        <w:rPr>
                          <w:color w:val="auto"/>
                        </w:rPr>
                        <w:t>A sorshúzással kivont polgároknak meg kellett válaszolniuk a kérdést: „Francia állampolgárokként milyen változtatásokat szeretne Európa számára?”</w:t>
                      </w:r>
                    </w:p>
                    <w:p>
                      <w:pPr>
                        <w:pStyle w:val="Contenudecadre"/>
                        <w:rPr>
                          <w:color w:val="auto"/>
                        </w:rPr>
                      </w:pPr>
                      <w:r>
                        <w:rPr>
                          <w:color w:val="auto"/>
                        </w:rPr>
                      </w:r>
                    </w:p>
                    <w:p>
                      <w:pPr>
                        <w:pStyle w:val="Contenudecadre"/>
                        <w:rPr>
                          <w:color w:val="auto"/>
                        </w:rPr>
                      </w:pPr>
                      <w:r>
                        <w:rPr>
                          <w:color w:val="auto"/>
                        </w:rPr>
                        <w:t xml:space="preserve">Top 10 kiemelt változás Európa számára 2035-ben </w:t>
                      </w:r>
                    </w:p>
                    <w:p>
                      <w:pPr>
                        <w:pStyle w:val="Contenudecadre"/>
                        <w:rPr>
                          <w:color w:val="auto"/>
                        </w:rPr>
                      </w:pPr>
                      <w:r>
                        <w:rPr>
                          <w:color w:val="auto"/>
                        </w:rPr>
                      </w:r>
                    </w:p>
                    <w:p>
                      <w:pPr>
                        <w:pStyle w:val="Contenudecadre"/>
                        <w:rPr>
                          <w:color w:val="auto"/>
                        </w:rPr>
                      </w:pPr>
                      <w:r>
                        <w:rPr>
                          <w:color w:val="auto"/>
                        </w:rPr>
                        <w:t xml:space="preserve">1. Fejlessze </w:t>
                      </w:r>
                      <w:r>
                        <w:rPr>
                          <w:b/>
                          <w:color w:val="auto"/>
                        </w:rPr>
                        <w:t>az energia józanságát</w:t>
                      </w:r>
                      <w:r>
                        <w:rPr>
                          <w:color w:val="auto"/>
                        </w:rPr>
                        <w:t>, hogy kevesebbet fogyasszon azáltal, hogy megállítja a felesleges</w:t>
                      </w:r>
                    </w:p>
                    <w:p>
                      <w:pPr>
                        <w:pStyle w:val="Contenudecadre"/>
                        <w:rPr>
                          <w:b w:val="false"/>
                          <w:b w:val="false"/>
                          <w:color w:val="auto"/>
                        </w:rPr>
                      </w:pPr>
                      <w:r>
                        <w:rPr>
                          <w:b w:val="false"/>
                          <w:color w:val="auto"/>
                        </w:rPr>
                      </w:r>
                    </w:p>
                    <w:p>
                      <w:pPr>
                        <w:pStyle w:val="Contenudecadre"/>
                        <w:rPr>
                          <w:color w:val="auto"/>
                        </w:rPr>
                      </w:pPr>
                      <w:r>
                        <w:rPr>
                          <w:color w:val="auto"/>
                        </w:rPr>
                        <w:t>2. Az Európai Unió</w:t>
                      </w:r>
                      <w:r>
                        <w:rPr>
                          <w:b/>
                          <w:color w:val="auto"/>
                        </w:rPr>
                        <w:t>közös védelmének és biztonságának</w:t>
                      </w:r>
                      <w:r>
                        <w:rPr>
                          <w:color w:val="auto"/>
                        </w:rPr>
                        <w:t>megerősítése</w:t>
                      </w:r>
                    </w:p>
                    <w:p>
                      <w:pPr>
                        <w:pStyle w:val="Contenudecadre"/>
                        <w:rPr>
                          <w:b w:val="false"/>
                          <w:b w:val="false"/>
                          <w:color w:val="auto"/>
                        </w:rPr>
                      </w:pPr>
                      <w:r>
                        <w:rPr>
                          <w:b w:val="false"/>
                          <w:color w:val="auto"/>
                        </w:rPr>
                      </w:r>
                    </w:p>
                    <w:p>
                      <w:pPr>
                        <w:pStyle w:val="Contenudecadre"/>
                        <w:rPr>
                          <w:color w:val="auto"/>
                        </w:rPr>
                      </w:pPr>
                      <w:r>
                        <w:rPr>
                          <w:color w:val="auto"/>
                        </w:rPr>
                        <w:t xml:space="preserve">3. A </w:t>
                      </w:r>
                      <w:r>
                        <w:rPr>
                          <w:b/>
                          <w:color w:val="auto"/>
                        </w:rPr>
                        <w:t>kollektív gazdasági teljesítmény</w:t>
                      </w:r>
                      <w:r>
                        <w:rPr>
                          <w:color w:val="auto"/>
                        </w:rPr>
                        <w:t xml:space="preserve"> előmozdítása autonóm, versenyképes és értékes uniós ipar révén</w:t>
                      </w:r>
                    </w:p>
                    <w:p>
                      <w:pPr>
                        <w:pStyle w:val="Contenudecadre"/>
                        <w:rPr>
                          <w:b w:val="false"/>
                          <w:b w:val="false"/>
                          <w:color w:val="auto"/>
                        </w:rPr>
                      </w:pPr>
                      <w:r>
                        <w:rPr>
                          <w:b w:val="false"/>
                          <w:color w:val="auto"/>
                        </w:rPr>
                      </w:r>
                    </w:p>
                    <w:p>
                      <w:pPr>
                        <w:pStyle w:val="Contenudecadre"/>
                        <w:rPr>
                          <w:color w:val="auto"/>
                        </w:rPr>
                      </w:pPr>
                      <w:r>
                        <w:rPr>
                          <w:color w:val="auto"/>
                        </w:rPr>
                        <w:t xml:space="preserve">4. </w:t>
                      </w:r>
                      <w:r>
                        <w:rPr>
                          <w:b/>
                          <w:color w:val="auto"/>
                        </w:rPr>
                        <w:t>A polgárok szerepének erősítése</w:t>
                      </w:r>
                      <w:r>
                        <w:rPr>
                          <w:color w:val="auto"/>
                        </w:rPr>
                        <w:t xml:space="preserve"> több szinten: részvétel, döntés, ellenőrzés</w:t>
                      </w:r>
                    </w:p>
                    <w:p>
                      <w:pPr>
                        <w:pStyle w:val="Contenudecadre"/>
                        <w:rPr>
                          <w:b w:val="false"/>
                          <w:b w:val="false"/>
                          <w:color w:val="auto"/>
                        </w:rPr>
                      </w:pPr>
                      <w:r>
                        <w:rPr>
                          <w:b w:val="false"/>
                          <w:color w:val="auto"/>
                        </w:rPr>
                      </w:r>
                    </w:p>
                    <w:p>
                      <w:pPr>
                        <w:pStyle w:val="Contenudecadre"/>
                        <w:rPr>
                          <w:color w:val="auto"/>
                        </w:rPr>
                      </w:pPr>
                      <w:r>
                        <w:rPr>
                          <w:color w:val="auto"/>
                        </w:rPr>
                        <w:t xml:space="preserve">5. A közös érdekű területeken erős kompetenciákkal rendelkező </w:t>
                      </w:r>
                      <w:r>
                        <w:rPr>
                          <w:b/>
                          <w:color w:val="auto"/>
                        </w:rPr>
                        <w:t>európai államok föderációja</w:t>
                      </w:r>
                      <w:r>
                        <w:rPr>
                          <w:color w:val="auto"/>
                        </w:rPr>
                        <w:t xml:space="preserve"> felé való elmozdulás</w:t>
                      </w:r>
                    </w:p>
                    <w:p>
                      <w:pPr>
                        <w:pStyle w:val="Contenudecadre"/>
                        <w:rPr>
                          <w:b w:val="false"/>
                          <w:b w:val="false"/>
                          <w:color w:val="auto"/>
                        </w:rPr>
                      </w:pPr>
                      <w:r>
                        <w:rPr>
                          <w:b w:val="false"/>
                          <w:color w:val="auto"/>
                        </w:rPr>
                      </w:r>
                    </w:p>
                    <w:p>
                      <w:pPr>
                        <w:pStyle w:val="Contenudecadre"/>
                        <w:spacing w:before="57" w:after="57"/>
                        <w:rPr>
                          <w:color w:val="auto"/>
                        </w:rPr>
                      </w:pPr>
                      <w:r>
                        <w:rPr>
                          <w:color w:val="auto"/>
                        </w:rPr>
                        <w:t xml:space="preserve">6. Egész életen át tartó </w:t>
                      </w:r>
                      <w:r>
                        <w:rPr>
                          <w:b/>
                          <w:color w:val="auto"/>
                        </w:rPr>
                        <w:t>csereprogramok</w:t>
                      </w:r>
                    </w:p>
                  </w:txbxContent>
                </v:textbox>
              </v:rect>
            </w:pict>
          </mc:Fallback>
        </mc:AlternateContent>
      </w:r>
      <w:r>
        <w:rPr/>
        <w:t>A főbb eredmények bemutatása</w:t>
      </w:r>
    </w:p>
    <w:p>
      <w:pPr>
        <w:pStyle w:val="P68B1DB1Normal24"/>
        <w:rPr>
          <w:b w:val="false"/>
          <w:b w:val="false"/>
          <w:sz w:val="22"/>
        </w:rPr>
      </w:pPr>
      <w:r>
        <w:rPr/>
        <w:t xml:space="preserve"> </w:t>
      </w:r>
      <w:r>
        <w:rPr/>
        <w:t>(az eredeti illusztráció formájában készült)</w:t>
      </w:r>
    </w:p>
    <w:p>
      <w:pPr>
        <w:pStyle w:val="Normal"/>
        <w:rPr/>
      </w:pPr>
      <w:r>
        <w:rPr/>
        <w:drawing>
          <wp:anchor behindDoc="0" distT="0" distB="0" distL="0" distR="0" simplePos="0" locked="0" layoutInCell="1" allowOverlap="1" relativeHeight="44">
            <wp:simplePos x="0" y="0"/>
            <wp:positionH relativeFrom="column">
              <wp:posOffset>39370</wp:posOffset>
            </wp:positionH>
            <wp:positionV relativeFrom="paragraph">
              <wp:posOffset>95250</wp:posOffset>
            </wp:positionV>
            <wp:extent cx="3488690" cy="5027930"/>
            <wp:effectExtent l="0" t="0" r="0" b="0"/>
            <wp:wrapSquare wrapText="largest"/>
            <wp:docPr id="85" name="Kép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Kép39" descr=""/>
                    <pic:cNvPicPr>
                      <a:picLocks noChangeAspect="1" noChangeArrowheads="1"/>
                    </pic:cNvPicPr>
                  </pic:nvPicPr>
                  <pic:blipFill>
                    <a:blip r:embed="rId93"/>
                    <a:stretch>
                      <a:fillRect/>
                    </a:stretch>
                  </pic:blipFill>
                  <pic:spPr bwMode="auto">
                    <a:xfrm>
                      <a:off x="0" y="0"/>
                      <a:ext cx="3488690" cy="5027930"/>
                    </a:xfrm>
                    <a:prstGeom prst="rect">
                      <a:avLst/>
                    </a:prstGeom>
                  </pic:spPr>
                </pic:pic>
              </a:graphicData>
            </a:graphic>
          </wp:anchor>
        </w:drawing>
      </w:r>
    </w:p>
    <w:p>
      <w:pPr>
        <w:pStyle w:val="Normal"/>
        <w:rPr/>
      </w:pPr>
      <w:r>
        <w:rPr/>
      </w:r>
    </w:p>
    <w:p>
      <w:pPr>
        <w:pStyle w:val="Normal"/>
        <w:rPr/>
      </w:pPr>
      <w:r>
        <w:rPr/>
      </w:r>
    </w:p>
    <w:p>
      <w:pPr>
        <w:pStyle w:val="Normal"/>
        <w:rPr/>
      </w:pPr>
      <w:r>
        <w:rPr/>
      </w:r>
    </w:p>
    <w:p>
      <w:pPr>
        <w:pStyle w:val="Normal"/>
        <w:rPr/>
      </w:pPr>
      <w:r>
        <w:rPr/>
        <w:t>Forrás: Az Európa jövőjéről szóló nemzeti konferencián (2021. október 15–17.) a legtöbb szavazatot elnyerő változások</w:t>
      </w:r>
      <w:r>
        <w:br w:type="page"/>
      </w:r>
    </w:p>
    <w:p>
      <w:pPr>
        <w:pStyle w:val="Normal"/>
        <w:rPr/>
      </w:pPr>
      <w:r>
        <w:rPr/>
        <w:drawing>
          <wp:anchor behindDoc="0" distT="0" distB="0" distL="0" distR="0" simplePos="0" locked="0" layoutInCell="1" allowOverlap="1" relativeHeight="47">
            <wp:simplePos x="0" y="0"/>
            <wp:positionH relativeFrom="column">
              <wp:posOffset>-7620</wp:posOffset>
            </wp:positionH>
            <wp:positionV relativeFrom="paragraph">
              <wp:posOffset>635</wp:posOffset>
            </wp:positionV>
            <wp:extent cx="3395345" cy="4848225"/>
            <wp:effectExtent l="0" t="0" r="0" b="0"/>
            <wp:wrapSquare wrapText="largest"/>
            <wp:docPr id="86" name="Kép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Kép40" descr=""/>
                    <pic:cNvPicPr>
                      <a:picLocks noChangeAspect="1" noChangeArrowheads="1"/>
                    </pic:cNvPicPr>
                  </pic:nvPicPr>
                  <pic:blipFill>
                    <a:blip r:embed="rId94"/>
                    <a:stretch>
                      <a:fillRect/>
                    </a:stretch>
                  </pic:blipFill>
                  <pic:spPr bwMode="auto">
                    <a:xfrm>
                      <a:off x="0" y="0"/>
                      <a:ext cx="3395345" cy="4848225"/>
                    </a:xfrm>
                    <a:prstGeom prst="rect">
                      <a:avLst/>
                    </a:prstGeom>
                  </pic:spPr>
                </pic:pic>
              </a:graphicData>
            </a:graphic>
          </wp:anchor>
        </w:drawing>
      </w:r>
      <w:r>
        <w:br w:type="page"/>
      </w:r>
    </w:p>
    <w:p>
      <w:pPr>
        <w:pStyle w:val="Normal"/>
        <w:spacing w:before="7556" w:after="57"/>
        <w:rPr/>
      </w:pPr>
      <w:r>
        <w:rPr/>
        <mc:AlternateContent>
          <mc:Choice Requires="wps">
            <w:drawing>
              <wp:anchor behindDoc="0" distT="72390" distB="72390" distL="72390" distR="72390" simplePos="0" locked="0" layoutInCell="1" allowOverlap="1" relativeHeight="42">
                <wp:simplePos x="0" y="0"/>
                <wp:positionH relativeFrom="column">
                  <wp:posOffset>118745</wp:posOffset>
                </wp:positionH>
                <wp:positionV relativeFrom="paragraph">
                  <wp:posOffset>5038090</wp:posOffset>
                </wp:positionV>
                <wp:extent cx="5934710" cy="1648460"/>
                <wp:effectExtent l="0" t="0" r="0" b="0"/>
                <wp:wrapSquare wrapText="bothSides"/>
                <wp:docPr id="87" name="Keretrendszer41"/>
                <a:graphic xmlns:a="http://schemas.openxmlformats.org/drawingml/2006/main">
                  <a:graphicData uri="http://schemas.microsoft.com/office/word/2010/wordprocessingShape">
                    <wps:wsp>
                      <wps:cNvSpPr/>
                      <wps:spPr>
                        <a:xfrm>
                          <a:off x="0" y="0"/>
                          <a:ext cx="5934240" cy="1647720"/>
                        </a:xfrm>
                        <a:prstGeom prst="rect">
                          <a:avLst/>
                        </a:prstGeom>
                        <a:solidFill>
                          <a:srgbClr val="ffffff"/>
                        </a:solidFill>
                        <a:ln w="720">
                          <a:solidFill>
                            <a:srgbClr val="000000"/>
                          </a:solidFill>
                          <a:round/>
                        </a:ln>
                      </wps:spPr>
                      <wps:style>
                        <a:lnRef idx="0"/>
                        <a:fillRef idx="0"/>
                        <a:effectRef idx="0"/>
                        <a:fontRef idx="minor"/>
                      </wps:style>
                      <wps:txbx>
                        <w:txbxContent>
                          <w:p>
                            <w:pPr>
                              <w:pStyle w:val="Contenudecadre"/>
                              <w:spacing w:before="57" w:after="57"/>
                              <w:rPr>
                                <w:color w:val="auto"/>
                              </w:rPr>
                            </w:pPr>
                            <w:r>
                              <w:rPr>
                                <w:color w:val="auto"/>
                              </w:rPr>
                              <w:t>Online konzultáció: „Szavak a fiataloknak”</w:t>
                            </w:r>
                          </w:p>
                          <w:p>
                            <w:pPr>
                              <w:pStyle w:val="Contenudecadre"/>
                              <w:rPr>
                                <w:color w:val="auto"/>
                              </w:rPr>
                            </w:pPr>
                            <w:r>
                              <w:rPr>
                                <w:color w:val="auto"/>
                              </w:rPr>
                              <w:t>2021. május 9-én az európai ügyekért felelős államtitkár 2021 májusa és júliusa között elindította a Make.org által a fiataloknak szóló „szóval” kapcsolatos konzultációt.</w:t>
                            </w:r>
                          </w:p>
                          <w:p>
                            <w:pPr>
                              <w:pStyle w:val="Contenudecadre"/>
                              <w:rPr>
                                <w:color w:val="auto"/>
                              </w:rPr>
                            </w:pPr>
                            <w:r>
                              <w:rPr>
                                <w:color w:val="auto"/>
                              </w:rPr>
                              <w:t>50 000 15 és 30 év közötti fiatal válaszolt a kérdésre: „Mi a prioritásaid a holnap Európája számára?”, 2918 javaslattal.</w:t>
                            </w:r>
                          </w:p>
                          <w:p>
                            <w:pPr>
                              <w:pStyle w:val="Contenudecadre"/>
                              <w:spacing w:before="57" w:after="57"/>
                              <w:rPr>
                                <w:color w:val="auto"/>
                              </w:rPr>
                            </w:pPr>
                            <w:r>
                              <w:rPr>
                                <w:color w:val="auto"/>
                              </w:rPr>
                              <w:t>Az online konzultáció keretében a francia fiatalok által előnyben részesített ötletek a polgárok Európa jövőjéről szóló konferenciához való hozzájárulásának részét képezik (a részleteket lásd e jelentés 2. részében).</w:t>
                            </w:r>
                          </w:p>
                        </w:txbxContent>
                      </wps:txbx>
                      <wps:bodyPr lIns="54000" rIns="54000" tIns="54000" bIns="54000">
                        <a:noAutofit/>
                      </wps:bodyPr>
                    </wps:wsp>
                  </a:graphicData>
                </a:graphic>
              </wp:anchor>
            </w:drawing>
          </mc:Choice>
          <mc:Fallback>
            <w:pict>
              <v:rect id="shape_0" ID="Keretrendszer41" fillcolor="white" stroked="t" style="position:absolute;margin-left:9.35pt;margin-top:396.7pt;width:467.2pt;height:129.7pt">
                <w10:wrap type="square"/>
                <v:fill o:detectmouseclick="t" type="solid" color2="black"/>
                <v:stroke color="black" weight="720" joinstyle="round" endcap="flat"/>
                <v:textbox>
                  <w:txbxContent>
                    <w:p>
                      <w:pPr>
                        <w:pStyle w:val="Contenudecadre"/>
                        <w:spacing w:before="57" w:after="57"/>
                        <w:rPr>
                          <w:color w:val="auto"/>
                        </w:rPr>
                      </w:pPr>
                      <w:r>
                        <w:rPr>
                          <w:color w:val="auto"/>
                        </w:rPr>
                        <w:t>Online konzultáció: „Szavak a fiataloknak”</w:t>
                      </w:r>
                    </w:p>
                    <w:p>
                      <w:pPr>
                        <w:pStyle w:val="Contenudecadre"/>
                        <w:rPr>
                          <w:color w:val="auto"/>
                        </w:rPr>
                      </w:pPr>
                      <w:r>
                        <w:rPr>
                          <w:color w:val="auto"/>
                        </w:rPr>
                        <w:t>2021. május 9-én az európai ügyekért felelős államtitkár 2021 májusa és júliusa között elindította a Make.org által a fiataloknak szóló „szóval” kapcsolatos konzultációt.</w:t>
                      </w:r>
                    </w:p>
                    <w:p>
                      <w:pPr>
                        <w:pStyle w:val="Contenudecadre"/>
                        <w:rPr>
                          <w:color w:val="auto"/>
                        </w:rPr>
                      </w:pPr>
                      <w:r>
                        <w:rPr>
                          <w:color w:val="auto"/>
                        </w:rPr>
                        <w:t>50 000 15 és 30 év közötti fiatal válaszolt a kérdésre: „Mi a prioritásaid a holnap Európája számára?”, 2918 javaslattal.</w:t>
                      </w:r>
                    </w:p>
                    <w:p>
                      <w:pPr>
                        <w:pStyle w:val="Contenudecadre"/>
                        <w:spacing w:before="57" w:after="57"/>
                        <w:rPr>
                          <w:color w:val="auto"/>
                        </w:rPr>
                      </w:pPr>
                      <w:r>
                        <w:rPr>
                          <w:color w:val="auto"/>
                        </w:rPr>
                        <w:t>Az online konzultáció keretében a francia fiatalok által előnyben részesített ötletek a polgárok Európa jövőjéről szóló konferenciához való hozzájárulásának részét képezik (a részleteket lásd e jelentés 2. részében).</w:t>
                      </w:r>
                    </w:p>
                  </w:txbxContent>
                </v:textbox>
              </v:rect>
            </w:pict>
          </mc:Fallback>
        </mc:AlternateContent>
        <mc:AlternateContent>
          <mc:Choice Requires="wps">
            <w:drawing>
              <wp:anchor behindDoc="0" distT="72390" distB="72390" distL="72390" distR="72390" simplePos="0" locked="0" layoutInCell="1" allowOverlap="1" relativeHeight="45">
                <wp:simplePos x="0" y="0"/>
                <wp:positionH relativeFrom="column">
                  <wp:posOffset>3481070</wp:posOffset>
                </wp:positionH>
                <wp:positionV relativeFrom="paragraph">
                  <wp:posOffset>94615</wp:posOffset>
                </wp:positionV>
                <wp:extent cx="2610485" cy="3150870"/>
                <wp:effectExtent l="0" t="0" r="0" b="0"/>
                <wp:wrapSquare wrapText="bothSides"/>
                <wp:docPr id="89" name="Keretrendszer31"/>
                <a:graphic xmlns:a="http://schemas.openxmlformats.org/drawingml/2006/main">
                  <a:graphicData uri="http://schemas.microsoft.com/office/word/2010/wordprocessingShape">
                    <wps:wsp>
                      <wps:cNvSpPr/>
                      <wps:spPr>
                        <a:xfrm>
                          <a:off x="0" y="0"/>
                          <a:ext cx="2610000" cy="3150360"/>
                        </a:xfrm>
                        <a:prstGeom prst="rect">
                          <a:avLst/>
                        </a:prstGeom>
                        <a:solidFill>
                          <a:srgbClr val="ffffff"/>
                        </a:solidFill>
                        <a:ln w="720">
                          <a:solidFill>
                            <a:srgbClr val="000000"/>
                          </a:solidFill>
                          <a:round/>
                        </a:ln>
                      </wps:spPr>
                      <wps:style>
                        <a:lnRef idx="0"/>
                        <a:fillRef idx="0"/>
                        <a:effectRef idx="0"/>
                        <a:fontRef idx="minor"/>
                      </wps:style>
                      <wps:txbx>
                        <w:txbxContent>
                          <w:p>
                            <w:pPr>
                              <w:pStyle w:val="Contenudecadre"/>
                              <w:spacing w:before="57" w:after="57"/>
                              <w:rPr>
                                <w:color w:val="auto"/>
                              </w:rPr>
                            </w:pPr>
                            <w:r>
                              <w:rPr>
                                <w:color w:val="auto"/>
                              </w:rPr>
                              <w:t xml:space="preserve">7. Az európai kultúrák megosztása az </w:t>
                            </w:r>
                            <w:r>
                              <w:rPr>
                                <w:b/>
                                <w:color w:val="auto"/>
                              </w:rPr>
                              <w:t>események és események egységesítése</w:t>
                            </w:r>
                            <w:r>
                              <w:rPr>
                                <w:color w:val="auto"/>
                              </w:rPr>
                              <w:t>révén</w:t>
                            </w:r>
                          </w:p>
                          <w:p>
                            <w:pPr>
                              <w:pStyle w:val="Contenudecadre"/>
                              <w:rPr>
                                <w:b w:val="false"/>
                                <w:b w:val="false"/>
                                <w:color w:val="auto"/>
                              </w:rPr>
                            </w:pPr>
                            <w:r>
                              <w:rPr>
                                <w:b w:val="false"/>
                                <w:color w:val="auto"/>
                              </w:rPr>
                            </w:r>
                          </w:p>
                          <w:p>
                            <w:pPr>
                              <w:pStyle w:val="Contenudecadre"/>
                              <w:rPr>
                                <w:color w:val="auto"/>
                              </w:rPr>
                            </w:pPr>
                            <w:r>
                              <w:rPr>
                                <w:color w:val="auto"/>
                              </w:rPr>
                              <w:t xml:space="preserve">8. Az </w:t>
                            </w:r>
                            <w:r>
                              <w:rPr>
                                <w:b/>
                                <w:color w:val="auto"/>
                              </w:rPr>
                              <w:t>egészség</w:t>
                            </w:r>
                            <w:r>
                              <w:rPr>
                                <w:color w:val="auto"/>
                              </w:rPr>
                              <w:t xml:space="preserve"> harmonizálása és valamennyi európai polgár számára való hozzáférhetővé tétele közös egészségügyi politika révén</w:t>
                            </w:r>
                          </w:p>
                          <w:p>
                            <w:pPr>
                              <w:pStyle w:val="Contenudecadre"/>
                              <w:rPr>
                                <w:b w:val="false"/>
                                <w:b w:val="false"/>
                                <w:color w:val="auto"/>
                              </w:rPr>
                            </w:pPr>
                            <w:r>
                              <w:rPr>
                                <w:b w:val="false"/>
                                <w:color w:val="auto"/>
                              </w:rPr>
                            </w:r>
                          </w:p>
                          <w:p>
                            <w:pPr>
                              <w:pStyle w:val="Contenudecadre"/>
                              <w:rPr>
                                <w:color w:val="auto"/>
                              </w:rPr>
                            </w:pPr>
                            <w:r>
                              <w:rPr>
                                <w:color w:val="auto"/>
                              </w:rPr>
                              <w:t xml:space="preserve">9. </w:t>
                            </w:r>
                            <w:r>
                              <w:rPr>
                                <w:b/>
                                <w:color w:val="auto"/>
                              </w:rPr>
                              <w:t>Stratégiai csatornák</w:t>
                            </w:r>
                            <w:r>
                              <w:rPr>
                                <w:color w:val="auto"/>
                              </w:rPr>
                              <w:t xml:space="preserve"> kialakítása és irányítása európai szinten szuverenitásunk biztosítása érdekében</w:t>
                            </w:r>
                          </w:p>
                          <w:p>
                            <w:pPr>
                              <w:pStyle w:val="Contenudecadre"/>
                              <w:rPr>
                                <w:b w:val="false"/>
                                <w:b w:val="false"/>
                                <w:color w:val="auto"/>
                              </w:rPr>
                            </w:pPr>
                            <w:r>
                              <w:rPr>
                                <w:b w:val="false"/>
                                <w:color w:val="auto"/>
                              </w:rPr>
                            </w:r>
                          </w:p>
                          <w:p>
                            <w:pPr>
                              <w:pStyle w:val="Contenudecadre"/>
                              <w:spacing w:before="57" w:after="57"/>
                              <w:rPr>
                                <w:color w:val="auto"/>
                              </w:rPr>
                            </w:pPr>
                            <w:r>
                              <w:rPr>
                                <w:color w:val="auto"/>
                              </w:rPr>
                              <w:t xml:space="preserve">10. A </w:t>
                            </w:r>
                            <w:r>
                              <w:rPr>
                                <w:b/>
                                <w:color w:val="auto"/>
                              </w:rPr>
                              <w:t>környezet és az ökoszisztémák védelmének</w:t>
                            </w:r>
                            <w:r>
                              <w:rPr>
                                <w:color w:val="auto"/>
                              </w:rPr>
                              <w:t xml:space="preserve"> javítása, valamint </w:t>
                            </w:r>
                            <w:r>
                              <w:rPr>
                                <w:b/>
                                <w:color w:val="auto"/>
                              </w:rPr>
                              <w:t>védett területek</w:t>
                            </w:r>
                            <w:r>
                              <w:rPr>
                                <w:color w:val="auto"/>
                              </w:rPr>
                              <w:t xml:space="preserve"> létrehozása a városi, városkörnyéki és vidéki térségek szívében</w:t>
                            </w:r>
                          </w:p>
                        </w:txbxContent>
                      </wps:txbx>
                      <wps:bodyPr lIns="54000" rIns="54000" tIns="54000" bIns="54000">
                        <a:noAutofit/>
                      </wps:bodyPr>
                    </wps:wsp>
                  </a:graphicData>
                </a:graphic>
              </wp:anchor>
            </w:drawing>
          </mc:Choice>
          <mc:Fallback>
            <w:pict>
              <v:rect id="shape_0" ID="Keretrendszer31" fillcolor="white" stroked="t" style="position:absolute;margin-left:274.1pt;margin-top:7.45pt;width:205.45pt;height:248pt">
                <w10:wrap type="square"/>
                <v:fill o:detectmouseclick="t" type="solid" color2="black"/>
                <v:stroke color="black" weight="720" joinstyle="round" endcap="flat"/>
                <v:textbox>
                  <w:txbxContent>
                    <w:p>
                      <w:pPr>
                        <w:pStyle w:val="Contenudecadre"/>
                        <w:spacing w:before="57" w:after="57"/>
                        <w:rPr>
                          <w:color w:val="auto"/>
                        </w:rPr>
                      </w:pPr>
                      <w:r>
                        <w:rPr>
                          <w:color w:val="auto"/>
                        </w:rPr>
                        <w:t xml:space="preserve">7. Az európai kultúrák megosztása az </w:t>
                      </w:r>
                      <w:r>
                        <w:rPr>
                          <w:b/>
                          <w:color w:val="auto"/>
                        </w:rPr>
                        <w:t>események és események egységesítése</w:t>
                      </w:r>
                      <w:r>
                        <w:rPr>
                          <w:color w:val="auto"/>
                        </w:rPr>
                        <w:t>révén</w:t>
                      </w:r>
                    </w:p>
                    <w:p>
                      <w:pPr>
                        <w:pStyle w:val="Contenudecadre"/>
                        <w:rPr>
                          <w:b w:val="false"/>
                          <w:b w:val="false"/>
                          <w:color w:val="auto"/>
                        </w:rPr>
                      </w:pPr>
                      <w:r>
                        <w:rPr>
                          <w:b w:val="false"/>
                          <w:color w:val="auto"/>
                        </w:rPr>
                      </w:r>
                    </w:p>
                    <w:p>
                      <w:pPr>
                        <w:pStyle w:val="Contenudecadre"/>
                        <w:rPr>
                          <w:color w:val="auto"/>
                        </w:rPr>
                      </w:pPr>
                      <w:r>
                        <w:rPr>
                          <w:color w:val="auto"/>
                        </w:rPr>
                        <w:t xml:space="preserve">8. Az </w:t>
                      </w:r>
                      <w:r>
                        <w:rPr>
                          <w:b/>
                          <w:color w:val="auto"/>
                        </w:rPr>
                        <w:t>egészség</w:t>
                      </w:r>
                      <w:r>
                        <w:rPr>
                          <w:color w:val="auto"/>
                        </w:rPr>
                        <w:t xml:space="preserve"> harmonizálása és valamennyi európai polgár számára való hozzáférhetővé tétele közös egészségügyi politika révén</w:t>
                      </w:r>
                    </w:p>
                    <w:p>
                      <w:pPr>
                        <w:pStyle w:val="Contenudecadre"/>
                        <w:rPr>
                          <w:b w:val="false"/>
                          <w:b w:val="false"/>
                          <w:color w:val="auto"/>
                        </w:rPr>
                      </w:pPr>
                      <w:r>
                        <w:rPr>
                          <w:b w:val="false"/>
                          <w:color w:val="auto"/>
                        </w:rPr>
                      </w:r>
                    </w:p>
                    <w:p>
                      <w:pPr>
                        <w:pStyle w:val="Contenudecadre"/>
                        <w:rPr>
                          <w:color w:val="auto"/>
                        </w:rPr>
                      </w:pPr>
                      <w:r>
                        <w:rPr>
                          <w:color w:val="auto"/>
                        </w:rPr>
                        <w:t xml:space="preserve">9. </w:t>
                      </w:r>
                      <w:r>
                        <w:rPr>
                          <w:b/>
                          <w:color w:val="auto"/>
                        </w:rPr>
                        <w:t>Stratégiai csatornák</w:t>
                      </w:r>
                      <w:r>
                        <w:rPr>
                          <w:color w:val="auto"/>
                        </w:rPr>
                        <w:t xml:space="preserve"> kialakítása és irányítása európai szinten szuverenitásunk biztosítása érdekében</w:t>
                      </w:r>
                    </w:p>
                    <w:p>
                      <w:pPr>
                        <w:pStyle w:val="Contenudecadre"/>
                        <w:rPr>
                          <w:b w:val="false"/>
                          <w:b w:val="false"/>
                          <w:color w:val="auto"/>
                        </w:rPr>
                      </w:pPr>
                      <w:r>
                        <w:rPr>
                          <w:b w:val="false"/>
                          <w:color w:val="auto"/>
                        </w:rPr>
                      </w:r>
                    </w:p>
                    <w:p>
                      <w:pPr>
                        <w:pStyle w:val="Contenudecadre"/>
                        <w:spacing w:before="57" w:after="57"/>
                        <w:rPr>
                          <w:color w:val="auto"/>
                        </w:rPr>
                      </w:pPr>
                      <w:r>
                        <w:rPr>
                          <w:color w:val="auto"/>
                        </w:rPr>
                        <w:t xml:space="preserve">10. A </w:t>
                      </w:r>
                      <w:r>
                        <w:rPr>
                          <w:b/>
                          <w:color w:val="auto"/>
                        </w:rPr>
                        <w:t>környezet és az ökoszisztémák védelmének</w:t>
                      </w:r>
                      <w:r>
                        <w:rPr>
                          <w:color w:val="auto"/>
                        </w:rPr>
                        <w:t xml:space="preserve"> javítása, valamint </w:t>
                      </w:r>
                      <w:r>
                        <w:rPr>
                          <w:b/>
                          <w:color w:val="auto"/>
                        </w:rPr>
                        <w:t>védett területek</w:t>
                      </w:r>
                      <w:r>
                        <w:rPr>
                          <w:color w:val="auto"/>
                        </w:rPr>
                        <w:t xml:space="preserve"> létrehozása a városi, városkörnyéki és vidéki térségek szívében</w:t>
                      </w:r>
                    </w:p>
                  </w:txbxContent>
                </v:textbox>
              </v:rect>
            </w:pict>
          </mc:Fallback>
        </mc:AlternateContent>
      </w:r>
    </w:p>
    <w:p>
      <w:pPr>
        <w:pStyle w:val="Titre2"/>
        <w:numPr>
          <w:ilvl w:val="1"/>
          <w:numId w:val="2"/>
        </w:numPr>
        <w:rPr/>
      </w:pPr>
      <w:bookmarkStart w:id="209" w:name="__RefHeading___Toc300452_1346298689"/>
      <w:bookmarkEnd w:id="209"/>
      <w:r>
        <w:rPr/>
        <w:t>A regionális konferenciák paneljeinek bemutatása</w:t>
      </w:r>
    </w:p>
    <w:p>
      <w:pPr>
        <w:pStyle w:val="Normal"/>
        <w:rPr/>
      </w:pPr>
      <w:r>
        <w:rPr/>
        <mc:AlternateContent>
          <mc:Choice Requires="wpg">
            <w:drawing>
              <wp:anchor behindDoc="0" distT="0" distB="0" distL="0" distR="0" simplePos="0" locked="0" layoutInCell="1" allowOverlap="1" relativeHeight="50">
                <wp:simplePos x="0" y="0"/>
                <wp:positionH relativeFrom="column">
                  <wp:posOffset>635</wp:posOffset>
                </wp:positionH>
                <wp:positionV relativeFrom="paragraph">
                  <wp:posOffset>25400</wp:posOffset>
                </wp:positionV>
                <wp:extent cx="5971540" cy="8288020"/>
                <wp:effectExtent l="0" t="0" r="0" b="0"/>
                <wp:wrapNone/>
                <wp:docPr id="91" name="A Forma-1-es verzió"/>
                <a:graphic xmlns:a="http://schemas.openxmlformats.org/drawingml/2006/main">
                  <a:graphicData uri="http://schemas.microsoft.com/office/word/2010/wordprocessingGroup">
                    <wpg:wgp>
                      <wpg:cNvGrpSpPr/>
                      <wpg:grpSpPr>
                        <a:xfrm>
                          <a:off x="0" y="0"/>
                          <a:ext cx="5970960" cy="8287560"/>
                        </a:xfrm>
                      </wpg:grpSpPr>
                      <pic:pic xmlns:pic="http://schemas.openxmlformats.org/drawingml/2006/picture">
                        <pic:nvPicPr>
                          <pic:cNvPr id="0" name="" descr=""/>
                          <pic:cNvPicPr/>
                        </pic:nvPicPr>
                        <pic:blipFill>
                          <a:blip r:embed="rId95"/>
                          <a:stretch/>
                        </pic:blipFill>
                        <pic:spPr>
                          <a:xfrm>
                            <a:off x="93960" y="771480"/>
                            <a:ext cx="5877000" cy="7515720"/>
                          </a:xfrm>
                          <a:prstGeom prst="rect">
                            <a:avLst/>
                          </a:prstGeom>
                          <a:ln>
                            <a:noFill/>
                          </a:ln>
                        </pic:spPr>
                      </pic:pic>
                      <wps:wsp>
                        <wps:cNvSpPr/>
                        <wps:spPr>
                          <a:xfrm>
                            <a:off x="144720" y="0"/>
                            <a:ext cx="5650200" cy="12585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746 polgárból álló, változatos testület</w:t>
                              </w:r>
                            </w:p>
                            <w:p>
                              <w:pPr>
                                <w:spacing w:before="0" w:after="0" w:lineRule="auto" w:line="240"/>
                                <w:ind w:hanging="0"/>
                                <w:jc w:val="left"/>
                                <w:rPr/>
                              </w:pPr>
                              <w:r>
                                <w:rPr>
                                  <w:sz w:val="24"/>
                                  <w:rFonts w:ascii="Times New Roman" w:hAnsi="Times New Roman"/>
                                  <w:color w:val="auto"/>
                                </w:rPr>
                              </w:r>
                            </w:p>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 18 regionális konferencia résztvevőinek áttekintése</w:t>
                              </w:r>
                            </w:p>
                          </w:txbxContent>
                        </wps:txbx>
                        <wps:bodyPr lIns="90000" rIns="90000" tIns="45000" bIns="45000">
                          <a:noAutofit/>
                        </wps:bodyPr>
                      </wps:wsp>
                      <wps:wsp>
                        <wps:cNvSpPr/>
                        <wps:spPr>
                          <a:xfrm>
                            <a:off x="0" y="6246360"/>
                            <a:ext cx="2611800" cy="2040840"/>
                          </a:xfrm>
                          <a:prstGeom prst="rect">
                            <a:avLst/>
                          </a:prstGeom>
                          <a:noFill/>
                          <a:ln>
                            <a:noFill/>
                          </a:ln>
                        </wps:spPr>
                        <wps:style>
                          <a:lnRef idx="0"/>
                          <a:fillRef idx="0"/>
                          <a:effectRef idx="0"/>
                          <a:fontRef idx="minor"/>
                        </wps:style>
                        <wps:txbx>
                          <w:txbxContent>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Mezőgazdasági termelők</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Kézművesek – Kereskedők – Üzleti vezetők</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Szenior vezetők – liberális szakmák</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Közbülső foglalkozások</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Alkalmazottak</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Munkavállalók</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Nyugdíjasok</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Egyéb inaktív</w:t>
                              </w:r>
                            </w:p>
                          </w:txbxContent>
                        </wps:txbx>
                        <wps:bodyPr lIns="90000" rIns="90000" tIns="45000" bIns="45000">
                          <a:noAutofit/>
                        </wps:bodyPr>
                      </wps:wsp>
                    </wpg:wgp>
                  </a:graphicData>
                </a:graphic>
              </wp:anchor>
            </w:drawing>
          </mc:Choice>
          <mc:Fallback>
            <w:pict>
              <v:group id="shape_0" alt="A Forma-1-es verzió" style="position:absolute;margin-left:0.05pt;margin-top:2pt;width:470.15pt;height:652.55pt" coordorigin="1,40" coordsize="9403,13051">
                <v:shapetype id="shapetype_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_0" stroked="f" style="position:absolute;left:149;top:1255;width:9254;height:11835" type="shapetype_75">
                  <v:imagedata r:id="rId95" o:detectmouseclick="t"/>
                  <w10:wrap type="none"/>
                  <v:stroke color="#3465a4" joinstyle="round" endcap="flat"/>
                </v:shape>
                <v:rect id="shape_0" stroked="f" style="position:absolute;left:229;top:40;width:8897;height:1981">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746 polgárból álló, változatos testület</w:t>
                        </w:r>
                      </w:p>
                      <w:p>
                        <w:pPr>
                          <w:spacing w:before="0" w:after="0" w:lineRule="auto" w:line="240"/>
                          <w:ind w:hanging="0"/>
                          <w:jc w:val="left"/>
                          <w:rPr/>
                        </w:pPr>
                        <w:r>
                          <w:rPr>
                            <w:sz w:val="24"/>
                            <w:rFonts w:ascii="Times New Roman" w:hAnsi="Times New Roman"/>
                            <w:color w:val="auto"/>
                          </w:rPr>
                        </w:r>
                      </w:p>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 18 regionális konferencia résztvevőinek áttekintése</w:t>
                        </w:r>
                      </w:p>
                    </w:txbxContent>
                  </v:textbox>
                  <w10:wrap type="square"/>
                  <v:fill o:detectmouseclick="t" on="false"/>
                  <v:stroke color="#3465a4" joinstyle="round" endcap="flat"/>
                </v:rect>
                <v:rect id="shape_0" stroked="f" style="position:absolute;left:1;top:9877;width:4112;height:3213">
                  <v:textbox>
                    <w:txbxContent>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Mezőgazdasági termelők</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Kézművesek – Kereskedők – Üzleti vezetők</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Szenior vezetők – liberális szakmák</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Közbülső foglalkozások</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Alkalmazottak</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Munkavállalók</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Nyugdíjasok</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Egyéb inaktív</w:t>
                        </w:r>
                      </w:p>
                    </w:txbxContent>
                  </v:textbox>
                  <w10:wrap type="square"/>
                  <v:fill o:detectmouseclick="t" on="false"/>
                  <v:stroke color="#3465a4" joinstyle="round" endcap="flat"/>
                </v:rect>
              </v:group>
            </w:pict>
          </mc:Fallback>
        </mc:AlternateContent>
      </w:r>
    </w:p>
    <w:p>
      <w:pPr>
        <w:pStyle w:val="Normal"/>
        <w:rPr/>
      </w:pPr>
      <w:r>
        <w:rPr/>
      </w:r>
    </w:p>
    <w:p>
      <w:pPr>
        <w:pStyle w:val="Normal"/>
        <w:rPr/>
      </w:pPr>
      <w:r>
        <w:rPr/>
      </w:r>
      <w:r>
        <w:br w:type="page"/>
      </w:r>
    </w:p>
    <w:p>
      <w:pPr>
        <w:pStyle w:val="Normal"/>
        <w:rPr/>
      </w:pPr>
      <w:r>
        <w:rPr/>
        <mc:AlternateContent>
          <mc:Choice Requires="wpg">
            <w:drawing>
              <wp:anchor behindDoc="0" distT="0" distB="0" distL="0" distR="0" simplePos="0" locked="0" layoutInCell="1" allowOverlap="1" relativeHeight="51">
                <wp:simplePos x="0" y="0"/>
                <wp:positionH relativeFrom="column">
                  <wp:posOffset>0</wp:posOffset>
                </wp:positionH>
                <wp:positionV relativeFrom="paragraph">
                  <wp:posOffset>36195</wp:posOffset>
                </wp:positionV>
                <wp:extent cx="5873750" cy="8265160"/>
                <wp:effectExtent l="0" t="0" r="0" b="0"/>
                <wp:wrapNone/>
                <wp:docPr id="92" name="Forma 2"/>
                <a:graphic xmlns:a="http://schemas.openxmlformats.org/drawingml/2006/main">
                  <a:graphicData uri="http://schemas.microsoft.com/office/word/2010/wordprocessingGroup">
                    <wpg:wgp>
                      <wpg:cNvGrpSpPr/>
                      <wpg:grpSpPr>
                        <a:xfrm>
                          <a:off x="0" y="0"/>
                          <a:ext cx="5873040" cy="8264520"/>
                        </a:xfrm>
                      </wpg:grpSpPr>
                      <pic:pic xmlns:pic="http://schemas.openxmlformats.org/drawingml/2006/picture">
                        <pic:nvPicPr>
                          <pic:cNvPr id="1" name="" descr=""/>
                          <pic:cNvPicPr/>
                        </pic:nvPicPr>
                        <pic:blipFill>
                          <a:blip r:embed="rId96"/>
                          <a:stretch/>
                        </pic:blipFill>
                        <pic:spPr>
                          <a:xfrm>
                            <a:off x="720" y="1012680"/>
                            <a:ext cx="5872320" cy="7251840"/>
                          </a:xfrm>
                          <a:prstGeom prst="rect">
                            <a:avLst/>
                          </a:prstGeom>
                          <a:ln>
                            <a:noFill/>
                          </a:ln>
                        </pic:spPr>
                      </pic:pic>
                      <wps:wsp>
                        <wps:cNvSpPr/>
                        <wps:spPr>
                          <a:xfrm>
                            <a:off x="0" y="0"/>
                            <a:ext cx="5873040" cy="15811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Konferenciák Európa jövőjéről Franciaország egész területén</w:t>
                              </w:r>
                            </w:p>
                            <w:p>
                              <w:pPr>
                                <w:spacing w:before="0" w:after="0" w:lineRule="auto" w:line="240"/>
                                <w:ind w:hanging="0"/>
                                <w:jc w:val="left"/>
                                <w:rPr/>
                              </w:pPr>
                              <w:r>
                                <w:rPr>
                                  <w:sz w:val="24"/>
                                  <w:rFonts w:ascii="Times New Roman" w:hAnsi="Times New Roman"/>
                                  <w:color w:val="auto"/>
                                </w:rPr>
                              </w:r>
                            </w:p>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18 regionális konferencia, 13 metropolisz és 5 tengerentúli konferencia</w:t>
                              </w:r>
                            </w:p>
                          </w:txbxContent>
                        </wps:txbx>
                        <wps:bodyPr lIns="90000" rIns="90000" tIns="45000" bIns="45000">
                          <a:noAutofit/>
                        </wps:bodyPr>
                      </wps:wsp>
                    </wpg:wgp>
                  </a:graphicData>
                </a:graphic>
              </wp:anchor>
            </w:drawing>
          </mc:Choice>
          <mc:Fallback>
            <w:pict>
              <v:group id="shape_0" alt="Forma 2" style="position:absolute;margin-left:0pt;margin-top:2.85pt;width:462.45pt;height:650.75pt" coordorigin="0,57" coordsize="9249,13015">
                <v:shape id="shape_0" stroked="f" style="position:absolute;left:1;top:1652;width:9247;height:11419" type="shapetype_75">
                  <v:imagedata r:id="rId96" o:detectmouseclick="t"/>
                  <w10:wrap type="none"/>
                  <v:stroke color="#3465a4" joinstyle="round" endcap="flat"/>
                </v:shape>
                <v:rect id="shape_0" stroked="f" style="position:absolute;left:0;top:57;width:9248;height:2489">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Konferenciák Európa jövőjéről Franciaország egész területén</w:t>
                        </w:r>
                      </w:p>
                      <w:p>
                        <w:pPr>
                          <w:spacing w:before="0" w:after="0" w:lineRule="auto" w:line="240"/>
                          <w:ind w:hanging="0"/>
                          <w:jc w:val="left"/>
                          <w:rPr/>
                        </w:pPr>
                        <w:r>
                          <w:rPr>
                            <w:sz w:val="24"/>
                            <w:rFonts w:ascii="Times New Roman" w:hAnsi="Times New Roman"/>
                            <w:color w:val="auto"/>
                          </w:rPr>
                        </w:r>
                      </w:p>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18 regionális konferencia, 13 metropolisz és 5 tengerentúli konferencia</w:t>
                        </w:r>
                      </w:p>
                    </w:txbxContent>
                  </v:textbox>
                  <w10:wrap type="square"/>
                  <v:fill o:detectmouseclick="t" on="false"/>
                  <v:stroke color="#3465a4" joinstyle="round" endcap="flat"/>
                </v:rect>
              </v:group>
            </w:pict>
          </mc:Fallback>
        </mc:AlternateContent>
      </w:r>
    </w:p>
    <w:p>
      <w:pPr>
        <w:pStyle w:val="Normal"/>
        <w:rPr/>
      </w:pPr>
      <w:r>
        <w:rPr/>
      </w:r>
      <w:r>
        <w:br w:type="page"/>
      </w:r>
    </w:p>
    <w:p>
      <w:pPr>
        <w:pStyle w:val="Titre2"/>
        <w:numPr>
          <w:ilvl w:val="1"/>
          <w:numId w:val="2"/>
        </w:numPr>
        <w:spacing w:before="13366" w:after="120"/>
        <w:rPr/>
      </w:pPr>
      <w:bookmarkStart w:id="210" w:name="__RefHeading___Toc300454_1346298689"/>
      <w:bookmarkEnd w:id="210"/>
      <w:r>
        <mc:AlternateContent>
          <mc:Choice Requires="wpg">
            <w:drawing>
              <wp:anchor behindDoc="0" distT="0" distB="0" distL="0" distR="0" simplePos="0" locked="0" layoutInCell="1" allowOverlap="1" relativeHeight="69">
                <wp:simplePos x="0" y="0"/>
                <wp:positionH relativeFrom="column">
                  <wp:posOffset>175895</wp:posOffset>
                </wp:positionH>
                <wp:positionV relativeFrom="paragraph">
                  <wp:posOffset>450215</wp:posOffset>
                </wp:positionV>
                <wp:extent cx="5782945" cy="8488045"/>
                <wp:effectExtent l="0" t="0" r="0" b="0"/>
                <wp:wrapTopAndBottom/>
                <wp:docPr id="93" name="Formanyomtatvány3"/>
                <a:graphic xmlns:a="http://schemas.openxmlformats.org/drawingml/2006/main">
                  <a:graphicData uri="http://schemas.microsoft.com/office/word/2010/wordprocessingGroup">
                    <wpg:wgp>
                      <wpg:cNvGrpSpPr/>
                      <wpg:grpSpPr>
                        <a:xfrm>
                          <a:off x="0" y="0"/>
                          <a:ext cx="5782320" cy="8487360"/>
                        </a:xfrm>
                      </wpg:grpSpPr>
                      <pic:pic xmlns:pic="http://schemas.openxmlformats.org/drawingml/2006/picture">
                        <pic:nvPicPr>
                          <pic:cNvPr id="2" name="" descr=""/>
                          <pic:cNvPicPr/>
                        </pic:nvPicPr>
                        <pic:blipFill>
                          <a:blip r:embed="rId97"/>
                          <a:stretch/>
                        </pic:blipFill>
                        <pic:spPr>
                          <a:xfrm>
                            <a:off x="0" y="0"/>
                            <a:ext cx="5782320" cy="8487360"/>
                          </a:xfrm>
                          <a:prstGeom prst="rect">
                            <a:avLst/>
                          </a:prstGeom>
                          <a:ln>
                            <a:noFill/>
                          </a:ln>
                        </pic:spPr>
                      </pic:pic>
                      <wps:wsp>
                        <wps:cNvSpPr/>
                        <wps:spPr>
                          <a:xfrm>
                            <a:off x="1104840" y="337320"/>
                            <a:ext cx="3712680" cy="41076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Az állam kötelezettségvállalásai</w:t>
                              </w:r>
                            </w:p>
                          </w:txbxContent>
                        </wps:txbx>
                        <wps:bodyPr lIns="90000" rIns="90000" tIns="45000" bIns="45000">
                          <a:noAutofit/>
                        </wps:bodyPr>
                      </wps:wsp>
                      <wps:wsp>
                        <wps:cNvSpPr/>
                        <wps:spPr>
                          <a:xfrm>
                            <a:off x="768960" y="1240920"/>
                            <a:ext cx="1095480" cy="4989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Átláthatóság</w:t>
                              </w:r>
                            </w:p>
                          </w:txbxContent>
                        </wps:txbx>
                        <wps:bodyPr lIns="90000" rIns="90000" tIns="45000" bIns="45000">
                          <a:noAutofit/>
                        </wps:bodyPr>
                      </wps:wsp>
                      <wps:wsp>
                        <wps:cNvSpPr/>
                        <wps:spPr>
                          <a:xfrm>
                            <a:off x="3957480" y="1253520"/>
                            <a:ext cx="1095480" cy="49896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 kötelesség azonnal</w:t>
                              </w:r>
                            </w:p>
                          </w:txbxContent>
                        </wps:txbx>
                        <wps:bodyPr lIns="90000" rIns="90000" tIns="45000" bIns="45000">
                          <a:noAutofit/>
                        </wps:bodyPr>
                      </wps:wsp>
                      <wps:wsp>
                        <wps:cNvSpPr/>
                        <wps:spPr>
                          <a:xfrm>
                            <a:off x="2369160" y="1265040"/>
                            <a:ext cx="1094760" cy="29448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Semlegesség</w:t>
                              </w:r>
                            </w:p>
                          </w:txbxContent>
                        </wps:txbx>
                        <wps:bodyPr lIns="90000" rIns="90000" tIns="45000" bIns="45000">
                          <a:noAutofit/>
                        </wps:bodyPr>
                      </wps:wsp>
                      <wps:wsp>
                        <wps:cNvSpPr/>
                        <wps:spPr>
                          <a:xfrm>
                            <a:off x="210240" y="2037240"/>
                            <a:ext cx="4495680" cy="353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Módszertani elfogultságok</w:t>
                              </w:r>
                            </w:p>
                          </w:txbxContent>
                        </wps:txbx>
                        <wps:bodyPr lIns="90000" rIns="90000" tIns="45000" bIns="45000">
                          <a:noAutofit/>
                        </wps:bodyPr>
                      </wps:wsp>
                      <pic:pic xmlns:pic="http://schemas.openxmlformats.org/drawingml/2006/picture">
                        <pic:nvPicPr>
                          <pic:cNvPr id="3" name="" descr=""/>
                          <pic:cNvPicPr/>
                        </pic:nvPicPr>
                        <pic:blipFill>
                          <a:blip r:embed="rId98"/>
                          <a:stretch/>
                        </pic:blipFill>
                        <pic:spPr>
                          <a:xfrm>
                            <a:off x="1105560" y="2401560"/>
                            <a:ext cx="4354200" cy="5891040"/>
                          </a:xfrm>
                          <a:prstGeom prst="rect">
                            <a:avLst/>
                          </a:prstGeom>
                          <a:ln>
                            <a:noFill/>
                          </a:ln>
                        </pic:spPr>
                      </pic:pic>
                    </wpg:wgp>
                  </a:graphicData>
                </a:graphic>
              </wp:anchor>
            </w:drawing>
          </mc:Choice>
          <mc:Fallback>
            <w:pict>
              <v:group id="shape_0" alt="Formanyomtatvány3" style="position:absolute;margin-left:13.85pt;margin-top:35.45pt;width:455.3pt;height:668.3pt" coordorigin="277,709" coordsize="9106,13366">
                <v:shape id="shape_0" stroked="f" style="position:absolute;left:277;top:709;width:9105;height:13365" type="shapetype_75">
                  <v:imagedata r:id="rId97" o:detectmouseclick="t"/>
                  <w10:wrap type="none"/>
                  <v:stroke color="#3465a4" joinstyle="round" endcap="flat"/>
                </v:shape>
                <v:rect id="shape_0" stroked="f" style="position:absolute;left:2017;top:1240;width:5846;height:646">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Az állam kötelezettségvállalásai</w:t>
                        </w:r>
                      </w:p>
                    </w:txbxContent>
                  </v:textbox>
                  <w10:wrap type="square"/>
                  <v:fill o:detectmouseclick="t" on="false"/>
                  <v:stroke color="#3465a4" joinstyle="round" endcap="flat"/>
                </v:rect>
                <v:rect id="shape_0" stroked="f" style="position:absolute;left:1488;top:2663;width:1724;height:78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Átláthatóság</w:t>
                        </w:r>
                      </w:p>
                    </w:txbxContent>
                  </v:textbox>
                  <w10:wrap type="square"/>
                  <v:fill o:detectmouseclick="t" on="false"/>
                  <v:stroke color="#3465a4" joinstyle="round" endcap="flat"/>
                </v:rect>
                <v:rect id="shape_0" stroked="f" style="position:absolute;left:6509;top:2683;width:1724;height:785">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 kötelesség azonnal</w:t>
                        </w:r>
                      </w:p>
                    </w:txbxContent>
                  </v:textbox>
                  <w10:wrap type="square"/>
                  <v:fill o:detectmouseclick="t" on="false"/>
                  <v:stroke color="#3465a4" joinstyle="round" endcap="flat"/>
                </v:rect>
                <v:rect id="shape_0" stroked="f" style="position:absolute;left:4008;top:2701;width:1723;height:463">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Semlegesség</w:t>
                        </w:r>
                      </w:p>
                    </w:txbxContent>
                  </v:textbox>
                  <w10:wrap type="square"/>
                  <v:fill o:detectmouseclick="t" on="false"/>
                  <v:stroke color="#3465a4" joinstyle="round" endcap="flat"/>
                </v:rect>
                <v:rect id="shape_0" stroked="f" style="position:absolute;left:608;top:3917;width:7079;height:556">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Módszertani elfogultságok</w:t>
                        </w:r>
                      </w:p>
                    </w:txbxContent>
                  </v:textbox>
                  <w10:wrap type="square"/>
                  <v:fill o:detectmouseclick="t" on="false"/>
                  <v:stroke color="#3465a4" joinstyle="round" endcap="flat"/>
                </v:rect>
                <v:shape id="shape_0" stroked="f" style="position:absolute;left:2018;top:4491;width:6856;height:9276" type="shapetype_75">
                  <v:imagedata r:id="rId98" o:detectmouseclick="t"/>
                  <w10:wrap type="none"/>
                  <v:stroke color="#3465a4" joinstyle="round" endcap="flat"/>
                </v:shape>
              </v:group>
            </w:pict>
          </mc:Fallback>
        </mc:AlternateContent>
      </w:r>
      <w:r>
        <w:rPr/>
        <w:t xml:space="preserve">Módszertani kötelezettségvállalások és elfogultságok </w:t>
      </w:r>
    </w:p>
    <w:p>
      <w:pPr>
        <w:pStyle w:val="Normal"/>
        <w:rPr/>
      </w:pPr>
      <w:r>
        <w:rPr/>
      </w:r>
    </w:p>
    <w:p>
      <w:pPr>
        <w:pStyle w:val="Normal"/>
        <w:rPr/>
      </w:pPr>
      <w:r>
        <w:rPr/>
      </w:r>
    </w:p>
    <w:p>
      <w:pPr>
        <w:pStyle w:val="P68B1DB1Normal32"/>
        <w:spacing w:lineRule="auto" w:line="240" w:before="0" w:after="0"/>
        <w:ind w:left="0" w:right="0" w:hanging="0"/>
        <w:rPr/>
      </w:pPr>
      <w:r>
        <w:rPr>
          <w:rFonts w:ascii="Times New Roman" w:hAnsi="Times New Roman"/>
        </w:rPr>
        <w:t>a.</w:t>
      </w:r>
      <w:r>
        <w:rPr/>
        <w:t xml:space="preserve"> A </w:t>
      </w:r>
      <w:r>
        <w:rPr>
          <w:rFonts w:ascii="Times New Roman" w:hAnsi="Times New Roman"/>
        </w:rPr>
        <w:t xml:space="preserve">részvételi demokráciával kapcsolatos állami kötelezettségvállalások </w:t>
      </w:r>
    </w:p>
    <w:p>
      <w:pPr>
        <w:pStyle w:val="P68B1DB1Normal19"/>
        <w:widowControl w:val="false"/>
        <w:spacing w:lineRule="auto" w:line="240" w:before="0" w:after="0"/>
        <w:ind w:left="0" w:right="0" w:hanging="0"/>
        <w:jc w:val="left"/>
        <w:rPr/>
      </w:pPr>
      <w:r>
        <w:rPr/>
        <w:t>Az Európa jövőjéről szóló konferencia francia része az állam részvételi demokrácia iránti kötelezettségvállalásának része, amely három alapelven alapul:</w:t>
      </w:r>
      <w:r>
        <w:rPr>
          <w:b/>
        </w:rPr>
        <w:t xml:space="preserve"> átláthatóság, semlegesség és kötelesség azonnali</w:t>
      </w:r>
      <w:r>
        <w:rPr/>
        <w:t xml:space="preserve">. </w:t>
      </w:r>
    </w:p>
    <w:p>
      <w:pPr>
        <w:pStyle w:val="P68B1DB1Normal19"/>
        <w:widowControl w:val="false"/>
        <w:spacing w:lineRule="auto" w:line="240" w:before="0" w:after="0"/>
        <w:ind w:left="0" w:right="0" w:hanging="0"/>
        <w:jc w:val="both"/>
        <w:rPr/>
      </w:pPr>
      <w:r>
        <w:rPr/>
        <w:t xml:space="preserve">A részvételen alapuló megközelítés arra kötelezi a szervezőt, hogy szigorú módszertant kövessen. A polgári részvétel módjának lehetővé kell tennie a polgárok számára, hogy a lehető legjobb körülmények között vegyenek részt, és szabadon és indokolt módon fejtsék ki álláspontjukat. </w:t>
      </w:r>
    </w:p>
    <w:p>
      <w:pPr>
        <w:pStyle w:val="P68B1DB1Normal33"/>
        <w:widowControl w:val="false"/>
        <w:spacing w:lineRule="auto" w:line="240" w:before="0" w:after="0"/>
        <w:ind w:left="0" w:right="0" w:hanging="0"/>
        <w:jc w:val="left"/>
        <w:rPr>
          <w:rFonts w:ascii="Times New Roman" w:hAnsi="Times New Roman"/>
          <w:b/>
          <w:b/>
          <w:color w:val="000000"/>
          <w:sz w:val="24"/>
        </w:rPr>
      </w:pPr>
      <w:r>
        <w:rPr/>
        <w:t xml:space="preserve">Átláthatóság </w:t>
      </w:r>
    </w:p>
    <w:p>
      <w:pPr>
        <w:pStyle w:val="P68B1DB1Normal19"/>
        <w:widowControl w:val="false"/>
        <w:spacing w:lineRule="auto" w:line="240" w:before="0" w:after="0"/>
        <w:ind w:left="0" w:right="0" w:hanging="0"/>
        <w:jc w:val="left"/>
        <w:rPr/>
      </w:pPr>
      <w:r>
        <w:rPr/>
        <w:t xml:space="preserve">A konferenciaszervező csoport elkötelezett amellett, hogy a konzultációval kapcsolatos valamennyi információt hozzáférhetővé tegye a polgárok számára: </w:t>
      </w:r>
    </w:p>
    <w:p>
      <w:pPr>
        <w:pStyle w:val="P68B1DB1Normal34"/>
        <w:widowControl w:val="false"/>
        <w:spacing w:lineRule="auto" w:line="240" w:before="0" w:after="0"/>
        <w:ind w:left="0" w:right="0" w:hanging="0"/>
        <w:jc w:val="left"/>
        <w:rPr/>
      </w:pPr>
      <w:r>
        <w:rPr>
          <w:rFonts w:ascii="Times New Roman" w:hAnsi="Times New Roman"/>
        </w:rPr>
        <w:t>•</w:t>
      </w:r>
      <w:r>
        <w:rPr/>
        <w:t xml:space="preserve"> </w:t>
      </w:r>
      <w:r>
        <w:rPr>
          <w:rFonts w:ascii="Times New Roman" w:hAnsi="Times New Roman"/>
        </w:rPr>
        <w:t>Az a keret, amelyen belül a konzultációra sor kerül; •</w:t>
      </w:r>
      <w:r>
        <w:rPr/>
        <w:t xml:space="preserve"> </w:t>
      </w:r>
      <w:r>
        <w:rPr>
          <w:rFonts w:ascii="Times New Roman" w:hAnsi="Times New Roman"/>
        </w:rPr>
        <w:t xml:space="preserve">A polgárok felé tett kötelezettségvállalások; </w:t>
      </w:r>
    </w:p>
    <w:p>
      <w:pPr>
        <w:pStyle w:val="P68B1DB1Normal34"/>
        <w:widowControl w:val="false"/>
        <w:spacing w:lineRule="auto" w:line="240" w:before="0" w:after="0"/>
        <w:ind w:left="0" w:right="0" w:hanging="0"/>
        <w:jc w:val="left"/>
        <w:rPr/>
      </w:pPr>
      <w:r>
        <w:rPr>
          <w:rFonts w:ascii="Times New Roman" w:hAnsi="Times New Roman"/>
        </w:rPr>
        <w:t>•</w:t>
      </w:r>
      <w:r>
        <w:rPr/>
        <w:t xml:space="preserve"> </w:t>
      </w:r>
      <w:r>
        <w:rPr>
          <w:rFonts w:ascii="Times New Roman" w:hAnsi="Times New Roman"/>
        </w:rPr>
        <w:t xml:space="preserve">A konzultáció célja; </w:t>
      </w:r>
    </w:p>
    <w:p>
      <w:pPr>
        <w:pStyle w:val="P68B1DB1Normal34"/>
        <w:widowControl w:val="false"/>
        <w:spacing w:lineRule="auto" w:line="240" w:before="0" w:after="0"/>
        <w:ind w:left="0" w:right="0" w:hanging="0"/>
        <w:jc w:val="left"/>
        <w:rPr/>
      </w:pPr>
      <w:r>
        <w:rPr>
          <w:rFonts w:ascii="Times New Roman" w:hAnsi="Times New Roman"/>
        </w:rPr>
        <w:t>•</w:t>
      </w:r>
      <w:r>
        <w:rPr/>
        <w:t xml:space="preserve"> </w:t>
      </w:r>
      <w:r>
        <w:rPr>
          <w:rFonts w:ascii="Times New Roman" w:hAnsi="Times New Roman"/>
        </w:rPr>
        <w:t xml:space="preserve">A konzultáció eredményei. </w:t>
      </w:r>
    </w:p>
    <w:p>
      <w:pPr>
        <w:pStyle w:val="Normal"/>
        <w:widowControl w:val="false"/>
        <w:spacing w:lineRule="auto" w:line="240" w:before="0" w:after="0"/>
        <w:ind w:left="0" w:right="0" w:hanging="0"/>
        <w:jc w:val="both"/>
        <w:rPr/>
      </w:pPr>
      <w:r>
        <w:rPr>
          <w:rFonts w:ascii="Times New Roman" w:hAnsi="Times New Roman"/>
          <w:color w:val="000000"/>
          <w:sz w:val="24"/>
        </w:rPr>
        <w:t>Az Európa jövőjéről szóló konferencia módszertanát ezért azzal a folyamatos céllal hozták létre, hogy biztosítsák a polgárok számára az átláthatóságot. Egyértelműen meghatározták a véletlenszerűen kiválasztott polgárok toborzásának módszertanát, a módszertani elfogultságokat és a polgárok beszédének kezelését. A résztvevők a konferencia végén e-mailben is megkapták a regionális konferenciájuk összefoglalóját. Ezenkívül az összes munka- és kilépési dokumentumot a rendszer végén az állam állampolgári részvételének platformján teszik közzé</w:t>
      </w:r>
      <w:r>
        <w:rPr>
          <w:rStyle w:val="Ancredenotedebasdepage"/>
          <w:rStyle w:val="Ancredenotedebasdepage"/>
          <w:rFonts w:ascii="Times New Roman" w:hAnsi="Times New Roman"/>
          <w:color w:val="000000"/>
          <w:sz w:val="16"/>
        </w:rPr>
        <w:footnoteReference w:id="14"/>
      </w:r>
      <w:r>
        <w:rPr>
          <w:rFonts w:ascii="Times New Roman" w:hAnsi="Times New Roman"/>
          <w:color w:val="000000"/>
          <w:sz w:val="24"/>
        </w:rPr>
        <w:t xml:space="preserve">. </w:t>
      </w:r>
    </w:p>
    <w:p>
      <w:pPr>
        <w:pStyle w:val="P68B1DB1Normal19"/>
        <w:widowControl w:val="false"/>
        <w:spacing w:lineRule="auto" w:line="240" w:before="0" w:after="0"/>
        <w:ind w:left="0" w:right="0" w:hanging="0"/>
        <w:jc w:val="left"/>
        <w:rPr>
          <w:rFonts w:ascii="Times New Roman" w:hAnsi="Times New Roman"/>
          <w:color w:val="000000"/>
          <w:sz w:val="24"/>
        </w:rPr>
      </w:pPr>
      <w:r>
        <w:rPr/>
        <w:t xml:space="preserve"> </w:t>
      </w:r>
    </w:p>
    <w:p>
      <w:pPr>
        <w:pStyle w:val="Normal"/>
        <w:spacing w:lineRule="auto" w:line="240" w:before="0" w:after="0"/>
        <w:ind w:left="0" w:right="0" w:hanging="0"/>
        <w:rPr/>
      </w:pPr>
      <w:r>
        <w:rPr/>
      </w:r>
      <w:r>
        <w:br w:type="page"/>
      </w:r>
    </w:p>
    <w:p>
      <w:pPr>
        <w:pStyle w:val="P68B1DB1Normal33"/>
        <w:spacing w:lineRule="auto" w:line="240" w:before="0" w:after="0"/>
        <w:ind w:left="0" w:right="0" w:hanging="0"/>
        <w:rPr>
          <w:rFonts w:ascii="Times New Roman" w:hAnsi="Times New Roman"/>
          <w:b/>
          <w:b/>
          <w:color w:val="000000"/>
          <w:sz w:val="24"/>
        </w:rPr>
      </w:pPr>
      <w:r>
        <w:rPr/>
        <w:t xml:space="preserve">Semlegesség </w:t>
      </w:r>
    </w:p>
    <w:p>
      <w:pPr>
        <w:pStyle w:val="P68B1DB1Normal19"/>
        <w:widowControl w:val="false"/>
        <w:spacing w:lineRule="auto" w:line="240" w:before="0" w:after="0"/>
        <w:ind w:left="0" w:right="0" w:hanging="0"/>
        <w:jc w:val="both"/>
        <w:rPr/>
      </w:pPr>
      <w:r>
        <w:rPr/>
        <w:t xml:space="preserve">A konzultáció során a szervező csoportnak biztosítania kell, hogy semleges maradjon a cserék elősegítése, valamint az eredményeket bemutató összefoglalók elkészítése során. A programban részt vevő érdekelt felek – segítők, segítők, szakértők – nem fejthetik ki saját álláspontjukat, és nem törekedhetnek a vita szubjektív irányítására. </w:t>
      </w:r>
    </w:p>
    <w:p>
      <w:pPr>
        <w:pStyle w:val="P68B1DB1Normal19"/>
        <w:widowControl w:val="false"/>
        <w:spacing w:lineRule="auto" w:line="240" w:before="0" w:after="0"/>
        <w:ind w:left="0" w:right="0" w:hanging="0"/>
        <w:jc w:val="both"/>
        <w:rPr/>
      </w:pPr>
      <w:r>
        <w:rPr/>
        <w:t xml:space="preserve">A semlegesség célkitűzése a konzultáció valamennyi szakaszában megvalósult, biztosítva különösen a résztvevők elfogulatlan kiválasztását, a viták teljes szabadságát, valamint a szponzor vagy az érdekelt felek által a polgárok beszédére gyakorolt befolyás hiányát. A semlegesség e követelménye a résztvevők objektív és átlátható munkaerő-felvételi folyamata, a következetes módszertani elfogultság (fordított szakértelem, a viták tematikus keretezésének hiánya) és a különböző felszólalók (segítők, segítők, szakértők) testtartására való összpontosítás révén valósult meg. Végül a szervező csapat gondoskodott arról, hogy minden szót értékeljen, és ne szűrje ki a polgárok javaslatait. </w:t>
      </w:r>
    </w:p>
    <w:p>
      <w:pPr>
        <w:pStyle w:val="P68B1DB1Normal19"/>
        <w:widowControl w:val="false"/>
        <w:spacing w:lineRule="auto" w:line="240" w:before="0" w:after="0"/>
        <w:ind w:left="0" w:right="0" w:hanging="0"/>
        <w:jc w:val="both"/>
        <w:rPr/>
      </w:pPr>
      <w:r>
        <w:rPr/>
        <w:t xml:space="preserve">A Nemzetgyűlés és az Európai Parlament elnöke, valamint a kormány által </w:t>
      </w:r>
      <w:r>
        <w:rPr>
          <w:b/>
        </w:rPr>
        <w:t>kinevezett három kezesből álló kollégium</w:t>
      </w:r>
      <w:r>
        <w:rPr/>
        <w:t xml:space="preserve"> azt is biztosította, hogy valamennyi véleményt kifejezzék és figyelembe vegyék. </w:t>
      </w:r>
    </w:p>
    <w:p>
      <w:pPr>
        <w:pStyle w:val="P68B1DB1Normal33"/>
        <w:widowControl w:val="false"/>
        <w:spacing w:lineRule="auto" w:line="240" w:before="0" w:after="0"/>
        <w:ind w:left="0" w:right="0" w:hanging="0"/>
        <w:jc w:val="left"/>
        <w:rPr>
          <w:rFonts w:ascii="Times New Roman" w:hAnsi="Times New Roman"/>
          <w:b/>
          <w:b/>
          <w:color w:val="000000"/>
          <w:sz w:val="24"/>
        </w:rPr>
      </w:pPr>
      <w:r>
        <w:rPr/>
        <w:t xml:space="preserve">A kötelesség azonnal </w:t>
      </w:r>
    </w:p>
    <w:p>
      <w:pPr>
        <w:pStyle w:val="P68B1DB1Normal19"/>
        <w:widowControl w:val="false"/>
        <w:spacing w:lineRule="auto" w:line="240" w:before="0" w:after="0"/>
        <w:ind w:left="0" w:right="0" w:hanging="0"/>
        <w:jc w:val="both"/>
        <w:rPr/>
      </w:pPr>
      <w:r>
        <w:rPr/>
        <w:t xml:space="preserve">A polgároknak – függetlenül attól, hogy részt vettek-e a konzultációban vagy sem – joguk van tájékoztatást kapni arról, hogy mit választottak a javaslataikról és azokból levont véleményekről, és milyen okokból. Ezt </w:t>
      </w:r>
      <w:r>
        <w:rPr>
          <w:b/>
        </w:rPr>
        <w:t>azonnal kötelességnek</w:t>
      </w:r>
      <w:r>
        <w:rPr/>
        <w:t xml:space="preserve"> nevezik. </w:t>
      </w:r>
    </w:p>
    <w:p>
      <w:pPr>
        <w:pStyle w:val="P68B1DB1Normal19"/>
        <w:widowControl w:val="false"/>
        <w:spacing w:lineRule="auto" w:line="240" w:before="0" w:after="0"/>
        <w:ind w:left="0" w:right="0" w:hanging="0"/>
        <w:jc w:val="left"/>
        <w:rPr>
          <w:rFonts w:ascii="Times New Roman" w:hAnsi="Times New Roman"/>
          <w:color w:val="000000"/>
          <w:sz w:val="24"/>
        </w:rPr>
      </w:pPr>
      <w:r>
        <w:rPr/>
        <w:t xml:space="preserve"> </w:t>
      </w:r>
    </w:p>
    <w:p>
      <w:pPr>
        <w:pStyle w:val="P68B1DB1Normal19"/>
        <w:spacing w:lineRule="auto" w:line="240" w:before="0" w:after="0"/>
        <w:ind w:left="0" w:right="0" w:hanging="0"/>
        <w:jc w:val="both"/>
        <w:rPr/>
      </w:pPr>
      <w:r>
        <w:rPr/>
        <w:t xml:space="preserve">Az Állampolgárok Részvételi Központja (ICPC) és a Közátalakítás Tárcaközi Igazgatósága (DITP) úgy határozza meg, hogy az állami döntéshozó kötelezettséget vállalt arra, hogy világos és olvasható választ ad a polgároknak a konzultáció eredményére. Konkrétan a nyomon követés feladata, hogy visszatérjen a polgárokhoz, hogy elmagyarázza nekik, hogyan veszik figyelembe hozzájárulásaikat, és milyen hatással vannak a döntéshozatalra és a közigazgatás gyakorlatára. </w:t>
      </w:r>
    </w:p>
    <w:p>
      <w:pPr>
        <w:pStyle w:val="Normal"/>
        <w:spacing w:lineRule="auto" w:line="240" w:before="0" w:after="0"/>
        <w:ind w:left="0" w:right="0" w:hanging="0"/>
        <w:jc w:val="both"/>
        <w:rPr>
          <w:rFonts w:ascii="Times New Roman" w:hAnsi="Times New Roman"/>
          <w:color w:val="000000"/>
          <w:sz w:val="24"/>
        </w:rPr>
      </w:pPr>
      <w:r>
        <w:rPr>
          <w:rFonts w:ascii="Times New Roman" w:hAnsi="Times New Roman"/>
          <w:color w:val="000000"/>
          <w:sz w:val="24"/>
        </w:rPr>
      </w:r>
    </w:p>
    <w:p>
      <w:pPr>
        <w:pStyle w:val="P68B1DB1Normal19"/>
        <w:widowControl w:val="false"/>
        <w:spacing w:lineRule="auto" w:line="240" w:before="0" w:after="0"/>
        <w:ind w:left="0" w:right="0" w:hanging="0"/>
        <w:jc w:val="both"/>
        <w:rPr/>
      </w:pPr>
      <w:r>
        <w:rPr/>
        <w:t xml:space="preserve">A kormány ezt a feladatot az Európa jövőjéről szóló konferencia nyomon követéseként vállalta, és ambiciózus nyomonkövetési mechanizmust jelentett be a jelentés következő részében ismertetett nemzeti konferenciát követően (lásd a „ </w:t>
      </w:r>
      <w:r>
        <w:rPr>
          <w:i/>
        </w:rPr>
        <w:t>Módszertani Felek”</w:t>
      </w:r>
      <w:r>
        <w:rPr/>
        <w:t xml:space="preserve">című részt). </w:t>
      </w:r>
    </w:p>
    <w:p>
      <w:pPr>
        <w:pStyle w:val="P68B1DB1Normal19"/>
        <w:widowControl w:val="false"/>
        <w:spacing w:lineRule="auto" w:line="240" w:before="0" w:after="0"/>
        <w:ind w:left="0" w:right="0" w:hanging="0"/>
        <w:jc w:val="both"/>
        <w:rPr>
          <w:rFonts w:ascii="Times New Roman" w:hAnsi="Times New Roman"/>
          <w:color w:val="000000"/>
          <w:sz w:val="24"/>
        </w:rPr>
      </w:pPr>
      <w:r>
        <w:rPr/>
        <w:t xml:space="preserve"> </w:t>
      </w:r>
    </w:p>
    <w:p>
      <w:pPr>
        <w:pStyle w:val="P68B1DB1Normal33"/>
        <w:spacing w:lineRule="auto" w:line="240" w:before="0" w:after="0"/>
        <w:ind w:left="0" w:right="0" w:hanging="0"/>
        <w:jc w:val="both"/>
        <w:rPr>
          <w:rFonts w:ascii="Times New Roman" w:hAnsi="Times New Roman"/>
          <w:b/>
          <w:b/>
          <w:color w:val="000000"/>
          <w:sz w:val="24"/>
        </w:rPr>
      </w:pPr>
      <w:r>
        <w:rPr/>
        <w:t xml:space="preserve">B. Módszertani pártok </w:t>
      </w:r>
    </w:p>
    <w:p>
      <w:pPr>
        <w:pStyle w:val="P68B1DB1Normal19"/>
        <w:widowControl w:val="false"/>
        <w:spacing w:lineRule="auto" w:line="240" w:before="0" w:after="0"/>
        <w:ind w:left="0" w:right="0" w:hanging="0"/>
        <w:jc w:val="both"/>
        <w:rPr/>
      </w:pPr>
      <w:r>
        <w:rPr/>
        <w:t xml:space="preserve">Ezt a három állami kötelezettségvállalást a konzultációs módszertan </w:t>
      </w:r>
      <w:r>
        <w:rPr>
          <w:b/>
        </w:rPr>
        <w:t>hét erős módszertani elfogultság</w:t>
      </w:r>
      <w:r>
        <w:rPr/>
        <w:t xml:space="preserve"> formájában tükrözte. </w:t>
      </w:r>
    </w:p>
    <w:p>
      <w:pPr>
        <w:pStyle w:val="Normal"/>
        <w:widowControl w:val="false"/>
        <w:spacing w:lineRule="auto" w:line="240" w:before="0" w:after="0"/>
        <w:ind w:left="0" w:right="0" w:hanging="0"/>
        <w:jc w:val="both"/>
        <w:rPr>
          <w:rFonts w:ascii="Times New Roman" w:hAnsi="Times New Roman"/>
          <w:color w:val="000000"/>
          <w:sz w:val="24"/>
        </w:rPr>
      </w:pPr>
      <w:r>
        <w:rPr>
          <w:rFonts w:ascii="Times New Roman" w:hAnsi="Times New Roman"/>
          <w:color w:val="000000"/>
          <w:sz w:val="24"/>
        </w:rPr>
      </w:r>
    </w:p>
    <w:p>
      <w:pPr>
        <w:pStyle w:val="P68B1DB1Normal35"/>
        <w:widowControl w:val="false"/>
        <w:spacing w:lineRule="auto" w:line="240" w:before="0" w:after="0"/>
        <w:ind w:left="0" w:right="0" w:hanging="0"/>
        <w:jc w:val="both"/>
        <w:rPr/>
      </w:pPr>
      <w:r>
        <w:rPr>
          <w:rFonts w:ascii="Times New Roman" w:hAnsi="Times New Roman"/>
        </w:rPr>
        <w:t>1.</w:t>
      </w:r>
      <w:r>
        <w:rPr/>
        <w:t xml:space="preserve"> </w:t>
      </w:r>
      <w:r>
        <w:rPr>
          <w:rFonts w:ascii="Times New Roman" w:hAnsi="Times New Roman"/>
        </w:rPr>
        <w:t>Területiség és közelség</w:t>
      </w:r>
    </w:p>
    <w:p>
      <w:pPr>
        <w:pStyle w:val="P68B1DB1Normal24"/>
        <w:widowControl w:val="false"/>
        <w:spacing w:lineRule="auto" w:line="240" w:before="0" w:after="0"/>
        <w:ind w:left="0" w:right="0" w:hanging="0"/>
        <w:jc w:val="both"/>
        <w:rPr/>
      </w:pPr>
      <w:r>
        <w:rPr/>
        <w:t xml:space="preserve">Az Európa jövőjéről szóló konferencia nemzeti eleme 18 regionális konferencia volt a 13 nagyvárosi régióban és az 5 francia ultramarine régióban, majd egy nemzeti konferencia Párizsban. Ezzel a helyi szintű panelek szervezésének lehetőségével az volt a szándék, </w:t>
      </w:r>
      <w:r>
        <w:rPr>
          <w:b/>
        </w:rPr>
        <w:t>hogy a polgárokhoz a lehető legszorosabban szólaljanak fel.</w:t>
      </w:r>
      <w:r>
        <w:rPr/>
        <w:t xml:space="preserve"> Ez az elfogultság is gazdagította a konzultációt azáltal, hogy megmutatta a különböző témákban a területek közötti konszenzus és nézeteltérés irányvonalait. </w:t>
      </w:r>
    </w:p>
    <w:p>
      <w:pPr>
        <w:pStyle w:val="Normal"/>
        <w:widowControl w:val="false"/>
        <w:spacing w:lineRule="auto" w:line="240" w:before="0" w:after="0"/>
        <w:ind w:left="0" w:right="0" w:hanging="0"/>
        <w:jc w:val="both"/>
        <w:rPr>
          <w:rFonts w:ascii="Times New Roman" w:hAnsi="Times New Roman"/>
          <w:color w:val="000000"/>
          <w:sz w:val="22"/>
        </w:rPr>
      </w:pPr>
      <w:r>
        <w:rPr>
          <w:rFonts w:ascii="Times New Roman" w:hAnsi="Times New Roman"/>
          <w:color w:val="000000"/>
          <w:sz w:val="22"/>
        </w:rPr>
      </w:r>
    </w:p>
    <w:p>
      <w:pPr>
        <w:pStyle w:val="P68B1DB1Normal35"/>
        <w:widowControl w:val="false"/>
        <w:spacing w:lineRule="auto" w:line="240" w:before="0" w:after="0"/>
        <w:ind w:left="0" w:right="0" w:hanging="0"/>
        <w:jc w:val="both"/>
        <w:rPr/>
      </w:pPr>
      <w:r>
        <w:rPr>
          <w:rFonts w:ascii="Times New Roman" w:hAnsi="Times New Roman"/>
        </w:rPr>
        <w:t>2.</w:t>
      </w:r>
      <w:r>
        <w:rPr/>
        <w:t xml:space="preserve"> </w:t>
      </w:r>
      <w:r>
        <w:rPr>
          <w:rFonts w:ascii="Times New Roman" w:hAnsi="Times New Roman"/>
        </w:rPr>
        <w:t>A polgárok profiljainak sokfélesége és a sorsolás használata</w:t>
      </w:r>
    </w:p>
    <w:p>
      <w:pPr>
        <w:pStyle w:val="P68B1DB1Normal24"/>
        <w:widowControl w:val="false"/>
        <w:spacing w:lineRule="auto" w:line="240" w:before="0" w:after="0"/>
        <w:ind w:left="0" w:right="0" w:hanging="0"/>
        <w:jc w:val="both"/>
        <w:rPr/>
      </w:pPr>
      <w:r>
        <w:rPr/>
        <w:t xml:space="preserve">A folyamat előtt egy regionális konferencián 50 polgár felvételét tűzték ki célul, kivéve Martinique, Mayotte, Guadeloupe és Guyana ultramarine-konferenciáját, egyenként 30–40 polgárt, valamint a Grand Est konferenciát, amelyen a három határ menti Landers 5 német állampolgára is jelen volt. A telefonszámok </w:t>
      </w:r>
      <w:r>
        <w:rPr>
          <w:b/>
        </w:rPr>
        <w:t>véletlenszerű generációja</w:t>
      </w:r>
      <w:r>
        <w:rPr/>
        <w:t xml:space="preserve"> lehetővé tette számos, regionális konferenciákra meghívott polgár meghívását. </w:t>
      </w:r>
    </w:p>
    <w:p>
      <w:pPr>
        <w:pStyle w:val="P68B1DB1Normal24"/>
        <w:widowControl w:val="false"/>
        <w:spacing w:lineRule="auto" w:line="240" w:before="0" w:after="0"/>
        <w:ind w:left="0" w:right="0" w:hanging="0"/>
        <w:jc w:val="both"/>
        <w:rPr/>
      </w:pPr>
      <w:r>
        <w:rPr/>
        <w:t xml:space="preserve">Ahhoz, hogy jogosultak legyenek, a sorshúzással rendelkező állampolgároknak 18 évesnél idősebbnek kell lenniük, és rendszeres helyzetben francia vagy állandó lakosnak kell lenniük. A polgárok minden regionális testületének </w:t>
      </w:r>
      <w:r>
        <w:rPr>
          <w:b/>
        </w:rPr>
        <w:t>képviselnie kellett a regionális lakosság sokszínűségét,</w:t>
      </w:r>
      <w:r>
        <w:rPr/>
        <w:t xml:space="preserve">és össze kellett gyűjtenie az </w:t>
      </w:r>
      <w:r>
        <w:rPr>
          <w:b/>
        </w:rPr>
        <w:t>Európáról alkotott nézetek sokféleségét</w:t>
      </w:r>
      <w:r>
        <w:rPr/>
        <w:t xml:space="preserve">. A sorsolással történő munkaerő-felvétel pontos módszertanát a II. melléklet határozza meg. </w:t>
      </w:r>
    </w:p>
    <w:p>
      <w:pPr>
        <w:pStyle w:val="Normal"/>
        <w:widowControl w:val="false"/>
        <w:spacing w:lineRule="auto" w:line="240" w:before="0" w:after="0"/>
        <w:ind w:left="0" w:right="0" w:hanging="0"/>
        <w:jc w:val="both"/>
        <w:rPr>
          <w:rFonts w:ascii="Times New Roman" w:hAnsi="Times New Roman"/>
          <w:color w:val="000000"/>
          <w:sz w:val="22"/>
        </w:rPr>
      </w:pPr>
      <w:r>
        <w:rPr>
          <w:rFonts w:ascii="Times New Roman" w:hAnsi="Times New Roman"/>
          <w:color w:val="000000"/>
          <w:sz w:val="22"/>
        </w:rPr>
      </w:r>
    </w:p>
    <w:p>
      <w:pPr>
        <w:pStyle w:val="P68B1DB1Normal35"/>
        <w:widowControl w:val="false"/>
        <w:spacing w:lineRule="auto" w:line="240" w:before="0" w:after="0"/>
        <w:ind w:left="0" w:right="0" w:hanging="0"/>
        <w:jc w:val="both"/>
        <w:rPr/>
      </w:pPr>
      <w:r>
        <w:rPr>
          <w:rFonts w:ascii="Times New Roman" w:hAnsi="Times New Roman"/>
        </w:rPr>
        <w:t>3.</w:t>
      </w:r>
      <w:r>
        <w:rPr/>
        <w:t xml:space="preserve"> </w:t>
      </w:r>
      <w:r>
        <w:rPr>
          <w:rFonts w:ascii="Times New Roman" w:hAnsi="Times New Roman"/>
        </w:rPr>
        <w:t>A megközelítés átláthatósága</w:t>
      </w:r>
    </w:p>
    <w:p>
      <w:pPr>
        <w:pStyle w:val="P68B1DB1Normal24"/>
        <w:widowControl w:val="false"/>
        <w:spacing w:lineRule="auto" w:line="240" w:before="0" w:after="0"/>
        <w:ind w:left="0" w:right="0" w:hanging="0"/>
        <w:jc w:val="both"/>
        <w:rPr/>
      </w:pPr>
      <w:r>
        <w:rPr>
          <w:b/>
        </w:rPr>
        <w:t>Az európai ügyekért felelős államtitkár, a Nemzetgyűlés elnöke és az Európai Parlament elnöke által kinevezett három kezesből álló testület</w:t>
      </w:r>
      <w:r>
        <w:rPr/>
        <w:t xml:space="preserve"> követte az egész folyamatot annak semlegességének és szabályszerűségének biztosítása érdekében. A kezesek különösen az alábbiakkal rendelkeznek: figyelemmel kísérte a sorsolással kiválasztott polgárok felvételének őszinteségét, ajánlásokat tett a szakértők kiválasztására, és biztosította a viták megfelelő megszervezését. Az eljárás végén a kezesek nyilvánosságra hozzák a konzultációról alkotott véleményüket. Ez a dokumentum az állami polgárok részvételi platformján kerül közzétételre. </w:t>
      </w:r>
    </w:p>
    <w:p>
      <w:pPr>
        <w:pStyle w:val="P68B1DB1Normal24"/>
        <w:widowControl w:val="false"/>
        <w:spacing w:lineRule="auto" w:line="240" w:before="0" w:after="0"/>
        <w:ind w:left="0" w:right="0" w:hanging="0"/>
        <w:jc w:val="both"/>
        <w:rPr/>
      </w:pPr>
      <w:r>
        <w:rPr/>
        <w:t xml:space="preserve">Közzétételre kerül továbbá az állam polgári részvételére szolgáló platformon is: a tizennyolc regionális konferencia összefoglalója, a regionális konferenciákon kifejezett változások összefoglalása, a nemzeti konferencia összegzése, végül a Kormányhoz benyújtott zárójelentés. </w:t>
      </w:r>
    </w:p>
    <w:p>
      <w:pPr>
        <w:pStyle w:val="P68B1DB1Normal19"/>
        <w:widowControl w:val="false"/>
        <w:spacing w:lineRule="auto" w:line="240" w:before="0" w:after="0"/>
        <w:ind w:left="0" w:right="0" w:hanging="0"/>
        <w:jc w:val="both"/>
        <w:rPr>
          <w:rFonts w:ascii="Times New Roman" w:hAnsi="Times New Roman"/>
          <w:color w:val="000000"/>
          <w:sz w:val="24"/>
        </w:rPr>
      </w:pPr>
      <w:r>
        <w:rPr/>
        <w:t xml:space="preserve"> </w:t>
      </w:r>
    </w:p>
    <w:p>
      <w:pPr>
        <w:pStyle w:val="P68B1DB1Normal35"/>
        <w:spacing w:lineRule="auto" w:line="240" w:before="0" w:after="0"/>
        <w:ind w:left="0" w:right="0" w:hanging="0"/>
        <w:jc w:val="both"/>
        <w:rPr/>
      </w:pPr>
      <w:r>
        <w:rPr>
          <w:rFonts w:ascii="Times New Roman" w:hAnsi="Times New Roman"/>
        </w:rPr>
        <w:t>4.</w:t>
      </w:r>
      <w:r>
        <w:rPr/>
        <w:t xml:space="preserve"> </w:t>
      </w:r>
      <w:r>
        <w:rPr>
          <w:rFonts w:ascii="Times New Roman" w:hAnsi="Times New Roman"/>
        </w:rPr>
        <w:t>Nyílt vita erőltetett téma nélkül</w:t>
      </w:r>
    </w:p>
    <w:p>
      <w:pPr>
        <w:pStyle w:val="P68B1DB1Normal24"/>
        <w:widowControl w:val="false"/>
        <w:spacing w:lineRule="auto" w:line="240" w:before="215" w:after="0"/>
        <w:ind w:left="1" w:right="0" w:hanging="0"/>
        <w:jc w:val="left"/>
        <w:rPr/>
      </w:pPr>
      <w:r>
        <w:rPr/>
        <w:t xml:space="preserve">E nemzeti konzultáció keretében egyetlen kérdést fogalmaztak meg a részt vevő polgárok számára: </w:t>
      </w:r>
      <w:r>
        <w:rPr>
          <w:i/>
        </w:rPr>
        <w:t>Francia állampolgárokként milyen változtatásokat szeretne Európa számára?</w:t>
      </w:r>
      <w:r>
        <w:rPr/>
        <w:t xml:space="preserve"> </w:t>
      </w:r>
    </w:p>
    <w:p>
      <w:pPr>
        <w:pStyle w:val="P68B1DB1Normal24"/>
        <w:widowControl w:val="false"/>
        <w:spacing w:lineRule="auto" w:line="240" w:before="235" w:after="0"/>
        <w:ind w:left="1" w:right="0" w:hanging="0"/>
        <w:jc w:val="both"/>
        <w:rPr/>
      </w:pPr>
      <w:r>
        <w:rPr/>
        <w:t xml:space="preserve">A kibontakozás és a bevezetett módszertan révén a polgárok maguk határozhatták meg a kívánt változások menetrendjét, anélkül, hogy egy konkrét téma vagy egy korábbi normatív keretszabályozás korlátozta volna őket. </w:t>
      </w:r>
    </w:p>
    <w:p>
      <w:pPr>
        <w:pStyle w:val="Normal"/>
        <w:widowControl w:val="false"/>
        <w:spacing w:lineRule="auto" w:line="240" w:before="233" w:after="0"/>
        <w:ind w:left="1" w:right="1" w:hanging="0"/>
        <w:jc w:val="both"/>
        <w:rPr/>
      </w:pPr>
      <w:r>
        <w:rPr>
          <w:rFonts w:ascii="Times New Roman" w:hAnsi="Times New Roman"/>
          <w:color w:val="000000"/>
        </w:rPr>
        <w:t>A cél az volt, hogy a regionális konferenciák polgárai teljes szabadságot élvezhessenek az általuk tárgyalni kívánt témákban. Az Európa jövőjéről szóló konferencia nemzeti részéért felelős Európa- és Külügyminisztérium ezért úgy döntött, hogy az európai gyakorlat kiegészítő megközelítését dolgozza ki, amely kilenc téma köré épül: éghajlatváltozás és környezetvédelem; egészség; erősebb gazdaság, társadalmi igazságosság és foglalkoztatás; az EU a világban; értékek és jogok, jogállamiság, biztonság; digitális transzformáció; Az európai demokrácia; migráció; oktatás, kultúra, ifjúság és sport; egyéb ötletek</w:t>
      </w:r>
      <w:r>
        <w:rPr>
          <w:rStyle w:val="Ancredenotedebasdepage"/>
          <w:rStyle w:val="Ancredenotedebasdepage"/>
          <w:rFonts w:ascii="Times New Roman" w:hAnsi="Times New Roman"/>
          <w:color w:val="000000"/>
          <w:sz w:val="14"/>
        </w:rPr>
        <w:footnoteReference w:id="15"/>
      </w:r>
      <w:r>
        <w:rPr>
          <w:rFonts w:ascii="Times New Roman" w:hAnsi="Times New Roman"/>
          <w:color w:val="000000"/>
        </w:rPr>
        <w:t xml:space="preserve">. </w:t>
      </w:r>
    </w:p>
    <w:p>
      <w:pPr>
        <w:pStyle w:val="P68B1DB1Normal24"/>
        <w:widowControl w:val="false"/>
        <w:spacing w:lineRule="auto" w:line="240" w:before="235" w:after="0"/>
        <w:ind w:left="0" w:right="2" w:hanging="0"/>
        <w:jc w:val="left"/>
        <w:rPr/>
      </w:pPr>
      <w:r>
        <w:rPr/>
        <w:t xml:space="preserve">A regionális konferenciák cseréjének témáit tehát maguk a polgárok, nem pedig a gyakorlat támogatója határozta meg. </w:t>
      </w:r>
    </w:p>
    <w:p>
      <w:pPr>
        <w:pStyle w:val="P68B1DB1Normal35"/>
        <w:widowControl w:val="false"/>
        <w:spacing w:lineRule="exact" w:line="379" w:before="352" w:after="0"/>
        <w:ind w:left="358" w:right="0" w:hanging="0"/>
        <w:jc w:val="left"/>
        <w:rPr/>
      </w:pPr>
      <w:r>
        <w:rPr>
          <w:rFonts w:ascii="Times New Roman" w:hAnsi="Times New Roman"/>
        </w:rPr>
        <w:t>5.</w:t>
      </w:r>
      <w:r>
        <w:rPr/>
        <w:t xml:space="preserve"> </w:t>
      </w:r>
      <w:r>
        <w:rPr>
          <w:rFonts w:ascii="Times New Roman" w:hAnsi="Times New Roman"/>
        </w:rPr>
        <w:t>Fordított szakértelem</w:t>
      </w:r>
    </w:p>
    <w:p>
      <w:pPr>
        <w:pStyle w:val="P68B1DB1Normal24"/>
        <w:widowControl w:val="false"/>
        <w:spacing w:lineRule="auto" w:line="240" w:before="218" w:after="0"/>
        <w:ind w:left="1" w:right="0" w:hanging="0"/>
        <w:jc w:val="left"/>
        <w:rPr/>
      </w:pPr>
      <w:r>
        <w:rPr/>
        <w:t xml:space="preserve">Annak érdekében, hogy a lehető legkisebb mértékben befolyásolják a résztvevőket az Európa iránti kívánságaik meghatározásában, úgy döntöttek, </w:t>
      </w:r>
      <w:r>
        <w:rPr>
          <w:b/>
        </w:rPr>
        <w:t>hogy nem nyújtanak előzetes tájékoztatást vagy szakértelmet (pl. az Európai Unió jelenlegi projektjével, annak hatásköreivel vagy az intézmények működésével kapcsolatban</w:t>
      </w:r>
      <w:r>
        <w:rPr/>
        <w:t xml:space="preserve">), hanem maguknak a polgároknak a kérdéseiből indultak ki. Ez a módszertani elfogultság a „ </w:t>
      </w:r>
      <w:r>
        <w:rPr>
          <w:i/>
        </w:rPr>
        <w:t>fordított szakértelem</w:t>
      </w:r>
      <w:r>
        <w:rPr/>
        <w:t xml:space="preserve">” elvén alapul, amely szerint a </w:t>
      </w:r>
      <w:r>
        <w:rPr>
          <w:b/>
        </w:rPr>
        <w:t>kollektív reflexió</w:t>
      </w:r>
      <w:r>
        <w:rPr/>
        <w:t xml:space="preserve"> a polgárok tapasztalataira és véleményére épül, akik ezután megkérdezik a szakértőket, hogy támogassák megbeszéléseiket és megszilárdítsák munkafeltevéseiket. </w:t>
      </w:r>
    </w:p>
    <w:p>
      <w:pPr>
        <w:pStyle w:val="P68B1DB1Normal24"/>
        <w:widowControl w:val="false"/>
        <w:spacing w:lineRule="auto" w:line="240" w:before="232" w:after="0"/>
        <w:ind w:left="0" w:right="0" w:hanging="0"/>
        <w:jc w:val="both"/>
        <w:rPr/>
      </w:pPr>
      <w:r>
        <w:rPr/>
        <w:t xml:space="preserve">E cél elérése érdekében </w:t>
      </w:r>
      <w:r>
        <w:rPr>
          <w:b/>
        </w:rPr>
        <w:t>szakértőket</w:t>
      </w:r>
      <w:r>
        <w:rPr/>
        <w:t xml:space="preserve"> mozgósítottak a különböző régiókban (átlagosan hárman), különösen az érintett területeken működő tudományos körökből és Europe Direct információs központokból. Szombaton és vasárnap is jelen voltak, hogy válaszoljanak a polgárok kérdéseire, és csak az ő kérésükre szólaltak fel. </w:t>
      </w:r>
      <w:r>
        <w:rPr>
          <w:b/>
        </w:rPr>
        <w:t>Tényellenőrzők</w:t>
      </w:r>
      <w:r>
        <w:rPr/>
        <w:t xml:space="preserve"> is elérhetők voltak</w:t>
      </w:r>
      <w:r>
        <w:rPr>
          <w:i/>
        </w:rPr>
        <w:t>annak</w:t>
      </w:r>
      <w:r>
        <w:rPr/>
        <w:t xml:space="preserve">érdekében, hogy gyorsan ellenőrizzék a polgárok által feltett ténybeli kérdéseket. </w:t>
      </w:r>
    </w:p>
    <w:p>
      <w:pPr>
        <w:pStyle w:val="P68B1DB1Normal24"/>
        <w:widowControl w:val="false"/>
        <w:spacing w:lineRule="auto" w:line="240" w:before="235" w:after="0"/>
        <w:ind w:left="0" w:right="1" w:hanging="0"/>
        <w:jc w:val="both"/>
        <w:rPr/>
      </w:pPr>
      <w:r>
        <w:rPr/>
        <w:t xml:space="preserve">Az EGSZB nemzeti szintézisi konferenciáján 19 magas szintű tudományos szakértő, agytröszt és diplomáciai testület vett részt a munkacsoportokban. Ezek a szakértők egész hétvégén elkísértek egy csoportot, lehetővé téve számukra, hogy elmélyítsék a régiókban kifejezett változásokat. </w:t>
      </w:r>
    </w:p>
    <w:p>
      <w:pPr>
        <w:pStyle w:val="Normal"/>
        <w:spacing w:lineRule="auto" w:line="240" w:before="0" w:after="0"/>
        <w:ind w:left="0" w:right="0" w:hanging="0"/>
        <w:jc w:val="both"/>
        <w:rPr/>
      </w:pPr>
      <w:r>
        <w:rPr/>
      </w:r>
    </w:p>
    <w:p>
      <w:pPr>
        <w:pStyle w:val="P68B1DB1Normal35"/>
        <w:spacing w:lineRule="auto" w:line="240" w:before="0" w:after="0"/>
        <w:ind w:left="0" w:right="0" w:hanging="0"/>
        <w:jc w:val="both"/>
        <w:rPr/>
      </w:pPr>
      <w:r>
        <w:rPr>
          <w:rFonts w:ascii="Times New Roman" w:hAnsi="Times New Roman"/>
        </w:rPr>
        <w:t>6.</w:t>
      </w:r>
      <w:r>
        <w:rPr/>
        <w:t xml:space="preserve"> </w:t>
      </w:r>
      <w:r>
        <w:rPr>
          <w:rFonts w:ascii="Times New Roman" w:hAnsi="Times New Roman"/>
        </w:rPr>
        <w:t>Kollegialitás és agilis kormányzás</w:t>
      </w:r>
    </w:p>
    <w:p>
      <w:pPr>
        <w:pStyle w:val="P68B1DB1Normal24"/>
        <w:widowControl w:val="false"/>
        <w:spacing w:lineRule="auto" w:line="240" w:before="212" w:after="0"/>
        <w:ind w:left="0" w:right="0" w:hanging="0"/>
        <w:jc w:val="left"/>
        <w:rPr/>
      </w:pPr>
      <w:r>
        <w:rPr/>
        <w:t xml:space="preserve">Az egész folyamatot az Európa és Külügyminisztérium (MEAE) </w:t>
      </w:r>
      <w:r>
        <w:rPr>
          <w:b/>
        </w:rPr>
        <w:t>közösen építette</w:t>
      </w:r>
      <w:r>
        <w:rPr/>
        <w:t xml:space="preserve">. </w:t>
      </w:r>
    </w:p>
    <w:p>
      <w:pPr>
        <w:pStyle w:val="P68B1DB1Normal24"/>
        <w:widowControl w:val="false"/>
        <w:spacing w:lineRule="auto" w:line="240"/>
        <w:ind w:left="0" w:right="4" w:hanging="0"/>
        <w:jc w:val="both"/>
        <w:rPr/>
      </w:pPr>
      <w:r>
        <w:rPr/>
        <w:t xml:space="preserve">a Közátalakítási Minisztérium (DITP) és a Parlamenti Kapcsolatok és Polgári Részvétel Minisztériuma (MRPC) Állampolgári Részvételi Miniszterközi Központja (ICPC) részvételi stratégiájának támogatásával. A programot a Roland Bergerből, a Wavestone-ból, a Missions Publiques-ből és a Harris Interactive-ból álló beszállítói konzorcium hajtotta végre a folyamat irányítására, a konferenciák animációjára, a polgárok képzésére, valamint a regionális konferenciák helyi prefektúráival együttműködésben készített jelentések és összefoglalók elkészítésére. </w:t>
      </w:r>
    </w:p>
    <w:p>
      <w:pPr>
        <w:pStyle w:val="P68B1DB1Normal24"/>
        <w:widowControl w:val="false"/>
        <w:spacing w:lineRule="auto" w:line="240" w:before="232" w:after="0"/>
        <w:ind w:left="0" w:right="4" w:hanging="0"/>
        <w:jc w:val="left"/>
        <w:rPr/>
      </w:pPr>
      <w:r>
        <w:rPr>
          <w:b/>
        </w:rPr>
        <w:t>Konkrét irányítás</w:t>
      </w:r>
      <w:r>
        <w:rPr/>
        <w:t xml:space="preserve"> jött létre a MEAE elnökletével működő projektcsapat köré, amely összefogja a CPIC-et, az MRPC-t és a beszállítói konzorciumot. </w:t>
      </w:r>
    </w:p>
    <w:p>
      <w:pPr>
        <w:pStyle w:val="P68B1DB1Normal35"/>
        <w:widowControl w:val="false"/>
        <w:spacing w:lineRule="auto" w:line="240" w:before="354" w:after="0"/>
        <w:ind w:left="358" w:right="0" w:hanging="0"/>
        <w:jc w:val="left"/>
        <w:rPr/>
      </w:pPr>
      <w:r>
        <w:rPr>
          <w:rFonts w:ascii="Times New Roman" w:hAnsi="Times New Roman"/>
        </w:rPr>
        <w:t>7.</w:t>
      </w:r>
      <w:r>
        <w:rPr/>
        <w:t xml:space="preserve"> </w:t>
      </w:r>
      <w:r>
        <w:rPr>
          <w:rFonts w:ascii="Times New Roman" w:hAnsi="Times New Roman"/>
        </w:rPr>
        <w:t>Az európai gyakorlat nyomon követésének és összehangolásának kötelezettsége</w:t>
      </w:r>
    </w:p>
    <w:p>
      <w:pPr>
        <w:pStyle w:val="P68B1DB1Normal19"/>
        <w:widowControl w:val="false"/>
        <w:spacing w:lineRule="auto" w:line="240" w:before="211" w:after="0"/>
        <w:ind w:left="0" w:right="0" w:hanging="0"/>
        <w:jc w:val="left"/>
        <w:rPr/>
      </w:pPr>
      <w:r>
        <w:rPr/>
        <w:t xml:space="preserve">A nemzeti konferencia alkalmából bejelentették a francia intézményeknek </w:t>
      </w:r>
      <w:r>
        <w:rPr>
          <w:b/>
        </w:rPr>
        <w:t>az Európa jövőjéről szóló konferenciára vonatkozó gyakorlatot követő nyomon követési kötelezettségének</w:t>
      </w:r>
      <w:r>
        <w:rPr/>
        <w:t xml:space="preserve"> több elemét: </w:t>
      </w:r>
    </w:p>
    <w:p>
      <w:pPr>
        <w:pStyle w:val="P68B1DB1Normal34"/>
        <w:widowControl w:val="false"/>
        <w:spacing w:lineRule="auto" w:line="240" w:before="333" w:after="0"/>
        <w:ind w:left="720" w:right="0" w:hanging="359"/>
        <w:jc w:val="both"/>
        <w:rPr/>
      </w:pPr>
      <w:r>
        <w:rPr>
          <w:rFonts w:ascii="Calibri" w:hAnsi="Calibri"/>
        </w:rPr>
        <w:t>A</w:t>
      </w:r>
      <w:r>
        <w:rPr/>
        <w:t xml:space="preserve"> megközelítéssel, e dokumentummal, valamint</w:t>
      </w:r>
      <w:r>
        <w:rPr>
          <w:rFonts w:ascii="Times New Roman" w:hAnsi="Times New Roman"/>
        </w:rPr>
        <w:t xml:space="preserve"> a regionális és nemzeti konferenciák összefoglaló jelentéseivel kapcsolatos valamennyi </w:t>
      </w:r>
      <w:r>
        <w:rPr>
          <w:rFonts w:ascii="Times New Roman" w:hAnsi="Times New Roman"/>
          <w:b/>
        </w:rPr>
        <w:t>információ átlátható és mindenki számára hozzáférhető módon történő rendelkezésre bocsátása</w:t>
      </w:r>
      <w:r>
        <w:rPr>
          <w:rFonts w:ascii="Times New Roman" w:hAnsi="Times New Roman"/>
        </w:rPr>
        <w:t xml:space="preserve">a kormányhoz való visszatérés alkalmából indított új polgári részvételi platformon; </w:t>
      </w:r>
    </w:p>
    <w:p>
      <w:pPr>
        <w:pStyle w:val="P68B1DB1Normal34"/>
        <w:widowControl w:val="false"/>
        <w:spacing w:lineRule="auto" w:line="240" w:before="90" w:after="0"/>
        <w:ind w:left="360" w:right="0" w:hanging="0"/>
        <w:jc w:val="left"/>
        <w:rPr/>
      </w:pPr>
      <w:r>
        <w:rPr>
          <w:rFonts w:ascii="Calibri" w:hAnsi="Calibri"/>
        </w:rPr>
        <w:t>Rendezvény</w:t>
      </w:r>
      <w:r>
        <w:rPr/>
        <w:t xml:space="preserve"> </w:t>
      </w:r>
      <w:r>
        <w:rPr>
          <w:rFonts w:ascii="Times New Roman" w:hAnsi="Times New Roman"/>
        </w:rPr>
        <w:t xml:space="preserve">szervezése annak </w:t>
      </w:r>
      <w:r>
        <w:rPr>
          <w:rFonts w:ascii="Times New Roman" w:hAnsi="Times New Roman"/>
          <w:b/>
        </w:rPr>
        <w:t>érdekében, hogy 2021 novemberében visszatérjen a</w:t>
      </w:r>
      <w:r>
        <w:rPr>
          <w:rFonts w:ascii="Times New Roman" w:hAnsi="Times New Roman"/>
        </w:rPr>
        <w:t xml:space="preserve"> kormányhoz az Európa jövőjéről szóló konferencia nemzeti komponensének zárójelentése; </w:t>
      </w:r>
    </w:p>
    <w:p>
      <w:pPr>
        <w:pStyle w:val="P68B1DB1Normal34"/>
        <w:widowControl w:val="false"/>
        <w:spacing w:lineRule="auto" w:line="240" w:before="90" w:after="0"/>
        <w:ind w:left="720" w:right="0" w:hanging="359"/>
        <w:jc w:val="both"/>
        <w:rPr/>
      </w:pPr>
      <w:r>
        <w:rPr>
          <w:rFonts w:ascii="Calibri" w:hAnsi="Calibri"/>
        </w:rPr>
        <w:t>Polgári</w:t>
      </w:r>
      <w:r>
        <w:rPr/>
        <w:t xml:space="preserve"> </w:t>
      </w:r>
      <w:r>
        <w:rPr>
          <w:rFonts w:ascii="Times New Roman" w:hAnsi="Times New Roman"/>
          <w:b/>
        </w:rPr>
        <w:t xml:space="preserve">monitoringbizottság </w:t>
      </w:r>
      <w:r>
        <w:rPr>
          <w:rFonts w:ascii="Times New Roman" w:hAnsi="Times New Roman"/>
        </w:rPr>
        <w:t>felállítása annak biztosítása érdekében</w:t>
      </w:r>
      <w:r>
        <w:rPr>
          <w:rFonts w:ascii="Times New Roman" w:hAnsi="Times New Roman"/>
          <w:b/>
        </w:rPr>
        <w:t xml:space="preserve">, hogy a folyamat eredménye összhangban legyen a javaslatokkal. A bizottság 15 polgárból áll, köztük 14 résztvevőből a regionális konferenciákról, valamint egy résztvevő a „Words </w:t>
      </w:r>
      <w:r>
        <w:rPr>
          <w:rFonts w:ascii="Times New Roman" w:hAnsi="Times New Roman"/>
          <w:i/>
        </w:rPr>
        <w:t>to Youth”</w:t>
      </w:r>
      <w:r>
        <w:rPr>
          <w:rFonts w:ascii="Times New Roman" w:hAnsi="Times New Roman"/>
          <w:b/>
        </w:rPr>
        <w:t xml:space="preserve"> konzultációról; </w:t>
      </w:r>
    </w:p>
    <w:p>
      <w:pPr>
        <w:pStyle w:val="P68B1DB1Normal34"/>
        <w:widowControl w:val="false"/>
        <w:spacing w:lineRule="auto" w:line="240" w:before="95" w:after="0"/>
        <w:ind w:left="360" w:right="0" w:hanging="0"/>
        <w:jc w:val="left"/>
        <w:rPr/>
      </w:pPr>
      <w:r>
        <w:rPr>
          <w:rFonts w:ascii="Calibri" w:hAnsi="Calibri"/>
        </w:rPr>
        <w:t>Franciaország</w:t>
      </w:r>
      <w:r>
        <w:rPr/>
        <w:t xml:space="preserve"> </w:t>
      </w:r>
      <w:r>
        <w:rPr>
          <w:rFonts w:ascii="Times New Roman" w:hAnsi="Times New Roman"/>
          <w:b/>
        </w:rPr>
        <w:t>2022</w:t>
      </w:r>
      <w:r>
        <w:rPr>
          <w:rFonts w:ascii="Times New Roman" w:hAnsi="Times New Roman"/>
        </w:rPr>
        <w:t xml:space="preserve"> januárjában az Európa jövőjéről szóló konferenciához való hozzájárulásának átadása az európai intézményeknek</w:t>
      </w:r>
      <w:r>
        <w:rPr>
          <w:rFonts w:ascii="Times New Roman" w:hAnsi="Times New Roman"/>
          <w:b/>
        </w:rPr>
        <w:t xml:space="preserve">; </w:t>
      </w:r>
    </w:p>
    <w:p>
      <w:pPr>
        <w:pStyle w:val="P68B1DB1Normal19"/>
        <w:widowControl w:val="false"/>
        <w:spacing w:lineRule="auto" w:line="240" w:before="87" w:after="0"/>
        <w:ind w:left="0" w:right="0" w:hanging="0"/>
        <w:jc w:val="left"/>
        <w:rPr/>
      </w:pPr>
      <w:r>
        <w:rPr/>
        <w:t xml:space="preserve">A francia állampolgárok javaslatai a tagállamok és az európai intézmények közös gondolkodásába kerülnek. Az Európai Unió Tanácsának elnökségét 2022 első felében betöltő országként Franciaország feladata lesz, hogy a polgárok hangját képviselje, miközben a kontinens egészére kiterjedő közös álláspont kialakításán dolgozik. </w:t>
      </w:r>
    </w:p>
    <w:p>
      <w:pPr>
        <w:pStyle w:val="Normal"/>
        <w:widowControl w:val="false"/>
        <w:spacing w:lineRule="exact" w:line="498" w:before="85" w:after="0"/>
        <w:ind w:left="0" w:right="0" w:hanging="0"/>
        <w:jc w:val="left"/>
        <w:rPr>
          <w:rFonts w:ascii="Times New Roman" w:hAnsi="Times New Roman"/>
          <w:b/>
          <w:b/>
          <w:color w:val="000000"/>
          <w:sz w:val="30"/>
        </w:rPr>
      </w:pPr>
      <w:r>
        <w:rPr>
          <w:rFonts w:ascii="Times New Roman" w:hAnsi="Times New Roman"/>
          <w:b/>
          <w:color w:val="000000"/>
          <w:sz w:val="30"/>
        </w:rPr>
      </w:r>
      <w:r>
        <w:br w:type="page"/>
      </w:r>
    </w:p>
    <w:p>
      <w:pPr>
        <w:pStyle w:val="P68B1DB1Titre236"/>
        <w:numPr>
          <w:ilvl w:val="0"/>
          <w:numId w:val="2"/>
        </w:numPr>
        <w:rPr/>
      </w:pPr>
      <w:bookmarkStart w:id="211" w:name="__RefHeading___Toc300456_1346298689"/>
      <w:bookmarkEnd w:id="211"/>
      <w:r>
        <w:rPr/>
        <w:t xml:space="preserve">Az első rész: az Európa jövőjéről szóló regionális konferenciák eredményeinek ismertetése </w:t>
      </w:r>
    </w:p>
    <w:p>
      <w:pPr>
        <w:pStyle w:val="P68B1DB1Normal19"/>
        <w:widowControl w:val="false"/>
        <w:pBdr>
          <w:top w:val="single" w:sz="2" w:space="1" w:color="000001"/>
          <w:left w:val="single" w:sz="2" w:space="1" w:color="000001"/>
          <w:bottom w:val="single" w:sz="2" w:space="1" w:color="000001"/>
          <w:right w:val="single" w:sz="2" w:space="1" w:color="000001"/>
        </w:pBdr>
        <w:spacing w:lineRule="auto" w:line="240" w:before="153" w:after="0"/>
        <w:ind w:left="506" w:right="29" w:hanging="0"/>
        <w:jc w:val="both"/>
        <w:rPr/>
      </w:pPr>
      <w:r>
        <w:rPr/>
        <w:t xml:space="preserve">A 18 regionális konferencián a polgárok egyénileg, majd csoportként fejezték ki a 2035-ös Európa iránti kívánságukat. Az egyes régiókban 3–8 kívánságcsoport alakult ki, ami összesen </w:t>
      </w:r>
      <w:r>
        <w:rPr>
          <w:b/>
        </w:rPr>
        <w:t>101 európai kívánságot eredményezett Franciaországban</w:t>
      </w:r>
      <w:r>
        <w:rPr/>
        <w:t xml:space="preserve">. A polgárok ezután olyan változtatásokat fogalmaztak meg, amelyeket szükségesnek tartottak ahhoz, hogy elérjék a kívánt Európát, majd konkrét intézkedésekkel illusztrálták őket. Ez a folyamat összesen </w:t>
      </w:r>
      <w:r>
        <w:rPr>
          <w:b/>
        </w:rPr>
        <w:t>515 változtatást</w:t>
      </w:r>
      <w:r>
        <w:rPr/>
        <w:t xml:space="preserve"> és 1301 </w:t>
      </w:r>
      <w:r>
        <w:rPr>
          <w:b/>
        </w:rPr>
        <w:t xml:space="preserve">konkrét intézkedést eredményezett </w:t>
      </w:r>
      <w:r>
        <w:rPr/>
        <w:t xml:space="preserve">Franciaországban. </w:t>
      </w:r>
    </w:p>
    <w:p>
      <w:pPr>
        <w:pStyle w:val="P68B1DB1Normal19"/>
        <w:widowControl w:val="false"/>
        <w:pBdr>
          <w:top w:val="single" w:sz="2" w:space="1" w:color="000001"/>
          <w:left w:val="single" w:sz="2" w:space="1" w:color="000001"/>
          <w:bottom w:val="single" w:sz="2" w:space="1" w:color="000001"/>
          <w:right w:val="single" w:sz="2" w:space="1" w:color="000001"/>
        </w:pBdr>
        <w:spacing w:lineRule="auto" w:line="240" w:before="375" w:after="0"/>
        <w:ind w:left="506" w:right="29" w:hanging="0"/>
        <w:jc w:val="both"/>
        <w:rPr/>
      </w:pPr>
      <w:r>
        <w:rPr/>
        <w:t xml:space="preserve">A regionális és a nemzeti konferenciát elválasztó hetekben a projektcsapat 515 változtatást hajtott végre koherens csoportokká. A régiókban kifejezett valamennyi változást lexikológiai elemzésnek vetették alá, és a mögöttes szándékuk hasonlónak vagy közelinek tűntek, hogy létrehozzák a nemzeti konferenciamunkacsoportokat, amelyek közös kívánságot kívánnak Európa számára. Végül </w:t>
      </w:r>
      <w:r>
        <w:rPr>
          <w:b/>
        </w:rPr>
        <w:t>a régiókban azonosított változásokat 14 különböző európai kívánságra osztották</w:t>
      </w:r>
      <w:r>
        <w:rPr/>
        <w:t xml:space="preserve">. </w:t>
      </w:r>
    </w:p>
    <w:p>
      <w:pPr>
        <w:pStyle w:val="Normal"/>
        <w:rPr/>
      </w:pPr>
      <w:r>
        <w:rPr/>
        <mc:AlternateContent>
          <mc:Choice Requires="wpg">
            <w:drawing>
              <wp:anchor behindDoc="0" distT="0" distB="0" distL="0" distR="0" simplePos="0" locked="0" layoutInCell="1" allowOverlap="1" relativeHeight="52">
                <wp:simplePos x="0" y="0"/>
                <wp:positionH relativeFrom="column">
                  <wp:posOffset>436880</wp:posOffset>
                </wp:positionH>
                <wp:positionV relativeFrom="paragraph">
                  <wp:posOffset>92075</wp:posOffset>
                </wp:positionV>
                <wp:extent cx="5765800" cy="1319530"/>
                <wp:effectExtent l="0" t="0" r="0" b="0"/>
                <wp:wrapTopAndBottom/>
                <wp:docPr id="94" name="Forma11"/>
                <a:graphic xmlns:a="http://schemas.openxmlformats.org/drawingml/2006/main">
                  <a:graphicData uri="http://schemas.microsoft.com/office/word/2010/wordprocessingGroup">
                    <wpg:wgp>
                      <wpg:cNvGrpSpPr/>
                      <wpg:grpSpPr>
                        <a:xfrm>
                          <a:off x="0" y="0"/>
                          <a:ext cx="5765040" cy="1319040"/>
                        </a:xfrm>
                      </wpg:grpSpPr>
                      <pic:pic xmlns:pic="http://schemas.openxmlformats.org/drawingml/2006/picture">
                        <pic:nvPicPr>
                          <pic:cNvPr id="4" name="" descr=""/>
                          <pic:cNvPicPr/>
                        </pic:nvPicPr>
                        <pic:blipFill>
                          <a:blip r:embed="rId99"/>
                          <a:stretch/>
                        </pic:blipFill>
                        <pic:spPr>
                          <a:xfrm>
                            <a:off x="0" y="0"/>
                            <a:ext cx="5765040" cy="1077480"/>
                          </a:xfrm>
                          <a:prstGeom prst="rect">
                            <a:avLst/>
                          </a:prstGeom>
                          <a:ln>
                            <a:noFill/>
                          </a:ln>
                        </pic:spPr>
                      </pic:pic>
                      <wps:wsp>
                        <wps:cNvSpPr/>
                        <wps:spPr>
                          <a:xfrm>
                            <a:off x="1058040" y="195120"/>
                            <a:ext cx="1094040" cy="875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auto"/>
                                </w:rPr>
                                <w:t>Kívánságok</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auto"/>
                                </w:rPr>
                                <w:t xml:space="preserve"> Európa számára 2035</w:t>
                              </w:r>
                            </w:p>
                          </w:txbxContent>
                        </wps:txbx>
                        <wps:bodyPr lIns="90000" rIns="90000" tIns="45000" bIns="45000">
                          <a:noAutofit/>
                        </wps:bodyPr>
                      </wps:wsp>
                      <wps:wsp>
                        <wps:cNvSpPr/>
                        <wps:spPr>
                          <a:xfrm>
                            <a:off x="2309040" y="195120"/>
                            <a:ext cx="1454040" cy="11239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auto"/>
                                </w:rPr>
                                <w:t xml:space="preserve">Változások </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auto"/>
                                </w:rPr>
                                <w:t>a kívánt Európa elérése érdekében</w:t>
                              </w:r>
                            </w:p>
                          </w:txbxContent>
                        </wps:txbx>
                        <wps:bodyPr lIns="90000" rIns="90000" tIns="45000" bIns="45000">
                          <a:noAutofit/>
                        </wps:bodyPr>
                      </wps:wsp>
                      <wps:wsp>
                        <wps:cNvSpPr/>
                        <wps:spPr>
                          <a:xfrm>
                            <a:off x="3931920" y="79200"/>
                            <a:ext cx="1743120" cy="11239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auto"/>
                                </w:rPr>
                                <w:t xml:space="preserve">Konkrét javaslatok </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auto"/>
                                </w:rPr>
                                <w:t xml:space="preserve"> e változások végrehajtására</w:t>
                              </w:r>
                            </w:p>
                          </w:txbxContent>
                        </wps:txbx>
                        <wps:bodyPr lIns="90000" rIns="90000" tIns="45000" bIns="45000">
                          <a:noAutofit/>
                        </wps:bodyPr>
                      </wps:wsp>
                    </wpg:wgp>
                  </a:graphicData>
                </a:graphic>
              </wp:anchor>
            </w:drawing>
          </mc:Choice>
          <mc:Fallback>
            <w:pict>
              <v:group id="shape_0" alt="Forma11" style="position:absolute;margin-left:34.4pt;margin-top:7.25pt;width:453.95pt;height:103.85pt" coordorigin="688,145" coordsize="9079,2077">
                <v:shape id="shape_0" stroked="f" style="position:absolute;left:688;top:145;width:9078;height:1696" type="shapetype_75">
                  <v:imagedata r:id="rId99" o:detectmouseclick="t"/>
                  <w10:wrap type="none"/>
                  <v:stroke color="#3465a4" joinstyle="round" endcap="flat"/>
                </v:shape>
                <v:rect id="shape_0" stroked="f" style="position:absolute;left:2354;top:452;width:1722;height:1377">
                  <v:textbox>
                    <w:txbxContent>
                      <w:p>
                        <w:pPr>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auto"/>
                          </w:rPr>
                          <w:t>Kívánságok</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auto"/>
                          </w:rPr>
                          <w:t xml:space="preserve"> Európa számára 2035</w:t>
                        </w:r>
                      </w:p>
                    </w:txbxContent>
                  </v:textbox>
                  <w10:wrap type="square"/>
                  <v:fill o:detectmouseclick="t" on="false"/>
                  <v:stroke color="#3465a4" joinstyle="round" endcap="flat"/>
                </v:rect>
                <v:rect id="shape_0" stroked="f" style="position:absolute;left:4325;top:452;width:2289;height:1769">
                  <v:textbox>
                    <w:txbxContent>
                      <w:p>
                        <w:pPr>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auto"/>
                          </w:rPr>
                          <w:t xml:space="preserve">Változások </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auto"/>
                          </w:rPr>
                          <w:t>a kívánt Európa elérése érdekében</w:t>
                        </w:r>
                      </w:p>
                    </w:txbxContent>
                  </v:textbox>
                  <w10:wrap type="square"/>
                  <v:fill o:detectmouseclick="t" on="false"/>
                  <v:stroke color="#3465a4" joinstyle="round" endcap="flat"/>
                </v:rect>
                <v:rect id="shape_0" stroked="f" style="position:absolute;left:6880;top:270;width:2744;height:1769">
                  <v:textbox>
                    <w:txbxContent>
                      <w:p>
                        <w:pPr>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auto"/>
                          </w:rPr>
                          <w:t xml:space="preserve">Konkrét javaslatok </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auto"/>
                          </w:rPr>
                          <w:t xml:space="preserve"> e változások végrehajtására</w:t>
                        </w:r>
                      </w:p>
                    </w:txbxContent>
                  </v:textbox>
                  <w10:wrap type="square"/>
                  <v:fill o:detectmouseclick="t" on="false"/>
                  <v:stroke color="#3465a4" joinstyle="round" endcap="flat"/>
                </v:rect>
              </v:group>
            </w:pict>
          </mc:Fallback>
        </mc:AlternateContent>
      </w:r>
    </w:p>
    <w:tbl>
      <w:tblPr>
        <w:tblW w:w="9638"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2409"/>
        <w:gridCol w:w="2409"/>
        <w:gridCol w:w="2410"/>
        <w:gridCol w:w="2409"/>
      </w:tblGrid>
      <w:tr>
        <w:trPr/>
        <w:tc>
          <w:tcPr>
            <w:tcW w:w="2409"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Kérdés a polgárokhoz</w:t>
            </w:r>
          </w:p>
        </w:tc>
        <w:tc>
          <w:tcPr>
            <w:tcW w:w="2409"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Mit kíván a 2035-ös Európához?</w:t>
            </w:r>
          </w:p>
        </w:tc>
        <w:tc>
          <w:tcPr>
            <w:tcW w:w="2410"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Milyen változásokra van szükség a kívánt Európa eléréséhez?</w:t>
            </w:r>
          </w:p>
        </w:tc>
        <w:tc>
          <w:tcPr>
            <w:tcW w:w="2409"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Milyen konkrét javaslatokat fogalmazna meg e változások végrehajtása érdekében?</w:t>
            </w:r>
          </w:p>
        </w:tc>
      </w:tr>
      <w:tr>
        <w:trPr/>
        <w:tc>
          <w:tcPr>
            <w:tcW w:w="240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A regionális konferenciák eredményei</w:t>
            </w:r>
          </w:p>
        </w:tc>
        <w:tc>
          <w:tcPr>
            <w:tcW w:w="2409"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101 kívánság</w:t>
            </w:r>
          </w:p>
        </w:tc>
        <w:tc>
          <w:tcPr>
            <w:tcW w:w="2410"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515 változás</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jc w:val="center"/>
              <w:rPr/>
            </w:pPr>
            <w:r>
              <w:rPr/>
              <w:t>1301 konkrét javaslat</w:t>
            </w:r>
          </w:p>
        </w:tc>
      </w:tr>
      <w:tr>
        <w:trPr/>
        <w:tc>
          <w:tcPr>
            <w:tcW w:w="240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2409"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515 regionális változás megrendelése 14 konzisztens kívánságban a szervezet csapatától</w:t>
            </w:r>
          </w:p>
        </w:tc>
        <w:tc>
          <w:tcPr>
            <w:tcW w:w="4819"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jc w:val="center"/>
              <w:rPr/>
            </w:pPr>
            <w:r>
              <w:rPr/>
              <w:t>A nemzeti konferencia résztvevői csoportosítása, rangsorolása és a változások részletezése</w:t>
            </w:r>
          </w:p>
        </w:tc>
      </w:tr>
      <w:tr>
        <w:trPr/>
        <w:tc>
          <w:tcPr>
            <w:tcW w:w="2409" w:type="dxa"/>
            <w:tcBorders>
              <w:left w:val="single" w:sz="4" w:space="0" w:color="000001"/>
              <w:bottom w:val="single" w:sz="4" w:space="0" w:color="000001"/>
              <w:insideH w:val="single" w:sz="4" w:space="0" w:color="000001"/>
            </w:tcBorders>
            <w:shd w:fill="EEEEEE" w:val="clear"/>
          </w:tcPr>
          <w:p>
            <w:pPr>
              <w:pStyle w:val="Normal"/>
              <w:spacing w:before="57" w:after="57"/>
              <w:ind w:left="0" w:right="0" w:hanging="0"/>
              <w:rPr/>
            </w:pPr>
            <w:r>
              <w:rPr/>
              <w:t>A nemzeti konferencia eredménye</w:t>
            </w:r>
          </w:p>
        </w:tc>
        <w:tc>
          <w:tcPr>
            <w:tcW w:w="2409" w:type="dxa"/>
            <w:tcBorders>
              <w:left w:val="single" w:sz="4" w:space="0" w:color="000001"/>
              <w:bottom w:val="single" w:sz="4" w:space="0" w:color="000001"/>
              <w:insideH w:val="single" w:sz="4" w:space="0" w:color="000001"/>
            </w:tcBorders>
            <w:shd w:fill="EEEEEE" w:val="clear"/>
          </w:tcPr>
          <w:p>
            <w:pPr>
              <w:pStyle w:val="Normal"/>
              <w:spacing w:before="57" w:after="57"/>
              <w:ind w:left="0" w:right="0" w:hanging="0"/>
              <w:rPr/>
            </w:pPr>
            <w:r>
              <w:rPr/>
              <w:t>14 kívánság</w:t>
            </w:r>
          </w:p>
        </w:tc>
        <w:tc>
          <w:tcPr>
            <w:tcW w:w="2410" w:type="dxa"/>
            <w:tcBorders>
              <w:left w:val="single" w:sz="4" w:space="0" w:color="000001"/>
              <w:bottom w:val="single" w:sz="4" w:space="0" w:color="000001"/>
              <w:insideH w:val="single" w:sz="4" w:space="0" w:color="000001"/>
            </w:tcBorders>
            <w:shd w:fill="EEEEEE" w:val="clear"/>
          </w:tcPr>
          <w:p>
            <w:pPr>
              <w:pStyle w:val="Normal"/>
              <w:spacing w:before="57" w:after="57"/>
              <w:ind w:left="0" w:right="0" w:hanging="0"/>
              <w:rPr/>
            </w:pPr>
            <w:r>
              <w:rPr/>
              <w:t>80 változás</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EEEEEE" w:val="clear"/>
          </w:tcPr>
          <w:p>
            <w:pPr>
              <w:pStyle w:val="Normal"/>
              <w:spacing w:before="57" w:after="57"/>
              <w:ind w:left="0" w:right="0" w:hanging="0"/>
              <w:rPr/>
            </w:pPr>
            <w:r>
              <w:rPr/>
              <w:t>Kulcsfontosságú végrehajtási lépések és sikerkritériumok minden egyes változtatáshoz</w:t>
            </w:r>
          </w:p>
        </w:tc>
      </w:tr>
    </w:tbl>
    <w:p>
      <w:pPr>
        <w:pStyle w:val="Normal"/>
        <w:rPr/>
      </w:pPr>
      <w:r>
        <w:rPr/>
      </w:r>
      <w:r>
        <w:br w:type="page"/>
      </w:r>
    </w:p>
    <w:p>
      <w:pPr>
        <w:pStyle w:val="P68B1DB1Normal33"/>
        <w:spacing w:lineRule="auto" w:line="240"/>
        <w:rPr>
          <w:rFonts w:ascii="Times New Roman" w:hAnsi="Times New Roman"/>
          <w:b/>
          <w:b/>
          <w:color w:val="000000"/>
          <w:sz w:val="24"/>
        </w:rPr>
      </w:pPr>
      <w:r>
        <w:rPr/>
        <w:t xml:space="preserve">a. Európa 14 kívánságának rangsorolása </w:t>
      </w:r>
    </w:p>
    <w:p>
      <w:pPr>
        <w:pStyle w:val="P68B1DB1Normal19"/>
        <w:widowControl w:val="false"/>
        <w:spacing w:lineRule="auto" w:line="240" w:before="322" w:after="0"/>
        <w:ind w:left="0" w:right="0" w:hanging="0"/>
        <w:jc w:val="left"/>
        <w:rPr>
          <w:rFonts w:ascii="Times New Roman" w:hAnsi="Times New Roman"/>
          <w:color w:val="000000"/>
          <w:sz w:val="24"/>
        </w:rPr>
      </w:pPr>
      <w:r>
        <w:rPr/>
        <w:t xml:space="preserve">Minden regionális konferencia végén a részt vevő polgárok megszavazták, hogy támogatják a különböző munkacsoportok által azonosított változásokat. </w:t>
      </w:r>
    </w:p>
    <w:p>
      <w:pPr>
        <w:pStyle w:val="Normal"/>
        <w:widowControl w:val="false"/>
        <w:spacing w:lineRule="auto" w:line="240" w:before="332" w:after="0"/>
        <w:ind w:left="0" w:right="0" w:hanging="0"/>
        <w:jc w:val="both"/>
        <w:rPr/>
      </w:pPr>
      <w:r>
        <mc:AlternateContent>
          <mc:Choice Requires="wps">
            <w:drawing>
              <wp:anchor behindDoc="0" distT="0" distB="0" distL="0" distR="0" simplePos="0" locked="0" layoutInCell="1" allowOverlap="1" relativeHeight="8">
                <wp:simplePos x="0" y="0"/>
                <wp:positionH relativeFrom="column">
                  <wp:posOffset>635</wp:posOffset>
                </wp:positionH>
                <wp:positionV relativeFrom="paragraph">
                  <wp:posOffset>1340485</wp:posOffset>
                </wp:positionV>
                <wp:extent cx="5111750" cy="6269990"/>
                <wp:effectExtent l="0" t="0" r="0" b="0"/>
                <wp:wrapTopAndBottom/>
                <wp:docPr id="95" name="A Keretrendszer 51"/>
                <a:graphic xmlns:a="http://schemas.openxmlformats.org/drawingml/2006/main">
                  <a:graphicData uri="http://schemas.microsoft.com/office/word/2010/wordprocessingShape">
                    <wps:wsp>
                      <wps:cNvSpPr/>
                      <wps:spPr>
                        <a:xfrm>
                          <a:off x="0" y="0"/>
                          <a:ext cx="5111280" cy="6269400"/>
                        </a:xfrm>
                        <a:prstGeom prst="rect">
                          <a:avLst/>
                        </a:prstGeom>
                        <a:solidFill>
                          <a:srgbClr val="ffffff"/>
                        </a:solidFill>
                        <a:ln>
                          <a:noFill/>
                        </a:ln>
                      </wps:spPr>
                      <wps:style>
                        <a:lnRef idx="0"/>
                        <a:fillRef idx="0"/>
                        <a:effectRef idx="0"/>
                        <a:fontRef idx="minor"/>
                      </wps:style>
                      <wps:txbx>
                        <w:txbxContent>
                          <w:p>
                            <w:pPr>
                              <w:pStyle w:val="Lgende"/>
                              <w:suppressLineNumbers/>
                              <w:spacing w:before="120" w:after="120"/>
                              <w:rPr>
                                <w:color w:val="auto"/>
                              </w:rPr>
                            </w:pPr>
                            <w:r>
                              <w:rPr>
                                <w:color w:val="auto"/>
                              </w:rPr>
                              <w:t xml:space="preserve">Európa kívánságainak rangsorolása népszerűségi arány szerint </w:t>
                            </w:r>
                          </w:p>
                        </w:txbxContent>
                      </wps:txbx>
                      <wps:bodyPr lIns="0" rIns="0" tIns="0" bIns="0">
                        <a:noAutofit/>
                      </wps:bodyPr>
                    </wps:wsp>
                  </a:graphicData>
                </a:graphic>
              </wp:anchor>
            </w:drawing>
          </mc:Choice>
          <mc:Fallback>
            <w:pict>
              <v:rect id="shape_0" ID="A Keretrendszer 51" fillcolor="white" stroked="f" style="position:absolute;margin-left:0.05pt;margin-top:105.55pt;width:402.4pt;height:493.6pt">
                <w10:wrap type="square"/>
                <v:fill o:detectmouseclick="t" type="solid" color2="black"/>
                <v:stroke color="#3465a4" joinstyle="round" endcap="flat"/>
                <v:textbox>
                  <w:txbxContent>
                    <w:p>
                      <w:pPr>
                        <w:pStyle w:val="Lgende"/>
                        <w:suppressLineNumbers/>
                        <w:spacing w:before="120" w:after="120"/>
                        <w:rPr>
                          <w:color w:val="auto"/>
                        </w:rPr>
                      </w:pPr>
                      <w:r>
                        <w:rPr>
                          <w:color w:val="auto"/>
                        </w:rPr>
                        <w:t xml:space="preserve">Európa kívánságainak rangsorolása népszerűségi arány szerint </w:t>
                      </w:r>
                    </w:p>
                  </w:txbxContent>
                </v:textbox>
              </v:rect>
            </w:pict>
          </mc:Fallback>
        </mc:AlternateContent>
      </w:r>
      <w:r>
        <w:rPr>
          <w:rFonts w:ascii="Times New Roman" w:hAnsi="Times New Roman"/>
          <w:color w:val="000000"/>
          <w:sz w:val="24"/>
        </w:rPr>
        <w:t>A nemzeti szintéziskonferencia előtti csoportosulások alapján – az egyes régiók változásairól szóló szavazásoknak köszönhetően – megállapítható, hogy Európa kívánságai a polgárok körében a legnépszerűbbek voltak. Ezért</w:t>
      </w:r>
      <w:r>
        <w:rPr>
          <w:rFonts w:ascii="Times New Roman" w:hAnsi="Times New Roman"/>
          <w:i/>
          <w:color w:val="000000"/>
          <w:sz w:val="24"/>
        </w:rPr>
        <w:t xml:space="preserve"> </w:t>
      </w:r>
      <w:r>
        <w:rPr>
          <w:rFonts w:ascii="Times New Roman" w:hAnsi="Times New Roman"/>
          <w:color w:val="000000"/>
          <w:sz w:val="24"/>
        </w:rPr>
        <w:t xml:space="preserve">széles körben üdvözölték „az </w:t>
      </w:r>
      <w:r>
        <w:rPr>
          <w:rFonts w:ascii="Times New Roman" w:hAnsi="Times New Roman"/>
          <w:i/>
          <w:color w:val="000000"/>
          <w:sz w:val="24"/>
        </w:rPr>
        <w:t>oktatást előtérbe helyező Európa”</w:t>
      </w:r>
      <w:r>
        <w:rPr>
          <w:rFonts w:ascii="Times New Roman" w:hAnsi="Times New Roman"/>
          <w:color w:val="000000"/>
          <w:sz w:val="24"/>
        </w:rPr>
        <w:t xml:space="preserve"> és a „ </w:t>
      </w:r>
      <w:r>
        <w:rPr>
          <w:rFonts w:ascii="Times New Roman" w:hAnsi="Times New Roman"/>
          <w:i/>
          <w:color w:val="000000"/>
          <w:sz w:val="24"/>
        </w:rPr>
        <w:t>közelebb és hozzáférhető Európa</w:t>
      </w:r>
      <w:r>
        <w:rPr>
          <w:rFonts w:ascii="Times New Roman" w:hAnsi="Times New Roman"/>
          <w:color w:val="000000"/>
          <w:sz w:val="24"/>
        </w:rPr>
        <w:t xml:space="preserve">” kívánságát, és a regionális konferenciákon a polgárok átlagosan 56%-a támogatta a változásokat. </w:t>
      </w:r>
    </w:p>
    <w:p>
      <w:pPr>
        <w:pStyle w:val="Normal"/>
        <w:rPr/>
      </w:pPr>
      <w:r>
        <w:rPr/>
        <mc:AlternateContent>
          <mc:Choice Requires="wpg">
            <w:drawing>
              <wp:anchor behindDoc="0" distT="0" distB="0" distL="0" distR="0" simplePos="0" locked="0" layoutInCell="1" allowOverlap="1" relativeHeight="53">
                <wp:simplePos x="0" y="0"/>
                <wp:positionH relativeFrom="column">
                  <wp:posOffset>273050</wp:posOffset>
                </wp:positionH>
                <wp:positionV relativeFrom="paragraph">
                  <wp:posOffset>506095</wp:posOffset>
                </wp:positionV>
                <wp:extent cx="4505960" cy="6283960"/>
                <wp:effectExtent l="0" t="0" r="0" b="0"/>
                <wp:wrapTopAndBottom/>
                <wp:docPr id="97" name="Form4"/>
                <a:graphic xmlns:a="http://schemas.openxmlformats.org/drawingml/2006/main">
                  <a:graphicData uri="http://schemas.microsoft.com/office/word/2010/wordprocessingGroup">
                    <wpg:wgp>
                      <wpg:cNvGrpSpPr/>
                      <wpg:grpSpPr>
                        <a:xfrm>
                          <a:off x="0" y="0"/>
                          <a:ext cx="4505400" cy="6283440"/>
                        </a:xfrm>
                      </wpg:grpSpPr>
                      <pic:pic xmlns:pic="http://schemas.openxmlformats.org/drawingml/2006/picture">
                        <pic:nvPicPr>
                          <pic:cNvPr id="5" name="" descr=""/>
                          <pic:cNvPicPr/>
                        </pic:nvPicPr>
                        <pic:blipFill>
                          <a:blip r:embed="rId100"/>
                          <a:stretch/>
                        </pic:blipFill>
                        <pic:spPr>
                          <a:xfrm>
                            <a:off x="2270160" y="590400"/>
                            <a:ext cx="1982520" cy="5692680"/>
                          </a:xfrm>
                          <a:prstGeom prst="rect">
                            <a:avLst/>
                          </a:prstGeom>
                          <a:ln>
                            <a:noFill/>
                          </a:ln>
                        </pic:spPr>
                      </pic:pic>
                      <wps:wsp>
                        <wps:cNvSpPr/>
                        <wps:spPr>
                          <a:xfrm>
                            <a:off x="1151280" y="0"/>
                            <a:ext cx="3354120" cy="4989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Milyen változtatásokat szeretne végrehajtani?</w:t>
                              </w:r>
                            </w:p>
                          </w:txbxContent>
                        </wps:txbx>
                        <wps:bodyPr lIns="90000" rIns="90000" tIns="45000" bIns="45000">
                          <a:noAutofit/>
                        </wps:bodyPr>
                      </wps:wsp>
                      <wps:wsp>
                        <wps:cNvSpPr/>
                        <wps:spPr>
                          <a:xfrm>
                            <a:off x="0" y="738360"/>
                            <a:ext cx="221760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 Az oktatást előtérbe helyező Európa</w:t>
                              </w:r>
                            </w:p>
                          </w:txbxContent>
                        </wps:txbx>
                        <wps:bodyPr lIns="90000" rIns="90000" tIns="45000" bIns="45000">
                          <a:noAutofit/>
                        </wps:bodyPr>
                      </wps:wsp>
                      <wps:wsp>
                        <wps:cNvSpPr/>
                        <wps:spPr>
                          <a:xfrm>
                            <a:off x="0" y="1079640"/>
                            <a:ext cx="221760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2. Szorosabb és hozzáférhető Európa</w:t>
                              </w:r>
                            </w:p>
                          </w:txbxContent>
                        </wps:txbx>
                        <wps:bodyPr lIns="90000" rIns="90000" tIns="45000" bIns="45000">
                          <a:noAutofit/>
                        </wps:bodyPr>
                      </wps:wsp>
                      <wps:wsp>
                        <wps:cNvSpPr/>
                        <wps:spPr>
                          <a:xfrm>
                            <a:off x="0" y="1548000"/>
                            <a:ext cx="2217600" cy="353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Közös kultúrákkal és identitásokkal rendelkező Európa</w:t>
                              </w:r>
                            </w:p>
                          </w:txbxContent>
                        </wps:txbx>
                        <wps:bodyPr lIns="90000" rIns="90000" tIns="45000" bIns="45000">
                          <a:noAutofit/>
                        </wps:bodyPr>
                      </wps:wsp>
                      <wps:wsp>
                        <wps:cNvSpPr/>
                        <wps:spPr>
                          <a:xfrm>
                            <a:off x="0" y="1948680"/>
                            <a:ext cx="221760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4. Az éghajlattal és a környezetvédelemmel kapcsolatos kihívások mellett elkötelezett Európa</w:t>
                              </w:r>
                            </w:p>
                          </w:txbxContent>
                        </wps:txbx>
                        <wps:bodyPr lIns="90000" rIns="90000" tIns="45000" bIns="45000">
                          <a:noAutofit/>
                        </wps:bodyPr>
                      </wps:wsp>
                      <wps:wsp>
                        <wps:cNvSpPr/>
                        <wps:spPr>
                          <a:xfrm>
                            <a:off x="0" y="2327760"/>
                            <a:ext cx="2217600" cy="2444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5. Egységesebb Európa</w:t>
                              </w:r>
                            </w:p>
                          </w:txbxContent>
                        </wps:txbx>
                        <wps:bodyPr lIns="90000" rIns="90000" tIns="45000" bIns="45000">
                          <a:noAutofit/>
                        </wps:bodyPr>
                      </wps:wsp>
                      <wps:wsp>
                        <wps:cNvSpPr/>
                        <wps:spPr>
                          <a:xfrm>
                            <a:off x="0" y="2630880"/>
                            <a:ext cx="2217600" cy="2444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6. Szolidáris Európa, amely megvédi</w:t>
                              </w:r>
                            </w:p>
                          </w:txbxContent>
                        </wps:txbx>
                        <wps:bodyPr lIns="90000" rIns="90000" tIns="45000" bIns="45000">
                          <a:noAutofit/>
                        </wps:bodyPr>
                      </wps:wsp>
                      <wps:wsp>
                        <wps:cNvSpPr/>
                        <wps:spPr>
                          <a:xfrm>
                            <a:off x="0" y="3034800"/>
                            <a:ext cx="221760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7. Az alapvető jogok tiszteletben tartását garantáló Európa</w:t>
                              </w:r>
                            </w:p>
                          </w:txbxContent>
                        </wps:txbx>
                        <wps:bodyPr lIns="90000" rIns="90000" tIns="45000" bIns="45000">
                          <a:noAutofit/>
                        </wps:bodyPr>
                      </wps:wsp>
                      <wps:wsp>
                        <wps:cNvSpPr/>
                        <wps:spPr>
                          <a:xfrm>
                            <a:off x="0" y="3468240"/>
                            <a:ext cx="2217600" cy="2444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8. Versenyképes és innovatív Európa</w:t>
                              </w:r>
                            </w:p>
                          </w:txbxContent>
                        </wps:txbx>
                        <wps:bodyPr lIns="90000" rIns="90000" tIns="45000" bIns="45000">
                          <a:noAutofit/>
                        </wps:bodyPr>
                      </wps:wsp>
                      <wps:wsp>
                        <wps:cNvSpPr/>
                        <wps:spPr>
                          <a:xfrm>
                            <a:off x="0" y="3912840"/>
                            <a:ext cx="221760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9. A fenntartható fejlődést előmozdító Európa</w:t>
                              </w:r>
                            </w:p>
                          </w:txbxContent>
                        </wps:txbx>
                        <wps:bodyPr lIns="90000" rIns="90000" tIns="45000" bIns="45000">
                          <a:noAutofit/>
                        </wps:bodyPr>
                      </wps:wsp>
                      <wps:wsp>
                        <wps:cNvSpPr/>
                        <wps:spPr>
                          <a:xfrm>
                            <a:off x="0" y="4245120"/>
                            <a:ext cx="2217600" cy="2444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10. Demokratikusabb Európa</w:t>
                              </w:r>
                            </w:p>
                          </w:txbxContent>
                        </wps:txbx>
                        <wps:bodyPr lIns="90000" rIns="90000" tIns="45000" bIns="45000">
                          <a:noAutofit/>
                        </wps:bodyPr>
                      </wps:wsp>
                      <wps:wsp>
                        <wps:cNvSpPr/>
                        <wps:spPr>
                          <a:xfrm>
                            <a:off x="0" y="4566960"/>
                            <a:ext cx="2217600" cy="353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11. Hatékonyabb kormányzással rendelkező Európa</w:t>
                              </w:r>
                            </w:p>
                          </w:txbxContent>
                        </wps:txbx>
                        <wps:bodyPr lIns="90000" rIns="90000" tIns="45000" bIns="45000">
                          <a:noAutofit/>
                        </wps:bodyPr>
                      </wps:wsp>
                      <wps:wsp>
                        <wps:cNvSpPr/>
                        <wps:spPr>
                          <a:xfrm>
                            <a:off x="0" y="5103360"/>
                            <a:ext cx="2217600" cy="2217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12. Egy olyan Európa, amely megvédi az érdekeit</w:t>
                              </w:r>
                            </w:p>
                          </w:txbxContent>
                        </wps:txbx>
                        <wps:bodyPr lIns="90000" rIns="90000" tIns="45000" bIns="45000">
                          <a:noAutofit/>
                        </wps:bodyPr>
                      </wps:wsp>
                      <wps:wsp>
                        <wps:cNvSpPr/>
                        <wps:spPr>
                          <a:xfrm>
                            <a:off x="0" y="5522760"/>
                            <a:ext cx="221760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13. Egy erős Európa a világon</w:t>
                              </w:r>
                            </w:p>
                          </w:txbxContent>
                        </wps:txbx>
                        <wps:bodyPr lIns="90000" rIns="90000" tIns="45000" bIns="45000">
                          <a:noAutofit/>
                        </wps:bodyPr>
                      </wps:wsp>
                      <wps:wsp>
                        <wps:cNvSpPr/>
                        <wps:spPr>
                          <a:xfrm>
                            <a:off x="0" y="5877000"/>
                            <a:ext cx="221760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14. Egy olyan Európa, amelyben az egyes államok érdekei érvényesülnek</w:t>
                              </w:r>
                            </w:p>
                          </w:txbxContent>
                        </wps:txbx>
                        <wps:bodyPr lIns="90000" rIns="90000" tIns="45000" bIns="45000">
                          <a:noAutofit/>
                        </wps:bodyPr>
                      </wps:wsp>
                    </wpg:wgp>
                  </a:graphicData>
                </a:graphic>
              </wp:anchor>
            </w:drawing>
          </mc:Choice>
          <mc:Fallback>
            <w:pict>
              <v:group id="shape_0" alt="Form4" style="position:absolute;margin-left:21.5pt;margin-top:39.85pt;width:354.75pt;height:494.75pt" coordorigin="430,797" coordsize="7095,9895">
                <v:shape id="shape_0" stroked="f" style="position:absolute;left:4005;top:1727;width:3121;height:8964" type="shapetype_75">
                  <v:imagedata r:id="rId100" o:detectmouseclick="t"/>
                  <w10:wrap type="none"/>
                  <v:stroke color="#3465a4" joinstyle="round" endcap="flat"/>
                </v:shape>
                <v:rect id="shape_0" stroked="f" style="position:absolute;left:2243;top:797;width:5281;height:78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Milyen változtatásokat szeretne végrehajtani?</w:t>
                        </w:r>
                      </w:p>
                    </w:txbxContent>
                  </v:textbox>
                  <w10:wrap type="square"/>
                  <v:fill o:detectmouseclick="t" on="false"/>
                  <v:stroke color="#3465a4" joinstyle="round" endcap="flat"/>
                </v:rect>
                <v:rect id="shape_0" stroked="f" style="position:absolute;left:430;top:1960;width:3491;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 Az oktatást előtérbe helyező Európa</w:t>
                        </w:r>
                      </w:p>
                    </w:txbxContent>
                  </v:textbox>
                  <w10:wrap type="square"/>
                  <v:fill o:detectmouseclick="t" on="false"/>
                  <v:stroke color="#3465a4" joinstyle="round" endcap="flat"/>
                </v:rect>
                <v:rect id="shape_0" stroked="f" style="position:absolute;left:430;top:2497;width:3491;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2. Szorosabb és hozzáférhető Európa</w:t>
                        </w:r>
                      </w:p>
                    </w:txbxContent>
                  </v:textbox>
                  <w10:wrap type="square"/>
                  <v:fill o:detectmouseclick="t" on="false"/>
                  <v:stroke color="#3465a4" joinstyle="round" endcap="flat"/>
                </v:rect>
                <v:rect id="shape_0" stroked="f" style="position:absolute;left:430;top:3235;width:3491;height:556">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Közös kultúrákkal és identitásokkal rendelkező Európa</w:t>
                        </w:r>
                      </w:p>
                    </w:txbxContent>
                  </v:textbox>
                  <w10:wrap type="square"/>
                  <v:fill o:detectmouseclick="t" on="false"/>
                  <v:stroke color="#3465a4" joinstyle="round" endcap="flat"/>
                </v:rect>
                <v:rect id="shape_0" stroked="f" style="position:absolute;left:430;top:3866;width:3491;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4. Az éghajlattal és a környezetvédelemmel kapcsolatos kihívások mellett elkötelezett Európa</w:t>
                        </w:r>
                      </w:p>
                    </w:txbxContent>
                  </v:textbox>
                  <w10:wrap type="square"/>
                  <v:fill o:detectmouseclick="t" on="false"/>
                  <v:stroke color="#3465a4" joinstyle="round" endcap="flat"/>
                </v:rect>
                <v:rect id="shape_0" stroked="f" style="position:absolute;left:430;top:4463;width:3491;height:38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5. Egységesebb Európa</w:t>
                        </w:r>
                      </w:p>
                    </w:txbxContent>
                  </v:textbox>
                  <w10:wrap type="square"/>
                  <v:fill o:detectmouseclick="t" on="false"/>
                  <v:stroke color="#3465a4" joinstyle="round" endcap="flat"/>
                </v:rect>
                <v:rect id="shape_0" stroked="f" style="position:absolute;left:430;top:4940;width:3491;height:38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6. Szolidáris Európa, amely megvédi</w:t>
                        </w:r>
                      </w:p>
                    </w:txbxContent>
                  </v:textbox>
                  <w10:wrap type="square"/>
                  <v:fill o:detectmouseclick="t" on="false"/>
                  <v:stroke color="#3465a4" joinstyle="round" endcap="flat"/>
                </v:rect>
                <v:rect id="shape_0" stroked="f" style="position:absolute;left:430;top:5576;width:3491;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7. Az alapvető jogok tiszteletben tartását garantáló Európa</w:t>
                        </w:r>
                      </w:p>
                    </w:txbxContent>
                  </v:textbox>
                  <w10:wrap type="square"/>
                  <v:fill o:detectmouseclick="t" on="false"/>
                  <v:stroke color="#3465a4" joinstyle="round" endcap="flat"/>
                </v:rect>
                <v:rect id="shape_0" stroked="f" style="position:absolute;left:430;top:6259;width:3491;height:38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8. Versenyképes és innovatív Európa</w:t>
                        </w:r>
                      </w:p>
                    </w:txbxContent>
                  </v:textbox>
                  <w10:wrap type="square"/>
                  <v:fill o:detectmouseclick="t" on="false"/>
                  <v:stroke color="#3465a4" joinstyle="round" endcap="flat"/>
                </v:rect>
                <v:rect id="shape_0" stroked="f" style="position:absolute;left:430;top:6959;width:3491;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9. A fenntartható fejlődést előmozdító Európa</w:t>
                        </w:r>
                      </w:p>
                    </w:txbxContent>
                  </v:textbox>
                  <w10:wrap type="square"/>
                  <v:fill o:detectmouseclick="t" on="false"/>
                  <v:stroke color="#3465a4" joinstyle="round" endcap="flat"/>
                </v:rect>
                <v:rect id="shape_0" stroked="f" style="position:absolute;left:430;top:7482;width:3491;height:38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10. Demokratikusabb Európa</w:t>
                        </w:r>
                      </w:p>
                    </w:txbxContent>
                  </v:textbox>
                  <w10:wrap type="square"/>
                  <v:fill o:detectmouseclick="t" on="false"/>
                  <v:stroke color="#3465a4" joinstyle="round" endcap="flat"/>
                </v:rect>
                <v:rect id="shape_0" stroked="f" style="position:absolute;left:430;top:7989;width:3491;height:556">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11. Hatékonyabb kormányzással rendelkező Európa</w:t>
                        </w:r>
                      </w:p>
                    </w:txbxContent>
                  </v:textbox>
                  <w10:wrap type="square"/>
                  <v:fill o:detectmouseclick="t" on="false"/>
                  <v:stroke color="#3465a4" joinstyle="round" endcap="flat"/>
                </v:rect>
                <v:rect id="shape_0" stroked="f" style="position:absolute;left:430;top:8834;width:3491;height:348">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12. Egy olyan Európa, amely megvédi az érdekeit</w:t>
                        </w:r>
                      </w:p>
                    </w:txbxContent>
                  </v:textbox>
                  <w10:wrap type="square"/>
                  <v:fill o:detectmouseclick="t" on="false"/>
                  <v:stroke color="#3465a4" joinstyle="round" endcap="flat"/>
                </v:rect>
                <v:rect id="shape_0" stroked="f" style="position:absolute;left:430;top:9494;width:3491;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13. Egy erős Európa a világon</w:t>
                        </w:r>
                      </w:p>
                    </w:txbxContent>
                  </v:textbox>
                  <w10:wrap type="square"/>
                  <v:fill o:detectmouseclick="t" on="false"/>
                  <v:stroke color="#3465a4" joinstyle="round" endcap="flat"/>
                </v:rect>
                <v:rect id="shape_0" stroked="f" style="position:absolute;left:430;top:10052;width:3491;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14. Egy olyan Európa, amelyben az egyes államok érdekei érvényesülnek</w:t>
                        </w:r>
                      </w:p>
                    </w:txbxContent>
                  </v:textbox>
                  <w10:wrap type="square"/>
                  <v:fill o:detectmouseclick="t" on="false"/>
                  <v:stroke color="#3465a4" joinstyle="round" endcap="flat"/>
                </v:rect>
              </v:group>
            </w:pict>
          </mc:Fallback>
        </mc:AlternateContent>
      </w:r>
      <w:r>
        <w:br w:type="page"/>
      </w:r>
    </w:p>
    <w:p>
      <w:pPr>
        <w:pStyle w:val="P68B1DB1Normal33"/>
        <w:rPr>
          <w:rFonts w:ascii="Times New Roman" w:hAnsi="Times New Roman"/>
          <w:b/>
          <w:b/>
          <w:color w:val="000000"/>
          <w:sz w:val="24"/>
        </w:rPr>
      </w:pPr>
      <w:r>
        <w:rPr/>
        <w:t xml:space="preserve">B. A nemzeti konferenciából eredő 14 kiemelt változás ismertetése </w:t>
      </w:r>
    </w:p>
    <w:p>
      <w:pPr>
        <w:pStyle w:val="P68B1DB1Normal19"/>
        <w:widowControl w:val="false"/>
        <w:spacing w:lineRule="exact" w:line="388" w:before="322" w:after="0"/>
        <w:ind w:left="0" w:right="0" w:hanging="0"/>
        <w:jc w:val="left"/>
        <w:rPr/>
      </w:pPr>
      <w:r>
        <w:rPr/>
        <w:t xml:space="preserve">A Nemzeti Szintéziskonferencián a 100 résztvevő a 14 létrehozott kívánságcsoport egyikén dolgozott. A munka végén mindegyik csoport úgy döntött, hogy </w:t>
      </w:r>
      <w:r>
        <w:rPr>
          <w:b/>
        </w:rPr>
        <w:t>2035-ig prioritási változtatást kíván</w:t>
      </w:r>
      <w:r>
        <w:rPr/>
        <w:t xml:space="preserve"> Európa felé. Ezt a 14 prioritási változtatást javasolták 100 polgár szavazására a nemzeti konferencia utolsó napján. A szavazás eredményét az alábbiakban, csökkenő sorrendben, az egyes módosításokra kapott szavazatok számától függően állapítjuk meg. </w:t>
      </w:r>
    </w:p>
    <w:p>
      <w:pPr>
        <w:pStyle w:val="P68B1DB1Normal19"/>
        <w:widowControl w:val="false"/>
        <w:spacing w:lineRule="exact" w:line="413" w:before="332" w:after="0"/>
        <w:ind w:left="0" w:right="708" w:hanging="0"/>
        <w:jc w:val="left"/>
        <w:rPr/>
      </w:pPr>
      <w:r>
        <w:rPr/>
        <w:t xml:space="preserve">Az a változás, amely a nemzeti konferencia 100 polgárától a legtöbb szavazatot kapta, az </w:t>
      </w:r>
      <w:r>
        <w:rPr>
          <w:i/>
        </w:rPr>
        <w:t>„Energiajósság fejlesztése, hogy kevesebbet fogyasszon a feleslegesek megállításával”</w:t>
      </w:r>
      <w:r>
        <w:rPr/>
        <w:t xml:space="preserve">. </w:t>
      </w:r>
    </w:p>
    <w:p>
      <w:pPr>
        <w:pStyle w:val="P68B1DB1Normal39"/>
        <w:widowControl w:val="false"/>
        <w:spacing w:lineRule="exact" w:line="199" w:before="42" w:after="0"/>
        <w:ind w:left="0" w:right="0" w:hanging="0"/>
        <w:jc w:val="left"/>
        <w:rPr>
          <w:rFonts w:ascii="Times New Roman" w:hAnsi="Times New Roman"/>
          <w:b/>
          <w:b/>
          <w:color w:val="000000"/>
          <w:sz w:val="12"/>
        </w:rPr>
      </w:pPr>
      <w:r>
        <w:rPr/>
        <w:t xml:space="preserve"> </w:t>
      </w:r>
    </w:p>
    <w:p>
      <w:pPr>
        <w:pStyle w:val="P68B1DB1Normal40"/>
        <w:widowControl w:val="false"/>
        <w:spacing w:lineRule="auto" w:line="240"/>
        <w:ind w:left="208" w:right="0" w:hanging="0"/>
        <w:jc w:val="left"/>
        <w:rPr/>
      </w:pPr>
      <w:r>
        <w:rPr>
          <w:b/>
          <w:sz w:val="34"/>
        </w:rPr>
        <w:t xml:space="preserve">14 </w:t>
      </w:r>
      <w:r>
        <w:rPr>
          <w:sz w:val="30"/>
        </w:rPr>
        <w:t>kulcsfontosságú változás Európa számára 2035-ben</w:t>
      </w:r>
    </w:p>
    <w:p>
      <w:pPr>
        <w:pStyle w:val="P68B1DB1Normal41"/>
        <w:widowControl w:val="false"/>
        <w:spacing w:lineRule="auto" w:line="240" w:before="202" w:after="0"/>
        <w:ind w:left="336" w:right="0" w:hanging="0"/>
        <w:jc w:val="left"/>
        <w:rPr/>
      </w:pPr>
      <w:r>
        <w:rPr>
          <w:color w:val="FFFFFF"/>
        </w:rPr>
        <w:t>1</w:t>
      </w:r>
      <w:r>
        <w:rPr>
          <w:color w:val="000000"/>
        </w:rPr>
        <w:t>(1)</w:t>
      </w:r>
      <w:r>
        <w:rPr>
          <w:color w:val="FFFFFF"/>
        </w:rPr>
        <w:t xml:space="preserve"> </w:t>
      </w:r>
      <w:r>
        <w:rPr>
          <w:color w:val="000000"/>
        </w:rPr>
        <w:t>Fejlessze az energia józanságát, hogy kevesebbet fogyasszon a felesleges</w:t>
      </w:r>
    </w:p>
    <w:p>
      <w:pPr>
        <w:pStyle w:val="P68B1DB1Normal41"/>
        <w:widowControl w:val="false"/>
        <w:spacing w:lineRule="auto" w:line="240" w:before="193" w:after="0"/>
        <w:ind w:left="324" w:right="0" w:hanging="0"/>
        <w:jc w:val="left"/>
        <w:rPr/>
      </w:pPr>
      <w:r>
        <w:rPr>
          <w:color w:val="000000"/>
        </w:rPr>
        <w:t>(2)</w:t>
      </w:r>
      <w:r>
        <w:rPr>
          <w:color w:val="FFFFFF"/>
        </w:rPr>
        <w:t xml:space="preserve"> </w:t>
      </w:r>
      <w:r>
        <w:rPr>
          <w:color w:val="000000"/>
        </w:rPr>
        <w:t>Az Európai Unió közös védelmének és biztonságának megerősítése</w:t>
      </w:r>
    </w:p>
    <w:p>
      <w:pPr>
        <w:pStyle w:val="P68B1DB1Normal41"/>
        <w:widowControl w:val="false"/>
        <w:spacing w:lineRule="auto" w:line="240" w:before="193" w:after="0"/>
        <w:ind w:left="324" w:right="0" w:hanging="0"/>
        <w:jc w:val="left"/>
        <w:rPr/>
      </w:pPr>
      <w:r>
        <w:rPr>
          <w:color w:val="FFFFFF"/>
        </w:rPr>
        <w:t>3</w:t>
      </w:r>
      <w:r>
        <w:rPr>
          <w:color w:val="000000"/>
        </w:rPr>
        <w:t>(3)</w:t>
      </w:r>
      <w:r>
        <w:rPr>
          <w:color w:val="FFFFFF"/>
        </w:rPr>
        <w:t xml:space="preserve"> </w:t>
      </w:r>
      <w:r>
        <w:rPr>
          <w:color w:val="000000"/>
        </w:rPr>
        <w:t>A kollektív gazdasági teljesítmény előmozdítása az Európai Unió autonóm, versenyképes és értékelt iparán keresztül</w:t>
      </w:r>
    </w:p>
    <w:p>
      <w:pPr>
        <w:pStyle w:val="P68B1DB1Normal41"/>
        <w:widowControl w:val="false"/>
        <w:spacing w:lineRule="auto" w:line="240" w:before="136" w:after="0"/>
        <w:ind w:left="324" w:right="0" w:hanging="0"/>
        <w:jc w:val="left"/>
        <w:rPr/>
      </w:pPr>
      <w:r>
        <w:rPr>
          <w:color w:val="FFFFFF"/>
        </w:rPr>
        <w:t>4</w:t>
      </w:r>
      <w:r>
        <w:rPr>
          <w:color w:val="000000"/>
        </w:rPr>
        <w:t>(4)</w:t>
      </w:r>
      <w:r>
        <w:rPr>
          <w:color w:val="FFFFFF"/>
        </w:rPr>
        <w:t xml:space="preserve"> </w:t>
      </w:r>
      <w:r>
        <w:rPr>
          <w:color w:val="000000"/>
        </w:rPr>
        <w:t>Az állampolgári hatalom létrehozása több szinten: részvétel, döntés, ellenőrzés</w:t>
      </w:r>
    </w:p>
    <w:p>
      <w:pPr>
        <w:pStyle w:val="P68B1DB1Normal41"/>
        <w:widowControl w:val="false"/>
        <w:spacing w:lineRule="auto" w:line="240" w:before="193" w:after="0"/>
        <w:ind w:left="324" w:right="695" w:hanging="0"/>
        <w:jc w:val="left"/>
        <w:rPr/>
      </w:pPr>
      <w:r>
        <w:rPr>
          <w:color w:val="FFFFFF"/>
        </w:rPr>
        <w:t>5</w:t>
      </w:r>
      <w:r>
        <w:rPr>
          <w:color w:val="000000"/>
        </w:rPr>
        <w:t>(5)</w:t>
      </w:r>
      <w:r>
        <w:rPr>
          <w:color w:val="FFFFFF"/>
        </w:rPr>
        <w:t xml:space="preserve"> </w:t>
      </w:r>
      <w:r>
        <w:rPr>
          <w:color w:val="000000"/>
        </w:rPr>
        <w:t>A közös érdekű területeken erős hatáskörökkel rendelkező európai államok föderációja</w:t>
      </w:r>
    </w:p>
    <w:p>
      <w:pPr>
        <w:pStyle w:val="P68B1DB1Normal41"/>
        <w:widowControl w:val="false"/>
        <w:spacing w:lineRule="auto" w:line="240" w:before="136" w:after="0"/>
        <w:ind w:left="324" w:right="0" w:hanging="0"/>
        <w:jc w:val="left"/>
        <w:rPr/>
      </w:pPr>
      <w:r>
        <w:rPr>
          <w:color w:val="000000"/>
        </w:rPr>
        <w:t>6 (6)</w:t>
      </w:r>
      <w:r>
        <w:rPr>
          <w:color w:val="FFFFFF"/>
        </w:rPr>
        <w:t xml:space="preserve"> </w:t>
      </w:r>
      <w:r>
        <w:rPr>
          <w:color w:val="000000"/>
        </w:rPr>
        <w:t>Az egész életen át tartó csereprogramokra vonatkozó javaslat</w:t>
      </w:r>
    </w:p>
    <w:p>
      <w:pPr>
        <w:pStyle w:val="P68B1DB1Normal41"/>
        <w:widowControl w:val="false"/>
        <w:spacing w:lineRule="auto" w:line="240" w:before="193" w:after="0"/>
        <w:ind w:left="324" w:right="0" w:hanging="0"/>
        <w:jc w:val="left"/>
        <w:rPr/>
      </w:pPr>
      <w:r>
        <w:rPr>
          <w:color w:val="FFFFFF"/>
        </w:rPr>
        <w:t>7</w:t>
      </w:r>
      <w:r>
        <w:rPr>
          <w:color w:val="000000"/>
        </w:rPr>
        <w:t>(7)</w:t>
      </w:r>
      <w:r>
        <w:rPr>
          <w:color w:val="FFFFFF"/>
        </w:rPr>
        <w:t xml:space="preserve"> </w:t>
      </w:r>
      <w:r>
        <w:rPr>
          <w:color w:val="000000"/>
        </w:rPr>
        <w:t>Az európai kultúrák megosztása az események és események egységesítése révén</w:t>
      </w:r>
    </w:p>
    <w:p>
      <w:pPr>
        <w:pStyle w:val="P68B1DB1Normal41"/>
        <w:widowControl w:val="false"/>
        <w:spacing w:lineRule="auto" w:line="240" w:before="353" w:after="0"/>
        <w:ind w:left="324" w:right="0" w:hanging="0"/>
        <w:jc w:val="left"/>
        <w:rPr/>
      </w:pPr>
      <w:r>
        <w:rPr>
          <w:color w:val="FFFFFF"/>
        </w:rPr>
        <w:t>8</w:t>
      </w:r>
      <w:r>
        <w:rPr>
          <w:color w:val="000000"/>
        </w:rPr>
        <w:t>(8)</w:t>
      </w:r>
      <w:r>
        <w:rPr>
          <w:color w:val="FFFFFF"/>
        </w:rPr>
        <w:t xml:space="preserve"> </w:t>
      </w:r>
      <w:r>
        <w:rPr>
          <w:color w:val="000000"/>
        </w:rPr>
        <w:t>Az egészség harmonizálása és valamennyi európai polgár számára való hozzáférhetővé tétele közös egészségügyi politika révén</w:t>
      </w:r>
    </w:p>
    <w:p>
      <w:pPr>
        <w:pStyle w:val="P68B1DB1Normal41"/>
        <w:widowControl w:val="false"/>
        <w:spacing w:lineRule="auto" w:line="240" w:before="193" w:after="0"/>
        <w:ind w:left="324" w:right="0" w:hanging="0"/>
        <w:jc w:val="left"/>
        <w:rPr/>
      </w:pPr>
      <w:r>
        <w:rPr>
          <w:color w:val="FFFFFF"/>
        </w:rPr>
        <w:t>9</w:t>
      </w:r>
      <w:r>
        <w:rPr>
          <w:color w:val="000000"/>
        </w:rPr>
        <w:t>(9)</w:t>
      </w:r>
      <w:r>
        <w:rPr>
          <w:color w:val="FFFFFF"/>
        </w:rPr>
        <w:t xml:space="preserve"> </w:t>
      </w:r>
      <w:r>
        <w:rPr>
          <w:color w:val="000000"/>
        </w:rPr>
        <w:t>Stratégiai csatornák kidolgozása és irányítása európai szinten szuverenitásunk biztosítása érdekében</w:t>
      </w:r>
    </w:p>
    <w:p>
      <w:pPr>
        <w:pStyle w:val="P68B1DB1Normal41"/>
        <w:widowControl w:val="false"/>
        <w:spacing w:lineRule="auto" w:line="240" w:before="193" w:after="0"/>
        <w:ind w:left="324" w:right="0" w:hanging="0"/>
        <w:jc w:val="left"/>
        <w:rPr/>
      </w:pPr>
      <w:r>
        <w:rPr>
          <w:color w:val="FFFFFF"/>
        </w:rPr>
        <w:t>10</w:t>
      </w:r>
      <w:r>
        <w:rPr>
          <w:color w:val="000000"/>
        </w:rPr>
        <w:t>(10) A környezet és az ökoszisztémák védelmének javítása, valamint védett területek létrehozása a városi, városkörnyéki és vidéki térségek szívében</w:t>
      </w:r>
    </w:p>
    <w:p>
      <w:pPr>
        <w:pStyle w:val="P68B1DB1Normal41"/>
        <w:widowControl w:val="false"/>
        <w:spacing w:lineRule="auto" w:line="240" w:before="136" w:after="0"/>
        <w:ind w:left="295" w:right="0" w:hanging="0"/>
        <w:jc w:val="left"/>
        <w:rPr/>
      </w:pPr>
      <w:r>
        <w:rPr>
          <w:color w:val="FFFFFF"/>
        </w:rPr>
        <w:t>11</w:t>
      </w:r>
      <w:r>
        <w:rPr>
          <w:color w:val="000000"/>
        </w:rPr>
        <w:t>(11)</w:t>
      </w:r>
      <w:r>
        <w:rPr>
          <w:color w:val="FFFFFF"/>
        </w:rPr>
        <w:t xml:space="preserve"> </w:t>
      </w:r>
      <w:r>
        <w:rPr>
          <w:color w:val="000000"/>
        </w:rPr>
        <w:t>Európai relék létrehozása a területeken, hogy meghallgassák és tanácsot adjanak a polgároknak</w:t>
      </w:r>
    </w:p>
    <w:p>
      <w:pPr>
        <w:pStyle w:val="P68B1DB1Normal41"/>
        <w:widowControl w:val="false"/>
        <w:spacing w:lineRule="auto" w:line="240" w:before="193" w:after="0"/>
        <w:ind w:left="283" w:right="643" w:hanging="0"/>
        <w:jc w:val="left"/>
        <w:rPr/>
      </w:pPr>
      <w:r>
        <w:rPr>
          <w:color w:val="FFFFFF"/>
        </w:rPr>
        <w:t>12</w:t>
      </w:r>
      <w:r>
        <w:rPr>
          <w:color w:val="000000"/>
        </w:rPr>
        <w:t>(12)</w:t>
      </w:r>
      <w:r>
        <w:rPr>
          <w:color w:val="FFFFFF"/>
        </w:rPr>
        <w:t xml:space="preserve"> </w:t>
      </w:r>
      <w:r>
        <w:rPr>
          <w:color w:val="000000"/>
        </w:rPr>
        <w:t>Egyesítse a huszonhét állam európai parlamenti választásának módját, és javítsa a polgárok közelségét azáltal, hogy a jelenlegi szavazást regionális szinten egyszeri szavazással helyettesíti</w:t>
      </w:r>
    </w:p>
    <w:p>
      <w:pPr>
        <w:pStyle w:val="P68B1DB1Normal41"/>
        <w:widowControl w:val="false"/>
        <w:spacing w:lineRule="auto" w:line="240" w:before="136" w:after="0"/>
        <w:ind w:left="283" w:right="164" w:hanging="0"/>
        <w:jc w:val="left"/>
        <w:rPr/>
      </w:pPr>
      <w:r>
        <w:rPr>
          <w:color w:val="FFFFFF"/>
        </w:rPr>
        <w:t>13</w:t>
      </w:r>
      <w:r>
        <w:rPr>
          <w:color w:val="000000"/>
        </w:rPr>
        <w:t>(13)</w:t>
      </w:r>
      <w:r>
        <w:rPr>
          <w:color w:val="FFFFFF"/>
        </w:rPr>
        <w:t xml:space="preserve"> </w:t>
      </w:r>
      <w:r>
        <w:rPr>
          <w:color w:val="000000"/>
        </w:rPr>
        <w:t>A migránsok (köztük az irreguláris migránsok) befogadásának, valamint társadalmi és foglalkozási integrációjának javítását célzó közös politika meghatározása</w:t>
      </w:r>
    </w:p>
    <w:p>
      <w:pPr>
        <w:pStyle w:val="P68B1DB1Normal41"/>
        <w:widowControl w:val="false"/>
        <w:spacing w:lineRule="auto" w:line="240" w:before="136" w:after="0"/>
        <w:ind w:left="283" w:right="700" w:hanging="0"/>
        <w:jc w:val="left"/>
        <w:rPr/>
      </w:pPr>
      <w:r>
        <w:rPr>
          <w:color w:val="FFFFFF"/>
        </w:rPr>
        <w:t>14</w:t>
      </w:r>
      <w:r>
        <w:rPr>
          <w:color w:val="000000"/>
        </w:rPr>
        <w:t>(14)</w:t>
      </w:r>
      <w:r>
        <w:rPr>
          <w:color w:val="FFFFFF"/>
        </w:rPr>
        <w:t xml:space="preserve"> </w:t>
      </w:r>
      <w:r>
        <w:rPr>
          <w:color w:val="000000"/>
        </w:rPr>
        <w:t>A különböző európai régiók sajátosságainak (élelmiszercímkék, kézműves termelés, hagyományok) megőrzése, az egységes életmód elkerülése, valamint a termékek nyomon követhetőségének és minőségének biztosítása érdekében</w:t>
      </w:r>
    </w:p>
    <w:p>
      <w:pPr>
        <w:pStyle w:val="Normal"/>
        <w:spacing w:lineRule="auto" w:line="240"/>
        <w:rPr/>
      </w:pPr>
      <w:r>
        <w:rPr/>
      </w:r>
    </w:p>
    <w:p>
      <w:pPr>
        <w:pStyle w:val="Normal"/>
        <w:rPr/>
      </w:pPr>
      <w:r>
        <w:rPr/>
        <w:t xml:space="preserve">Minden egyes prioritási változás esetében az érintett csoport polgárai meghatározták a változást, konkrét intézkedéseket javasoltak annak végrehajtása érdekében, és jelezték a 2035-ig megvalósítandó sikerkritériumokat. </w:t>
      </w:r>
    </w:p>
    <w:p>
      <w:pPr>
        <w:pStyle w:val="Normal"/>
        <w:rPr/>
      </w:pPr>
      <w:r>
        <w:rPr/>
      </w:r>
      <w:r>
        <w:br w:type="page"/>
      </w:r>
    </w:p>
    <w:p>
      <w:pPr>
        <w:pStyle w:val="P68B1DB1Normal42"/>
        <w:widowControl w:val="false"/>
        <w:spacing w:lineRule="auto" w:line="240" w:before="237" w:after="0"/>
        <w:ind w:left="0" w:right="0" w:hanging="0"/>
        <w:jc w:val="left"/>
        <w:rPr/>
      </w:pPr>
      <w:r>
        <w:rPr/>
        <w:t xml:space="preserve">Változás 1 – Fejlessze az energia józanságot, hogy kevesebbet fogyasszon a felesleges megállításával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A társult Európa kívánsága: Az éghajlattal és a környezetvédelemmel kapcsolatos kihívások mellett elkötelezett Európa </w:t>
      </w:r>
    </w:p>
    <w:p>
      <w:pPr>
        <w:pStyle w:val="P68B1DB1Normal33"/>
        <w:widowControl w:val="false"/>
        <w:spacing w:lineRule="auto" w:line="240" w:before="323" w:after="0"/>
        <w:ind w:left="0" w:right="0" w:hanging="0"/>
        <w:jc w:val="left"/>
        <w:rPr>
          <w:rFonts w:ascii="Times New Roman" w:hAnsi="Times New Roman"/>
          <w:b/>
          <w:b/>
          <w:color w:val="000000"/>
          <w:sz w:val="24"/>
        </w:rPr>
      </w:pPr>
      <w:r>
        <w:rPr/>
        <w:t xml:space="preserve">Mit jelent ez a változás? </w:t>
      </w:r>
    </w:p>
    <w:p>
      <w:pPr>
        <w:pStyle w:val="P68B1DB1Normal7"/>
        <w:widowControl w:val="false"/>
        <w:spacing w:lineRule="auto" w:line="240" w:before="76" w:after="0"/>
        <w:ind w:left="0" w:right="0" w:hanging="0"/>
        <w:jc w:val="left"/>
        <w:rPr/>
      </w:pPr>
      <w:r>
        <w:rPr>
          <w:i/>
          <w:color w:val="000000"/>
        </w:rPr>
        <w:t>Kulcsszavak: A megújuló energiák fejlesztése, az energiafogyasztás csökkenése</w:t>
      </w:r>
      <w:r>
        <w:rPr>
          <w:b/>
          <w:color w:val="273375"/>
        </w:rPr>
        <w:t xml:space="preserve"> </w:t>
      </w:r>
    </w:p>
    <w:p>
      <w:pPr>
        <w:pStyle w:val="P68B1DB1Normal19"/>
        <w:widowControl w:val="false"/>
        <w:spacing w:lineRule="auto" w:line="240" w:before="248" w:after="0"/>
        <w:ind w:left="0" w:right="9" w:hanging="0"/>
        <w:jc w:val="both"/>
        <w:rPr/>
      </w:pPr>
      <w:r>
        <w:rPr/>
        <w:t xml:space="preserve">Ennek a változásnak az a célja, hogy ösztönözze az energiafogyasztás csökkentését Európában és a megújuló energia fejlesztését. Az, hogy a polgárok fontossági sorrendet </w:t>
      </w:r>
      <w:r>
        <w:rPr>
          <w:b/>
        </w:rPr>
        <w:t>állapítanak meg, kifejezi azon óhajukat, hogy Európát és lakóit bevonják az éghajlattal és a</w:t>
      </w:r>
      <w:r>
        <w:rPr/>
        <w:t xml:space="preserve"> környezettel kapcsolatos kihívások határozott megközelítésébe. </w:t>
      </w:r>
    </w:p>
    <w:p>
      <w:pPr>
        <w:pStyle w:val="P68B1DB1Normal33"/>
        <w:widowControl w:val="false"/>
        <w:spacing w:lineRule="auto" w:line="240" w:before="333" w:after="0"/>
        <w:ind w:left="0" w:right="0" w:hanging="0"/>
        <w:jc w:val="left"/>
        <w:rPr>
          <w:rFonts w:ascii="Times New Roman" w:hAnsi="Times New Roman"/>
          <w:b/>
          <w:b/>
          <w:color w:val="000000"/>
          <w:sz w:val="24"/>
        </w:rPr>
      </w:pPr>
      <w:r>
        <w:rPr/>
        <w:t xml:space="preserve">Melyek a legfontosabb lépések és a sikerkritériumok? </w:t>
      </w:r>
    </w:p>
    <w:p>
      <w:pPr>
        <w:pStyle w:val="P68B1DB1Normal19"/>
        <w:widowControl w:val="false"/>
        <w:spacing w:lineRule="auto" w:line="240" w:before="237" w:after="0"/>
        <w:ind w:left="0" w:right="9" w:hanging="0"/>
        <w:jc w:val="both"/>
        <w:rPr/>
      </w:pPr>
      <w:r>
        <w:rPr/>
        <w:t xml:space="preserve">Ez a változás a megújuló energiaforrásokra </w:t>
      </w:r>
      <w:r>
        <w:rPr>
          <w:b/>
        </w:rPr>
        <w:t>vonatkozó ambiciózus kutatási programok</w:t>
      </w:r>
      <w:r>
        <w:rPr/>
        <w:t xml:space="preserve"> kidolgozásában és az ágazat </w:t>
      </w:r>
      <w:r>
        <w:rPr>
          <w:b/>
        </w:rPr>
        <w:t>vállalataiban közvetlenül részt vevő európai beruházási alapok</w:t>
      </w:r>
      <w:r>
        <w:rPr/>
        <w:t xml:space="preserve"> felhasználásában nyilvánul meg. </w:t>
      </w:r>
    </w:p>
    <w:p>
      <w:pPr>
        <w:pStyle w:val="P68B1DB1Normal19"/>
        <w:widowControl w:val="false"/>
        <w:spacing w:lineRule="auto" w:line="240" w:before="326" w:after="0"/>
        <w:ind w:left="0" w:right="9" w:hanging="0"/>
        <w:jc w:val="both"/>
        <w:rPr/>
      </w:pPr>
      <w:r>
        <w:rPr/>
        <w:t xml:space="preserve">A polgárok számára ez a változás sikeres lenne, ha </w:t>
      </w:r>
      <w:r>
        <w:rPr>
          <w:b/>
        </w:rPr>
        <w:t>kötelező energiafogyasztási célokat</w:t>
      </w:r>
      <w:r>
        <w:rPr/>
        <w:t xml:space="preserve"> és a</w:t>
      </w:r>
      <w:r>
        <w:rPr>
          <w:b/>
        </w:rPr>
        <w:t>józanság kulcsfontosságú mutatóit</w:t>
      </w:r>
      <w:r>
        <w:rPr/>
        <w:t xml:space="preserve"> – például az európai gépjárműflotta hanyatlását vagy a húsfogyasztást – vezetnék be. A cél az is, hogy a </w:t>
      </w:r>
      <w:r>
        <w:rPr>
          <w:b/>
        </w:rPr>
        <w:t>fogyasztási kvótákat ágazatonként</w:t>
      </w:r>
      <w:r>
        <w:rPr/>
        <w:t xml:space="preserve"> állapítsák meg, figyelembe véve a vállalatok fogyasztásának ingadozását és adataik titkosságát. </w:t>
      </w:r>
    </w:p>
    <w:p>
      <w:pPr>
        <w:pStyle w:val="Normal"/>
        <w:spacing w:lineRule="auto" w:line="240"/>
        <w:rPr/>
      </w:pPr>
      <w:r>
        <w:rPr/>
      </w:r>
    </w:p>
    <w:p>
      <w:pPr>
        <w:pStyle w:val="P68B1DB1Normal42"/>
        <w:spacing w:lineRule="auto" w:line="240"/>
        <w:rPr/>
      </w:pPr>
      <w:r>
        <w:rPr/>
        <w:t xml:space="preserve">2. módosítás – Az Európai Unió közös védelmének és biztonságának megerősítése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A társult Európa kívánsága: Egy erős Európa a világon </w:t>
      </w:r>
    </w:p>
    <w:p>
      <w:pPr>
        <w:pStyle w:val="P68B1DB1Normal33"/>
        <w:widowControl w:val="false"/>
        <w:spacing w:lineRule="auto" w:line="240" w:before="321" w:after="0"/>
        <w:ind w:left="0" w:right="0" w:hanging="0"/>
        <w:jc w:val="left"/>
        <w:rPr>
          <w:rFonts w:ascii="Times New Roman" w:hAnsi="Times New Roman"/>
          <w:b/>
          <w:b/>
          <w:color w:val="000000"/>
          <w:sz w:val="24"/>
        </w:rPr>
      </w:pPr>
      <w:r>
        <w:rPr/>
        <w:t xml:space="preserve">Mit jelent ez a változás? </w:t>
      </w:r>
    </w:p>
    <w:p>
      <w:pPr>
        <w:pStyle w:val="P68B1DB1Normal7"/>
        <w:widowControl w:val="false"/>
        <w:spacing w:lineRule="auto" w:line="240" w:before="78" w:after="0"/>
        <w:ind w:left="0" w:right="0" w:hanging="0"/>
        <w:jc w:val="left"/>
        <w:rPr/>
      </w:pPr>
      <w:r>
        <w:rPr>
          <w:i/>
          <w:color w:val="000000"/>
        </w:rPr>
        <w:t>Kulcsszavak: Európai hadsereg, stratégiai autonómia</w:t>
      </w:r>
      <w:r>
        <w:rPr>
          <w:b/>
          <w:color w:val="273375"/>
        </w:rPr>
        <w:t xml:space="preserve"> </w:t>
      </w:r>
    </w:p>
    <w:p>
      <w:pPr>
        <w:pStyle w:val="P68B1DB1Normal19"/>
        <w:widowControl w:val="false"/>
        <w:spacing w:lineRule="auto" w:line="240" w:before="201" w:after="0"/>
        <w:ind w:left="0" w:right="10" w:hanging="0"/>
        <w:jc w:val="left"/>
        <w:rPr/>
      </w:pPr>
      <w:r>
        <w:rPr/>
        <w:t>Ez a változás megfelel a polgárok azon egyhangú akaratának, hogy Európában</w:t>
      </w:r>
      <w:r>
        <w:rPr>
          <w:b/>
        </w:rPr>
        <w:t>autonómiát</w:t>
      </w:r>
      <w:r>
        <w:rPr/>
        <w:t xml:space="preserve"> érjenek el a védelem és a biztonság terén, hogy ne függjenek a külföldi hatalmaktól. </w:t>
      </w:r>
    </w:p>
    <w:p>
      <w:pPr>
        <w:pStyle w:val="P68B1DB1Normal33"/>
        <w:widowControl w:val="false"/>
        <w:spacing w:lineRule="auto" w:line="240" w:before="330" w:after="0"/>
        <w:ind w:left="0" w:right="0" w:hanging="0"/>
        <w:jc w:val="left"/>
        <w:rPr>
          <w:rFonts w:ascii="Times New Roman" w:hAnsi="Times New Roman"/>
          <w:b/>
          <w:b/>
          <w:color w:val="000000"/>
          <w:sz w:val="24"/>
        </w:rPr>
      </w:pPr>
      <w:r>
        <w:rPr/>
        <w:t xml:space="preserve">Melyek a legfontosabb lépések és a sikerkritériumok? </w:t>
      </w:r>
    </w:p>
    <w:p>
      <w:pPr>
        <w:pStyle w:val="P68B1DB1Normal19"/>
        <w:widowControl w:val="false"/>
        <w:spacing w:lineRule="auto" w:line="240" w:before="198" w:after="0"/>
        <w:ind w:left="0" w:right="10" w:hanging="0"/>
        <w:jc w:val="left"/>
        <w:rPr/>
      </w:pPr>
      <w:r>
        <w:rPr/>
        <w:t>E változás sikere elsősorban az</w:t>
      </w:r>
      <w:r>
        <w:rPr>
          <w:b/>
        </w:rPr>
        <w:t xml:space="preserve"> európai védelmi és biztonsági biztos</w:t>
      </w:r>
      <w:r>
        <w:rPr/>
        <w:t xml:space="preserve"> kinevezéséhez vezetne. </w:t>
      </w:r>
    </w:p>
    <w:p>
      <w:pPr>
        <w:pStyle w:val="P68B1DB1Normal19"/>
        <w:widowControl w:val="false"/>
        <w:spacing w:lineRule="auto" w:line="240" w:before="203" w:after="0"/>
        <w:ind w:left="0" w:right="10" w:hanging="0"/>
        <w:jc w:val="both"/>
        <w:rPr/>
      </w:pPr>
      <w:r>
        <w:rPr/>
        <w:t>Védelmi ügyekben egy</w:t>
      </w:r>
      <w:r>
        <w:rPr>
          <w:b/>
        </w:rPr>
        <w:t xml:space="preserve"> állandó, reaktív és előrevetíthető hadsereg létrehozása</w:t>
      </w:r>
      <w:r>
        <w:rPr/>
        <w:t xml:space="preserve"> világszerte lehetővé tenné Európa számára, hogy megvédje határait, és szükség esetén harmadik országok kérésére beavatkozzon. </w:t>
      </w:r>
    </w:p>
    <w:p>
      <w:pPr>
        <w:pStyle w:val="P68B1DB1Normal19"/>
        <w:widowControl w:val="false"/>
        <w:spacing w:lineRule="auto" w:line="240" w:before="206" w:after="0"/>
        <w:ind w:left="0" w:right="10" w:hanging="0"/>
        <w:jc w:val="both"/>
        <w:rPr/>
      </w:pPr>
      <w:r>
        <w:rPr/>
        <w:t xml:space="preserve">Ami a biztonságot illeti, Európának a polgárok szemében garantálnia kell ellátásainak </w:t>
      </w:r>
      <w:r>
        <w:rPr>
          <w:b/>
        </w:rPr>
        <w:t>biztonságát, és</w:t>
      </w:r>
      <w:r>
        <w:rPr/>
        <w:t xml:space="preserve"> meg kell védenie </w:t>
      </w:r>
      <w:r>
        <w:rPr>
          <w:b/>
        </w:rPr>
        <w:t>stratégiai kutatásait</w:t>
      </w:r>
      <w:r>
        <w:rPr/>
        <w:t xml:space="preserve"> olyan kiemelt ágazatokban, mint az űrkutatás, a kiberbiztonság, az egészségügyi ágazat és a környezetvédelem. A </w:t>
      </w:r>
      <w:r>
        <w:rPr>
          <w:b/>
        </w:rPr>
        <w:t>külső határok jobb védelmének</w:t>
      </w:r>
      <w:r>
        <w:rPr/>
        <w:t xml:space="preserve"> elő kell segítenie az illegális bevándorlás és az emberkereskedelem megállítását is. </w:t>
      </w:r>
    </w:p>
    <w:p>
      <w:pPr>
        <w:pStyle w:val="Normal"/>
        <w:spacing w:lineRule="auto" w:line="240"/>
        <w:rPr/>
      </w:pPr>
      <w:r>
        <w:rPr/>
      </w:r>
    </w:p>
    <w:p>
      <w:pPr>
        <w:pStyle w:val="P68B1DB1Normal42"/>
        <w:spacing w:lineRule="auto" w:line="240"/>
        <w:rPr/>
      </w:pPr>
      <w:r>
        <w:rPr/>
        <w:t xml:space="preserve">Változás – A kollektív gazdasági teljesítmény előmozdítása az Európai Unió autonóm, versenyképes és értékes iparága révén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A társult Európa kívánsága: Egy olyan Európa, amely megvédi az érdekeit </w:t>
      </w:r>
    </w:p>
    <w:p>
      <w:pPr>
        <w:pStyle w:val="P68B1DB1Normal33"/>
        <w:widowControl w:val="false"/>
        <w:spacing w:lineRule="auto" w:line="240" w:before="323" w:after="0"/>
        <w:ind w:left="0" w:right="0" w:hanging="0"/>
        <w:jc w:val="left"/>
        <w:rPr>
          <w:rFonts w:ascii="Times New Roman" w:hAnsi="Times New Roman"/>
          <w:b/>
          <w:b/>
          <w:color w:val="000000"/>
          <w:sz w:val="24"/>
        </w:rPr>
      </w:pPr>
      <w:r>
        <w:rPr/>
        <w:t xml:space="preserve">Mit jelent ez a változás? </w:t>
      </w:r>
    </w:p>
    <w:p>
      <w:pPr>
        <w:pStyle w:val="P68B1DB1Normal44"/>
        <w:widowControl w:val="false"/>
        <w:spacing w:lineRule="auto" w:line="240" w:before="84" w:after="0"/>
        <w:ind w:left="0" w:right="10" w:hanging="0"/>
        <w:jc w:val="left"/>
        <w:rPr>
          <w:rFonts w:ascii="Times New Roman" w:hAnsi="Times New Roman"/>
          <w:i/>
          <w:i/>
          <w:color w:val="000000"/>
          <w:sz w:val="24"/>
        </w:rPr>
      </w:pPr>
      <w:r>
        <w:rPr/>
        <w:t xml:space="preserve">Kulcsszavak: </w:t>
      </w:r>
    </w:p>
    <w:p>
      <w:pPr>
        <w:pStyle w:val="P68B1DB1Normal7"/>
        <w:widowControl w:val="false"/>
        <w:spacing w:lineRule="auto" w:line="240"/>
        <w:ind w:left="0" w:right="10" w:hanging="0"/>
        <w:jc w:val="left"/>
        <w:rPr/>
      </w:pPr>
      <w:r>
        <w:rPr>
          <w:i/>
          <w:color w:val="000000"/>
        </w:rPr>
        <w:t>Az európai preferencia, a know-how védelme, az európai bajnokok fejlesztése</w:t>
      </w:r>
      <w:r>
        <w:rPr>
          <w:b/>
          <w:color w:val="273375"/>
        </w:rPr>
        <w:t xml:space="preserve"> </w:t>
      </w:r>
    </w:p>
    <w:p>
      <w:pPr>
        <w:pStyle w:val="P68B1DB1Normal19"/>
        <w:widowControl w:val="false"/>
        <w:spacing w:lineRule="auto" w:line="240" w:before="321" w:after="0"/>
        <w:ind w:left="0" w:right="10" w:hanging="0"/>
        <w:jc w:val="both"/>
        <w:rPr/>
      </w:pPr>
      <w:r>
        <w:rPr/>
        <w:t xml:space="preserve">Ennek a módosításnak az a célja, hogy három célt érjen el: erősítse meg az </w:t>
      </w:r>
      <w:r>
        <w:rPr>
          <w:b/>
        </w:rPr>
        <w:t>„</w:t>
      </w:r>
      <w:r>
        <w:rPr/>
        <w:t xml:space="preserve"> </w:t>
      </w:r>
      <w:r>
        <w:rPr>
          <w:b/>
        </w:rPr>
        <w:t>európai preferencia”</w:t>
      </w:r>
      <w:r>
        <w:rPr/>
        <w:t xml:space="preserve"> politikáját az Unión belül, garantálja az </w:t>
      </w:r>
      <w:r>
        <w:rPr>
          <w:b/>
        </w:rPr>
        <w:t>alapvető áruk és a know-how védelmét</w:t>
      </w:r>
      <w:r>
        <w:rPr/>
        <w:t xml:space="preserve">, és hozzon létre </w:t>
      </w:r>
      <w:r>
        <w:rPr>
          <w:b/>
        </w:rPr>
        <w:t>„európai bajnokokat”.</w:t>
      </w:r>
      <w:r>
        <w:rPr/>
        <w:t xml:space="preserve"> </w:t>
      </w:r>
    </w:p>
    <w:p>
      <w:pPr>
        <w:pStyle w:val="P68B1DB1Normal33"/>
        <w:widowControl w:val="false"/>
        <w:spacing w:lineRule="auto" w:line="240" w:before="323" w:after="0"/>
        <w:ind w:left="0" w:right="0" w:hanging="0"/>
        <w:jc w:val="left"/>
        <w:rPr>
          <w:rFonts w:ascii="Times New Roman" w:hAnsi="Times New Roman"/>
          <w:b/>
          <w:b/>
          <w:color w:val="000000"/>
          <w:sz w:val="24"/>
        </w:rPr>
      </w:pPr>
      <w:r>
        <w:rPr/>
        <w:t xml:space="preserve">Melyek a legfontosabb lépések és a sikerkritériumok? </w:t>
      </w:r>
    </w:p>
    <w:p>
      <w:pPr>
        <w:pStyle w:val="P68B1DB1Normal19"/>
        <w:widowControl w:val="false"/>
        <w:spacing w:lineRule="auto" w:line="240" w:before="316" w:after="0"/>
        <w:ind w:left="0" w:right="10" w:hanging="0"/>
        <w:jc w:val="both"/>
        <w:rPr/>
      </w:pPr>
      <w:r>
        <w:rPr/>
        <w:t xml:space="preserve">E célkitűzések eléréséhez először is az </w:t>
      </w:r>
      <w:r>
        <w:rPr>
          <w:b/>
        </w:rPr>
        <w:t>„európai preferencia” politika</w:t>
      </w:r>
      <w:r>
        <w:rPr/>
        <w:t xml:space="preserve"> végrehajtására van szükség a pályázatok összefüggésében, valamint a </w:t>
      </w:r>
      <w:r>
        <w:rPr>
          <w:b/>
        </w:rPr>
        <w:t>szén-dioxid-adó</w:t>
      </w:r>
      <w:r>
        <w:rPr/>
        <w:t xml:space="preserve"> bevezetését az importra. </w:t>
      </w:r>
    </w:p>
    <w:p>
      <w:pPr>
        <w:pStyle w:val="P68B1DB1Normal19"/>
        <w:widowControl w:val="false"/>
        <w:spacing w:lineRule="auto" w:line="240" w:before="332" w:after="0"/>
        <w:ind w:left="0" w:right="10" w:hanging="0"/>
        <w:jc w:val="left"/>
        <w:rPr/>
      </w:pPr>
      <w:r>
        <w:rPr/>
        <w:t xml:space="preserve">A know-how védelme a külföldi visszavásárlások és beruházások fokozott ellenőrzését, valamint az </w:t>
      </w:r>
      <w:r>
        <w:rPr>
          <w:b/>
        </w:rPr>
        <w:t>áthelyezési</w:t>
      </w:r>
      <w:r>
        <w:rPr/>
        <w:t xml:space="preserve"> támogatás fejlesztését eredményezné. </w:t>
      </w:r>
    </w:p>
    <w:p>
      <w:pPr>
        <w:pStyle w:val="P68B1DB1Normal19"/>
        <w:widowControl w:val="false"/>
        <w:spacing w:lineRule="auto" w:line="240" w:before="323" w:after="0"/>
        <w:ind w:left="0" w:right="10" w:hanging="0"/>
        <w:jc w:val="both"/>
        <w:rPr/>
      </w:pPr>
      <w:r>
        <w:rPr/>
        <w:t xml:space="preserve">Végezetül az „európai bajnokok” létrehozása magában foglalja az európai </w:t>
      </w:r>
      <w:r>
        <w:rPr>
          <w:b/>
        </w:rPr>
        <w:t>ipari szövetségek</w:t>
      </w:r>
      <w:r>
        <w:rPr/>
        <w:t xml:space="preserve"> ösztönzését a stratégiai ágazatokban, valamint az állami kockázatitőke-befektetések fellendítését. </w:t>
      </w:r>
    </w:p>
    <w:p>
      <w:pPr>
        <w:pStyle w:val="P68B1DB1Normal45"/>
        <w:widowControl w:val="false"/>
        <w:spacing w:lineRule="auto" w:line="240" w:before="333" w:after="0"/>
        <w:ind w:left="0" w:right="13" w:hanging="0"/>
        <w:jc w:val="both"/>
        <w:rPr>
          <w:sz w:val="20"/>
        </w:rPr>
      </w:pPr>
      <w:r>
        <w:rPr/>
        <w:t xml:space="preserve">E változás sikere megvalósul a polgárok számára azáltal, hogy európai ipari szövetségeket alakít ki a kulcsfontosságú ágazatokban, növeli a vállalkozások áthelyezésének számát és javítja a kereskedelmi egyensúlyt. </w:t>
      </w:r>
    </w:p>
    <w:p>
      <w:pPr>
        <w:pStyle w:val="P68B1DB1Normal19"/>
        <w:widowControl w:val="false"/>
        <w:spacing w:lineRule="auto" w:line="240" w:before="153" w:after="0"/>
        <w:ind w:left="0" w:right="0" w:hanging="0"/>
        <w:jc w:val="left"/>
        <w:rPr>
          <w:rFonts w:ascii="Times New Roman" w:hAnsi="Times New Roman"/>
          <w:color w:val="000000"/>
          <w:sz w:val="24"/>
        </w:rPr>
      </w:pPr>
      <w:r>
        <w:rPr/>
        <w:t xml:space="preserve"> </w:t>
      </w:r>
    </w:p>
    <w:p>
      <w:pPr>
        <w:pStyle w:val="P68B1DB1Normal42"/>
        <w:spacing w:lineRule="auto" w:line="240"/>
        <w:rPr/>
      </w:pPr>
      <w:r>
        <w:rPr/>
        <w:t xml:space="preserve">Változás – A polgárok hatalmának erősítése több szinten: részvétel, döntés, ellenőrzés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A társult Európa kívánsága: Demokratikusabb Európa </w:t>
      </w:r>
    </w:p>
    <w:p>
      <w:pPr>
        <w:pStyle w:val="P68B1DB1Normal33"/>
        <w:widowControl w:val="false"/>
        <w:spacing w:lineRule="auto" w:line="240" w:before="323" w:after="0"/>
        <w:ind w:left="0" w:right="0" w:hanging="0"/>
        <w:jc w:val="left"/>
        <w:rPr>
          <w:rFonts w:ascii="Times New Roman" w:hAnsi="Times New Roman"/>
          <w:b/>
          <w:b/>
          <w:color w:val="000000"/>
          <w:sz w:val="24"/>
        </w:rPr>
      </w:pPr>
      <w:r>
        <w:rPr/>
        <w:t xml:space="preserve">Mit jelent ez a változás? </w:t>
      </w:r>
    </w:p>
    <w:p>
      <w:pPr>
        <w:pStyle w:val="P68B1DB1Normal7"/>
        <w:widowControl w:val="false"/>
        <w:spacing w:lineRule="auto" w:line="240" w:before="84" w:after="0"/>
        <w:ind w:left="0" w:right="10" w:hanging="0"/>
        <w:jc w:val="left"/>
        <w:rPr/>
      </w:pPr>
      <w:r>
        <w:rPr>
          <w:i/>
          <w:color w:val="000000"/>
        </w:rPr>
        <w:t>Kulcsszavak: a részvételi arány növelése, európai elégedettségi barométer, a polgárokkal folytatott konzultációk általánossá tétele</w:t>
      </w:r>
      <w:r>
        <w:rPr>
          <w:b/>
          <w:color w:val="273375"/>
        </w:rPr>
        <w:t xml:space="preserve"> </w:t>
      </w:r>
    </w:p>
    <w:p>
      <w:pPr>
        <w:pStyle w:val="P68B1DB1Normal19"/>
        <w:widowControl w:val="false"/>
        <w:spacing w:lineRule="auto" w:line="240" w:before="324" w:after="0"/>
        <w:ind w:left="0" w:right="10" w:hanging="0"/>
        <w:jc w:val="both"/>
        <w:rPr/>
      </w:pPr>
      <w:r>
        <w:rPr/>
        <w:t xml:space="preserve">Ezzel a változtatással a polgárok azt javasolják, hogy „ </w:t>
      </w:r>
      <w:r>
        <w:rPr>
          <w:i/>
        </w:rPr>
        <w:t xml:space="preserve">teljes állampolgári tapasztalatot” </w:t>
      </w:r>
      <w:r>
        <w:rPr/>
        <w:t>alakítsanak ki az</w:t>
      </w:r>
      <w:r>
        <w:rPr>
          <w:i/>
        </w:rPr>
        <w:t xml:space="preserve"> </w:t>
      </w:r>
      <w:r>
        <w:rPr/>
        <w:t xml:space="preserve">európaiak számára, növelve </w:t>
      </w:r>
      <w:r>
        <w:rPr>
          <w:b/>
        </w:rPr>
        <w:t>részvételüket</w:t>
      </w:r>
      <w:r>
        <w:rPr/>
        <w:t xml:space="preserve"> a döntéshozatali folyamatok minden szakaszában. Ez azt tükrözi, </w:t>
      </w:r>
      <w:r>
        <w:rPr>
          <w:b/>
        </w:rPr>
        <w:t>hogy a polgárok hajlandóak hangot adni véleményüknek</w:t>
      </w:r>
      <w:r>
        <w:rPr/>
        <w:t xml:space="preserve">, és befolyásolni a mindennapi életüket érintő közpolitikákat. </w:t>
      </w:r>
    </w:p>
    <w:p>
      <w:pPr>
        <w:pStyle w:val="P68B1DB1Normal33"/>
        <w:widowControl w:val="false"/>
        <w:spacing w:lineRule="auto" w:line="240" w:before="330" w:after="0"/>
        <w:ind w:left="0" w:right="0" w:hanging="0"/>
        <w:jc w:val="left"/>
        <w:rPr>
          <w:rFonts w:ascii="Times New Roman" w:hAnsi="Times New Roman"/>
          <w:b/>
          <w:b/>
          <w:color w:val="000000"/>
          <w:sz w:val="24"/>
        </w:rPr>
      </w:pPr>
      <w:r>
        <w:rPr/>
        <w:t xml:space="preserve">Melyek a legfontosabb lépések és a sikerkritériumok? </w:t>
      </w:r>
    </w:p>
    <w:p>
      <w:pPr>
        <w:pStyle w:val="P68B1DB1Normal24"/>
        <w:widowControl w:val="false"/>
        <w:spacing w:lineRule="auto" w:line="240" w:before="323" w:after="0"/>
        <w:ind w:left="0" w:right="13" w:hanging="0"/>
        <w:jc w:val="both"/>
        <w:rPr/>
      </w:pPr>
      <w:r>
        <w:rPr/>
        <w:t>Ez elsősorban a polgárok számára szükséges, hogy fejlesszék és fenntartsák a polgári részvételi kezdeményezéseket</w:t>
      </w:r>
      <w:r>
        <w:rPr>
          <w:b/>
        </w:rPr>
        <w:t xml:space="preserve">. </w:t>
      </w:r>
      <w:r>
        <w:rPr/>
        <w:t xml:space="preserve">E célból több mozgatórugót is végre lehetne hajtani: </w:t>
      </w:r>
      <w:r>
        <w:rPr>
          <w:b/>
        </w:rPr>
        <w:t>állandó konzultatív kamara</w:t>
      </w:r>
      <w:r>
        <w:rPr/>
        <w:t xml:space="preserve"> létrehozása, a </w:t>
      </w:r>
      <w:r>
        <w:rPr>
          <w:b/>
        </w:rPr>
        <w:t>polgárok hatáskörének</w:t>
      </w:r>
      <w:r>
        <w:rPr/>
        <w:t xml:space="preserve"> az európai szerződésekben való nyilvántartásba vétele vagy a polgárokkal folytatott konzultáció tárgyát képező jogszabályokat igazoló </w:t>
      </w:r>
      <w:r>
        <w:rPr>
          <w:b/>
        </w:rPr>
        <w:t>címke</w:t>
      </w:r>
      <w:r>
        <w:rPr/>
        <w:t xml:space="preserve"> létrehozása. </w:t>
      </w:r>
    </w:p>
    <w:p>
      <w:pPr>
        <w:pStyle w:val="P68B1DB1Normal19"/>
        <w:widowControl w:val="false"/>
        <w:spacing w:lineRule="auto" w:line="240" w:before="230" w:after="0"/>
        <w:ind w:left="0" w:right="10" w:hanging="0"/>
        <w:jc w:val="both"/>
        <w:rPr/>
      </w:pPr>
      <w:r>
        <w:rPr/>
        <w:t xml:space="preserve">E változás sikere az olyan mutatók emelkedésében nyilvánulna meg, mint a </w:t>
      </w:r>
      <w:r>
        <w:rPr>
          <w:b/>
        </w:rPr>
        <w:t>választási részvétel, az Európai Unió iránti érdeklődés</w:t>
      </w:r>
      <w:r>
        <w:rPr/>
        <w:t xml:space="preserve"> és </w:t>
      </w:r>
      <w:r>
        <w:rPr>
          <w:b/>
        </w:rPr>
        <w:t>bizalom</w:t>
      </w:r>
      <w:r>
        <w:rPr/>
        <w:t xml:space="preserve">, valamint az </w:t>
      </w:r>
      <w:r>
        <w:rPr>
          <w:b/>
        </w:rPr>
        <w:t xml:space="preserve"> európai honlapok</w:t>
      </w:r>
      <w:r>
        <w:rPr/>
        <w:t xml:space="preserve"> jelenléte. A polgárokkal folytatott konzultációt követően hozott döntések számának növekedése és az </w:t>
      </w:r>
      <w:r>
        <w:rPr>
          <w:b/>
        </w:rPr>
        <w:t>európai polgári kezdeményezések (ECI</w:t>
      </w:r>
      <w:r>
        <w:rPr/>
        <w:t xml:space="preserve">) fokozott alkalmazása szintén a siker mutatóinak tekinthető. </w:t>
      </w:r>
    </w:p>
    <w:p>
      <w:pPr>
        <w:pStyle w:val="P68B1DB1Normal19"/>
        <w:widowControl w:val="false"/>
        <w:spacing w:lineRule="auto" w:line="240" w:before="90" w:after="0"/>
        <w:ind w:left="0" w:right="0" w:hanging="0"/>
        <w:jc w:val="left"/>
        <w:rPr>
          <w:rFonts w:ascii="Times New Roman" w:hAnsi="Times New Roman"/>
          <w:color w:val="000000"/>
          <w:sz w:val="24"/>
        </w:rPr>
      </w:pPr>
      <w:r>
        <w:rPr/>
        <w:t xml:space="preserve"> </w:t>
      </w:r>
    </w:p>
    <w:p>
      <w:pPr>
        <w:pStyle w:val="P68B1DB1Normal42"/>
        <w:spacing w:lineRule="auto" w:line="240"/>
        <w:rPr/>
      </w:pPr>
      <w:r>
        <w:rPr/>
        <w:t xml:space="preserve">Változás – A közös érdekű területeken erős hatáskörökkel rendelkező európai államok szövetsége felé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A társult Európa kívánsága: Egységesebb Európa </w:t>
      </w:r>
    </w:p>
    <w:p>
      <w:pPr>
        <w:pStyle w:val="P68B1DB1Normal33"/>
        <w:widowControl w:val="false"/>
        <w:spacing w:lineRule="auto" w:line="240" w:before="323" w:after="0"/>
        <w:ind w:left="0" w:right="0" w:hanging="0"/>
        <w:jc w:val="left"/>
        <w:rPr>
          <w:rFonts w:ascii="Times New Roman" w:hAnsi="Times New Roman"/>
          <w:b/>
          <w:b/>
          <w:color w:val="000000"/>
          <w:sz w:val="24"/>
        </w:rPr>
      </w:pPr>
      <w:r>
        <w:rPr/>
        <w:t xml:space="preserve">Mit jelent ez a változás? </w:t>
      </w:r>
    </w:p>
    <w:p>
      <w:pPr>
        <w:pStyle w:val="P68B1DB1Normal7"/>
        <w:widowControl w:val="false"/>
        <w:spacing w:lineRule="auto" w:line="240" w:before="76" w:after="0"/>
        <w:ind w:left="0" w:right="0" w:hanging="0"/>
        <w:jc w:val="left"/>
        <w:rPr/>
      </w:pPr>
      <w:r>
        <w:rPr>
          <w:i/>
          <w:color w:val="000000"/>
        </w:rPr>
        <w:t>Kulcsszavak: intézményi egység, megválasztott elnök, az EU hatásköreinek megerősítése</w:t>
      </w:r>
      <w:r>
        <w:rPr>
          <w:b/>
          <w:color w:val="273375"/>
        </w:rPr>
        <w:t xml:space="preserve"> </w:t>
      </w:r>
    </w:p>
    <w:p>
      <w:pPr>
        <w:pStyle w:val="P68B1DB1Normal19"/>
        <w:widowControl w:val="false"/>
        <w:spacing w:lineRule="auto" w:line="240" w:before="244" w:after="0"/>
        <w:ind w:left="0" w:right="10" w:hanging="0"/>
        <w:jc w:val="both"/>
        <w:rPr/>
      </w:pPr>
      <w:r>
        <w:rPr/>
        <w:t>Ez a változás tükrözi a polgárok azon törekvését, hogy</w:t>
      </w:r>
      <w:r>
        <w:rPr>
          <w:b/>
        </w:rPr>
        <w:t>egyesítsék</w:t>
      </w:r>
      <w:r>
        <w:rPr/>
        <w:t xml:space="preserve"> az európai politikai intézményeket. A bemutatott modell az államok föderációja, amelynek célja az Európai Unió </w:t>
      </w:r>
      <w:r>
        <w:rPr>
          <w:b/>
        </w:rPr>
        <w:t>megosztott vagy kizárólagos hatásköreinek megerősítése</w:t>
      </w:r>
      <w:r>
        <w:rPr/>
        <w:t xml:space="preserve">, anélkül, hogy egy szövetségi állam felé mozdulna el. </w:t>
      </w:r>
    </w:p>
    <w:p>
      <w:pPr>
        <w:pStyle w:val="P68B1DB1Normal33"/>
        <w:widowControl w:val="false"/>
        <w:spacing w:lineRule="auto" w:line="240" w:before="330" w:after="0"/>
        <w:ind w:left="0" w:right="0" w:hanging="0"/>
        <w:jc w:val="left"/>
        <w:rPr>
          <w:rFonts w:ascii="Times New Roman" w:hAnsi="Times New Roman"/>
          <w:b/>
          <w:b/>
          <w:color w:val="000000"/>
          <w:sz w:val="24"/>
        </w:rPr>
      </w:pPr>
      <w:r>
        <w:rPr/>
        <w:t xml:space="preserve">Melyek a legfontosabb mérföldkövek és sikerkritériumok? </w:t>
      </w:r>
    </w:p>
    <w:p>
      <w:pPr>
        <w:pStyle w:val="P68B1DB1Normal19"/>
        <w:widowControl w:val="false"/>
        <w:spacing w:lineRule="auto" w:line="240" w:before="239" w:after="0"/>
        <w:ind w:left="0" w:right="10" w:hanging="0"/>
        <w:jc w:val="both"/>
        <w:rPr/>
      </w:pPr>
      <w:r>
        <w:rPr/>
        <w:t xml:space="preserve">Belsőleg ez a változás magában foglalhatja a </w:t>
      </w:r>
      <w:r>
        <w:rPr>
          <w:b/>
        </w:rPr>
        <w:t>polgárok részvételének</w:t>
      </w:r>
      <w:r>
        <w:rPr/>
        <w:t xml:space="preserve"> fejlesztését, a </w:t>
      </w:r>
      <w:r>
        <w:rPr>
          <w:b/>
        </w:rPr>
        <w:t>tagállamokon belüli európai minisztériumok létrehozását, valamint</w:t>
      </w:r>
      <w:r>
        <w:rPr/>
        <w:t xml:space="preserve"> hosszabb távon az Európai Bizottság elnökének </w:t>
      </w:r>
      <w:r>
        <w:rPr>
          <w:b/>
        </w:rPr>
        <w:t>általános választójog alapján történő</w:t>
      </w:r>
      <w:r>
        <w:rPr/>
        <w:t xml:space="preserve"> </w:t>
      </w:r>
      <w:r>
        <w:rPr>
          <w:b/>
        </w:rPr>
        <w:t>megválasztását</w:t>
      </w:r>
      <w:r>
        <w:rPr/>
        <w:t xml:space="preserve">. </w:t>
      </w:r>
    </w:p>
    <w:p>
      <w:pPr>
        <w:pStyle w:val="P68B1DB1Normal19"/>
        <w:widowControl w:val="false"/>
        <w:spacing w:lineRule="auto" w:line="240" w:before="327" w:after="0"/>
        <w:ind w:left="0" w:right="10" w:hanging="0"/>
        <w:jc w:val="left"/>
        <w:rPr/>
      </w:pPr>
      <w:r>
        <w:rPr/>
        <w:t xml:space="preserve">Külsőleg az európai hang erősítése a nemzetközi színtéren </w:t>
      </w:r>
      <w:r>
        <w:rPr>
          <w:b/>
        </w:rPr>
        <w:t>Európa egyedülálló  képviselője által</w:t>
      </w:r>
      <w:r>
        <w:rPr/>
        <w:t xml:space="preserve"> inkarnációvá válna. </w:t>
      </w:r>
    </w:p>
    <w:p>
      <w:pPr>
        <w:pStyle w:val="P68B1DB1Normal24"/>
        <w:widowControl w:val="false"/>
        <w:spacing w:lineRule="auto" w:line="240" w:before="324" w:after="0"/>
        <w:ind w:left="0" w:right="15" w:hanging="0"/>
        <w:jc w:val="left"/>
        <w:rPr/>
      </w:pPr>
      <w:r>
        <w:rPr/>
        <w:t xml:space="preserve">Az államok e szövetsége számára is előnyös lenne a megnövekedett </w:t>
      </w:r>
      <w:r>
        <w:rPr>
          <w:b/>
        </w:rPr>
        <w:t>európai költségvetés</w:t>
      </w:r>
      <w:r>
        <w:rPr/>
        <w:t xml:space="preserve">, amelynek célja, hogy elérje a GDP 10%-át (a jelenlegi 2%-hoz képest). </w:t>
      </w:r>
    </w:p>
    <w:p>
      <w:pPr>
        <w:pStyle w:val="Normal"/>
        <w:widowControl w:val="false"/>
        <w:spacing w:lineRule="auto" w:line="240" w:before="153" w:after="0"/>
        <w:ind w:left="0" w:right="0" w:hanging="0"/>
        <w:jc w:val="left"/>
        <w:rPr>
          <w:rFonts w:ascii="Times New Roman" w:hAnsi="Times New Roman"/>
          <w:color w:val="000000"/>
          <w:sz w:val="24"/>
        </w:rPr>
      </w:pPr>
      <w:r>
        <w:rPr>
          <w:rFonts w:ascii="Times New Roman" w:hAnsi="Times New Roman"/>
          <w:color w:val="000000"/>
          <w:sz w:val="24"/>
        </w:rPr>
      </w:r>
      <w:r>
        <w:br w:type="page"/>
      </w:r>
    </w:p>
    <w:p>
      <w:pPr>
        <w:pStyle w:val="P68B1DB1Normal42"/>
        <w:spacing w:lineRule="auto" w:line="240"/>
        <w:rPr>
          <w:rFonts w:ascii="Times New Roman" w:hAnsi="Times New Roman"/>
          <w:b/>
          <w:b/>
          <w:color w:val="000000"/>
          <w:sz w:val="28"/>
        </w:rPr>
      </w:pPr>
      <w:r>
        <w:rPr/>
        <w:t xml:space="preserve">Változás 6 – Az egész életen át tartó csereprogramokra vonatkozó javaslat </w:t>
      </w:r>
    </w:p>
    <w:p>
      <w:pPr>
        <w:pStyle w:val="P68B1DB1Normal43"/>
        <w:widowControl w:val="false"/>
        <w:spacing w:lineRule="auto" w:line="240" w:before="349" w:after="0"/>
        <w:ind w:left="0" w:right="0" w:hanging="0"/>
        <w:jc w:val="left"/>
        <w:rPr>
          <w:rFonts w:ascii="Times New Roman" w:hAnsi="Times New Roman"/>
          <w:b/>
          <w:b/>
          <w:i/>
          <w:i/>
          <w:color w:val="808080"/>
          <w:sz w:val="24"/>
        </w:rPr>
      </w:pPr>
      <w:r>
        <w:rPr/>
        <w:t xml:space="preserve">A társult Európa kívánsága: Az oktatást előtérbe helyező Európa </w:t>
      </w:r>
    </w:p>
    <w:p>
      <w:pPr>
        <w:pStyle w:val="P68B1DB1Normal33"/>
        <w:widowControl w:val="false"/>
        <w:spacing w:lineRule="auto" w:line="240" w:before="326" w:after="0"/>
        <w:ind w:left="0" w:right="0" w:hanging="0"/>
        <w:jc w:val="left"/>
        <w:rPr>
          <w:rFonts w:ascii="Times New Roman" w:hAnsi="Times New Roman"/>
          <w:b/>
          <w:b/>
          <w:color w:val="000000"/>
          <w:sz w:val="24"/>
        </w:rPr>
      </w:pPr>
      <w:r>
        <w:rPr/>
        <w:t xml:space="preserve">Mit jelent ez a változás? </w:t>
      </w:r>
    </w:p>
    <w:p>
      <w:pPr>
        <w:pStyle w:val="P68B1DB1Normal44"/>
        <w:widowControl w:val="false"/>
        <w:spacing w:lineRule="auto" w:line="240" w:before="326" w:after="0"/>
        <w:ind w:left="0" w:right="0" w:hanging="0"/>
        <w:jc w:val="left"/>
        <w:rPr>
          <w:rFonts w:ascii="Times New Roman" w:hAnsi="Times New Roman"/>
          <w:i/>
          <w:i/>
          <w:color w:val="000000"/>
          <w:sz w:val="24"/>
        </w:rPr>
      </w:pPr>
      <w:r>
        <w:rPr/>
        <w:t xml:space="preserve">Kulcsszavak: iskolai csereprogramok, Erasmus </w:t>
      </w:r>
    </w:p>
    <w:p>
      <w:pPr>
        <w:pStyle w:val="P68B1DB1Normal19"/>
        <w:widowControl w:val="false"/>
        <w:spacing w:lineRule="auto" w:line="240" w:before="330" w:after="0"/>
        <w:ind w:left="0" w:right="0" w:hanging="0"/>
        <w:jc w:val="both"/>
        <w:rPr/>
      </w:pPr>
      <w:r>
        <w:rPr/>
        <w:t xml:space="preserve">Széles körben elismert, hogy ez a változás tükrözi a polgárok számára a külföldi találkozók és tapasztalatok fontosságát, mint az európai érzelmek erőteljes erjedését. A cél az, hogy </w:t>
      </w:r>
      <w:r>
        <w:rPr>
          <w:i/>
        </w:rPr>
        <w:t xml:space="preserve">„a tudományos ismeretekről egy </w:t>
      </w:r>
      <w:r>
        <w:rPr>
          <w:b/>
          <w:i/>
        </w:rPr>
        <w:t>élő, tapasztalt és érzékeny európai megközelítésre</w:t>
      </w:r>
      <w:r>
        <w:rPr/>
        <w:t xml:space="preserve">” térjünk át, és a tágabb értelemben vett oktatást az </w:t>
      </w:r>
      <w:r>
        <w:rPr>
          <w:b/>
        </w:rPr>
        <w:t xml:space="preserve">egész életen át tartó tanulásként értelmezzük. </w:t>
      </w:r>
    </w:p>
    <w:p>
      <w:pPr>
        <w:pStyle w:val="P68B1DB1Normal33"/>
        <w:widowControl w:val="false"/>
        <w:spacing w:lineRule="auto" w:line="240" w:before="323" w:after="0"/>
        <w:ind w:left="0" w:right="0" w:hanging="0"/>
        <w:jc w:val="left"/>
        <w:rPr>
          <w:rFonts w:ascii="Times New Roman" w:hAnsi="Times New Roman"/>
          <w:b/>
          <w:b/>
          <w:color w:val="000000"/>
          <w:sz w:val="24"/>
        </w:rPr>
      </w:pPr>
      <w:r>
        <w:rPr/>
        <w:t xml:space="preserve">Melyek a legfontosabb lépések és a sikerkritériumok? </w:t>
      </w:r>
    </w:p>
    <w:p>
      <w:pPr>
        <w:pStyle w:val="P68B1DB1Normal24"/>
        <w:widowControl w:val="false"/>
        <w:spacing w:lineRule="auto" w:line="240" w:before="317" w:after="0"/>
        <w:ind w:left="0" w:right="4" w:hanging="0"/>
        <w:jc w:val="both"/>
        <w:rPr/>
      </w:pPr>
      <w:r>
        <w:rPr/>
        <w:t xml:space="preserve">Az ilyen változás sikere elsősorban </w:t>
      </w:r>
      <w:r>
        <w:rPr>
          <w:b/>
        </w:rPr>
        <w:t>egy kibővített mobilitási ajánlat</w:t>
      </w:r>
      <w:r>
        <w:rPr/>
        <w:t xml:space="preserve"> bevezetésének köszönhető, beleértve többek között az iskolai cseréket, az ikerintézményi együttműködést, az utazást és a szakmai mobilitást. A polgárok számára ennek az ajánlatnak mindenki számára hozzáférhetőnek kell lennie, különösen az alacsony erőforrásokkal vagy fogyatékossággal élők számára. Az Erasmus program például minden olyan európaira kiterjedhetne, akinek nincs korhatára vagy erőforrás-korlátja. Ezeket a programokat </w:t>
      </w:r>
      <w:r>
        <w:rPr>
          <w:b/>
        </w:rPr>
        <w:t>sokszínűnek, inkluzívnak</w:t>
      </w:r>
      <w:r>
        <w:rPr>
          <w:b/>
          <w:sz w:val="20"/>
        </w:rPr>
        <w:t xml:space="preserve"> </w:t>
      </w:r>
      <w:r>
        <w:rPr>
          <w:b/>
        </w:rPr>
        <w:t>és egyszerűsített adminisztratív eljárásokkal elérhetőnek</w:t>
      </w:r>
      <w:r>
        <w:rPr/>
        <w:t xml:space="preserve"> kell tekinteni. </w:t>
      </w:r>
    </w:p>
    <w:p>
      <w:pPr>
        <w:pStyle w:val="P68B1DB1Normal24"/>
        <w:widowControl w:val="false"/>
        <w:spacing w:lineRule="auto" w:line="240" w:before="232" w:after="0"/>
        <w:ind w:left="0" w:right="3" w:hanging="0"/>
        <w:jc w:val="both"/>
        <w:rPr/>
      </w:pPr>
      <w:r>
        <w:rPr/>
        <w:t xml:space="preserve">A mobilitás mellett említésre került </w:t>
      </w:r>
      <w:r>
        <w:rPr>
          <w:b/>
        </w:rPr>
        <w:t>az oktatási rendszerek közötti hidak</w:t>
      </w:r>
      <w:r>
        <w:rPr/>
        <w:t xml:space="preserve"> (diplomák egyenértékűsége stb.) és Európa vonzerejének növelése a tehetségek külföldre szivárgásának elkerülése érdekében. </w:t>
      </w:r>
    </w:p>
    <w:p>
      <w:pPr>
        <w:pStyle w:val="P68B1DB1Normal19"/>
        <w:widowControl w:val="false"/>
        <w:spacing w:lineRule="auto" w:line="240" w:before="153" w:after="0"/>
        <w:ind w:left="0" w:right="0" w:hanging="0"/>
        <w:jc w:val="left"/>
        <w:rPr>
          <w:rFonts w:ascii="Times New Roman" w:hAnsi="Times New Roman"/>
          <w:color w:val="000000"/>
          <w:sz w:val="24"/>
        </w:rPr>
      </w:pPr>
      <w:r>
        <w:rPr/>
        <w:t xml:space="preserve"> </w:t>
      </w:r>
    </w:p>
    <w:p>
      <w:pPr>
        <w:pStyle w:val="P68B1DB1Normal42"/>
        <w:spacing w:lineRule="auto" w:line="240"/>
        <w:rPr/>
      </w:pPr>
      <w:r>
        <w:rPr/>
        <w:t xml:space="preserve">Változás 7 – Az európai kultúrák megosztása az események és események egységesítése révén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A társult Európa kívánsága: Közös kultúrákkal és identitásokkal rendelkező Európa </w:t>
      </w:r>
    </w:p>
    <w:p>
      <w:pPr>
        <w:pStyle w:val="P68B1DB1Normal33"/>
        <w:widowControl w:val="false"/>
        <w:spacing w:lineRule="auto" w:line="240" w:before="326" w:after="0"/>
        <w:ind w:left="0" w:right="0" w:hanging="0"/>
        <w:jc w:val="left"/>
        <w:rPr>
          <w:rFonts w:ascii="Times New Roman" w:hAnsi="Times New Roman"/>
          <w:b/>
          <w:b/>
          <w:color w:val="000000"/>
          <w:sz w:val="24"/>
        </w:rPr>
      </w:pPr>
      <w:r>
        <w:rPr/>
        <w:t xml:space="preserve">Mit jelent ez a változás? </w:t>
      </w:r>
    </w:p>
    <w:p>
      <w:pPr>
        <w:pStyle w:val="P68B1DB1Normal44"/>
        <w:widowControl w:val="false"/>
        <w:spacing w:lineRule="auto" w:line="240" w:before="206" w:after="0"/>
        <w:ind w:left="0" w:right="0" w:hanging="0"/>
        <w:jc w:val="left"/>
        <w:rPr>
          <w:rFonts w:ascii="Times New Roman" w:hAnsi="Times New Roman"/>
          <w:i/>
          <w:i/>
          <w:color w:val="000000"/>
          <w:sz w:val="24"/>
        </w:rPr>
      </w:pPr>
      <w:r>
        <w:rPr/>
        <w:t xml:space="preserve">Kulcsszavak: Európai Fesztivál, Európai Nyilvános Ünnep, Európa Világkiállítása </w:t>
      </w:r>
    </w:p>
    <w:p>
      <w:pPr>
        <w:pStyle w:val="P68B1DB1Normal19"/>
        <w:widowControl w:val="false"/>
        <w:spacing w:lineRule="auto" w:line="240" w:before="246" w:after="0"/>
        <w:ind w:left="0" w:right="10" w:hanging="0"/>
        <w:jc w:val="left"/>
        <w:rPr/>
      </w:pPr>
      <w:r>
        <w:rPr/>
        <w:t xml:space="preserve">Ennek a változásnak </w:t>
      </w:r>
      <w:r>
        <w:rPr>
          <w:b/>
        </w:rPr>
        <w:t>az a célja, hogy közös élményeken, eseményeken és ünnepi eseményeken keresztül európai szellemet teremtsen</w:t>
      </w:r>
      <w:r>
        <w:rPr/>
        <w:t xml:space="preserve"> és éljen. </w:t>
      </w:r>
    </w:p>
    <w:p>
      <w:pPr>
        <w:pStyle w:val="P68B1DB1Normal33"/>
        <w:widowControl w:val="false"/>
        <w:spacing w:lineRule="auto" w:line="240" w:before="330" w:after="0"/>
        <w:ind w:left="0" w:right="0" w:hanging="0"/>
        <w:jc w:val="left"/>
        <w:rPr>
          <w:rFonts w:ascii="Times New Roman" w:hAnsi="Times New Roman"/>
          <w:b/>
          <w:b/>
          <w:color w:val="000000"/>
          <w:sz w:val="24"/>
        </w:rPr>
      </w:pPr>
      <w:r>
        <w:rPr/>
        <w:t xml:space="preserve">Melyek a legfontosabb lépések és a sikerkritériumok? </w:t>
      </w:r>
    </w:p>
    <w:p>
      <w:pPr>
        <w:pStyle w:val="P68B1DB1Normal19"/>
        <w:widowControl w:val="false"/>
        <w:spacing w:lineRule="auto" w:line="240" w:before="239" w:after="0"/>
        <w:ind w:left="0" w:right="10" w:hanging="0"/>
        <w:jc w:val="both"/>
        <w:rPr/>
      </w:pPr>
      <w:r>
        <w:rPr/>
        <w:t xml:space="preserve">A polgárok által elképzelt események célja, hogy </w:t>
      </w:r>
      <w:r>
        <w:rPr>
          <w:b/>
        </w:rPr>
        <w:t>szórakoztatóak, egységesek és népszerűek</w:t>
      </w:r>
      <w:r>
        <w:rPr/>
        <w:t xml:space="preserve"> legyenek, hogy a legtöbben megosszák egymással. Ennek érdekében be kell vonniuk az </w:t>
      </w:r>
      <w:r>
        <w:rPr>
          <w:b/>
        </w:rPr>
        <w:t>összes közönséget</w:t>
      </w:r>
      <w:r>
        <w:rPr/>
        <w:t xml:space="preserve"> (beleértve a gyermekeket, az iskolai közönséget, a fiatalokat és az Erasmus-hallgatókat), és </w:t>
      </w:r>
      <w:r>
        <w:rPr>
          <w:b/>
        </w:rPr>
        <w:t>különböző helyeken</w:t>
      </w:r>
      <w:r>
        <w:rPr/>
        <w:t xml:space="preserve"> (nyugdíjas házakban, iskolákban, közigazgatási szervekben, börtönökben stb.) kell zajlaniuk. </w:t>
      </w:r>
    </w:p>
    <w:p>
      <w:pPr>
        <w:pStyle w:val="P68B1DB1Normal24"/>
        <w:widowControl w:val="false"/>
        <w:spacing w:lineRule="auto" w:line="240" w:before="327" w:after="0"/>
        <w:ind w:left="0" w:right="13" w:hanging="0"/>
        <w:jc w:val="both"/>
        <w:rPr/>
      </w:pPr>
      <w:r>
        <w:rPr/>
        <w:t xml:space="preserve">Különösen két eseményt terveztek az európaiak egyesítésére: </w:t>
      </w:r>
      <w:r>
        <w:rPr>
          <w:b/>
        </w:rPr>
        <w:t>Európa egyetemes kiállítása</w:t>
      </w:r>
      <w:r>
        <w:rPr/>
        <w:t xml:space="preserve">, amely lehetővé tenné valamennyi tagállam képviseletét, valamint egy május 9- </w:t>
      </w:r>
      <w:r>
        <w:rPr>
          <w:b/>
        </w:rPr>
        <w:t>i Európa-nap átdolgozása</w:t>
      </w:r>
      <w:r>
        <w:rPr/>
        <w:t xml:space="preserve">, amely magában foglalna egy oktatási eseményt is, </w:t>
      </w:r>
      <w:r>
        <w:rPr>
          <w:i/>
        </w:rPr>
        <w:t>hogy „nem feledkezzünk meg az Európához és értékeihez kapcsolódó békéről</w:t>
      </w:r>
      <w:r>
        <w:rPr/>
        <w:t xml:space="preserve">”. Ugyanakkor az európai képviselők az iskoláikban találkozhatnának a kontinens iskoláival annak érdekében, hogy már fiatal korban megerősítsék a polgárok közelségét és megértését. </w:t>
      </w:r>
    </w:p>
    <w:p>
      <w:pPr>
        <w:pStyle w:val="P68B1DB1Normal19"/>
        <w:widowControl w:val="false"/>
        <w:spacing w:lineRule="auto" w:line="240" w:before="112" w:after="0"/>
        <w:ind w:left="0" w:right="0" w:hanging="0"/>
        <w:jc w:val="left"/>
        <w:rPr>
          <w:rFonts w:ascii="Times New Roman" w:hAnsi="Times New Roman"/>
          <w:color w:val="000000"/>
          <w:sz w:val="24"/>
        </w:rPr>
      </w:pPr>
      <w:r>
        <w:rPr/>
        <w:t xml:space="preserve"> </w:t>
      </w:r>
    </w:p>
    <w:p>
      <w:pPr>
        <w:pStyle w:val="P68B1DB1Normal42"/>
        <w:spacing w:lineRule="auto" w:line="240"/>
        <w:rPr/>
      </w:pPr>
      <w:r>
        <w:rPr/>
        <w:t xml:space="preserve">8. módosítás – Az egészség harmonizálása és valamennyi európai polgár számára való hozzáférhetővé tétele közös egészségügyi politika révén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A társult Európa kívánsága: Szolidáris Európa, amely megvédi </w:t>
      </w:r>
    </w:p>
    <w:p>
      <w:pPr>
        <w:pStyle w:val="P68B1DB1Normal33"/>
        <w:widowControl w:val="false"/>
        <w:spacing w:lineRule="auto" w:line="240" w:before="326" w:after="0"/>
        <w:ind w:left="0" w:right="0" w:hanging="0"/>
        <w:jc w:val="left"/>
        <w:rPr>
          <w:rFonts w:ascii="Times New Roman" w:hAnsi="Times New Roman"/>
          <w:b/>
          <w:b/>
          <w:color w:val="000000"/>
          <w:sz w:val="24"/>
        </w:rPr>
      </w:pPr>
      <w:r>
        <w:rPr/>
        <w:t xml:space="preserve">Mit jelent ez a változás? </w:t>
      </w:r>
    </w:p>
    <w:p>
      <w:pPr>
        <w:pStyle w:val="P68B1DB1Normal7"/>
        <w:widowControl w:val="false"/>
        <w:spacing w:lineRule="auto" w:line="240" w:before="86" w:after="0"/>
        <w:ind w:left="0" w:right="10" w:hanging="0"/>
        <w:jc w:val="left"/>
        <w:rPr/>
      </w:pPr>
      <w:r>
        <w:rPr>
          <w:i/>
          <w:color w:val="000000"/>
        </w:rPr>
        <w:t>Kulcsszavak: egyetemes egészségügyi ellátás, az ellátás harmonizálása, az egészség mint alapvető jog</w:t>
      </w:r>
      <w:r>
        <w:rPr>
          <w:b/>
          <w:color w:val="273375"/>
        </w:rPr>
        <w:t xml:space="preserve"> </w:t>
      </w:r>
    </w:p>
    <w:p>
      <w:pPr>
        <w:pStyle w:val="P68B1DB1Normal19"/>
        <w:widowControl w:val="false"/>
        <w:spacing w:lineRule="auto" w:line="240" w:before="248" w:after="0"/>
        <w:ind w:left="0" w:right="10" w:hanging="0"/>
        <w:jc w:val="both"/>
        <w:rPr/>
      </w:pPr>
      <w:r>
        <w:rPr/>
        <w:t xml:space="preserve">Annak érdekében, hogy valamennyi európai számára biztosítani lehessen az egészségügyi ellátáshoz való hozzáférést, valamint hogy reagálni lehessen </w:t>
      </w:r>
      <w:r>
        <w:rPr>
          <w:i/>
        </w:rPr>
        <w:t>a védelemre és szolidaritásra irányuló igényre</w:t>
      </w:r>
      <w:r>
        <w:rPr/>
        <w:t xml:space="preserve">, egyhangúlag egy </w:t>
      </w:r>
      <w:r>
        <w:rPr>
          <w:b/>
        </w:rPr>
        <w:t>nemzetek feletti egészségügyi rendszert</w:t>
      </w:r>
      <w:r>
        <w:rPr/>
        <w:t xml:space="preserve"> javasoltak. Ez a tagállamok közötti méltányos finanszírozáson alapulna, és a legjobb uniós rendszerekre épülne. Ez a változás tükrözi a polgárok hajlandóságát arra, hogy Európa aktívabb szerepet vállaljon a lakosság védelmében, különösen az egészségügy területén, ahol az eddigi fellépéseket túlságosan félénknek tartják. </w:t>
      </w:r>
    </w:p>
    <w:p>
      <w:pPr>
        <w:pStyle w:val="P68B1DB1Normal33"/>
        <w:widowControl w:val="false"/>
        <w:spacing w:lineRule="auto" w:line="240" w:before="330" w:after="0"/>
        <w:ind w:left="0" w:right="0" w:hanging="0"/>
        <w:jc w:val="left"/>
        <w:rPr>
          <w:rFonts w:ascii="Times New Roman" w:hAnsi="Times New Roman"/>
          <w:b/>
          <w:b/>
          <w:color w:val="000000"/>
          <w:sz w:val="24"/>
        </w:rPr>
      </w:pPr>
      <w:r>
        <w:rPr/>
        <w:t xml:space="preserve">Melyek a legfontosabb lépések és a sikerkritériumok? </w:t>
      </w:r>
    </w:p>
    <w:p>
      <w:pPr>
        <w:pStyle w:val="P68B1DB1Normal19"/>
        <w:widowControl w:val="false"/>
        <w:spacing w:lineRule="auto" w:line="240" w:before="239" w:after="0"/>
        <w:ind w:left="0" w:right="10" w:hanging="0"/>
        <w:jc w:val="both"/>
        <w:rPr/>
      </w:pPr>
      <w:r>
        <w:rPr/>
        <w:t xml:space="preserve">E változás megvalósítása érdekében a többség elfogadta az </w:t>
      </w:r>
      <w:r>
        <w:rPr>
          <w:b/>
        </w:rPr>
        <w:t>európai egyetemes szociális biztonság</w:t>
      </w:r>
      <w:r>
        <w:rPr/>
        <w:t xml:space="preserve"> elvét. A rendszer végrehajtására vonatkozó rendelkezésekről azonban nem lehetett dönteni. Míg egyesek az </w:t>
      </w:r>
      <w:r>
        <w:rPr>
          <w:i/>
        </w:rPr>
        <w:t xml:space="preserve">adatok központosítása mellett érvelnek, amelyek lehetővé teszik [az európai] egészségügyi dolgozók számára, hogy hozzáférjenek a beteg összes kórtörténetéhez, </w:t>
      </w:r>
      <w:r>
        <w:rPr/>
        <w:t xml:space="preserve">mások ezt az intézkedést </w:t>
      </w:r>
      <w:r>
        <w:rPr>
          <w:i/>
        </w:rPr>
        <w:t>„további szabadságelvonásnak és ellenőrzési rendszernek” tekintik.</w:t>
      </w:r>
      <w:r>
        <w:rPr/>
        <w:t xml:space="preserve"> </w:t>
      </w:r>
    </w:p>
    <w:p>
      <w:pPr>
        <w:pStyle w:val="P68B1DB1Normal24"/>
        <w:widowControl w:val="false"/>
        <w:spacing w:lineRule="auto" w:line="240" w:before="329" w:after="0"/>
        <w:ind w:left="0" w:right="14" w:hanging="0"/>
        <w:jc w:val="both"/>
        <w:rPr/>
      </w:pPr>
      <w:r>
        <w:rPr>
          <w:b/>
        </w:rPr>
        <w:t>Mindazonáltal minden jelentős átalakulás előfeltételeként azonosították aszabályozási követelmények átláthatóságátés harmonizálását az egész kontinensen, valamint az európai egészségügyi tervet</w:t>
      </w:r>
      <w:r>
        <w:rPr/>
        <w:t xml:space="preserve">. </w:t>
      </w:r>
    </w:p>
    <w:p>
      <w:pPr>
        <w:pStyle w:val="P68B1DB1Normal19"/>
        <w:spacing w:lineRule="auto" w:line="240"/>
        <w:rPr>
          <w:rFonts w:ascii="Times New Roman" w:hAnsi="Times New Roman"/>
          <w:color w:val="000000"/>
          <w:sz w:val="24"/>
        </w:rPr>
      </w:pPr>
      <w:r>
        <w:rPr/>
        <w:t xml:space="preserve"> </w:t>
      </w:r>
    </w:p>
    <w:p>
      <w:pPr>
        <w:pStyle w:val="P68B1DB1Normal42"/>
        <w:widowControl w:val="false"/>
        <w:spacing w:lineRule="auto" w:line="240" w:before="237" w:after="0"/>
        <w:ind w:left="0" w:right="0" w:hanging="0"/>
        <w:jc w:val="left"/>
        <w:rPr/>
      </w:pPr>
      <w:r>
        <w:rPr/>
        <w:t xml:space="preserve">9. változás – Stratégiai csatornák kialakítása és irányítása európai szinten szuverenitásunk biztosítása érdekében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A társult Európa kívánsága: Versenyképes és innovatív Európa </w:t>
      </w:r>
    </w:p>
    <w:p>
      <w:pPr>
        <w:pStyle w:val="P68B1DB1Normal33"/>
        <w:widowControl w:val="false"/>
        <w:spacing w:lineRule="auto" w:line="240" w:before="326" w:after="0"/>
        <w:ind w:left="0" w:right="0" w:hanging="0"/>
        <w:jc w:val="left"/>
        <w:rPr>
          <w:rFonts w:ascii="Times New Roman" w:hAnsi="Times New Roman"/>
          <w:b/>
          <w:b/>
          <w:color w:val="000000"/>
          <w:sz w:val="24"/>
        </w:rPr>
      </w:pPr>
      <w:r>
        <w:rPr/>
        <w:t xml:space="preserve">Mit jelent ez a változás? </w:t>
      </w:r>
    </w:p>
    <w:p>
      <w:pPr>
        <w:pStyle w:val="P68B1DB1Normal7"/>
        <w:widowControl w:val="false"/>
        <w:spacing w:lineRule="auto" w:line="240" w:before="86" w:after="0"/>
        <w:ind w:left="0" w:right="9" w:hanging="0"/>
        <w:jc w:val="left"/>
        <w:rPr/>
      </w:pPr>
      <w:r>
        <w:rPr>
          <w:i/>
          <w:color w:val="000000"/>
        </w:rPr>
        <w:t>Kulcsszavak: az európai bajnokok fejlesztése, a külföldi beruházások ellenőrzése, a digitális autonómia és az energiaügy</w:t>
      </w:r>
      <w:r>
        <w:rPr>
          <w:b/>
          <w:color w:val="273375"/>
        </w:rPr>
        <w:t xml:space="preserve"> </w:t>
      </w:r>
    </w:p>
    <w:p>
      <w:pPr>
        <w:pStyle w:val="P68B1DB1Normal19"/>
        <w:widowControl w:val="false"/>
        <w:spacing w:lineRule="auto" w:line="240" w:before="248" w:after="0"/>
        <w:ind w:left="0" w:right="9" w:hanging="0"/>
        <w:jc w:val="both"/>
        <w:rPr/>
      </w:pPr>
      <w:r>
        <w:rPr/>
        <w:t xml:space="preserve">Az olyan stratégiai ágazatok, mint az egészségügy, az élelmiszeripar, az energia, a digitális technológia, a védelem, a közlekedés és az új anyagok európai szintű kísérleti megvalósítása megfelel a polgárok által azonosított </w:t>
      </w:r>
      <w:r>
        <w:rPr>
          <w:b/>
        </w:rPr>
        <w:t>szuverenitás iránti igénynek</w:t>
      </w:r>
      <w:r>
        <w:rPr/>
        <w:t>. Ez korlátozná az európai vállalatok közötti versenyt, elősegítené a</w:t>
      </w:r>
      <w:r>
        <w:rPr>
          <w:b/>
        </w:rPr>
        <w:t>kontinentális bajnokok megjelenését</w:t>
      </w:r>
      <w:r>
        <w:rPr/>
        <w:t xml:space="preserve">, </w:t>
      </w:r>
      <w:r>
        <w:rPr>
          <w:b/>
        </w:rPr>
        <w:t>és európai</w:t>
      </w:r>
      <w:r>
        <w:rPr/>
        <w:t xml:space="preserve"> preferencia révén újraiparosítaná Európát. </w:t>
      </w:r>
    </w:p>
    <w:p>
      <w:pPr>
        <w:pStyle w:val="P68B1DB1Normal33"/>
        <w:widowControl w:val="false"/>
        <w:spacing w:lineRule="auto" w:line="240" w:before="325" w:after="0"/>
        <w:ind w:left="0" w:right="0" w:hanging="0"/>
        <w:jc w:val="left"/>
        <w:rPr>
          <w:rFonts w:ascii="Times New Roman" w:hAnsi="Times New Roman"/>
          <w:b/>
          <w:b/>
          <w:color w:val="000000"/>
          <w:sz w:val="24"/>
        </w:rPr>
      </w:pPr>
      <w:r>
        <w:rPr/>
        <w:t xml:space="preserve">Melyek a legfontosabb lépések és a sikerkritériumok? </w:t>
      </w:r>
    </w:p>
    <w:p>
      <w:pPr>
        <w:pStyle w:val="P68B1DB1Normal19"/>
        <w:widowControl w:val="false"/>
        <w:spacing w:lineRule="auto" w:line="240" w:before="237" w:after="0"/>
        <w:ind w:left="0" w:right="9" w:hanging="0"/>
        <w:jc w:val="both"/>
        <w:rPr/>
      </w:pPr>
      <w:r>
        <w:rPr/>
        <w:t xml:space="preserve">E szuverenitás elérése érdekében egy </w:t>
      </w:r>
      <w:r>
        <w:rPr>
          <w:b/>
        </w:rPr>
        <w:t>európai hatóságot megbízhatnának</w:t>
      </w:r>
      <w:r>
        <w:rPr/>
        <w:t xml:space="preserve"> azzal, hogy vezesse ezeket az ágazatokat azáltal, hogy külföldi versenytársak által kiadott engedélyeket ad ki az európai vállalatok felvásárlására, és biztosítja, hogy az importált termékek megfeleljenek az uniós termeléssel megegyező előírásoknak. Középtávon ezekben a stratégiai ágazatokban</w:t>
      </w:r>
      <w:r>
        <w:rPr>
          <w:b/>
        </w:rPr>
        <w:t xml:space="preserve"> az európai fogyasztás 30–50%</w:t>
      </w:r>
      <w:r>
        <w:rPr/>
        <w:t xml:space="preserve"> -át, hosszú távon </w:t>
      </w:r>
      <w:r>
        <w:rPr>
          <w:b/>
        </w:rPr>
        <w:t>pedig akár 70% -át kell előállítani</w:t>
      </w:r>
      <w:r>
        <w:rPr/>
        <w:t>. E kritériumok teljesítése biztosítaná az önellátást</w:t>
      </w:r>
      <w:r>
        <w:rPr>
          <w:b/>
        </w:rPr>
        <w:t>,</w:t>
      </w:r>
      <w:r>
        <w:rPr/>
        <w:t xml:space="preserve"> valamint az európai ipari modell</w:t>
      </w:r>
      <w:r>
        <w:rPr>
          <w:b/>
        </w:rPr>
        <w:t xml:space="preserve"> befolyását</w:t>
      </w:r>
      <w:r>
        <w:rPr/>
        <w:t>, sőt</w:t>
      </w:r>
      <w:r>
        <w:rPr>
          <w:b/>
        </w:rPr>
        <w:t xml:space="preserve">exportját </w:t>
      </w:r>
      <w:r>
        <w:rPr/>
        <w:t xml:space="preserve">is. </w:t>
      </w:r>
    </w:p>
    <w:p>
      <w:pPr>
        <w:pStyle w:val="Normal"/>
        <w:spacing w:lineRule="auto" w:line="240"/>
        <w:rPr/>
      </w:pPr>
      <w:r>
        <w:rPr/>
      </w:r>
    </w:p>
    <w:p>
      <w:pPr>
        <w:pStyle w:val="P68B1DB1Normal42"/>
        <w:spacing w:lineRule="auto" w:line="240"/>
        <w:rPr/>
      </w:pPr>
      <w:r>
        <w:rPr/>
        <w:t xml:space="preserve">10. változás – A környezet és az ökoszisztémák védelmének javítása, valamint védett területek létrehozása a városi, városkörnyéki és vidéki térségek szívében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A társult Európa kívánsága: A fenntartható fejlődést előmozdító Európa </w:t>
      </w:r>
    </w:p>
    <w:p>
      <w:pPr>
        <w:pStyle w:val="P68B1DB1Normal33"/>
        <w:widowControl w:val="false"/>
        <w:spacing w:lineRule="auto" w:line="240" w:before="326" w:after="0"/>
        <w:ind w:left="0" w:right="0" w:hanging="0"/>
        <w:jc w:val="left"/>
        <w:rPr>
          <w:rFonts w:ascii="Times New Roman" w:hAnsi="Times New Roman"/>
          <w:b/>
          <w:b/>
          <w:color w:val="000000"/>
          <w:sz w:val="24"/>
        </w:rPr>
      </w:pPr>
      <w:r>
        <w:rPr/>
        <w:t xml:space="preserve">Mit jelent ez a változás? </w:t>
      </w:r>
    </w:p>
    <w:p>
      <w:pPr>
        <w:pStyle w:val="P68B1DB1Normal7"/>
        <w:widowControl w:val="false"/>
        <w:spacing w:lineRule="auto" w:line="240" w:before="78" w:after="0"/>
        <w:ind w:left="0" w:right="0" w:hanging="0"/>
        <w:jc w:val="left"/>
        <w:rPr/>
      </w:pPr>
      <w:r>
        <w:rPr>
          <w:i/>
          <w:color w:val="000000"/>
        </w:rPr>
        <w:t>Kulcsszavak: környezetbarátabb urbanizáció, a talaj tiszteletben tartása és védelme</w:t>
      </w:r>
      <w:r>
        <w:rPr>
          <w:b/>
          <w:color w:val="273375"/>
        </w:rPr>
        <w:t xml:space="preserve"> </w:t>
      </w:r>
    </w:p>
    <w:p>
      <w:pPr>
        <w:pStyle w:val="P68B1DB1Normal19"/>
        <w:widowControl w:val="false"/>
        <w:spacing w:lineRule="auto" w:line="240" w:before="321" w:after="0"/>
        <w:ind w:left="0" w:right="9" w:hanging="0"/>
        <w:jc w:val="both"/>
        <w:rPr/>
      </w:pPr>
      <w:r>
        <w:rPr/>
        <w:t xml:space="preserve">A cél az </w:t>
      </w:r>
      <w:r>
        <w:rPr>
          <w:b/>
        </w:rPr>
        <w:t>urbanizáció talajra gyakorolt negatív hatásának korlátozása</w:t>
      </w:r>
      <w:r>
        <w:rPr/>
        <w:t xml:space="preserve">. Az erőteljes intézkedések </w:t>
      </w:r>
      <w:r>
        <w:rPr>
          <w:b/>
        </w:rPr>
        <w:t>korlátoznák a talajpusztuláshoz kapcsolódó katasztrófákat</w:t>
      </w:r>
      <w:r>
        <w:rPr/>
        <w:t>, például</w:t>
      </w:r>
      <w:r>
        <w:rPr>
          <w:b/>
        </w:rPr>
        <w:t>a földcsuszamlásokat, és javítanák a városi területeken az életminőséget</w:t>
      </w:r>
      <w:r>
        <w:rPr/>
        <w:t xml:space="preserve">, különösen fák ültetése révén. </w:t>
      </w:r>
    </w:p>
    <w:p>
      <w:pPr>
        <w:pStyle w:val="P68B1DB1Normal33"/>
        <w:widowControl w:val="false"/>
        <w:spacing w:lineRule="auto" w:line="240" w:before="330" w:after="0"/>
        <w:ind w:left="0" w:right="0" w:hanging="0"/>
        <w:jc w:val="left"/>
        <w:rPr>
          <w:rFonts w:ascii="Times New Roman" w:hAnsi="Times New Roman"/>
          <w:b/>
          <w:b/>
          <w:color w:val="000000"/>
          <w:sz w:val="24"/>
        </w:rPr>
      </w:pPr>
      <w:r>
        <w:rPr/>
        <w:t xml:space="preserve">Melyek a legfontosabb lépések és a sikerkritériumok? </w:t>
      </w:r>
    </w:p>
    <w:p>
      <w:pPr>
        <w:pStyle w:val="P68B1DB1Normal19"/>
        <w:widowControl w:val="false"/>
        <w:spacing w:lineRule="auto" w:line="240" w:before="318" w:after="0"/>
        <w:ind w:left="0" w:right="9" w:hanging="0"/>
        <w:jc w:val="both"/>
        <w:rPr/>
      </w:pPr>
      <w:r>
        <w:rPr/>
        <w:t xml:space="preserve">A javaslat két szinten történő fellépést javasolt: egyrészt </w:t>
      </w:r>
      <w:r>
        <w:rPr>
          <w:b/>
        </w:rPr>
        <w:t>az új építmények tendenciájának megfordítása a</w:t>
      </w:r>
      <w:r>
        <w:rPr/>
        <w:t xml:space="preserve"> talajtömítés arányának csökkentése érdekében, másrészt a </w:t>
      </w:r>
      <w:r>
        <w:rPr>
          <w:b/>
        </w:rPr>
        <w:t>talaj helyreállításának ösztönzése annak érdekében</w:t>
      </w:r>
      <w:r>
        <w:rPr/>
        <w:t xml:space="preserve">, hogy „visszatérjenek </w:t>
      </w:r>
      <w:r>
        <w:rPr>
          <w:i/>
        </w:rPr>
        <w:t>a természethez, ami hozzá tartozik</w:t>
      </w:r>
      <w:r>
        <w:rPr/>
        <w:t xml:space="preserve">”. </w:t>
      </w:r>
    </w:p>
    <w:p>
      <w:pPr>
        <w:pStyle w:val="Normal"/>
        <w:spacing w:lineRule="auto" w:line="240"/>
        <w:rPr/>
      </w:pPr>
      <w:r>
        <w:rPr/>
      </w:r>
    </w:p>
    <w:p>
      <w:pPr>
        <w:pStyle w:val="P68B1DB1Normal42"/>
        <w:spacing w:lineRule="auto" w:line="240"/>
        <w:rPr/>
      </w:pPr>
      <w:r>
        <w:rPr/>
        <w:t xml:space="preserve">Változás – Európai relék létrehozása a területeken, hogy meghallgassák és tanácsot adjanak a polgároknak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A társult Európa kívánsága: Szorosabb és hozzáférhető Európa </w:t>
      </w:r>
    </w:p>
    <w:p>
      <w:pPr>
        <w:pStyle w:val="P68B1DB1Normal33"/>
        <w:widowControl w:val="false"/>
        <w:spacing w:lineRule="auto" w:line="240" w:before="326" w:after="0"/>
        <w:ind w:left="0" w:right="0" w:hanging="0"/>
        <w:jc w:val="left"/>
        <w:rPr>
          <w:rFonts w:ascii="Times New Roman" w:hAnsi="Times New Roman"/>
          <w:b/>
          <w:b/>
          <w:color w:val="000000"/>
          <w:sz w:val="24"/>
        </w:rPr>
      </w:pPr>
      <w:r>
        <w:rPr/>
        <w:t xml:space="preserve">Mit jelent ez a változás? </w:t>
      </w:r>
    </w:p>
    <w:p>
      <w:pPr>
        <w:pStyle w:val="P68B1DB1Normal44"/>
        <w:widowControl w:val="false"/>
        <w:spacing w:lineRule="auto" w:line="240" w:before="326" w:after="0"/>
        <w:ind w:left="0" w:right="0" w:hanging="0"/>
        <w:jc w:val="left"/>
        <w:rPr>
          <w:rFonts w:ascii="Times New Roman" w:hAnsi="Times New Roman"/>
          <w:i/>
          <w:i/>
          <w:color w:val="000000"/>
          <w:sz w:val="24"/>
        </w:rPr>
      </w:pPr>
      <w:r>
        <w:rPr/>
        <w:t xml:space="preserve">Kulcsszavak: Európa házai, referens Európa helyi, jobb hozzáférés az információkhoz </w:t>
      </w:r>
    </w:p>
    <w:p>
      <w:pPr>
        <w:pStyle w:val="P68B1DB1Normal19"/>
        <w:widowControl w:val="false"/>
        <w:spacing w:lineRule="auto" w:line="240" w:before="326" w:after="0"/>
        <w:ind w:left="0" w:right="11" w:hanging="0"/>
        <w:jc w:val="both"/>
        <w:rPr/>
      </w:pPr>
      <w:r>
        <w:rPr/>
        <w:t xml:space="preserve">Ennek a változásnak az a célja, hogy konkrét válaszokat adjon az </w:t>
      </w:r>
      <w:r>
        <w:rPr>
          <w:b/>
        </w:rPr>
        <w:t>Európai Unió mindennapi életben való megtestesülésének hiányára</w:t>
      </w:r>
      <w:r>
        <w:rPr/>
        <w:t xml:space="preserve">, amelyre számos résztvevő rámutatott, és hogy Európa és polgárai közelebb kerüljenek egymáshoz. </w:t>
      </w:r>
    </w:p>
    <w:p>
      <w:pPr>
        <w:pStyle w:val="P68B1DB1Normal33"/>
        <w:widowControl w:val="false"/>
        <w:spacing w:lineRule="auto" w:line="240" w:before="333" w:after="0"/>
        <w:ind w:left="0" w:right="0" w:hanging="0"/>
        <w:jc w:val="left"/>
        <w:rPr>
          <w:rFonts w:ascii="Times New Roman" w:hAnsi="Times New Roman"/>
          <w:b/>
          <w:b/>
          <w:color w:val="000000"/>
          <w:sz w:val="24"/>
        </w:rPr>
      </w:pPr>
      <w:r>
        <w:rPr/>
        <w:t xml:space="preserve">Melyek a legfontosabb lépések és a sikerkritériumok? </w:t>
      </w:r>
    </w:p>
    <w:p>
      <w:pPr>
        <w:pStyle w:val="P68B1DB1Normal24"/>
        <w:widowControl w:val="false"/>
        <w:spacing w:lineRule="auto" w:line="240" w:before="317" w:after="0"/>
        <w:ind w:left="0" w:right="14" w:hanging="0"/>
        <w:jc w:val="both"/>
        <w:rPr/>
      </w:pPr>
      <w:r>
        <w:rPr/>
        <w:t xml:space="preserve">Az EU és a polgárok közötti távolság kezelése érdekében minden </w:t>
      </w:r>
      <w:r>
        <w:rPr>
          <w:b/>
        </w:rPr>
        <w:t>városházára ki</w:t>
      </w:r>
      <w:r>
        <w:rPr/>
        <w:t xml:space="preserve"> lehetne nevezni egy szakértő referenst, aki feladata a polgárok meghallgatása és tanácsadása. Az e jelentésben szereplő információk lehetnek társadalmi-gazdasági jellegűek, különösen az európai vagy tájékoztató jellegű támogatásokhoz való hozzáférésről, például a lobbisták szerepéről. A rendelkezésre bocsátott információk a nagyközönséget és a szakembereket egyaránt megcéloznák, különösen a kkv-k tanácsadása és a projektvezetők uniós forrásokhoz való hozzáférésének elősegítése érdekében. Hosszú távon ez a változás Európának </w:t>
      </w:r>
      <w:r>
        <w:rPr>
          <w:b/>
        </w:rPr>
        <w:t>szentelt helyek létrehozását eredményezheti, hasonlóan a meglévő európai</w:t>
      </w:r>
      <w:r>
        <w:rPr/>
        <w:t xml:space="preserve"> házakhoz, de közösségi szinten, amely lehetővé teszi a finom területi hálózat kialakítását. </w:t>
      </w:r>
    </w:p>
    <w:p>
      <w:pPr>
        <w:pStyle w:val="P68B1DB1Normal24"/>
        <w:widowControl w:val="false"/>
        <w:spacing w:lineRule="auto" w:line="240" w:before="235" w:after="0"/>
        <w:ind w:left="0" w:right="15" w:hanging="0"/>
        <w:jc w:val="both"/>
        <w:rPr/>
      </w:pPr>
      <w:r>
        <w:rPr/>
        <w:t xml:space="preserve">Ennek a változásnak a sikere akkor lenne teljes, ha minden polgár „ </w:t>
      </w:r>
      <w:r>
        <w:rPr>
          <w:i/>
        </w:rPr>
        <w:t>nyilvánvalóként”</w:t>
      </w:r>
      <w:r>
        <w:rPr/>
        <w:t xml:space="preserve">ismeri ennek a hivatkozásnak a létezését, és ezt az Európát szolgáló forrást, amely forrásokat, meghallgatást, tájékoztatást és tanácsadást biztosítana. </w:t>
      </w:r>
    </w:p>
    <w:p>
      <w:pPr>
        <w:pStyle w:val="P68B1DB1Normal19"/>
        <w:widowControl w:val="false"/>
        <w:spacing w:lineRule="auto" w:line="240" w:before="153" w:after="0"/>
        <w:ind w:left="0" w:right="0" w:hanging="0"/>
        <w:jc w:val="left"/>
        <w:rPr>
          <w:rFonts w:ascii="Times New Roman" w:hAnsi="Times New Roman"/>
          <w:color w:val="000000"/>
          <w:sz w:val="24"/>
        </w:rPr>
      </w:pPr>
      <w:r>
        <w:rPr/>
        <w:t xml:space="preserve"> </w:t>
      </w:r>
    </w:p>
    <w:p>
      <w:pPr>
        <w:pStyle w:val="P68B1DB1Normal42"/>
        <w:widowControl w:val="false"/>
        <w:spacing w:lineRule="auto" w:line="240" w:before="237" w:after="0"/>
        <w:ind w:left="0" w:right="0" w:hanging="0"/>
        <w:jc w:val="both"/>
        <w:rPr/>
      </w:pPr>
      <w:r>
        <w:rPr/>
        <w:t xml:space="preserve">12. módosítás – A 27 tagállam európai parlamenti választási módjának egységesítése és a polgárok közelségének javítása azáltal, hogy a jelenlegi szavazást regionális szinten egyszeri szavazással helyettesítik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A társult Európa kívánsága: Hatékonyabb kormányzással rendelkező Európa </w:t>
      </w:r>
    </w:p>
    <w:p>
      <w:pPr>
        <w:pStyle w:val="P68B1DB1Normal33"/>
        <w:widowControl w:val="false"/>
        <w:spacing w:lineRule="auto" w:line="240" w:before="328" w:after="0"/>
        <w:ind w:left="0" w:right="0" w:hanging="0"/>
        <w:jc w:val="left"/>
        <w:rPr>
          <w:rFonts w:ascii="Times New Roman" w:hAnsi="Times New Roman"/>
          <w:b/>
          <w:b/>
          <w:color w:val="000000"/>
          <w:sz w:val="24"/>
        </w:rPr>
      </w:pPr>
      <w:r>
        <w:rPr/>
        <w:t xml:space="preserve">Mit jelent ez a változás? </w:t>
      </w:r>
    </w:p>
    <w:p>
      <w:pPr>
        <w:pStyle w:val="P68B1DB1Normal7"/>
        <w:widowControl w:val="false"/>
        <w:spacing w:lineRule="auto" w:line="240" w:before="76" w:after="0"/>
        <w:ind w:left="0" w:right="0" w:hanging="0"/>
        <w:jc w:val="left"/>
        <w:rPr/>
      </w:pPr>
      <w:r>
        <w:rPr>
          <w:i/>
          <w:color w:val="000000"/>
        </w:rPr>
        <w:t>Kulcsszavak: intézményi változás, amelyet a teljes megbízatás során a polgárok követnek</w:t>
      </w:r>
      <w:r>
        <w:rPr>
          <w:b/>
          <w:color w:val="273375"/>
        </w:rPr>
        <w:t xml:space="preserve"> </w:t>
      </w:r>
    </w:p>
    <w:p>
      <w:pPr>
        <w:pStyle w:val="P68B1DB1Normal19"/>
        <w:widowControl w:val="false"/>
        <w:spacing w:lineRule="auto" w:line="240" w:before="275" w:after="0"/>
        <w:ind w:left="0" w:right="10" w:hanging="0"/>
        <w:jc w:val="both"/>
        <w:rPr/>
      </w:pPr>
      <w:r>
        <w:rPr/>
        <w:t xml:space="preserve">Ez a változás tükrözi a polgárok azon óhaját, hogy megerősítsék </w:t>
      </w:r>
      <w:r>
        <w:rPr>
          <w:b/>
        </w:rPr>
        <w:t>a választott tisztviselőkhöz való közelségüket</w:t>
      </w:r>
      <w:r>
        <w:rPr/>
        <w:t xml:space="preserve">, és megbízatásuk teljes időtartama alatt kövessék tevékenységüket. Válaszul arra a széles körben elterjedt megfigyelésre, hogy az Európai Parlament választott képviselői nem fordítják át a polgárok aggályait konkrét fellépésekre. </w:t>
      </w:r>
    </w:p>
    <w:p>
      <w:pPr>
        <w:pStyle w:val="P68B1DB1Normal33"/>
        <w:widowControl w:val="false"/>
        <w:spacing w:lineRule="auto" w:line="240" w:before="381" w:after="0"/>
        <w:ind w:left="0" w:right="0" w:hanging="0"/>
        <w:jc w:val="left"/>
        <w:rPr>
          <w:rFonts w:ascii="Times New Roman" w:hAnsi="Times New Roman"/>
          <w:b/>
          <w:b/>
          <w:color w:val="000000"/>
          <w:sz w:val="24"/>
        </w:rPr>
      </w:pPr>
      <w:r>
        <w:rPr/>
        <w:t xml:space="preserve">Melyek a legfontosabb lépések és a sikerkritériumok? </w:t>
      </w:r>
    </w:p>
    <w:p>
      <w:pPr>
        <w:pStyle w:val="P68B1DB1Normal19"/>
        <w:widowControl w:val="false"/>
        <w:spacing w:lineRule="auto" w:line="240" w:before="316" w:after="0"/>
        <w:ind w:left="0" w:right="10" w:hanging="0"/>
        <w:jc w:val="both"/>
        <w:rPr/>
      </w:pPr>
      <w:r>
        <w:rPr/>
        <w:t xml:space="preserve">A választási mód változása az európai szintű </w:t>
      </w:r>
      <w:r>
        <w:rPr>
          <w:b/>
        </w:rPr>
        <w:t>szavazási rendszer egységesítéséből és a</w:t>
      </w:r>
      <w:r>
        <w:rPr/>
        <w:t xml:space="preserve"> nemzeti választókerületekből a regionális választókerületekbe való átmenetből állna, amely a becslések szerint 2035-re lehetséges. </w:t>
      </w:r>
    </w:p>
    <w:p>
      <w:pPr>
        <w:pStyle w:val="Normal"/>
        <w:spacing w:lineRule="auto" w:line="240"/>
        <w:rPr/>
      </w:pPr>
      <w:r>
        <w:rPr/>
      </w:r>
    </w:p>
    <w:p>
      <w:pPr>
        <w:pStyle w:val="P68B1DB1Normal42"/>
        <w:spacing w:lineRule="auto" w:line="240"/>
        <w:rPr/>
      </w:pPr>
      <w:r>
        <w:rPr/>
        <w:t xml:space="preserve">13. módosítás – A migránsok (köztük az irreguláris migránsok) befogadásának, valamint társadalmi és foglalkozási integrációjának javítását célzó közös politika meghatározása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A társult Európa kívánsága: Az alapvető jogok tiszteletben tartását garantáló Európa </w:t>
      </w:r>
    </w:p>
    <w:p>
      <w:pPr>
        <w:pStyle w:val="P68B1DB1Normal33"/>
        <w:widowControl w:val="false"/>
        <w:spacing w:lineRule="auto" w:line="240" w:before="328" w:after="0"/>
        <w:ind w:left="0" w:right="0" w:hanging="0"/>
        <w:jc w:val="left"/>
        <w:rPr>
          <w:rFonts w:ascii="Times New Roman" w:hAnsi="Times New Roman"/>
          <w:b/>
          <w:b/>
          <w:color w:val="000000"/>
          <w:sz w:val="24"/>
        </w:rPr>
      </w:pPr>
      <w:r>
        <w:rPr/>
        <w:t xml:space="preserve">Mit jelent ez a változás? </w:t>
      </w:r>
    </w:p>
    <w:p>
      <w:pPr>
        <w:pStyle w:val="P68B1DB1Normal7"/>
        <w:widowControl w:val="false"/>
        <w:spacing w:lineRule="auto" w:line="240" w:before="76" w:after="0"/>
        <w:ind w:left="0" w:right="0" w:hanging="0"/>
        <w:jc w:val="left"/>
        <w:rPr/>
      </w:pPr>
      <w:r>
        <w:rPr>
          <w:i/>
          <w:color w:val="000000"/>
        </w:rPr>
        <w:t>Kulcsszavak: Európai Migrációs Hivatal, tisztességes befogadás biztosítása egész Európában</w:t>
      </w:r>
      <w:r>
        <w:rPr>
          <w:b/>
          <w:color w:val="273375"/>
        </w:rPr>
        <w:t xml:space="preserve"> </w:t>
      </w:r>
    </w:p>
    <w:p>
      <w:pPr>
        <w:pStyle w:val="P68B1DB1Normal19"/>
        <w:widowControl w:val="false"/>
        <w:spacing w:lineRule="auto" w:line="240" w:before="248" w:after="0"/>
        <w:ind w:left="0" w:right="10" w:hanging="0"/>
        <w:jc w:val="both"/>
        <w:rPr/>
      </w:pPr>
      <w:r>
        <w:rPr/>
        <w:t xml:space="preserve">Ennek a változásnak az a célja, hogy javítsa a migránsok befogadását az Európai Unión belül, amely problémát a polgárok egyhangúlag </w:t>
      </w:r>
      <w:r>
        <w:rPr>
          <w:b/>
        </w:rPr>
        <w:t>vészhelyzetként</w:t>
      </w:r>
      <w:r>
        <w:rPr/>
        <w:t xml:space="preserve"> azonosítottak. A jelenlegi helyzettől eltérően a </w:t>
      </w:r>
      <w:r>
        <w:rPr>
          <w:b/>
        </w:rPr>
        <w:t>közös, összehangolt és szolidaritási bevándorlási politika</w:t>
      </w:r>
      <w:r>
        <w:rPr/>
        <w:t xml:space="preserve"> kialakítása a béke egyik fő hajtóereje.</w:t>
      </w:r>
      <w:r>
        <w:rPr>
          <w:b/>
        </w:rPr>
        <w:t xml:space="preserve"> </w:t>
      </w:r>
    </w:p>
    <w:p>
      <w:pPr>
        <w:pStyle w:val="P68B1DB1Normal33"/>
        <w:widowControl w:val="false"/>
        <w:spacing w:lineRule="auto" w:line="240" w:before="325" w:after="0"/>
        <w:ind w:left="0" w:right="0" w:hanging="0"/>
        <w:jc w:val="left"/>
        <w:rPr>
          <w:rFonts w:ascii="Times New Roman" w:hAnsi="Times New Roman"/>
          <w:b/>
          <w:b/>
          <w:color w:val="000000"/>
          <w:sz w:val="24"/>
        </w:rPr>
      </w:pPr>
      <w:r>
        <w:rPr/>
        <w:t xml:space="preserve">Melyek a legfontosabb lépések és a sikerkritériumok? </w:t>
      </w:r>
    </w:p>
    <w:p>
      <w:pPr>
        <w:pStyle w:val="P68B1DB1Normal19"/>
        <w:widowControl w:val="false"/>
        <w:spacing w:lineRule="auto" w:line="240" w:before="243" w:after="0"/>
        <w:ind w:left="0" w:right="10" w:hanging="0"/>
        <w:jc w:val="left"/>
        <w:rPr/>
      </w:pPr>
      <w:r>
        <w:rPr/>
        <w:t xml:space="preserve">Egy ilyen változás sikere a migránsok befogadására vonatkozó közös politika fokozatos végrehajtását eredményezné. </w:t>
      </w:r>
    </w:p>
    <w:p>
      <w:pPr>
        <w:pStyle w:val="P68B1DB1Normal19"/>
        <w:widowControl w:val="false"/>
        <w:spacing w:lineRule="auto" w:line="240" w:before="326" w:after="0"/>
        <w:ind w:left="0" w:right="10" w:hanging="0"/>
        <w:jc w:val="both"/>
        <w:rPr/>
      </w:pPr>
      <w:r>
        <w:rPr/>
        <w:t xml:space="preserve">A </w:t>
      </w:r>
      <w:r>
        <w:rPr>
          <w:b/>
        </w:rPr>
        <w:t>polgári kezdeményezésnek</w:t>
      </w:r>
      <w:r>
        <w:rPr/>
        <w:t xml:space="preserve"> a Bizottság elé kell terjesztenie az ügyet, és középtávon lehetővé kell tennie a migránsok befogadásának és társadalmi integrációjának keretét meghatározó </w:t>
      </w:r>
      <w:r>
        <w:rPr>
          <w:b/>
        </w:rPr>
        <w:t>közös szabvány</w:t>
      </w:r>
      <w:r>
        <w:rPr/>
        <w:t xml:space="preserve"> elfogadását. Ezt a szabványt hosszú távon támogatná egy </w:t>
      </w:r>
      <w:r>
        <w:rPr>
          <w:b/>
        </w:rPr>
        <w:t>szakosodott európai bevándorlási hivatal</w:t>
      </w:r>
      <w:r>
        <w:rPr/>
        <w:t xml:space="preserve"> létrehozása és a migrációs politika mint az Európai Unió hatáskörének elismerése. </w:t>
      </w:r>
    </w:p>
    <w:p>
      <w:pPr>
        <w:pStyle w:val="Normal"/>
        <w:spacing w:lineRule="auto" w:line="240"/>
        <w:rPr/>
      </w:pPr>
      <w:r>
        <w:rPr/>
      </w:r>
    </w:p>
    <w:p>
      <w:pPr>
        <w:pStyle w:val="P68B1DB1Normal42"/>
        <w:spacing w:lineRule="auto" w:line="240"/>
        <w:rPr/>
      </w:pPr>
      <w:r>
        <w:rPr/>
        <w:t xml:space="preserve">Változás – A különböző európai régiók sajátosságainak (élelmiszercímkék, kézműves termelés, hagyományok) megőrzése az egységes életmód elkerülése, valamint a termékek nyomon követhetőségének és minőségének biztosítása érdekében </w:t>
      </w:r>
    </w:p>
    <w:p>
      <w:pPr>
        <w:pStyle w:val="P68B1DB1Normal43"/>
        <w:widowControl w:val="false"/>
        <w:spacing w:lineRule="auto" w:line="240" w:before="347" w:after="0"/>
        <w:ind w:left="0" w:right="912" w:hanging="0"/>
        <w:jc w:val="left"/>
        <w:rPr/>
      </w:pPr>
      <w:r>
        <w:rPr/>
        <w:t xml:space="preserve">A társult Európa kívánsága: Egy olyan Európa, amelyben az egyes államok érdekei érvényesülnek </w:t>
      </w:r>
    </w:p>
    <w:p>
      <w:pPr>
        <w:pStyle w:val="P68B1DB1Normal33"/>
        <w:widowControl w:val="false"/>
        <w:spacing w:lineRule="auto" w:line="240" w:before="347" w:after="0"/>
        <w:ind w:left="0" w:right="912" w:hanging="0"/>
        <w:jc w:val="left"/>
        <w:rPr>
          <w:rFonts w:ascii="Times New Roman" w:hAnsi="Times New Roman"/>
          <w:b/>
          <w:b/>
          <w:color w:val="000000"/>
          <w:sz w:val="24"/>
        </w:rPr>
      </w:pPr>
      <w:r>
        <w:rPr/>
        <w:t xml:space="preserve">Mit jelent ez a változás? </w:t>
      </w:r>
    </w:p>
    <w:p>
      <w:pPr>
        <w:pStyle w:val="P68B1DB1Normal7"/>
        <w:widowControl w:val="false"/>
        <w:spacing w:lineRule="auto" w:line="240" w:before="76" w:after="0"/>
        <w:ind w:left="0" w:right="0" w:hanging="0"/>
        <w:jc w:val="left"/>
        <w:rPr/>
      </w:pPr>
      <w:r>
        <w:rPr>
          <w:i/>
          <w:color w:val="000000"/>
        </w:rPr>
        <w:t>Kulcsszavak: Európai címkék, a kultúrák és hagyományok sokszínűségének értékelése</w:t>
      </w:r>
      <w:r>
        <w:rPr>
          <w:b/>
          <w:color w:val="273375"/>
        </w:rPr>
        <w:t xml:space="preserve"> </w:t>
      </w:r>
    </w:p>
    <w:p>
      <w:pPr>
        <w:pStyle w:val="P68B1DB1Normal19"/>
        <w:widowControl w:val="false"/>
        <w:spacing w:lineRule="auto" w:line="240" w:before="323" w:after="0"/>
        <w:ind w:left="0" w:right="10" w:hanging="0"/>
        <w:jc w:val="both"/>
        <w:rPr/>
      </w:pPr>
      <w:r>
        <w:rPr/>
        <w:t xml:space="preserve">Ennek a változásnak az a célja, hogy megőrizze az </w:t>
      </w:r>
      <w:r>
        <w:rPr>
          <w:b/>
        </w:rPr>
        <w:t>európai hagyományok és produkciók sokféleségét</w:t>
      </w:r>
      <w:r>
        <w:rPr/>
        <w:t>, és</w:t>
      </w:r>
      <w:r>
        <w:rPr>
          <w:b/>
        </w:rPr>
        <w:t>elkerülje az életmódok egységesítését</w:t>
      </w:r>
      <w:r>
        <w:rPr/>
        <w:t>, amelyet gyakran az Európai Unió kritikájának neveznek.</w:t>
      </w:r>
      <w:r>
        <w:rPr>
          <w:b/>
        </w:rPr>
        <w:t xml:space="preserve"> </w:t>
      </w:r>
    </w:p>
    <w:p>
      <w:pPr>
        <w:pStyle w:val="P68B1DB1Normal33"/>
        <w:widowControl w:val="false"/>
        <w:spacing w:lineRule="auto" w:line="240" w:before="325" w:after="0"/>
        <w:ind w:left="0" w:right="0" w:hanging="0"/>
        <w:jc w:val="left"/>
        <w:rPr>
          <w:rFonts w:ascii="Times New Roman" w:hAnsi="Times New Roman"/>
          <w:b/>
          <w:b/>
          <w:color w:val="000000"/>
          <w:sz w:val="24"/>
        </w:rPr>
      </w:pPr>
      <w:r>
        <w:rPr/>
        <w:t xml:space="preserve">Melyek a legfontosabb lépések és a sikerkritériumok? </w:t>
      </w:r>
    </w:p>
    <w:p>
      <w:pPr>
        <w:pStyle w:val="P68B1DB1Normal19"/>
        <w:widowControl w:val="false"/>
        <w:spacing w:lineRule="auto" w:line="240" w:before="322" w:after="0"/>
        <w:ind w:left="0" w:right="10" w:hanging="0"/>
        <w:jc w:val="both"/>
        <w:rPr/>
      </w:pPr>
      <w:r>
        <w:rPr/>
        <w:t xml:space="preserve">A polgárok számára a fő cél az, hogy a különböző </w:t>
      </w:r>
      <w:r>
        <w:rPr>
          <w:b/>
        </w:rPr>
        <w:t>európai és nemzeti címkéket</w:t>
      </w:r>
      <w:r>
        <w:rPr/>
        <w:t xml:space="preserve"> felsoroló meglévő adatbázis hozzáférhetőbbé váljon. Ehhez javasoljuk egy „ </w:t>
      </w:r>
      <w:r>
        <w:rPr>
          <w:i/>
        </w:rPr>
        <w:t>három kattintásos”</w:t>
      </w:r>
      <w:r>
        <w:rPr/>
        <w:t xml:space="preserve"> weboldal létrehozását: egy kattintás a webhely eléréséhez, a második az Európai Unió régióinak térképének megjelenítéséhez, a másik pedig az egyes régiók címkéinek leírásához. </w:t>
      </w:r>
    </w:p>
    <w:p>
      <w:pPr>
        <w:pStyle w:val="Normal"/>
        <w:widowControl w:val="false"/>
        <w:spacing w:lineRule="auto" w:line="240" w:before="327" w:after="0"/>
        <w:ind w:left="0" w:right="14" w:hanging="0"/>
        <w:jc w:val="left"/>
        <w:rPr/>
      </w:pPr>
      <w:r>
        <w:rPr>
          <w:rFonts w:ascii="Times New Roman" w:hAnsi="Times New Roman"/>
          <w:color w:val="000000"/>
        </w:rPr>
        <w:t xml:space="preserve">E változás sikere a meglévő eredményekről szóló fokozott </w:t>
      </w:r>
      <w:r>
        <w:rPr>
          <w:rFonts w:ascii="Times New Roman" w:hAnsi="Times New Roman"/>
          <w:b/>
          <w:color w:val="000000"/>
        </w:rPr>
        <w:t>kommunikációból</w:t>
      </w:r>
      <w:r>
        <w:rPr>
          <w:rFonts w:ascii="Times New Roman" w:hAnsi="Times New Roman"/>
          <w:color w:val="000000"/>
        </w:rPr>
        <w:t xml:space="preserve"> állna, ami az európai kultúrák sokféleségének jobb </w:t>
      </w:r>
      <w:r>
        <w:rPr>
          <w:rFonts w:ascii="Times New Roman" w:hAnsi="Times New Roman"/>
          <w:b/>
          <w:color w:val="000000"/>
        </w:rPr>
        <w:t>megértését</w:t>
      </w:r>
      <w:r>
        <w:rPr>
          <w:rFonts w:ascii="Times New Roman" w:hAnsi="Times New Roman"/>
          <w:color w:val="000000"/>
        </w:rPr>
        <w:t xml:space="preserve"> eredményezné a polgárok körében.</w:t>
      </w:r>
      <w:r>
        <w:rPr>
          <w:rFonts w:ascii="Times New Roman" w:hAnsi="Times New Roman"/>
          <w:b/>
          <w:color w:val="273375"/>
        </w:rPr>
        <w:t xml:space="preserve"> </w:t>
      </w:r>
      <w:r>
        <w:br w:type="page"/>
      </w:r>
    </w:p>
    <w:p>
      <w:pPr>
        <w:pStyle w:val="Titre2"/>
        <w:numPr>
          <w:ilvl w:val="1"/>
          <w:numId w:val="2"/>
        </w:numPr>
        <w:rPr/>
      </w:pPr>
      <w:bookmarkStart w:id="212" w:name="__RefHeading___Toc297351_1346298689"/>
      <w:bookmarkEnd w:id="212"/>
      <w:r>
        <w:rPr/>
        <w:t>A második rész: a „Words to Youth” konzultáció eredményeinek ismertetése</w:t>
      </w:r>
      <w:r>
        <w:rPr>
          <w:rFonts w:ascii="Times New Roman" w:hAnsi="Times New Roman"/>
          <w:color w:val="000070"/>
          <w:sz w:val="30"/>
        </w:rPr>
        <w:t xml:space="preserve"> </w:t>
      </w:r>
    </w:p>
    <w:p>
      <w:pPr>
        <w:pStyle w:val="P68B1DB1Normal46"/>
        <w:widowControl w:val="false"/>
        <w:spacing w:lineRule="auto" w:line="240" w:before="34" w:after="0"/>
        <w:ind w:left="0" w:right="0" w:hanging="0"/>
        <w:jc w:val="center"/>
        <w:rPr>
          <w:rFonts w:ascii="Times New Roman" w:hAnsi="Times New Roman"/>
          <w:b/>
          <w:b/>
          <w:color w:val="F79646"/>
          <w:sz w:val="24"/>
        </w:rPr>
      </w:pPr>
      <w:r>
        <w:rPr/>
        <w:t xml:space="preserve">A konzultáció időpontjai </w:t>
      </w:r>
    </w:p>
    <w:p>
      <w:pPr>
        <w:pStyle w:val="P68B1DB1Normal19"/>
        <w:widowControl w:val="false"/>
        <w:spacing w:lineRule="auto" w:line="240" w:before="34" w:after="0"/>
        <w:ind w:left="0" w:right="0" w:hanging="0"/>
        <w:jc w:val="center"/>
        <w:rPr/>
      </w:pPr>
      <w:r>
        <w:rPr/>
        <w:t>2021. május 9-től 2021. július 18-ig</w:t>
      </w:r>
      <w:r>
        <w:rPr>
          <w:b/>
        </w:rPr>
        <w:t xml:space="preserve"> </w:t>
      </w:r>
    </w:p>
    <w:p>
      <w:pPr>
        <w:pStyle w:val="P68B1DB1Normal47"/>
        <w:widowControl w:val="false"/>
        <w:spacing w:lineRule="auto" w:line="240" w:before="102" w:after="0"/>
        <w:ind w:left="0" w:right="0" w:hanging="0"/>
        <w:jc w:val="center"/>
        <w:rPr>
          <w:rFonts w:ascii="Times New Roman" w:hAnsi="Times New Roman"/>
          <w:b/>
          <w:b/>
          <w:color w:val="1F497D"/>
          <w:sz w:val="12"/>
        </w:rPr>
      </w:pPr>
      <w:r>
        <w:rPr/>
        <w:t xml:space="preserve"> </w:t>
      </w:r>
    </w:p>
    <w:p>
      <w:pPr>
        <w:pStyle w:val="P68B1DB1Normal48"/>
        <w:widowControl w:val="false"/>
        <w:spacing w:lineRule="auto" w:line="240" w:before="26" w:after="0"/>
        <w:ind w:left="0" w:right="0" w:hanging="0"/>
        <w:jc w:val="center"/>
        <w:rPr/>
      </w:pPr>
      <w:r>
        <w:rPr>
          <w:b/>
        </w:rPr>
        <w:t>Részvételi adatok</w:t>
      </w:r>
      <w:r>
        <w:rPr/>
        <w:t xml:space="preserve"> </w:t>
      </w:r>
    </w:p>
    <w:p>
      <w:pPr>
        <w:pStyle w:val="P68B1DB1Normal19"/>
        <w:widowControl w:val="false"/>
        <w:spacing w:lineRule="auto" w:line="240" w:before="26" w:after="0"/>
        <w:ind w:left="0" w:right="0" w:hanging="0"/>
        <w:jc w:val="center"/>
        <w:rPr>
          <w:rFonts w:ascii="Times New Roman" w:hAnsi="Times New Roman"/>
          <w:color w:val="000000"/>
          <w:sz w:val="24"/>
        </w:rPr>
      </w:pPr>
      <w:r>
        <w:rPr/>
        <w:t xml:space="preserve">50 008 résztvevő </w:t>
      </w:r>
    </w:p>
    <w:p>
      <w:pPr>
        <w:pStyle w:val="P68B1DB1Normal19"/>
        <w:widowControl w:val="false"/>
        <w:spacing w:lineRule="auto" w:line="240" w:before="92" w:after="0"/>
        <w:ind w:left="0" w:right="0" w:hanging="0"/>
        <w:jc w:val="center"/>
        <w:rPr>
          <w:rFonts w:ascii="Times New Roman" w:hAnsi="Times New Roman"/>
          <w:color w:val="000000"/>
          <w:sz w:val="24"/>
        </w:rPr>
      </w:pPr>
      <w:r>
        <w:rPr/>
        <w:t xml:space="preserve">2918 javaslat </w:t>
      </w:r>
    </w:p>
    <w:p>
      <w:pPr>
        <w:pStyle w:val="P68B1DB1Normal19"/>
        <w:widowControl w:val="false"/>
        <w:spacing w:lineRule="auto" w:line="240" w:before="90" w:after="0"/>
        <w:ind w:left="0" w:right="0" w:hanging="0"/>
        <w:jc w:val="center"/>
        <w:rPr>
          <w:rFonts w:ascii="Times New Roman" w:hAnsi="Times New Roman"/>
          <w:color w:val="000000"/>
          <w:sz w:val="24"/>
        </w:rPr>
      </w:pPr>
      <w:r>
        <w:rPr/>
        <w:t xml:space="preserve">338 330 szavazat </w:t>
      </w:r>
    </w:p>
    <w:p>
      <w:pPr>
        <w:pStyle w:val="P68B1DB1Normal49"/>
        <w:widowControl w:val="false"/>
        <w:spacing w:lineRule="auto" w:line="240" w:before="106" w:after="0"/>
        <w:ind w:left="4819" w:right="0" w:hanging="0"/>
        <w:jc w:val="left"/>
        <w:rPr>
          <w:rFonts w:ascii="Times New Roman" w:hAnsi="Times New Roman"/>
          <w:color w:val="000000"/>
          <w:sz w:val="12"/>
        </w:rPr>
      </w:pPr>
      <w:r>
        <w:rPr/>
        <w:t xml:space="preserve"> </w:t>
      </w:r>
    </w:p>
    <w:p>
      <w:pPr>
        <w:pStyle w:val="P68B1DB1Normal50"/>
        <w:widowControl w:val="false"/>
        <w:spacing w:lineRule="auto" w:line="240" w:before="30" w:after="0"/>
        <w:ind w:left="0" w:right="28" w:hanging="0"/>
        <w:jc w:val="both"/>
        <w:rPr/>
      </w:pPr>
      <w:r>
        <w:rPr/>
        <w:t xml:space="preserve">A „Walk to Youth” konzultáció az európai ügyekért felelős államtitkárság kezdeményezésére indult. A konzultációra az Európa jövőjéről szóló konferencia keretében kerül sor, amely az európai intézmények által vezetett, példa nélküli részvételi demokrácia gyakorlata, amelynek célja, hogy valamennyi európai polgár kifejthesse véleményét arról, hogy mit vár az Európai Uniótól. A konzultáció tanulságai beépülnek majd az Európa jövőjéről szóló konferencia és az Európai Unió Tanácsának francia elnöksége munkájába. </w:t>
      </w:r>
    </w:p>
    <w:p>
      <w:pPr>
        <w:pStyle w:val="P68B1DB1Normal51"/>
        <w:widowControl w:val="false"/>
        <w:spacing w:lineRule="auto" w:line="240" w:before="210" w:after="0"/>
        <w:ind w:left="0" w:right="0" w:hanging="0"/>
        <w:jc w:val="left"/>
        <w:rPr>
          <w:rFonts w:ascii="Times New Roman" w:hAnsi="Times New Roman"/>
          <w:b/>
          <w:b/>
          <w:color w:val="222222"/>
          <w:sz w:val="24"/>
        </w:rPr>
      </w:pPr>
      <w:r>
        <w:rPr/>
        <w:t xml:space="preserve">4 fő leckék </w:t>
      </w:r>
    </w:p>
    <w:p>
      <w:pPr>
        <w:pStyle w:val="P68B1DB1Normal34"/>
        <w:widowControl w:val="false"/>
        <w:spacing w:lineRule="auto" w:line="240" w:before="78" w:after="0"/>
        <w:ind w:left="360" w:right="0" w:hanging="0"/>
        <w:jc w:val="left"/>
        <w:rPr/>
      </w:pPr>
      <w:r>
        <w:rPr>
          <w:rFonts w:ascii="Times New Roman" w:hAnsi="Times New Roman"/>
        </w:rPr>
        <w:t>1.</w:t>
      </w:r>
      <w:r>
        <w:rPr/>
        <w:t xml:space="preserve"> </w:t>
      </w:r>
      <w:r>
        <w:rPr>
          <w:rFonts w:ascii="Times New Roman" w:hAnsi="Times New Roman"/>
        </w:rPr>
        <w:t>A fiatalok tömeges mozgósítása: több mint</w:t>
      </w:r>
      <w:r>
        <w:rPr>
          <w:rFonts w:ascii="Times New Roman" w:hAnsi="Times New Roman"/>
          <w:b/>
        </w:rPr>
        <w:t xml:space="preserve"> 50 000 fiatal francia állampolgár vett </w:t>
      </w:r>
      <w:r>
        <w:rPr>
          <w:rFonts w:ascii="Times New Roman" w:hAnsi="Times New Roman"/>
        </w:rPr>
        <w:t xml:space="preserve">részt a konzultációban, minden területen. </w:t>
      </w:r>
    </w:p>
    <w:p>
      <w:pPr>
        <w:pStyle w:val="P68B1DB1Normal34"/>
        <w:widowControl w:val="false"/>
        <w:spacing w:lineRule="auto" w:line="240" w:before="86" w:after="0"/>
        <w:ind w:left="360" w:right="0" w:hanging="0"/>
        <w:jc w:val="left"/>
        <w:rPr/>
      </w:pPr>
      <w:r>
        <w:rPr>
          <w:rFonts w:ascii="Times New Roman" w:hAnsi="Times New Roman"/>
        </w:rPr>
        <w:t>2.</w:t>
      </w:r>
      <w:r>
        <w:rPr/>
        <w:t xml:space="preserve"> </w:t>
      </w:r>
      <w:r>
        <w:rPr>
          <w:rFonts w:ascii="Times New Roman" w:hAnsi="Times New Roman"/>
          <w:b/>
        </w:rPr>
        <w:t>A</w:t>
      </w:r>
      <w:r>
        <w:rPr>
          <w:rFonts w:ascii="Times New Roman" w:hAnsi="Times New Roman"/>
        </w:rPr>
        <w:t xml:space="preserve"> legfontosabb konszenzus </w:t>
      </w:r>
      <w:r>
        <w:rPr>
          <w:rFonts w:ascii="Times New Roman" w:hAnsi="Times New Roman"/>
          <w:b/>
        </w:rPr>
        <w:t>az éghajlatváltozás elleni küzdelmet célzó európai politikákra, a termelés Európába való áthelyezésére, az európai demokrácia újjáélesztésére, az EU világméretű súlyára (gazdaság, kutatás, emberi jogok, diplomácia) vonatkozik.</w:t>
      </w:r>
    </w:p>
    <w:p>
      <w:pPr>
        <w:pStyle w:val="Normal"/>
        <w:spacing w:lineRule="auto" w:line="240"/>
        <w:rPr>
          <w:rFonts w:ascii="Times New Roman" w:hAnsi="Times New Roman"/>
          <w:color w:val="000000"/>
          <w:sz w:val="24"/>
        </w:rPr>
      </w:pPr>
      <w:r>
        <w:rPr>
          <w:rFonts w:ascii="Times New Roman" w:hAnsi="Times New Roman"/>
          <w:color w:val="000000"/>
          <w:sz w:val="24"/>
        </w:rPr>
      </w:r>
    </w:p>
    <w:p>
      <w:pPr>
        <w:pStyle w:val="P68B1DB1Normal34"/>
        <w:widowControl w:val="false"/>
        <w:spacing w:lineRule="auto" w:line="240" w:before="88" w:after="0"/>
        <w:ind w:left="360" w:right="0" w:hanging="0"/>
        <w:jc w:val="left"/>
        <w:rPr/>
      </w:pPr>
      <w:r>
        <w:rPr>
          <w:rFonts w:ascii="Times New Roman" w:hAnsi="Times New Roman"/>
        </w:rPr>
        <w:t>3.</w:t>
      </w:r>
      <w:r>
        <w:rPr/>
        <w:t xml:space="preserve"> </w:t>
      </w:r>
      <w:r>
        <w:rPr>
          <w:rFonts w:ascii="Times New Roman" w:hAnsi="Times New Roman"/>
        </w:rPr>
        <w:t>Az</w:t>
      </w:r>
      <w:r>
        <w:rPr>
          <w:rFonts w:ascii="Times New Roman" w:hAnsi="Times New Roman"/>
          <w:b/>
        </w:rPr>
        <w:t>erősebb és egységesebb Európa gondolata végigmegy az egész konzultáción</w:t>
      </w:r>
      <w:r>
        <w:rPr>
          <w:rFonts w:ascii="Times New Roman" w:hAnsi="Times New Roman"/>
        </w:rPr>
        <w:t xml:space="preserve">, és több ponton is konszenzusra jut: </w:t>
      </w:r>
    </w:p>
    <w:p>
      <w:pPr>
        <w:pStyle w:val="P68B1DB1Normal34"/>
        <w:widowControl w:val="false"/>
        <w:spacing w:lineRule="auto" w:line="240" w:before="92" w:after="0"/>
        <w:ind w:left="360" w:right="0" w:hanging="0"/>
        <w:jc w:val="left"/>
        <w:rPr/>
      </w:pPr>
      <w:r>
        <w:rPr>
          <w:rFonts w:ascii="Times New Roman" w:hAnsi="Times New Roman"/>
        </w:rPr>
        <w:t>Gazdaságilag</w:t>
      </w:r>
      <w:r>
        <w:rPr/>
        <w:t xml:space="preserve"> </w:t>
      </w:r>
      <w:r>
        <w:rPr>
          <w:rFonts w:ascii="Times New Roman" w:hAnsi="Times New Roman"/>
        </w:rPr>
        <w:t xml:space="preserve">erősebb Európa (különösen áthelyezés révén) Kínával vagy az Egyesült Államokkal való megbirkózás érdekében </w:t>
      </w:r>
    </w:p>
    <w:p>
      <w:pPr>
        <w:pStyle w:val="P68B1DB1Normal34"/>
        <w:widowControl w:val="false"/>
        <w:spacing w:lineRule="auto" w:line="240" w:before="92" w:after="0"/>
        <w:ind w:left="360" w:right="0" w:hanging="0"/>
        <w:jc w:val="left"/>
        <w:rPr/>
      </w:pPr>
      <w:r>
        <w:rPr>
          <w:rFonts w:ascii="Times New Roman" w:hAnsi="Times New Roman"/>
        </w:rPr>
        <w:t>Diplomáciai</w:t>
      </w:r>
      <w:r>
        <w:rPr/>
        <w:t xml:space="preserve"> </w:t>
      </w:r>
      <w:r>
        <w:rPr>
          <w:rFonts w:ascii="Times New Roman" w:hAnsi="Times New Roman"/>
        </w:rPr>
        <w:t xml:space="preserve">Európa, amely többet nyom a nemzetközi színtéren </w:t>
      </w:r>
    </w:p>
    <w:p>
      <w:pPr>
        <w:pStyle w:val="P68B1DB1Normal34"/>
        <w:widowControl w:val="false"/>
        <w:spacing w:lineRule="auto" w:line="240" w:before="85" w:after="0"/>
        <w:ind w:left="360" w:right="1483" w:hanging="0"/>
        <w:jc w:val="left"/>
        <w:rPr/>
      </w:pPr>
      <w:r>
        <w:rPr>
          <w:rFonts w:ascii="Times New Roman" w:hAnsi="Times New Roman"/>
        </w:rPr>
        <w:t>Európa</w:t>
      </w:r>
      <w:r>
        <w:rPr/>
        <w:t xml:space="preserve"> </w:t>
      </w:r>
      <w:r>
        <w:rPr>
          <w:rFonts w:ascii="Times New Roman" w:hAnsi="Times New Roman"/>
        </w:rPr>
        <w:t>vezető szerepet tölt be az éghajlatváltozás elleni küzdelemben a világban</w:t>
      </w:r>
    </w:p>
    <w:p>
      <w:pPr>
        <w:pStyle w:val="P68B1DB1Normal34"/>
        <w:widowControl w:val="false"/>
        <w:spacing w:lineRule="auto" w:line="240" w:before="85" w:after="0"/>
        <w:ind w:left="360" w:right="1483" w:hanging="0"/>
        <w:jc w:val="left"/>
        <w:rPr/>
      </w:pPr>
      <w:r>
        <w:rPr>
          <w:rFonts w:ascii="Times New Roman" w:hAnsi="Times New Roman"/>
        </w:rPr>
        <w:t>A</w:t>
      </w:r>
      <w:r>
        <w:rPr/>
        <w:t xml:space="preserve"> </w:t>
      </w:r>
      <w:r>
        <w:rPr>
          <w:rFonts w:ascii="Times New Roman" w:hAnsi="Times New Roman"/>
        </w:rPr>
        <w:t xml:space="preserve">fiatalok által összefogott Európa </w:t>
      </w:r>
    </w:p>
    <w:p>
      <w:pPr>
        <w:pStyle w:val="P68B1DB1Normal34"/>
        <w:widowControl w:val="false"/>
        <w:spacing w:lineRule="auto" w:line="240" w:before="85" w:after="0"/>
        <w:ind w:left="360" w:right="0" w:hanging="0"/>
        <w:jc w:val="left"/>
        <w:rPr/>
      </w:pPr>
      <w:r>
        <w:rPr>
          <w:rFonts w:ascii="Times New Roman" w:hAnsi="Times New Roman"/>
        </w:rPr>
        <w:t>Egységes</w:t>
      </w:r>
      <w:r>
        <w:rPr/>
        <w:t xml:space="preserve"> </w:t>
      </w:r>
      <w:r>
        <w:rPr>
          <w:rFonts w:ascii="Times New Roman" w:hAnsi="Times New Roman"/>
        </w:rPr>
        <w:t xml:space="preserve">Európa a kutatás és az innováció </w:t>
      </w:r>
      <w:r>
        <w:rPr/>
        <w:t>területén</w:t>
      </w:r>
    </w:p>
    <w:p>
      <w:pPr>
        <w:pStyle w:val="P68B1DB1Normal19"/>
        <w:widowControl w:val="false"/>
        <w:spacing w:lineRule="auto" w:line="240" w:before="88" w:after="0"/>
        <w:ind w:left="720" w:right="0" w:hanging="0"/>
        <w:jc w:val="left"/>
        <w:rPr>
          <w:rFonts w:ascii="Times New Roman" w:hAnsi="Times New Roman"/>
          <w:color w:val="000000"/>
          <w:sz w:val="24"/>
        </w:rPr>
      </w:pPr>
      <w:r>
        <w:rPr/>
        <w:t xml:space="preserve"> </w:t>
      </w:r>
    </w:p>
    <w:p>
      <w:pPr>
        <w:pStyle w:val="P68B1DB1Normal34"/>
        <w:widowControl w:val="false"/>
        <w:spacing w:lineRule="auto" w:line="240" w:before="86" w:after="0"/>
        <w:ind w:left="360" w:right="1128" w:hanging="0"/>
        <w:jc w:val="left"/>
        <w:rPr/>
      </w:pPr>
      <w:r>
        <w:rPr>
          <w:rFonts w:ascii="Times New Roman" w:hAnsi="Times New Roman"/>
        </w:rPr>
        <w:t>4.</w:t>
      </w:r>
      <w:r>
        <w:rPr/>
        <w:t xml:space="preserve"> </w:t>
      </w:r>
      <w:r>
        <w:rPr>
          <w:rFonts w:ascii="Times New Roman" w:hAnsi="Times New Roman"/>
          <w:b/>
        </w:rPr>
        <w:t>A fiatalok négy kiegészítő ötletet</w:t>
      </w:r>
      <w:r>
        <w:rPr/>
        <w:t>is üdvözöltek a polgári vitacsoportokban</w:t>
      </w:r>
      <w:r>
        <w:rPr>
          <w:rFonts w:ascii="Times New Roman" w:hAnsi="Times New Roman"/>
        </w:rPr>
        <w:t xml:space="preserve"> szereplőkkel szemben: </w:t>
      </w:r>
    </w:p>
    <w:p>
      <w:pPr>
        <w:pStyle w:val="P68B1DB1Normal34"/>
        <w:widowControl w:val="false"/>
        <w:spacing w:lineRule="auto" w:line="240" w:before="90" w:after="0"/>
        <w:ind w:left="360" w:right="0" w:hanging="0"/>
        <w:jc w:val="left"/>
        <w:rPr/>
      </w:pPr>
      <w:r>
        <w:rPr>
          <w:rFonts w:ascii="Times New Roman" w:hAnsi="Times New Roman"/>
        </w:rPr>
        <w:t>Környezetvédelmi</w:t>
      </w:r>
      <w:r>
        <w:rPr/>
        <w:t xml:space="preserve"> </w:t>
      </w:r>
      <w:r>
        <w:rPr>
          <w:rFonts w:ascii="Times New Roman" w:hAnsi="Times New Roman"/>
        </w:rPr>
        <w:t xml:space="preserve">és társadalmilag felelős európai gazdaság </w:t>
      </w:r>
    </w:p>
    <w:p>
      <w:pPr>
        <w:pStyle w:val="P68B1DB1Normal34"/>
        <w:widowControl w:val="false"/>
        <w:spacing w:lineRule="auto" w:line="240" w:before="88" w:after="0"/>
        <w:ind w:left="360" w:right="0" w:hanging="0"/>
        <w:jc w:val="left"/>
        <w:rPr/>
      </w:pPr>
      <w:r>
        <w:rPr>
          <w:rFonts w:ascii="Times New Roman" w:hAnsi="Times New Roman"/>
        </w:rPr>
        <w:t>A</w:t>
      </w:r>
      <w:r>
        <w:rPr/>
        <w:t xml:space="preserve"> vasúttal földrajzilag jobban összekapcsolt Európa </w:t>
      </w:r>
      <w:r>
        <w:rPr>
          <w:rFonts w:ascii="Times New Roman" w:hAnsi="Times New Roman"/>
        </w:rPr>
        <w:t xml:space="preserve"> </w:t>
      </w:r>
    </w:p>
    <w:p>
      <w:pPr>
        <w:pStyle w:val="P68B1DB1Normal34"/>
        <w:widowControl w:val="false"/>
        <w:spacing w:lineRule="auto" w:line="240" w:before="85" w:after="0"/>
        <w:ind w:left="360" w:right="0" w:hanging="0"/>
        <w:jc w:val="left"/>
        <w:rPr/>
      </w:pPr>
      <w:r>
        <w:rPr>
          <w:rFonts w:ascii="Times New Roman" w:hAnsi="Times New Roman"/>
        </w:rPr>
        <w:t>Fiskálisan</w:t>
      </w:r>
      <w:r>
        <w:rPr/>
        <w:t xml:space="preserve"> </w:t>
      </w:r>
      <w:r>
        <w:rPr>
          <w:rFonts w:ascii="Times New Roman" w:hAnsi="Times New Roman"/>
        </w:rPr>
        <w:t xml:space="preserve">méltányosabb Európa </w:t>
      </w:r>
    </w:p>
    <w:p>
      <w:pPr>
        <w:pStyle w:val="P68B1DB1Normal34"/>
        <w:widowControl w:val="false"/>
        <w:spacing w:lineRule="auto" w:line="240" w:before="88" w:after="0"/>
        <w:ind w:left="360" w:right="0" w:hanging="0"/>
        <w:jc w:val="left"/>
        <w:rPr/>
      </w:pPr>
      <w:r>
        <w:rPr>
          <w:rFonts w:ascii="Times New Roman" w:hAnsi="Times New Roman"/>
        </w:rPr>
        <w:t>Az</w:t>
      </w:r>
      <w:r>
        <w:rPr/>
        <w:t xml:space="preserve"> </w:t>
      </w:r>
      <w:r>
        <w:rPr>
          <w:rFonts w:ascii="Times New Roman" w:hAnsi="Times New Roman"/>
        </w:rPr>
        <w:t xml:space="preserve">Európai Unió határozott fellépése a nők jogainak támogatása érdekében </w:t>
      </w:r>
    </w:p>
    <w:p>
      <w:pPr>
        <w:pStyle w:val="Normal"/>
        <w:widowControl w:val="false"/>
        <w:spacing w:lineRule="auto" w:line="240" w:before="85" w:after="0"/>
        <w:ind w:left="0" w:right="0" w:hanging="0"/>
        <w:jc w:val="left"/>
        <w:rPr>
          <w:rFonts w:ascii="Times New Roman" w:hAnsi="Times New Roman"/>
          <w:color w:val="000000"/>
          <w:sz w:val="24"/>
        </w:rPr>
      </w:pPr>
      <w:r>
        <w:rPr>
          <w:rFonts w:ascii="Times New Roman" w:hAnsi="Times New Roman"/>
          <w:color w:val="000000"/>
          <w:sz w:val="24"/>
        </w:rPr>
      </w:r>
      <w:r>
        <w:br w:type="page"/>
      </w:r>
    </w:p>
    <w:p>
      <w:pPr>
        <w:pStyle w:val="P68B1DB1Normal33"/>
        <w:widowControl w:val="false"/>
        <w:spacing w:lineRule="auto" w:line="240" w:before="85" w:after="0"/>
        <w:ind w:left="0" w:right="0" w:hanging="0"/>
        <w:jc w:val="left"/>
        <w:rPr/>
      </w:pPr>
      <w:r>
        <w:rPr/>
        <w:t xml:space="preserve">22 népszerű ötlet és 13 ellentmondásos ötlet terjedt el az Európa jövőjéről szóló konferencia 9 témájában </w:t>
      </w:r>
    </w:p>
    <w:p>
      <w:pPr>
        <w:pStyle w:val="P68B1DB1Normal19"/>
        <w:widowControl w:val="false"/>
        <w:spacing w:lineRule="auto" w:line="240" w:before="80" w:after="0"/>
        <w:ind w:left="0" w:right="0" w:hanging="0"/>
        <w:jc w:val="left"/>
        <w:rPr>
          <w:rFonts w:ascii="Times New Roman" w:hAnsi="Times New Roman"/>
          <w:color w:val="000000"/>
          <w:sz w:val="24"/>
        </w:rPr>
      </w:pPr>
      <w:r>
        <w:rPr/>
        <w:t xml:space="preserve"> </w:t>
      </w:r>
    </w:p>
    <w:p>
      <w:pPr>
        <w:pStyle w:val="P68B1DB1Normal52"/>
        <w:widowControl w:val="false"/>
        <w:spacing w:lineRule="auto" w:line="240" w:before="96" w:after="0"/>
        <w:ind w:left="0" w:right="0" w:hanging="0"/>
        <w:jc w:val="both"/>
        <w:rPr/>
      </w:pPr>
      <w:r>
        <w:rPr>
          <w:color w:val="38761D"/>
        </w:rPr>
        <w:t>Az elismert ötletek a konzultáció résztvevői által támogatott javaslatokon</w:t>
      </w:r>
      <w:r>
        <w:rPr>
          <w:color w:val="000000"/>
        </w:rPr>
        <w:t xml:space="preserve"> alapulnak. Az elismert javaslatok azok a javaslatok, amelyek a legtöbb támogatást vonzzák, és a </w:t>
      </w:r>
      <w:r>
        <w:rPr>
          <w:b/>
          <w:color w:val="000000"/>
        </w:rPr>
        <w:t>„szavazások” átlagosan 79%-át tőkésítik</w:t>
      </w:r>
      <w:r>
        <w:rPr>
          <w:color w:val="000000"/>
        </w:rPr>
        <w:t xml:space="preserve">. </w:t>
      </w:r>
    </w:p>
    <w:p>
      <w:pPr>
        <w:pStyle w:val="P68B1DB1Normal44"/>
        <w:widowControl w:val="false"/>
        <w:spacing w:lineRule="auto" w:line="240" w:before="94" w:after="0"/>
        <w:ind w:left="0" w:right="0" w:hanging="0"/>
        <w:jc w:val="left"/>
        <w:rPr>
          <w:rFonts w:ascii="Times New Roman" w:hAnsi="Times New Roman"/>
          <w:i/>
          <w:i/>
          <w:color w:val="000000"/>
          <w:sz w:val="24"/>
        </w:rPr>
      </w:pPr>
      <w:r>
        <w:rPr/>
        <w:t xml:space="preserve"> </w:t>
      </w:r>
    </w:p>
    <w:p>
      <w:pPr>
        <w:pStyle w:val="P68B1DB1Normal52"/>
        <w:widowControl w:val="false"/>
        <w:spacing w:lineRule="auto" w:line="240" w:before="96" w:after="0"/>
        <w:ind w:left="0" w:right="0" w:hanging="0"/>
        <w:jc w:val="both"/>
        <w:rPr/>
      </w:pPr>
      <w:r>
        <w:rPr>
          <w:color w:val="FF9900"/>
        </w:rPr>
        <w:t>Az ellentmondásos elképzelések a konzultáció résztvevői által leggyakrabban megvitatott javaslatokon</w:t>
      </w:r>
      <w:r>
        <w:rPr>
          <w:color w:val="000000"/>
        </w:rPr>
        <w:t xml:space="preserve"> alapulnak, és egyensúlyt teremtenek a mellette és az ellenszavazat között. Az ellentmondásos javaslatok a konzultáció legvitatottabb javaslatai, amelyek a „szavazások</w:t>
      </w:r>
      <w:r>
        <w:rPr>
          <w:b/>
          <w:color w:val="000000"/>
        </w:rPr>
        <w:t>” átlagosan 40%-át, a „szavazások</w:t>
      </w:r>
      <w:r>
        <w:rPr>
          <w:color w:val="000000"/>
        </w:rPr>
        <w:t xml:space="preserve"> </w:t>
      </w:r>
      <w:r>
        <w:rPr>
          <w:b/>
          <w:color w:val="000000"/>
        </w:rPr>
        <w:t>38%-át” tőkésítik</w:t>
      </w:r>
      <w:r>
        <w:rPr>
          <w:color w:val="000000"/>
        </w:rPr>
        <w:t xml:space="preserve">. </w:t>
      </w:r>
    </w:p>
    <w:p>
      <w:pPr>
        <w:pStyle w:val="P68B1DB1Normal44"/>
        <w:widowControl w:val="false"/>
        <w:spacing w:lineRule="auto" w:line="240" w:before="96" w:after="0"/>
        <w:ind w:left="0" w:right="0" w:hanging="0"/>
        <w:jc w:val="left"/>
        <w:rPr>
          <w:rFonts w:ascii="Times New Roman" w:hAnsi="Times New Roman"/>
          <w:i/>
          <w:i/>
          <w:color w:val="000000"/>
          <w:sz w:val="24"/>
        </w:rPr>
      </w:pPr>
      <w:r>
        <w:rPr/>
        <w:t xml:space="preserve"> </w:t>
      </w:r>
    </w:p>
    <w:p>
      <w:pPr>
        <w:pStyle w:val="Normal"/>
        <w:widowControl w:val="false"/>
        <w:spacing w:lineRule="auto" w:line="240" w:before="90" w:after="0"/>
        <w:ind w:left="0" w:right="0" w:hanging="0"/>
        <w:jc w:val="both"/>
        <w:rPr/>
      </w:pPr>
      <w:r>
        <w:rPr/>
        <w:t>E javaslatok</w:t>
      </w:r>
      <w:r>
        <w:rPr>
          <w:rFonts w:ascii="Times New Roman" w:hAnsi="Times New Roman"/>
          <w:color w:val="000000"/>
          <w:sz w:val="24"/>
        </w:rPr>
        <w:t xml:space="preserve">elemzése 22 elismert ötletet és 13 ellentmondásos ötletet azonosított. Ezt a 22 elismert ötletet és a 13 vitatott ötletet 9 tengelyre osztották, amelyek az Európa jövőjéről szóló konferencia fő témáinak felelnek meg. </w:t>
      </w:r>
      <w:r>
        <w:br w:type="page"/>
      </w:r>
    </w:p>
    <w:p>
      <w:pPr>
        <w:pStyle w:val="Normal"/>
        <w:widowControl w:val="false"/>
        <w:spacing w:lineRule="auto" w:line="240" w:before="85" w:after="0"/>
        <w:ind w:left="0" w:right="0" w:hanging="0"/>
        <w:jc w:val="left"/>
        <w:rPr/>
      </w:pPr>
      <w:r>
        <w:rPr/>
        <w:t>Az elismert és ellentmondásos ötletek szintézise</w:t>
      </w:r>
      <w:r>
        <w:rPr>
          <w:rFonts w:ascii="Times New Roman" w:hAnsi="Times New Roman"/>
          <w:color w:val="000000"/>
          <w:sz w:val="24"/>
        </w:rPr>
        <w:t xml:space="preserve"> </w:t>
      </w:r>
    </w:p>
    <w:tbl>
      <w:tblPr>
        <w:tblW w:w="9638" w:type="dxa"/>
        <w:jc w:val="left"/>
        <w:tblInd w:w="-5"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top w:w="55" w:type="dxa"/>
          <w:left w:w="50" w:type="dxa"/>
          <w:bottom w:w="55" w:type="dxa"/>
          <w:right w:w="55" w:type="dxa"/>
        </w:tblCellMar>
      </w:tblPr>
      <w:tblGrid>
        <w:gridCol w:w="2409"/>
        <w:gridCol w:w="803"/>
        <w:gridCol w:w="1606"/>
        <w:gridCol w:w="1607"/>
        <w:gridCol w:w="803"/>
        <w:gridCol w:w="2409"/>
      </w:tblGrid>
      <w:tr>
        <w:trPr/>
        <w:tc>
          <w:tcPr>
            <w:tcW w:w="9637" w:type="dxa"/>
            <w:gridSpan w:val="6"/>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3"/>
              <w:spacing w:before="57" w:after="57"/>
              <w:jc w:val="center"/>
              <w:rPr>
                <w:color w:val="FFFFFF"/>
                <w:sz w:val="18"/>
                <w:highlight w:val="darkCyan"/>
              </w:rPr>
            </w:pPr>
            <w:r>
              <w:rPr/>
              <w:t>Éghajlatváltozás és környezetvédelem</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Erősebb európai ökológiai politikabevezetése</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Elmozdulás a fenntarthatóbb mezőgazdaság felé</w:t>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t>Határozottabb fellépés a biológiai sokféleség védelme érdekében</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A vasúti közlekedés fejlesztése az EU-ban</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Gyorsítsa fel az energetikai átállást</w:t>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t>A csomagolás korlátozása és a hulladékgazdálkodás javítása</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A környezettel kapcsolatos tudatosság növelése</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rFonts w:eastAsia="Wingdings" w:cs="Wingdings" w:ascii="Wingdings" w:hAnsi="Wingdings"/>
              </w:rPr>
              <w:t xml:space="preserve"> </w:t>
            </w:r>
            <w:r>
              <w:rPr/>
              <w:t>A környezetbarát építési folyamatok előmozdítása</w:t>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t>Több befektetés az atomenergiába</w:t>
            </w:r>
          </w:p>
        </w:tc>
      </w:tr>
      <w:tr>
        <w:trPr/>
        <w:tc>
          <w:tcPr>
            <w:tcW w:w="9637" w:type="dxa"/>
            <w:gridSpan w:val="6"/>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5"/>
              <w:spacing w:before="57" w:after="57"/>
              <w:jc w:val="center"/>
              <w:rPr>
                <w:color w:val="FFFFFF"/>
                <w:sz w:val="18"/>
                <w:highlight w:val="darkCyan"/>
              </w:rPr>
            </w:pPr>
            <w:r>
              <w:rPr/>
              <w:t>Európai demokrácia</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Jobb kommunikáció az EU szerepéről és munkájáról</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Az Európai Unió demokratikus működésénekmegváltoztatása</w:t>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rFonts w:eastAsia="Wingdings" w:cs="Wingdings" w:ascii="Wingdings" w:hAnsi="Wingdings"/>
              </w:rPr>
              <w:t xml:space="preserve"> </w:t>
            </w:r>
            <w:r>
              <w:rPr/>
              <w:t>Küzdelem a félretájékoztatás ellen</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Európát föderációvá tenni</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Nagyobb autonómiát hagy a tagállamok számára</w:t>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t>Erősebb európai végrehajtó hatalom kiépítése</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Hely biztosítása a fiataloknak az európai intézményekben</w:t>
            </w:r>
          </w:p>
        </w:tc>
        <w:tc>
          <w:tcPr>
            <w:tcW w:w="3213" w:type="dxa"/>
            <w:gridSpan w:val="2"/>
            <w:tcBorders>
              <w:left w:val="single" w:sz="4" w:space="0" w:color="000001"/>
              <w:bottom w:val="single" w:sz="4" w:space="0" w:color="000001"/>
              <w:insideH w:val="single" w:sz="4" w:space="0" w:color="000001"/>
            </w:tcBorders>
            <w:shd w:fill="auto" w:val="clear"/>
          </w:tcPr>
          <w:p>
            <w:pPr>
              <w:pStyle w:val="Contenudetableau"/>
              <w:spacing w:before="57" w:after="57"/>
              <w:jc w:val="center"/>
              <w:rPr>
                <w:sz w:val="18"/>
              </w:rPr>
            </w:pPr>
            <w:r>
              <w:rPr>
                <w:sz w:val="18"/>
              </w:rPr>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Contenudetableau"/>
              <w:spacing w:before="57" w:after="57"/>
              <w:jc w:val="center"/>
              <w:rPr>
                <w:sz w:val="18"/>
              </w:rPr>
            </w:pPr>
            <w:r>
              <w:rPr>
                <w:sz w:val="18"/>
              </w:rPr>
            </w:r>
          </w:p>
        </w:tc>
      </w:tr>
      <w:tr>
        <w:trPr/>
        <w:tc>
          <w:tcPr>
            <w:tcW w:w="9637" w:type="dxa"/>
            <w:gridSpan w:val="6"/>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6"/>
              <w:spacing w:before="57" w:after="57"/>
              <w:jc w:val="center"/>
              <w:rPr>
                <w:color w:val="FFFFFF"/>
                <w:sz w:val="18"/>
                <w:highlight w:val="red"/>
              </w:rPr>
            </w:pPr>
            <w:r>
              <w:rPr/>
              <w:t>Gazdaság, társadalmi igazságosság és foglalkoztatás</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A termelés áthelyezése Európába a nagyobb önállóság érdekében</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Az üzleti gyakorlatok és a kereskedelem felelősebbé tétele</w:t>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t>Az adókijátszás és az optimalizálás elleni küzdelem</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Az európai bérek harmonizálása</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Az egyetemes jövedelemmegteremtése</w:t>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t>Európa átalakítása egy antikapitalista modell felé</w:t>
            </w:r>
          </w:p>
        </w:tc>
      </w:tr>
      <w:tr>
        <w:trPr/>
        <w:tc>
          <w:tcPr>
            <w:tcW w:w="4818" w:type="dxa"/>
            <w:gridSpan w:val="3"/>
            <w:tcBorders>
              <w:top w:val="single" w:sz="4" w:space="0" w:color="000001"/>
              <w:left w:val="single" w:sz="4" w:space="0" w:color="000001"/>
              <w:bottom w:val="single" w:sz="4" w:space="0" w:color="000001"/>
              <w:insideH w:val="single" w:sz="4" w:space="0" w:color="000001"/>
            </w:tcBorders>
            <w:shd w:fill="auto" w:val="clear"/>
          </w:tcPr>
          <w:p>
            <w:pPr>
              <w:pStyle w:val="P68B1DB1Contenudetableau57"/>
              <w:spacing w:before="57" w:after="57"/>
              <w:jc w:val="center"/>
              <w:rPr>
                <w:rFonts w:ascii="Arial" w:hAnsi="Arial"/>
                <w:b w:val="false"/>
                <w:b w:val="false"/>
                <w:i w:val="false"/>
                <w:i w:val="false"/>
                <w:strike w:val="false"/>
                <w:dstrike w:val="false"/>
                <w:outline w:val="false"/>
                <w:shadow w:val="false"/>
                <w:color w:val="FFFFFF"/>
                <w:sz w:val="18"/>
                <w:highlight w:val="blue"/>
                <w:u w:val="none"/>
              </w:rPr>
            </w:pPr>
            <w:r>
              <w:rPr/>
              <w:t>Oktatás, kultúra, ifjúság és sport</w:t>
            </w:r>
          </w:p>
        </w:tc>
        <w:tc>
          <w:tcPr>
            <w:tcW w:w="4819" w:type="dxa"/>
            <w:gridSpan w:val="3"/>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8"/>
              <w:spacing w:before="57" w:after="57"/>
              <w:jc w:val="center"/>
              <w:rPr>
                <w:rFonts w:ascii="Arial" w:hAnsi="Arial"/>
                <w:b w:val="false"/>
                <w:b w:val="false"/>
                <w:i w:val="false"/>
                <w:i w:val="false"/>
                <w:strike w:val="false"/>
                <w:dstrike w:val="false"/>
                <w:outline w:val="false"/>
                <w:shadow w:val="false"/>
                <w:color w:val="FFFFFF"/>
                <w:sz w:val="18"/>
                <w:highlight w:val="darkMagenta"/>
                <w:u w:val="none"/>
              </w:rPr>
            </w:pPr>
            <w:r>
              <w:rPr/>
              <w:t>Digitális transzformáció</w:t>
            </w:r>
          </w:p>
        </w:tc>
      </w:tr>
      <w:tr>
        <w:trPr/>
        <w:tc>
          <w:tcPr>
            <w:tcW w:w="2409" w:type="dxa"/>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rPr>
              <w:t>Annak lehetővé tétele a fiatalok számára, hogy többet cseréljenek más uniós országokkal</w:t>
            </w:r>
          </w:p>
        </w:tc>
        <w:tc>
          <w:tcPr>
            <w:tcW w:w="2409" w:type="dxa"/>
            <w:gridSpan w:val="2"/>
            <w:tcBorders>
              <w:left w:val="single" w:sz="4" w:space="0" w:color="000001"/>
              <w:bottom w:val="single" w:sz="4" w:space="0" w:color="000001"/>
              <w:insideH w:val="single" w:sz="4" w:space="0" w:color="000001"/>
            </w:tcBorders>
            <w:shd w:fill="auto" w:val="clear"/>
          </w:tcPr>
          <w:p>
            <w:pPr>
              <w:pStyle w:val="P68B1DB1Contenudetableau59"/>
              <w:spacing w:before="57" w:after="57"/>
              <w:jc w:val="center"/>
              <w:rPr>
                <w:rFonts w:ascii="Arial" w:hAnsi="Arial"/>
                <w:b w:val="false"/>
                <w:b w:val="false"/>
                <w:i w:val="false"/>
                <w:i w:val="false"/>
                <w:strike w:val="false"/>
                <w:dstrike w:val="false"/>
                <w:outline w:val="false"/>
                <w:shadow w:val="false"/>
                <w:color w:val="000000"/>
                <w:sz w:val="18"/>
                <w:u w:val="none"/>
              </w:rPr>
            </w:pPr>
            <w:r>
              <w:rPr/>
              <w:t>A nem angol nyelvtanulás ösztönzése</w:t>
            </w:r>
          </w:p>
        </w:tc>
        <w:tc>
          <w:tcPr>
            <w:tcW w:w="2410"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rPr>
              <w:t>Beruházás a tudományos, digitális és környezetvédelmi kutatásba</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rPr>
              <w:t>Felhívja a figyelmet a digitális technológiákra és annak veszélyeire</w:t>
            </w:r>
          </w:p>
        </w:tc>
      </w:tr>
      <w:tr>
        <w:trPr/>
        <w:tc>
          <w:tcPr>
            <w:tcW w:w="2409" w:type="dxa"/>
            <w:tcBorders>
              <w:left w:val="single" w:sz="4" w:space="0" w:color="000001"/>
              <w:bottom w:val="single" w:sz="4" w:space="0" w:color="000001"/>
              <w:insideH w:val="single" w:sz="4" w:space="0" w:color="000001"/>
            </w:tcBorders>
            <w:shd w:fill="auto" w:val="clear"/>
          </w:tcPr>
          <w:p>
            <w:pPr>
              <w:pStyle w:val="P68B1DB1Contenudetableau59"/>
              <w:spacing w:before="57" w:after="57"/>
              <w:jc w:val="center"/>
              <w:rPr>
                <w:rFonts w:ascii="Arial" w:hAnsi="Arial"/>
                <w:b w:val="false"/>
                <w:b w:val="false"/>
                <w:i w:val="false"/>
                <w:i w:val="false"/>
                <w:strike w:val="false"/>
                <w:dstrike w:val="false"/>
                <w:outline w:val="false"/>
                <w:shadow w:val="false"/>
                <w:color w:val="000000"/>
                <w:sz w:val="18"/>
                <w:u w:val="none"/>
              </w:rPr>
            </w:pPr>
            <w:r>
              <w:rPr/>
              <w:t>Az európai tartózkodás kötelezővé tétele a fiatalok számára</w:t>
            </w:r>
          </w:p>
        </w:tc>
        <w:tc>
          <w:tcPr>
            <w:tcW w:w="2409" w:type="dxa"/>
            <w:gridSpan w:val="2"/>
            <w:tcBorders>
              <w:left w:val="single" w:sz="4" w:space="0" w:color="000001"/>
              <w:bottom w:val="single" w:sz="4" w:space="0" w:color="000001"/>
              <w:insideH w:val="single" w:sz="4" w:space="0" w:color="000001"/>
            </w:tcBorders>
            <w:shd w:fill="auto" w:val="clear"/>
          </w:tcPr>
          <w:p>
            <w:pPr>
              <w:pStyle w:val="Contenudetableau"/>
              <w:spacing w:before="57" w:after="57"/>
              <w:jc w:val="center"/>
              <w:rPr>
                <w:rFonts w:ascii="Arial" w:hAnsi="Arial"/>
                <w:b w:val="false"/>
                <w:b w:val="false"/>
                <w:i w:val="false"/>
                <w:i w:val="false"/>
                <w:strike w:val="false"/>
                <w:dstrike w:val="false"/>
                <w:outline w:val="false"/>
                <w:shadow w:val="false"/>
                <w:color w:val="000000"/>
                <w:sz w:val="18"/>
                <w:u w:val="none"/>
              </w:rPr>
            </w:pPr>
            <w:r>
              <w:rPr>
                <w:b w:val="false"/>
                <w:i w:val="false"/>
                <w:strike w:val="false"/>
                <w:dstrike w:val="false"/>
                <w:outline w:val="false"/>
                <w:shadow w:val="false"/>
                <w:color w:val="000000"/>
                <w:sz w:val="18"/>
                <w:u w:val="none"/>
              </w:rPr>
            </w:r>
          </w:p>
        </w:tc>
        <w:tc>
          <w:tcPr>
            <w:tcW w:w="2410" w:type="dxa"/>
            <w:gridSpan w:val="2"/>
            <w:tcBorders>
              <w:left w:val="single" w:sz="4" w:space="0" w:color="000001"/>
              <w:bottom w:val="single" w:sz="4" w:space="0" w:color="000001"/>
              <w:insideH w:val="single" w:sz="4" w:space="0" w:color="000001"/>
            </w:tcBorders>
            <w:shd w:fill="auto" w:val="clear"/>
          </w:tcPr>
          <w:p>
            <w:pPr>
              <w:pStyle w:val="P68B1DB1Contenudetableau59"/>
              <w:spacing w:before="57" w:after="57"/>
              <w:jc w:val="center"/>
              <w:rPr>
                <w:rFonts w:ascii="Arial" w:hAnsi="Arial"/>
                <w:b w:val="false"/>
                <w:b w:val="false"/>
                <w:i w:val="false"/>
                <w:i w:val="false"/>
                <w:strike w:val="false"/>
                <w:dstrike w:val="false"/>
                <w:outline w:val="false"/>
                <w:shadow w:val="false"/>
                <w:color w:val="000000"/>
                <w:sz w:val="18"/>
                <w:u w:val="none"/>
              </w:rPr>
            </w:pPr>
            <w:r>
              <w:rPr/>
              <w:t>Kriptovaluták fejlesztése Európában</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Contenudetableau"/>
              <w:spacing w:before="57" w:after="57"/>
              <w:jc w:val="center"/>
              <w:rPr>
                <w:rFonts w:ascii="Arial" w:hAnsi="Arial"/>
                <w:b w:val="false"/>
                <w:b w:val="false"/>
                <w:i w:val="false"/>
                <w:i w:val="false"/>
                <w:strike w:val="false"/>
                <w:dstrike w:val="false"/>
                <w:outline w:val="false"/>
                <w:shadow w:val="false"/>
                <w:color w:val="000000"/>
                <w:sz w:val="18"/>
                <w:u w:val="none"/>
              </w:rPr>
            </w:pPr>
            <w:r>
              <w:rPr>
                <w:b w:val="false"/>
                <w:i w:val="false"/>
                <w:strike w:val="false"/>
                <w:dstrike w:val="false"/>
                <w:outline w:val="false"/>
                <w:shadow w:val="false"/>
                <w:color w:val="000000"/>
                <w:sz w:val="18"/>
                <w:u w:val="none"/>
              </w:rPr>
            </w:r>
          </w:p>
        </w:tc>
      </w:tr>
      <w:tr>
        <w:trPr/>
        <w:tc>
          <w:tcPr>
            <w:tcW w:w="4818" w:type="dxa"/>
            <w:gridSpan w:val="3"/>
            <w:tcBorders>
              <w:left w:val="single" w:sz="4" w:space="0" w:color="000001"/>
              <w:bottom w:val="single" w:sz="4" w:space="0" w:color="000001"/>
              <w:insideH w:val="single" w:sz="4" w:space="0" w:color="000001"/>
            </w:tcBorders>
            <w:shd w:fill="auto" w:val="clear"/>
          </w:tcPr>
          <w:p>
            <w:pPr>
              <w:pStyle w:val="P68B1DB1Contenudetableau60"/>
              <w:spacing w:before="57" w:after="57"/>
              <w:jc w:val="center"/>
              <w:rPr>
                <w:rFonts w:ascii="Arial" w:hAnsi="Arial"/>
                <w:b w:val="false"/>
                <w:b w:val="false"/>
                <w:i w:val="false"/>
                <w:i w:val="false"/>
                <w:strike w:val="false"/>
                <w:dstrike w:val="false"/>
                <w:outline w:val="false"/>
                <w:shadow w:val="false"/>
                <w:color w:val="FFFFFF"/>
                <w:sz w:val="18"/>
                <w:highlight w:val="blue"/>
                <w:u w:val="none"/>
              </w:rPr>
            </w:pPr>
            <w:r>
              <w:rPr/>
              <w:t>Értékek és jogok, jogállamiság, biztonság</w:t>
            </w:r>
          </w:p>
        </w:tc>
        <w:tc>
          <w:tcPr>
            <w:tcW w:w="4819" w:type="dxa"/>
            <w:gridSpan w:val="3"/>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61"/>
              <w:spacing w:before="57" w:after="57"/>
              <w:jc w:val="center"/>
              <w:rPr>
                <w:rFonts w:ascii="Arial" w:hAnsi="Arial"/>
                <w:b w:val="false"/>
                <w:b w:val="false"/>
                <w:i w:val="false"/>
                <w:i w:val="false"/>
                <w:strike w:val="false"/>
                <w:dstrike w:val="false"/>
                <w:outline w:val="false"/>
                <w:shadow w:val="false"/>
                <w:color w:val="FFFFFF"/>
                <w:sz w:val="18"/>
                <w:highlight w:val="darkBlue"/>
                <w:u w:val="none"/>
              </w:rPr>
            </w:pPr>
            <w:r>
              <w:rPr/>
              <w:t>Egészség</w:t>
            </w:r>
          </w:p>
        </w:tc>
      </w:tr>
      <w:tr>
        <w:trPr/>
        <w:tc>
          <w:tcPr>
            <w:tcW w:w="2409" w:type="dxa"/>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rFonts w:eastAsia="Wingdings" w:cs="Wingdings" w:ascii="Wingdings" w:hAnsi="Wingdings"/>
                <w:color w:val="ADC5E7"/>
              </w:rPr>
              <w:t>Az</w:t>
            </w:r>
            <w:r>
              <w:rPr>
                <w:color w:val="000000"/>
              </w:rPr>
              <w:t>emberi jogok tiszteletben tartására irányuló uniós fellépésmegerősítése</w:t>
            </w:r>
          </w:p>
        </w:tc>
        <w:tc>
          <w:tcPr>
            <w:tcW w:w="2409"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rPr>
              <w:t>A nők jogainak megerősítése</w:t>
            </w:r>
          </w:p>
        </w:tc>
        <w:tc>
          <w:tcPr>
            <w:tcW w:w="2410"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rPr>
              <w:t>Befektetés az egészségügybe</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rFonts w:eastAsia="Wingdings" w:cs="Wingdings" w:ascii="Wingdings" w:hAnsi="Wingdings"/>
                <w:color w:val="21409A"/>
              </w:rPr>
              <w:t>Élelmiszereink minőségénekjavítása</w:t>
            </w:r>
          </w:p>
        </w:tc>
      </w:tr>
      <w:tr>
        <w:trPr/>
        <w:tc>
          <w:tcPr>
            <w:tcW w:w="4818" w:type="dxa"/>
            <w:gridSpan w:val="3"/>
            <w:tcBorders>
              <w:left w:val="single" w:sz="4" w:space="0" w:color="000001"/>
              <w:bottom w:val="single" w:sz="4" w:space="0" w:color="000001"/>
              <w:insideH w:val="single" w:sz="4" w:space="0" w:color="000001"/>
            </w:tcBorders>
            <w:shd w:fill="auto" w:val="clear"/>
          </w:tcPr>
          <w:p>
            <w:pPr>
              <w:pStyle w:val="P68B1DB1Contenudetableau62"/>
              <w:spacing w:before="57" w:after="57"/>
              <w:jc w:val="center"/>
              <w:rPr>
                <w:rFonts w:ascii="Arial" w:hAnsi="Arial"/>
                <w:b w:val="false"/>
                <w:b w:val="false"/>
                <w:i w:val="false"/>
                <w:i w:val="false"/>
                <w:strike w:val="false"/>
                <w:dstrike w:val="false"/>
                <w:outline w:val="false"/>
                <w:shadow w:val="false"/>
                <w:color w:val="FFFFFF"/>
                <w:sz w:val="18"/>
                <w:highlight w:val="cyan"/>
                <w:u w:val="none"/>
              </w:rPr>
            </w:pPr>
            <w:r>
              <w:rPr/>
              <w:t>Az EU a világban</w:t>
            </w:r>
          </w:p>
        </w:tc>
        <w:tc>
          <w:tcPr>
            <w:tcW w:w="4819" w:type="dxa"/>
            <w:gridSpan w:val="3"/>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63"/>
              <w:spacing w:before="57" w:after="57"/>
              <w:jc w:val="center"/>
              <w:rPr>
                <w:rFonts w:ascii="Arial" w:hAnsi="Arial"/>
                <w:b w:val="false"/>
                <w:b w:val="false"/>
                <w:i w:val="false"/>
                <w:i w:val="false"/>
                <w:strike w:val="false"/>
                <w:dstrike w:val="false"/>
                <w:outline w:val="false"/>
                <w:shadow w:val="false"/>
                <w:color w:val="FFFFFF"/>
                <w:sz w:val="18"/>
                <w:highlight w:val="red"/>
                <w:u w:val="none"/>
              </w:rPr>
            </w:pPr>
            <w:r>
              <w:rPr/>
              <w:t xml:space="preserve">Bevándorlás </w:t>
            </w:r>
          </w:p>
        </w:tc>
      </w:tr>
      <w:tr>
        <w:trPr/>
        <w:tc>
          <w:tcPr>
            <w:tcW w:w="2409" w:type="dxa"/>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rPr>
              <w:t>Az EU nemzetközi szintű mérlegelésének lehetővé tétele</w:t>
            </w:r>
          </w:p>
        </w:tc>
        <w:tc>
          <w:tcPr>
            <w:tcW w:w="2409" w:type="dxa"/>
            <w:gridSpan w:val="2"/>
            <w:tcBorders>
              <w:left w:val="single" w:sz="4" w:space="0" w:color="000001"/>
              <w:bottom w:val="single" w:sz="4" w:space="0" w:color="000001"/>
              <w:insideH w:val="single" w:sz="4" w:space="0" w:color="000001"/>
            </w:tcBorders>
            <w:shd w:fill="auto" w:val="clear"/>
          </w:tcPr>
          <w:p>
            <w:pPr>
              <w:pStyle w:val="P68B1DB1Contenudetableau59"/>
              <w:spacing w:before="57" w:after="57"/>
              <w:jc w:val="center"/>
              <w:rPr>
                <w:rFonts w:ascii="Arial" w:hAnsi="Arial"/>
                <w:b w:val="false"/>
                <w:b w:val="false"/>
                <w:i w:val="false"/>
                <w:i w:val="false"/>
                <w:strike w:val="false"/>
                <w:dstrike w:val="false"/>
                <w:outline w:val="false"/>
                <w:shadow w:val="false"/>
                <w:color w:val="000000"/>
                <w:sz w:val="18"/>
                <w:u w:val="none"/>
              </w:rPr>
            </w:pPr>
            <w:r>
              <w:rPr/>
              <w:t>Európai Fegyveres Erők létrehozása</w:t>
            </w:r>
          </w:p>
        </w:tc>
        <w:tc>
          <w:tcPr>
            <w:tcW w:w="2410" w:type="dxa"/>
            <w:gridSpan w:val="2"/>
            <w:tcBorders>
              <w:left w:val="single" w:sz="4" w:space="0" w:color="000001"/>
              <w:bottom w:val="single" w:sz="4" w:space="0" w:color="000001"/>
              <w:insideH w:val="single" w:sz="4" w:space="0" w:color="000001"/>
            </w:tcBorders>
            <w:shd w:fill="auto" w:val="clear"/>
          </w:tcPr>
          <w:p>
            <w:pPr>
              <w:pStyle w:val="P68B1DB1Contenudetableau59"/>
              <w:spacing w:before="57" w:after="57"/>
              <w:jc w:val="center"/>
              <w:rPr>
                <w:rFonts w:ascii="Arial" w:hAnsi="Arial"/>
                <w:b w:val="false"/>
                <w:b w:val="false"/>
                <w:i w:val="false"/>
                <w:i w:val="false"/>
                <w:strike w:val="false"/>
                <w:dstrike w:val="false"/>
                <w:outline w:val="false"/>
                <w:shadow w:val="false"/>
                <w:color w:val="000000"/>
                <w:sz w:val="18"/>
                <w:u w:val="none"/>
              </w:rPr>
            </w:pPr>
            <w:r>
              <w:rPr/>
              <w:t>A bevándorlás csökkentése vagy kísérője Európában</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Contenudetableau"/>
              <w:spacing w:before="57" w:after="57"/>
              <w:jc w:val="center"/>
              <w:rPr>
                <w:rFonts w:ascii="Arial" w:hAnsi="Arial"/>
                <w:b w:val="false"/>
                <w:b w:val="false"/>
                <w:i w:val="false"/>
                <w:i w:val="false"/>
                <w:strike w:val="false"/>
                <w:dstrike w:val="false"/>
                <w:outline w:val="false"/>
                <w:shadow w:val="false"/>
                <w:color w:val="000000"/>
                <w:sz w:val="18"/>
                <w:u w:val="none"/>
              </w:rPr>
            </w:pPr>
            <w:r>
              <w:rPr>
                <w:b w:val="false"/>
                <w:i w:val="false"/>
                <w:strike w:val="false"/>
                <w:dstrike w:val="false"/>
                <w:outline w:val="false"/>
                <w:shadow w:val="false"/>
                <w:color w:val="000000"/>
                <w:sz w:val="18"/>
                <w:u w:val="none"/>
              </w:rPr>
            </w:r>
          </w:p>
        </w:tc>
      </w:tr>
    </w:tbl>
    <w:p>
      <w:pPr>
        <w:pStyle w:val="Normal"/>
        <w:spacing w:lineRule="auto" w:line="240"/>
        <w:rPr/>
      </w:pPr>
      <w:r>
        <w:rPr/>
      </w:r>
    </w:p>
    <w:p>
      <w:pPr>
        <w:pStyle w:val="P68B1DB1Contenudetableau64"/>
        <w:spacing w:lineRule="auto" w:line="240"/>
        <w:jc w:val="center"/>
        <w:rPr>
          <w:rFonts w:ascii="Arial" w:hAnsi="Arial"/>
          <w:b w:val="false"/>
          <w:b w:val="false"/>
          <w:i w:val="false"/>
          <w:i w:val="false"/>
          <w:strike w:val="false"/>
          <w:dstrike w:val="false"/>
          <w:outline w:val="false"/>
          <w:shadow w:val="false"/>
          <w:color w:val="000000"/>
          <w:sz w:val="18"/>
          <w:u w:val="none"/>
        </w:rPr>
      </w:pPr>
      <w:r>
        <w:rPr>
          <w:rFonts w:eastAsia="SimSun" w:cs="Mangal" w:ascii="Times New Roman" w:hAnsi="Times New Roman"/>
        </w:rPr>
        <w:t>Domináns ötlet (&gt; 10 elismert javaslat)</w:t>
      </w:r>
    </w:p>
    <w:p>
      <w:pPr>
        <w:pStyle w:val="P68B1DB1Contenudetableau64"/>
        <w:spacing w:lineRule="auto" w:line="240"/>
        <w:jc w:val="center"/>
        <w:rPr>
          <w:rFonts w:ascii="Arial" w:hAnsi="Arial"/>
          <w:b w:val="false"/>
          <w:b w:val="false"/>
          <w:i w:val="false"/>
          <w:i w:val="false"/>
          <w:strike w:val="false"/>
          <w:dstrike w:val="false"/>
          <w:outline w:val="false"/>
          <w:shadow w:val="false"/>
          <w:color w:val="000000"/>
          <w:sz w:val="18"/>
          <w:u w:val="none"/>
        </w:rPr>
      </w:pPr>
      <w:r>
        <w:rPr>
          <w:rFonts w:eastAsia="SimSun" w:cs="Mangal" w:ascii="Times New Roman" w:hAnsi="Times New Roman"/>
        </w:rPr>
        <w:t>Egyedi ötlet (Andlt;10 elismert javaslat)</w:t>
      </w:r>
    </w:p>
    <w:p>
      <w:pPr>
        <w:pStyle w:val="Contenudetableau"/>
        <w:spacing w:lineRule="auto" w:line="240"/>
        <w:jc w:val="center"/>
        <w:rPr/>
      </w:pPr>
      <w:r>
        <w:rPr>
          <w:rFonts w:eastAsia="SimSun" w:cs="Mangal" w:ascii="Times New Roman" w:hAnsi="Times New Roman"/>
          <w:color w:val="F58220"/>
          <w:sz w:val="18"/>
        </w:rPr>
        <w:t>Ellentmondásos ötlet (&gt; 3 ellentmondásos javaslat)</w:t>
      </w:r>
      <w:r>
        <w:br w:type="page"/>
      </w:r>
    </w:p>
    <w:p>
      <w:pPr>
        <w:pStyle w:val="Titre2"/>
        <w:numPr>
          <w:ilvl w:val="1"/>
          <w:numId w:val="2"/>
        </w:numPr>
        <w:rPr/>
      </w:pPr>
      <w:bookmarkStart w:id="213" w:name="__RefHeading___Toc300458_1346298689"/>
      <w:bookmarkEnd w:id="213"/>
      <w:r>
        <w:rPr/>
        <w:t xml:space="preserve">Konklúzió </w:t>
      </w:r>
    </w:p>
    <w:p>
      <w:pPr>
        <w:pStyle w:val="P68B1DB1Normal33"/>
        <w:widowControl w:val="false"/>
        <w:spacing w:lineRule="exact" w:line="399" w:before="293" w:after="0"/>
        <w:ind w:left="0" w:right="0" w:hanging="0"/>
        <w:jc w:val="left"/>
        <w:rPr>
          <w:rFonts w:ascii="Times New Roman" w:hAnsi="Times New Roman"/>
          <w:b/>
          <w:b/>
          <w:color w:val="000000"/>
          <w:sz w:val="24"/>
        </w:rPr>
      </w:pPr>
      <w:r>
        <w:rPr/>
        <w:t xml:space="preserve"> </w:t>
      </w:r>
    </w:p>
    <w:p>
      <w:pPr>
        <w:pStyle w:val="P68B1DB1Normal33"/>
        <w:widowControl w:val="false"/>
        <w:spacing w:lineRule="exact" w:line="399" w:before="81" w:after="0"/>
        <w:ind w:left="0" w:right="0" w:hanging="0"/>
        <w:jc w:val="left"/>
        <w:rPr>
          <w:rFonts w:ascii="Times New Roman" w:hAnsi="Times New Roman"/>
          <w:b/>
          <w:b/>
          <w:color w:val="000000"/>
          <w:sz w:val="24"/>
        </w:rPr>
      </w:pPr>
      <w:r>
        <w:rPr/>
        <w:t xml:space="preserve"> </w:t>
      </w:r>
    </w:p>
    <w:p>
      <w:pPr>
        <w:pStyle w:val="P68B1DB1Normal33"/>
        <w:widowControl w:val="false"/>
        <w:spacing w:lineRule="exact" w:line="399" w:before="83" w:after="0"/>
        <w:ind w:left="0" w:right="0" w:hanging="0"/>
        <w:jc w:val="left"/>
        <w:rPr>
          <w:rFonts w:ascii="Times New Roman" w:hAnsi="Times New Roman"/>
          <w:b/>
          <w:b/>
          <w:color w:val="000000"/>
          <w:sz w:val="24"/>
        </w:rPr>
      </w:pPr>
      <w:r>
        <w:rPr/>
        <w:t xml:space="preserve"> </w:t>
      </w:r>
    </w:p>
    <w:p>
      <w:pPr>
        <w:pStyle w:val="P68B1DB1Normal65"/>
        <w:widowControl w:val="false"/>
        <w:spacing w:lineRule="exact" w:line="416" w:before="88" w:after="0"/>
        <w:ind w:left="0" w:right="0" w:hanging="0"/>
        <w:jc w:val="left"/>
        <w:rPr>
          <w:rFonts w:ascii="Times New Roman" w:hAnsi="Times New Roman"/>
          <w:b/>
          <w:b/>
          <w:i/>
          <w:i/>
          <w:color w:val="273375"/>
          <w:sz w:val="26"/>
        </w:rPr>
      </w:pPr>
      <w:r>
        <w:rPr/>
        <w:t>„</w:t>
      </w:r>
      <w:r>
        <w:rPr/>
        <w:t xml:space="preserve">Egyszóval, az Ön számára 2035-ben Európának...” </w:t>
      </w:r>
    </w:p>
    <w:p>
      <w:pPr>
        <w:pStyle w:val="Normal"/>
        <w:widowControl w:val="false"/>
        <w:spacing w:lineRule="exact" w:line="430" w:before="2454" w:after="0"/>
        <w:ind w:left="0" w:right="0" w:hanging="0"/>
        <w:jc w:val="center"/>
        <w:rPr/>
      </w:pPr>
      <w:r>
        <w:drawing>
          <wp:anchor behindDoc="0" distT="0" distB="0" distL="0" distR="0" simplePos="0" locked="0" layoutInCell="1" allowOverlap="1" relativeHeight="40">
            <wp:simplePos x="0" y="0"/>
            <wp:positionH relativeFrom="column">
              <wp:align>center</wp:align>
            </wp:positionH>
            <wp:positionV relativeFrom="paragraph">
              <wp:posOffset>635</wp:posOffset>
            </wp:positionV>
            <wp:extent cx="6120130" cy="1558290"/>
            <wp:effectExtent l="0" t="0" r="0" b="0"/>
            <wp:wrapSquare wrapText="largest"/>
            <wp:docPr id="98" name="Kép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Kép41" descr=""/>
                    <pic:cNvPicPr>
                      <a:picLocks noChangeAspect="1" noChangeArrowheads="1"/>
                    </pic:cNvPicPr>
                  </pic:nvPicPr>
                  <pic:blipFill>
                    <a:blip r:embed="rId101"/>
                    <a:stretch>
                      <a:fillRect/>
                    </a:stretch>
                  </pic:blipFill>
                  <pic:spPr bwMode="auto">
                    <a:xfrm>
                      <a:off x="0" y="0"/>
                      <a:ext cx="6120130" cy="1558290"/>
                    </a:xfrm>
                    <a:prstGeom prst="rect">
                      <a:avLst/>
                    </a:prstGeom>
                  </pic:spPr>
                </pic:pic>
              </a:graphicData>
            </a:graphic>
          </wp:anchor>
        </w:drawing>
      </w:r>
      <w:r>
        <w:rPr/>
        <w:t>A</w:t>
      </w:r>
      <w:r>
        <w:rPr/>
        <w:t xml:space="preserve"> nemzeti konferencia polgárainak</w:t>
      </w:r>
      <w:r>
        <w:rPr>
          <w:rFonts w:ascii="Times New Roman" w:hAnsi="Times New Roman"/>
          <w:i/>
          <w:color w:val="632423"/>
          <w:sz w:val="24"/>
        </w:rPr>
        <w:t xml:space="preserve">válasza a végső kérdésre: </w:t>
      </w:r>
    </w:p>
    <w:p>
      <w:pPr>
        <w:pStyle w:val="P68B1DB1Normal66"/>
        <w:widowControl w:val="false"/>
        <w:spacing w:lineRule="exact" w:line="430" w:before="95" w:after="0"/>
        <w:ind w:left="0" w:right="0" w:hanging="0"/>
        <w:jc w:val="center"/>
        <w:rPr>
          <w:rFonts w:ascii="Times New Roman" w:hAnsi="Times New Roman"/>
          <w:i/>
          <w:i/>
          <w:color w:val="632423"/>
          <w:sz w:val="24"/>
        </w:rPr>
      </w:pPr>
      <w:r>
        <w:rPr/>
        <w:t xml:space="preserve">Dióhéjban, Európa 2035-ben... </w:t>
      </w:r>
    </w:p>
    <w:p>
      <w:pPr>
        <w:pStyle w:val="Normal"/>
        <w:widowControl w:val="false"/>
        <w:spacing w:lineRule="exact" w:line="430" w:before="95" w:after="0"/>
        <w:ind w:left="0" w:right="0" w:hanging="0"/>
        <w:jc w:val="left"/>
        <w:rPr>
          <w:rFonts w:ascii="Times New Roman" w:hAnsi="Times New Roman"/>
          <w:b/>
          <w:b/>
          <w:i/>
          <w:i/>
          <w:color w:val="632423"/>
          <w:sz w:val="24"/>
        </w:rPr>
      </w:pPr>
      <w:r>
        <w:rPr>
          <w:rFonts w:ascii="Times New Roman" w:hAnsi="Times New Roman"/>
          <w:b/>
          <w:i/>
          <w:color w:val="632423"/>
          <w:sz w:val="24"/>
        </w:rPr>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spacing w:lineRule="auto" w:line="240"/>
        <w:rPr/>
      </w:pPr>
      <w:r>
        <w:rPr/>
      </w:r>
      <w:r>
        <w:br w:type="page"/>
      </w:r>
    </w:p>
    <w:p>
      <w:pPr>
        <w:pStyle w:val="Titre1"/>
        <w:numPr>
          <w:ilvl w:val="0"/>
          <w:numId w:val="2"/>
        </w:numPr>
        <w:rPr/>
      </w:pPr>
      <w:bookmarkStart w:id="214" w:name="__RefHeading___Toc297353_1346298689"/>
      <w:bookmarkEnd w:id="214"/>
      <w:r>
        <w:rPr/>
        <w:t>II C. Nemzeti panelek: Németország</w:t>
      </w:r>
    </w:p>
    <w:p>
      <w:pPr>
        <w:pStyle w:val="P68B1DB1Normal67"/>
        <w:spacing w:lineRule="auto" w:line="240"/>
        <w:rPr>
          <w:rFonts w:ascii="Calibri" w:hAnsi="Calibri"/>
          <w:b/>
          <w:b/>
          <w:color w:val="000000"/>
          <w:sz w:val="36"/>
        </w:rPr>
      </w:pPr>
      <w:r>
        <w:rPr/>
        <w:t xml:space="preserve">Európa jövőjéről szóló nemzeti polgári vitafórum Berlinben </w:t>
      </w:r>
    </w:p>
    <w:p>
      <w:pPr>
        <w:pStyle w:val="P68B1DB1Normal19"/>
        <w:widowControl w:val="false"/>
        <w:spacing w:lineRule="exact" w:line="388" w:before="206" w:after="0"/>
        <w:ind w:left="3422" w:right="0" w:hanging="0"/>
        <w:jc w:val="left"/>
        <w:rPr>
          <w:rFonts w:ascii="Times New Roman" w:hAnsi="Times New Roman"/>
          <w:color w:val="000000"/>
          <w:sz w:val="24"/>
        </w:rPr>
      </w:pPr>
      <w:r>
        <w:rPr/>
        <w:t xml:space="preserve">– </w:t>
      </w:r>
      <w:r>
        <w:rPr/>
        <w:t xml:space="preserve">A polgárok ajánlásai – </w:t>
      </w:r>
    </w:p>
    <w:p>
      <w:pPr>
        <w:pStyle w:val="P68B1DB1Normal52"/>
        <w:widowControl w:val="false"/>
        <w:spacing w:lineRule="exact" w:line="317" w:before="288" w:after="0"/>
        <w:ind w:left="276" w:right="113" w:hanging="0"/>
        <w:jc w:val="both"/>
        <w:rPr/>
      </w:pPr>
      <w:r>
        <w:rPr>
          <w:color w:val="000000"/>
        </w:rPr>
        <w:t xml:space="preserve">Németország január 5-én, 8-én, 15-én és 16-án megtartotta Európa jövőjéről szóló nemzeti polgári bizottságát. A polgárok kiválasztásának folyamata az európai polgári vitacsoportok résztvevőinek rétegzett véletlenszerű kiválasztását követte. 12 000 német állampolgárt hívtak meg a részvételre; a válaszadók közül mintegy 100-at választottak ki, figyelembe véve a Németországi Szövetségi Köztársaság jelenlegi népszámlálási adatait, hogy tükrözzék a német társadalom és a lakosság egészének sokféleségét. A nemzeti polgári vitacsoport keretében a résztvevők öt témát vitattak meg: az EU a világban; erősebb gazdaság; az éghajlatváltozás és a környezet; társadalmi igazságosság; Az európai értékek és a jogállamiság. Ezt követően e témák mindegyikére vonatkozóan konkrét ajánlásokat dolgoztak ki, amelyeket a január 16-i záró plenáris ülésen fogadtak el: </w:t>
      </w:r>
      <w:r>
        <w:rPr>
          <w:color w:val="0000FF"/>
        </w:rPr>
        <w:t>www.youtube.com/watch?v=cefqmarZXzY</w:t>
      </w:r>
    </w:p>
    <w:p>
      <w:pPr>
        <w:pStyle w:val="Normal"/>
        <w:spacing w:lineRule="auto" w:line="240"/>
        <w:rPr/>
      </w:pPr>
      <w:r>
        <w:rPr/>
      </w:r>
    </w:p>
    <w:p>
      <w:pPr>
        <w:pStyle w:val="Normal"/>
        <w:spacing w:lineRule="auto" w:line="240"/>
        <w:rPr/>
      </w:pPr>
      <w:r>
        <w:rPr/>
      </w:r>
      <w:r>
        <w:br w:type="page"/>
      </w:r>
    </w:p>
    <w:p>
      <w:pPr>
        <w:pStyle w:val="P68B1DB1Normal44"/>
        <w:spacing w:lineRule="auto" w:line="240"/>
        <w:rPr>
          <w:rFonts w:ascii="Times New Roman" w:hAnsi="Times New Roman"/>
          <w:i/>
          <w:i/>
          <w:color w:val="000000"/>
          <w:sz w:val="24"/>
        </w:rPr>
      </w:pPr>
      <w:r>
        <w:rPr/>
        <w:t xml:space="preserve">Kerekasztal 1: </w:t>
      </w:r>
    </w:p>
    <w:p>
      <w:pPr>
        <w:pStyle w:val="P68B1DB1Normal68"/>
        <w:widowControl w:val="false"/>
        <w:spacing w:lineRule="exact" w:line="400" w:before="196" w:after="0"/>
        <w:ind w:left="0" w:right="0" w:hanging="0"/>
        <w:jc w:val="left"/>
        <w:rPr>
          <w:rFonts w:ascii="Calibri" w:hAnsi="Calibri"/>
          <w:b/>
          <w:b/>
          <w:color w:val="000000"/>
          <w:sz w:val="24"/>
        </w:rPr>
      </w:pPr>
      <w:r>
        <w:rPr/>
        <w:t xml:space="preserve">A külkereskedelmi érdekek és az éghajlat-politikai intézkedések összekapcsolása </w:t>
      </w:r>
    </w:p>
    <w:p>
      <w:pPr>
        <w:pStyle w:val="P68B1DB1Normal20"/>
        <w:widowControl w:val="false"/>
        <w:spacing w:lineRule="exact" w:line="337" w:before="192" w:after="0"/>
        <w:ind w:left="276" w:right="123" w:hanging="0"/>
        <w:jc w:val="both"/>
        <w:rPr/>
      </w:pPr>
      <w:r>
        <w:rPr/>
        <w:t xml:space="preserve">Javasoljuk, hogy az EU (különösen az Európai Bizottság) indítson el egy, az éghajlatbarát technológiákra és innovációkra irányuló beruházási csomagot, beleértve a finanszírozási programokat is. Ezt az intézkedéscsomagot az éghajlattal kapcsolatos importvámokból kell finanszírozni, amelyeket kifejezetten érintenének, és amelyeket az éghajlati károk pénzügyi ellentételezéseként továbbadnának. Ebben az összefüggésben bizonyos termékek esetében létrehoznák a fenntarthatóság értékelésére szolgáló pontrendszert. A világos uniós álláspont, valamint egy erős és innovatív Európa hozzájárulna a globális éghajlat-politikai célok eléréséhez. Ez hozzájárulna az Európai Unió globális úttörő és felelős modellként betöltött szerepének megszilárdításához, amely garantálja a jólétet, és globális szinten fenntartható változáshoz vezethet. Ezek a célok fontosak számunkra, mivel az EU fenntartható módon hozzájárul az éghajlatváltozás elleni küzdelemhez, amely hosszú távon kulcsszerepet játszhat a globális béke megszilárdításában. </w:t>
      </w:r>
    </w:p>
    <w:p>
      <w:pPr>
        <w:pStyle w:val="Normal"/>
        <w:widowControl w:val="false"/>
        <w:spacing w:lineRule="exact" w:line="385" w:before="135" w:after="0"/>
        <w:ind w:left="0" w:right="0" w:hanging="0"/>
        <w:jc w:val="left"/>
        <w:rPr>
          <w:rFonts w:ascii="Calibri" w:hAnsi="Calibri"/>
          <w:color w:val="000000"/>
          <w:sz w:val="24"/>
        </w:rPr>
      </w:pPr>
      <w:r>
        <w:rPr>
          <w:rFonts w:ascii="Calibri" w:hAnsi="Calibri"/>
          <w:color w:val="000000"/>
          <w:sz w:val="24"/>
        </w:rPr>
      </w:r>
    </w:p>
    <w:p>
      <w:pPr>
        <w:pStyle w:val="P68B1DB1Normal44"/>
        <w:widowControl w:val="false"/>
        <w:spacing w:lineRule="exact" w:line="383"/>
        <w:ind w:left="276" w:right="0" w:hanging="0"/>
        <w:jc w:val="left"/>
        <w:rPr>
          <w:rFonts w:ascii="Times New Roman" w:hAnsi="Times New Roman"/>
          <w:i/>
          <w:i/>
          <w:color w:val="000000"/>
          <w:sz w:val="24"/>
        </w:rPr>
      </w:pPr>
      <w:r>
        <w:rPr/>
        <w:t xml:space="preserve">Kerekasztal 2: </w:t>
      </w:r>
    </w:p>
    <w:p>
      <w:pPr>
        <w:pStyle w:val="P68B1DB1Normal68"/>
        <w:widowControl w:val="false"/>
        <w:spacing w:lineRule="exact" w:line="338" w:before="321" w:after="0"/>
        <w:ind w:left="0" w:right="131" w:hanging="0"/>
        <w:jc w:val="left"/>
        <w:rPr/>
      </w:pPr>
      <w:r>
        <w:rPr/>
        <w:t xml:space="preserve">Ösztönzők létrehozása a termelés EU-n belüli megvalósítására, különös tekintettel az árukra </w:t>
      </w:r>
    </w:p>
    <w:p>
      <w:pPr>
        <w:pStyle w:val="P68B1DB1Normal20"/>
        <w:widowControl w:val="false"/>
        <w:spacing w:lineRule="exact" w:line="337" w:before="208" w:after="0"/>
        <w:ind w:left="276" w:right="121" w:hanging="0"/>
        <w:jc w:val="both"/>
        <w:rPr/>
      </w:pPr>
      <w:r>
        <w:rPr/>
        <w:t xml:space="preserve">Az EU-n belüli árutermelés megkönnyítése érdekében javasoljuk a jóváhagyási eljárások felgyorsítását és egységesítését, a bürokrácia csökkentését és az EU-ba költöző és/vagy az EU-ban termelő telephelyeket létrehozó vállalatok támogatását. Az EU-nak erőteljesen elő kell mozdítania a megújuló energiát az energiaköltségek csökkentése érdekében. </w:t>
      </w:r>
    </w:p>
    <w:p>
      <w:pPr>
        <w:pStyle w:val="P68B1DB1Normal20"/>
        <w:widowControl w:val="false"/>
        <w:spacing w:lineRule="exact" w:line="336" w:before="216" w:after="0"/>
        <w:ind w:left="276" w:right="121" w:hanging="0"/>
        <w:jc w:val="both"/>
        <w:rPr/>
      </w:pPr>
      <w:r>
        <w:rPr/>
        <w:t xml:space="preserve">Ezen intézkedések révén le akarjuk rövidíteni az ellátási láncokat, és éghajlatbarátabbá akarjuk tenni őket, elő kívánjuk segíteni az EU megerősítését és olyan munkahelyek teremtését, amelyekben tiszteletben tartják az emberi jogokat. </w:t>
      </w:r>
    </w:p>
    <w:p>
      <w:pPr>
        <w:pStyle w:val="Normal"/>
        <w:widowControl w:val="false"/>
        <w:spacing w:lineRule="exact" w:line="336" w:before="219" w:after="0"/>
        <w:ind w:left="276" w:right="121" w:hanging="0"/>
        <w:jc w:val="both"/>
        <w:rPr/>
      </w:pPr>
      <w:r>
        <w:rPr>
          <w:rFonts w:ascii="Calibri" w:hAnsi="Calibri"/>
          <w:color w:val="000000"/>
          <w:sz w:val="24"/>
        </w:rPr>
        <w:t xml:space="preserve">Ezek a célkitűzések fontosak számunkra, mivel a termelés EU-ba történő áthelyezése nemzetközi szinten autonómabbá és politikailag kevésbé sebezhetővé tenné az EU-t. </w:t>
      </w:r>
      <w:r>
        <w:br w:type="page"/>
      </w:r>
    </w:p>
    <w:p>
      <w:pPr>
        <w:pStyle w:val="P68B1DB1Normal44"/>
        <w:widowControl w:val="false"/>
        <w:spacing w:lineRule="exact" w:line="383" w:before="247" w:after="0"/>
        <w:ind w:left="276" w:right="0" w:hanging="0"/>
        <w:jc w:val="left"/>
        <w:rPr>
          <w:rFonts w:ascii="Times New Roman" w:hAnsi="Times New Roman"/>
          <w:i/>
          <w:i/>
          <w:color w:val="000000"/>
          <w:sz w:val="24"/>
        </w:rPr>
      </w:pPr>
      <w:r>
        <w:rPr/>
        <w:t xml:space="preserve">Kerekasztal 1: </w:t>
      </w:r>
    </w:p>
    <w:p>
      <w:pPr>
        <w:pStyle w:val="P68B1DB1Normal68"/>
        <w:widowControl w:val="false"/>
        <w:spacing w:lineRule="exact" w:line="400" w:before="196" w:after="0"/>
        <w:ind w:left="0" w:right="0" w:hanging="0"/>
        <w:jc w:val="left"/>
        <w:rPr>
          <w:rFonts w:ascii="Calibri" w:hAnsi="Calibri"/>
          <w:b/>
          <w:b/>
          <w:color w:val="000000"/>
          <w:sz w:val="24"/>
        </w:rPr>
      </w:pPr>
      <w:r>
        <w:rPr/>
        <w:t xml:space="preserve">Digi-Score – pontrendszer az egész EU-ra kiterjedő, erős digitális gazdaságért </w:t>
      </w:r>
    </w:p>
    <w:p>
      <w:pPr>
        <w:pStyle w:val="P68B1DB1Normal20"/>
        <w:widowControl w:val="false"/>
        <w:spacing w:lineRule="exact" w:line="337" w:before="192" w:after="0"/>
        <w:ind w:left="276" w:right="119" w:hanging="0"/>
        <w:jc w:val="both"/>
        <w:rPr/>
      </w:pPr>
      <w:r>
        <w:rPr/>
        <w:t xml:space="preserve">Javasoljuk a Digi-Score elnevezésű, nyilvánosan hozzáférhető digitális irányítópult létrehozását, amelyet az Európai Bizottság (DG CNECT) kezel. Ez egy olyan pontos rangsorolási rendszer lenne, amely jelzi és összehasonlítja az uniós vállalatok digitális érettségének jelenlegi szintjét. Ezzel a javaslattal Európa-szerte ösztönözni szeretnénk a nagyobb mértékű digitalizációt. Az alacsony digitális pontszámmal rendelkező vállalatok célzott támogatásra jogosultak, hogy segítsék őket a felzárkózásban. </w:t>
      </w:r>
    </w:p>
    <w:p>
      <w:pPr>
        <w:pStyle w:val="P68B1DB1Normal20"/>
        <w:widowControl w:val="false"/>
        <w:spacing w:lineRule="exact" w:line="338" w:before="219" w:after="0"/>
        <w:ind w:left="276" w:right="121" w:hanging="0"/>
        <w:jc w:val="both"/>
        <w:rPr/>
      </w:pPr>
      <w:r>
        <w:rPr/>
        <w:t xml:space="preserve">Ez a célkitűzés fontos számunkra, mivel elősegítené a termelékenység, a hatékonyság és az értékesítés növekedését, ezáltal megerősítve Európa termelési bázisként betöltött szerepét. </w:t>
      </w:r>
    </w:p>
    <w:p>
      <w:pPr>
        <w:pStyle w:val="P68B1DB1Normal20"/>
        <w:widowControl w:val="false"/>
        <w:spacing w:lineRule="exact" w:line="385" w:before="137" w:after="0"/>
        <w:ind w:left="0" w:right="0" w:hanging="0"/>
        <w:jc w:val="left"/>
        <w:rPr>
          <w:rFonts w:ascii="Calibri" w:hAnsi="Calibri"/>
          <w:color w:val="000000"/>
          <w:sz w:val="24"/>
        </w:rPr>
      </w:pPr>
      <w:r>
        <w:rPr/>
        <w:t xml:space="preserve"> </w:t>
      </w:r>
    </w:p>
    <w:p>
      <w:pPr>
        <w:pStyle w:val="P68B1DB1Normal44"/>
        <w:widowControl w:val="false"/>
        <w:spacing w:lineRule="exact" w:line="383" w:before="271" w:after="0"/>
        <w:ind w:left="276" w:right="0" w:hanging="0"/>
        <w:jc w:val="left"/>
        <w:rPr>
          <w:rFonts w:ascii="Times New Roman" w:hAnsi="Times New Roman"/>
          <w:i/>
          <w:i/>
          <w:color w:val="000000"/>
          <w:sz w:val="24"/>
        </w:rPr>
      </w:pPr>
      <w:r>
        <w:rPr/>
        <w:t xml:space="preserve">Kerekasztal 2: </w:t>
      </w:r>
    </w:p>
    <w:p>
      <w:pPr>
        <w:pStyle w:val="P68B1DB1Normal68"/>
        <w:widowControl w:val="false"/>
        <w:spacing w:lineRule="exact" w:line="400" w:before="209" w:after="0"/>
        <w:ind w:left="0" w:right="0" w:hanging="0"/>
        <w:jc w:val="left"/>
        <w:rPr>
          <w:rFonts w:ascii="Calibri" w:hAnsi="Calibri"/>
          <w:b/>
          <w:b/>
          <w:color w:val="000000"/>
          <w:sz w:val="24"/>
        </w:rPr>
      </w:pPr>
      <w:r>
        <w:rPr/>
        <w:t xml:space="preserve">Információs platform az uniós szintű tudás- és tapasztalatcseréhez </w:t>
      </w:r>
    </w:p>
    <w:p>
      <w:pPr>
        <w:pStyle w:val="P68B1DB1Normal20"/>
        <w:widowControl w:val="false"/>
        <w:spacing w:lineRule="exact" w:line="337"/>
        <w:ind w:left="276" w:right="119" w:hanging="0"/>
        <w:jc w:val="both"/>
        <w:rPr/>
      </w:pPr>
      <w:r>
        <w:rPr/>
        <w:t xml:space="preserve">Javasoljuk, hogy az EU hozzon létre egy információs platformot az ismeretek és tapasztalatok uniós szintű cseréjére. Célunk, hogy megosszuk az EU-ban már meglévő transznacionális oktatási és képzési tevékenységekkel kapcsolatos információkat, hogy példákat mutassunk be a bevált gyakorlatokra, és lehetőséget adjunk a polgároknak arra, hogy új ötleteket mutassanak be a határokon átnyúló cserékhez. Ezenkívül további információkat lehetne nyújtani a rendelkezésre álló technikai szakértői fórumokon (például az energiáról, a környezetvédelemről vagy a digitális átállásról). </w:t>
      </w:r>
    </w:p>
    <w:p>
      <w:pPr>
        <w:pStyle w:val="P68B1DB1Normal20"/>
        <w:widowControl w:val="false"/>
        <w:spacing w:lineRule="exact" w:line="337" w:before="216" w:after="0"/>
        <w:ind w:left="276" w:right="121" w:hanging="0"/>
        <w:jc w:val="both"/>
        <w:rPr/>
      </w:pPr>
      <w:r>
        <w:rPr/>
        <w:t xml:space="preserve">Úgy gondoljuk, hogy ez azért fontos, mert a polgároknak átláthatóságra van szükségük a rendelkezésre álló, határokon átnyúló oktatási és képzési tevékenységek tekintetében. Uniós szinten jobb iránymutatást kell kapniuk a meglévő fórumokon és platformokon. </w:t>
      </w:r>
    </w:p>
    <w:p>
      <w:pPr>
        <w:pStyle w:val="Normal"/>
        <w:spacing w:lineRule="auto" w:line="240"/>
        <w:rPr/>
      </w:pPr>
      <w:r>
        <w:rPr/>
      </w:r>
      <w:r>
        <w:br w:type="page"/>
      </w:r>
    </w:p>
    <w:p>
      <w:pPr>
        <w:pStyle w:val="P68B1DB1Normal44"/>
        <w:spacing w:lineRule="auto" w:line="240"/>
        <w:rPr>
          <w:rFonts w:ascii="Times New Roman" w:hAnsi="Times New Roman"/>
          <w:i/>
          <w:i/>
          <w:color w:val="000000"/>
          <w:sz w:val="24"/>
        </w:rPr>
      </w:pPr>
      <w:r>
        <w:rPr/>
        <w:t xml:space="preserve">Kerekasztal 1: </w:t>
      </w:r>
    </w:p>
    <w:p>
      <w:pPr>
        <w:pStyle w:val="P68B1DB1Normal68"/>
        <w:widowControl w:val="false"/>
        <w:spacing w:lineRule="exact" w:line="400" w:before="196" w:after="0"/>
        <w:ind w:left="0" w:right="0" w:hanging="0"/>
        <w:jc w:val="left"/>
        <w:rPr>
          <w:rFonts w:ascii="Calibri" w:hAnsi="Calibri"/>
          <w:b/>
          <w:b/>
          <w:color w:val="000000"/>
          <w:sz w:val="24"/>
        </w:rPr>
      </w:pPr>
      <w:r>
        <w:rPr/>
        <w:t xml:space="preserve">A termékélet-garanciáról szóló rendelet </w:t>
      </w:r>
    </w:p>
    <w:p>
      <w:pPr>
        <w:pStyle w:val="P68B1DB1Normal20"/>
        <w:widowControl w:val="false"/>
        <w:spacing w:lineRule="exact" w:line="337" w:before="192" w:after="0"/>
        <w:ind w:left="276" w:right="119" w:hanging="0"/>
        <w:jc w:val="both"/>
        <w:rPr/>
      </w:pPr>
      <w:r>
        <w:rPr/>
        <w:t xml:space="preserve">Javasoljuk, hogy az EU fogadjon el jogszabályokat annak érdekében, hogy az EU-ban gyártott és értékesített minden egyes termék esetében hosszabb, garantált és egyedi élettartamot állapítson meg, és e tekintetben átlátható legyen a fogyasztók számára. </w:t>
      </w:r>
    </w:p>
    <w:p>
      <w:pPr>
        <w:pStyle w:val="P68B1DB1Normal20"/>
        <w:widowControl w:val="false"/>
        <w:spacing w:lineRule="exact" w:line="336" w:before="219" w:after="0"/>
        <w:ind w:left="276" w:right="126" w:hanging="0"/>
        <w:jc w:val="both"/>
        <w:rPr/>
      </w:pPr>
      <w:r>
        <w:rPr/>
        <w:t xml:space="preserve">Az erőforrások korlátozottak, és ez pénzt takarítana meg és csökkentené a hulladékot, ami előnyös lenne a környezet, az éghajlat és a fogyasztók számára. </w:t>
      </w:r>
    </w:p>
    <w:p>
      <w:pPr>
        <w:pStyle w:val="P68B1DB1Normal20"/>
        <w:widowControl w:val="false"/>
        <w:spacing w:lineRule="exact" w:line="338" w:before="216" w:after="0"/>
        <w:ind w:left="276" w:right="131" w:hanging="0"/>
        <w:jc w:val="left"/>
        <w:rPr/>
      </w:pPr>
      <w:r>
        <w:rPr/>
        <w:t xml:space="preserve">Arra szeretnénk ösztönözni a gyártókat, hogy tartósabb és javíthatóbb termékeket hozzanak a piacra. </w:t>
      </w:r>
    </w:p>
    <w:p>
      <w:pPr>
        <w:pStyle w:val="P68B1DB1Normal69"/>
        <w:widowControl w:val="false"/>
        <w:spacing w:lineRule="exact" w:line="332" w:before="138" w:after="0"/>
        <w:ind w:left="0" w:right="0" w:hanging="0"/>
        <w:jc w:val="left"/>
        <w:rPr>
          <w:rFonts w:ascii="Calibri" w:hAnsi="Calibri"/>
          <w:b/>
          <w:b/>
          <w:color w:val="000000"/>
          <w:sz w:val="20"/>
        </w:rPr>
      </w:pPr>
      <w:r>
        <w:rPr/>
        <w:t xml:space="preserve"> </w:t>
      </w:r>
    </w:p>
    <w:p>
      <w:pPr>
        <w:pStyle w:val="P68B1DB1Normal44"/>
        <w:widowControl w:val="false"/>
        <w:spacing w:lineRule="exact" w:line="383" w:before="107" w:after="0"/>
        <w:ind w:left="276" w:right="0" w:hanging="0"/>
        <w:jc w:val="left"/>
        <w:rPr>
          <w:rFonts w:ascii="Times New Roman" w:hAnsi="Times New Roman"/>
          <w:i/>
          <w:i/>
          <w:color w:val="000000"/>
          <w:sz w:val="24"/>
        </w:rPr>
      </w:pPr>
      <w:r>
        <w:rPr/>
        <w:t xml:space="preserve">Kerekasztal 2: </w:t>
      </w:r>
    </w:p>
    <w:p>
      <w:pPr>
        <w:pStyle w:val="P68B1DB1Normal68"/>
        <w:widowControl w:val="false"/>
        <w:spacing w:lineRule="exact" w:line="400" w:before="321" w:after="0"/>
        <w:ind w:left="0" w:right="0" w:hanging="0"/>
        <w:jc w:val="left"/>
        <w:rPr>
          <w:rFonts w:ascii="Calibri" w:hAnsi="Calibri"/>
          <w:b/>
          <w:b/>
          <w:color w:val="000000"/>
          <w:sz w:val="24"/>
        </w:rPr>
      </w:pPr>
      <w:r>
        <w:rPr/>
        <w:t xml:space="preserve">Hosszú távú uniós kampány a fenntartható fogyasztásért és életmódért </w:t>
      </w:r>
    </w:p>
    <w:p>
      <w:pPr>
        <w:pStyle w:val="P68B1DB1Normal20"/>
        <w:widowControl w:val="false"/>
        <w:spacing w:lineRule="exact" w:line="336"/>
        <w:ind w:left="276" w:right="126" w:hanging="0"/>
        <w:jc w:val="left"/>
        <w:rPr/>
      </w:pPr>
      <w:r>
        <w:rPr/>
        <w:t xml:space="preserve">Azt javasoljuk, hogy egy európai testület – beleértve az uniós országokban működő fióktelepeket is – rendelkezzen saját forrásokkal, és irányítsa ezt a kampányt. </w:t>
      </w:r>
    </w:p>
    <w:p>
      <w:pPr>
        <w:pStyle w:val="P68B1DB1Normal20"/>
        <w:widowControl w:val="false"/>
        <w:spacing w:lineRule="exact" w:line="336" w:before="219" w:after="0"/>
        <w:ind w:left="276" w:right="128" w:hanging="0"/>
        <w:jc w:val="both"/>
        <w:rPr/>
      </w:pPr>
      <w:r>
        <w:rPr/>
        <w:t xml:space="preserve">Célunk annak biztosítása, hogy minden uniós polgár felismerje magát egy közös identitásban, jobban tudatában legyen a fenntartható fogyasztás és életmód szükségességének, és ezt az életmódot alkalmazza. </w:t>
      </w:r>
    </w:p>
    <w:p>
      <w:pPr>
        <w:pStyle w:val="P68B1DB1Normal20"/>
        <w:widowControl w:val="false"/>
        <w:spacing w:lineRule="exact" w:line="336" w:before="216" w:after="0"/>
        <w:ind w:left="276" w:right="128" w:hanging="0"/>
        <w:jc w:val="left"/>
        <w:rPr/>
      </w:pPr>
      <w:r>
        <w:rPr/>
        <w:t xml:space="preserve">Ezek a célok fontosak számunkra, mert szeretnénk felébreszteni a fenntartható életmód belső motivációját. </w:t>
      </w:r>
    </w:p>
    <w:p>
      <w:pPr>
        <w:pStyle w:val="Normal"/>
        <w:spacing w:lineRule="auto" w:line="240"/>
        <w:rPr/>
      </w:pPr>
      <w:r>
        <w:rPr/>
      </w:r>
      <w:r>
        <w:br w:type="page"/>
      </w:r>
    </w:p>
    <w:p>
      <w:pPr>
        <w:pStyle w:val="P68B1DB1Normal44"/>
        <w:widowControl w:val="false"/>
        <w:spacing w:lineRule="exact" w:line="383" w:before="247" w:after="0"/>
        <w:ind w:left="276" w:right="0" w:hanging="0"/>
        <w:jc w:val="left"/>
        <w:rPr>
          <w:rFonts w:ascii="Times New Roman" w:hAnsi="Times New Roman"/>
          <w:i/>
          <w:i/>
          <w:color w:val="000000"/>
          <w:sz w:val="24"/>
        </w:rPr>
      </w:pPr>
      <w:r>
        <w:rPr/>
        <w:t xml:space="preserve">Kerekasztal 1: </w:t>
      </w:r>
    </w:p>
    <w:p>
      <w:pPr>
        <w:pStyle w:val="P68B1DB1Normal68"/>
        <w:widowControl w:val="false"/>
        <w:spacing w:lineRule="exact" w:line="400" w:before="88" w:after="0"/>
        <w:ind w:left="0" w:right="0" w:hanging="0"/>
        <w:jc w:val="left"/>
        <w:rPr>
          <w:rFonts w:ascii="Calibri" w:hAnsi="Calibri"/>
          <w:b/>
          <w:b/>
          <w:color w:val="000000"/>
          <w:sz w:val="24"/>
        </w:rPr>
      </w:pPr>
      <w:r>
        <w:rPr/>
        <w:t xml:space="preserve">Több cserelehetőség biztosítása az európai diákok számára </w:t>
      </w:r>
    </w:p>
    <w:p>
      <w:pPr>
        <w:pStyle w:val="P68B1DB1Normal20"/>
        <w:widowControl w:val="false"/>
        <w:spacing w:lineRule="exact" w:line="293" w:before="162" w:after="0"/>
        <w:ind w:left="276" w:right="123" w:hanging="0"/>
        <w:jc w:val="both"/>
        <w:rPr/>
      </w:pPr>
      <w:r>
        <w:rPr/>
        <w:t xml:space="preserve">Javasoljuk, hogy az Európai Unió az Erasmus program mellett fogadjon el rendeletet a 14 és 25 év közötti tanulók és diákok csereprogramjáról, származásuktól, nemüktől és iskolázottságuk szintjétől függetlenül. Ezt a csereprogramot szisztematikusan az iskoláknak kell létrehozniuk és támogatniuk helyi szinten. Minden diáknak lehetőséget kell biztosítani arra, hogy az iskola bármely szakaszában részt vegyen a csereprogramban. Ennek érdekében az Európai Bizottságnak javaslatot kell benyújtania az Európai Parlamenthez és az Európai Tanácshoz. </w:t>
      </w:r>
    </w:p>
    <w:p>
      <w:pPr>
        <w:pStyle w:val="P68B1DB1Normal20"/>
        <w:widowControl w:val="false"/>
        <w:spacing w:lineRule="exact" w:line="293" w:before="168" w:after="0"/>
        <w:ind w:left="276" w:right="123" w:hanging="0"/>
        <w:jc w:val="both"/>
        <w:rPr/>
      </w:pPr>
      <w:r>
        <w:rPr/>
        <w:t xml:space="preserve">Célunk, hogy a diákok – függetlenül tudományos teljesítményüktől és szüleik pénzügyi támogatásától – lehetőséget kapjanak arra, hogy Európa-szerte részt vegyenek a csereprogramokban. Az európai cserék kultúráját az iskolás kortól kezdve támogatni kell. Mindenekelőtt fontos, hogy a csereprogramok könnyen hozzáférhetőek és bürokráciától mentesek legyenek. Ezzel a csereprogrammal európai szolidaritást kívánunk teremteni, és csökkenteni akarjuk a nyelvi korlátokat. Ebben az összefüggésben az interkulturális és kommunikációs készségek megerősítése érdekében figyelembe kell venni az oktatásban való méltányosságot és az oktatásban való részvételt. </w:t>
      </w:r>
    </w:p>
    <w:p>
      <w:pPr>
        <w:pStyle w:val="P68B1DB1Normal20"/>
        <w:widowControl w:val="false"/>
        <w:spacing w:lineRule="exact" w:line="293" w:before="168" w:after="0"/>
        <w:ind w:left="276" w:right="123" w:hanging="0"/>
        <w:jc w:val="both"/>
        <w:rPr/>
      </w:pPr>
      <w:r>
        <w:rPr/>
        <w:t xml:space="preserve">Ezek a célkitűzések fontosak számunkra, mivel elősegíthetik az európai kohéziót, megerősíthetik a tiszteletet és az együttműködést, és már a korai életkortól kezdve közvetíthetik az európai értékeket, hogy Európa sokszínűségét lehetőségnek lehessen tekinteni. </w:t>
      </w:r>
    </w:p>
    <w:p>
      <w:pPr>
        <w:pStyle w:val="P68B1DB1Normal20"/>
        <w:widowControl w:val="false"/>
        <w:spacing w:lineRule="exact" w:line="385" w:before="92" w:after="0"/>
        <w:ind w:left="0" w:right="0" w:hanging="0"/>
        <w:jc w:val="left"/>
        <w:rPr>
          <w:rFonts w:ascii="Calibri" w:hAnsi="Calibri"/>
          <w:color w:val="000000"/>
          <w:sz w:val="24"/>
        </w:rPr>
      </w:pPr>
      <w:r>
        <w:rPr/>
        <w:t xml:space="preserve"> </w:t>
      </w:r>
    </w:p>
    <w:p>
      <w:pPr>
        <w:pStyle w:val="P68B1DB1Normal44"/>
        <w:widowControl w:val="false"/>
        <w:spacing w:lineRule="exact" w:line="383" w:before="112" w:after="0"/>
        <w:ind w:left="276" w:right="0" w:hanging="0"/>
        <w:jc w:val="left"/>
        <w:rPr>
          <w:rFonts w:ascii="Times New Roman" w:hAnsi="Times New Roman"/>
          <w:i/>
          <w:i/>
          <w:color w:val="000000"/>
          <w:sz w:val="24"/>
        </w:rPr>
      </w:pPr>
      <w:r>
        <w:rPr/>
        <w:t xml:space="preserve">Kerekasztal 2: </w:t>
      </w:r>
    </w:p>
    <w:p>
      <w:pPr>
        <w:pStyle w:val="P68B1DB1Normal68"/>
        <w:widowControl w:val="false"/>
        <w:spacing w:lineRule="exact" w:line="400" w:before="205" w:after="0"/>
        <w:ind w:left="0" w:right="0" w:hanging="0"/>
        <w:jc w:val="left"/>
        <w:rPr>
          <w:rFonts w:ascii="Calibri" w:hAnsi="Calibri"/>
          <w:b/>
          <w:b/>
          <w:color w:val="000000"/>
          <w:sz w:val="24"/>
        </w:rPr>
      </w:pPr>
      <w:r>
        <w:rPr/>
        <w:t xml:space="preserve">A foglalkoztatásra vonatkozó alapbér megállapítása </w:t>
      </w:r>
    </w:p>
    <w:p>
      <w:pPr>
        <w:pStyle w:val="P68B1DB1Normal20"/>
        <w:widowControl w:val="false"/>
        <w:spacing w:lineRule="exact" w:line="293"/>
        <w:ind w:left="276" w:right="121" w:hanging="0"/>
        <w:jc w:val="both"/>
        <w:rPr/>
      </w:pPr>
      <w:r>
        <w:rPr/>
        <w:t xml:space="preserve">Javasoljuk, hogy a foglalkoztatásért és a szociális jogokért felelős európai biztos nyújtson be javaslatot az Európai Parlamentnek a foglalkoztatásra vonatkozó alapbér megállapítására valamennyi tagállamban. Ennek az alapbérnek a megélhetés biztosításához elegendő minimáljövedelemből és a foglalkoztatás konkrét kiegészítéséből kell állnia. </w:t>
      </w:r>
    </w:p>
    <w:p>
      <w:pPr>
        <w:pStyle w:val="P68B1DB1Normal20"/>
        <w:widowControl w:val="false"/>
        <w:spacing w:lineRule="exact" w:line="293" w:before="173" w:after="0"/>
        <w:ind w:left="276" w:right="121" w:hanging="0"/>
        <w:jc w:val="both"/>
        <w:rPr/>
      </w:pPr>
      <w:r>
        <w:rPr/>
        <w:t xml:space="preserve">Célunk annak biztosítása, hogy a szakmai teljesítmény és a bérek összehasonlíthatóak legyenek az EU-ban, a társadalmi igazságosság erősítése érdekében. Ez a célkitűzés fontos számunkra, mivel biztosítaná, hogy a munkaerőpiac tiszteletben tartsa az EU egyik alapelvét: összehasonlítható élet- és munkakörülmények, függetlenül az adott személy lakóhelyétől és munkavégzési helyétől. </w:t>
      </w:r>
    </w:p>
    <w:p>
      <w:pPr>
        <w:pStyle w:val="Normal"/>
        <w:spacing w:lineRule="auto" w:line="240"/>
        <w:rPr/>
      </w:pPr>
      <w:r>
        <w:rPr/>
      </w:r>
      <w:r>
        <w:br w:type="page"/>
      </w:r>
    </w:p>
    <w:p>
      <w:pPr>
        <w:pStyle w:val="P68B1DB1Normal44"/>
        <w:spacing w:lineRule="auto" w:line="240"/>
        <w:rPr>
          <w:rFonts w:ascii="Times New Roman" w:hAnsi="Times New Roman"/>
          <w:i/>
          <w:i/>
          <w:color w:val="000000"/>
          <w:sz w:val="24"/>
        </w:rPr>
      </w:pPr>
      <w:r>
        <w:rPr/>
        <w:t xml:space="preserve">Kerekasztal 1: </w:t>
      </w:r>
    </w:p>
    <w:p>
      <w:pPr>
        <w:pStyle w:val="P68B1DB1Normal68"/>
        <w:widowControl w:val="false"/>
        <w:spacing w:lineRule="exact" w:line="400" w:before="196" w:after="0"/>
        <w:ind w:left="0" w:right="0" w:hanging="0"/>
        <w:jc w:val="left"/>
        <w:rPr>
          <w:rFonts w:ascii="Calibri" w:hAnsi="Calibri"/>
          <w:b/>
          <w:b/>
          <w:color w:val="000000"/>
          <w:sz w:val="24"/>
        </w:rPr>
      </w:pPr>
      <w:r>
        <w:rPr/>
        <w:t xml:space="preserve">Az európai értékek megtestesülése és kommunikálása az érzelmekre való felhívással </w:t>
      </w:r>
    </w:p>
    <w:p>
      <w:pPr>
        <w:pStyle w:val="P68B1DB1Normal20"/>
        <w:widowControl w:val="false"/>
        <w:spacing w:lineRule="exact" w:line="338" w:before="192" w:after="0"/>
        <w:ind w:left="276" w:right="126" w:hanging="0"/>
        <w:jc w:val="both"/>
        <w:rPr/>
      </w:pPr>
      <w:r>
        <w:rPr/>
        <w:t xml:space="preserve">Javasoljuk az európai értékek konkrétabbá tételét és az érzelmekkel való kommunikációt. Ezt például a médiára, az interaktív elemekre és a polgárok nagyobb mértékű részvételére kiterjedő „integrációs” csomag révén érhetjük el. </w:t>
      </w:r>
    </w:p>
    <w:p>
      <w:pPr>
        <w:pStyle w:val="P68B1DB1Normal20"/>
        <w:widowControl w:val="false"/>
        <w:spacing w:lineRule="exact" w:line="336" w:before="216" w:after="0"/>
        <w:ind w:left="276" w:right="126" w:hanging="0"/>
        <w:jc w:val="left"/>
        <w:rPr/>
      </w:pPr>
      <w:r>
        <w:rPr/>
        <w:t xml:space="preserve">Célunk, hogy mindenki, aki az EU-ban él, megismerje és magáévá tegye a közös értékeket. </w:t>
      </w:r>
    </w:p>
    <w:p>
      <w:pPr>
        <w:pStyle w:val="P68B1DB1Normal20"/>
        <w:widowControl w:val="false"/>
        <w:spacing w:lineRule="exact" w:line="337" w:before="216" w:after="0"/>
        <w:ind w:left="276" w:right="119" w:hanging="0"/>
        <w:jc w:val="both"/>
        <w:rPr/>
      </w:pPr>
      <w:r>
        <w:rPr/>
        <w:t xml:space="preserve">Ez a cél azért fontos számunkra, mert az értékek közösségében való együttélésünk alapját képezi. Ezek az értékek túl kevéssé ismertek, mert hiányzik a személyes kapcsolat. Meg kell teremtenünk ezt a kapcsolatot. </w:t>
      </w:r>
    </w:p>
    <w:p>
      <w:pPr>
        <w:pStyle w:val="P68B1DB1Normal20"/>
        <w:widowControl w:val="false"/>
        <w:spacing w:lineRule="exact" w:line="385" w:before="135" w:after="0"/>
        <w:ind w:left="0" w:right="0" w:hanging="0"/>
        <w:jc w:val="left"/>
        <w:rPr>
          <w:rFonts w:ascii="Calibri" w:hAnsi="Calibri"/>
          <w:color w:val="000000"/>
          <w:sz w:val="24"/>
        </w:rPr>
      </w:pPr>
      <w:r>
        <w:rPr/>
        <w:t xml:space="preserve"> </w:t>
      </w:r>
    </w:p>
    <w:p>
      <w:pPr>
        <w:pStyle w:val="P68B1DB1Normal44"/>
        <w:widowControl w:val="false"/>
        <w:spacing w:lineRule="exact" w:line="383" w:before="114" w:after="0"/>
        <w:ind w:left="276" w:right="0" w:hanging="0"/>
        <w:jc w:val="left"/>
        <w:rPr>
          <w:rFonts w:ascii="Times New Roman" w:hAnsi="Times New Roman"/>
          <w:i/>
          <w:i/>
          <w:color w:val="000000"/>
          <w:sz w:val="24"/>
        </w:rPr>
      </w:pPr>
      <w:r>
        <w:rPr/>
        <w:t xml:space="preserve">Kerekasztal 2: </w:t>
      </w:r>
    </w:p>
    <w:p>
      <w:pPr>
        <w:pStyle w:val="P68B1DB1Normal68"/>
        <w:widowControl w:val="false"/>
        <w:spacing w:lineRule="exact" w:line="400" w:before="211" w:after="0"/>
        <w:ind w:left="0" w:right="0" w:hanging="0"/>
        <w:jc w:val="left"/>
        <w:rPr>
          <w:rFonts w:ascii="Calibri" w:hAnsi="Calibri"/>
          <w:b/>
          <w:b/>
          <w:color w:val="000000"/>
          <w:sz w:val="24"/>
        </w:rPr>
      </w:pPr>
      <w:r>
        <w:rPr/>
        <w:t xml:space="preserve">Élet az EU-ban </w:t>
      </w:r>
    </w:p>
    <w:p>
      <w:pPr>
        <w:pStyle w:val="P68B1DB1Normal20"/>
        <w:widowControl w:val="false"/>
        <w:spacing w:lineRule="exact" w:line="337" w:before="191" w:after="0"/>
        <w:ind w:left="276" w:right="116" w:hanging="0"/>
        <w:jc w:val="both"/>
        <w:rPr/>
      </w:pPr>
      <w:r>
        <w:rPr/>
        <w:t xml:space="preserve">Javasoljuk, hogy az EU hozzon létre saját oktatási és információs televíziós programot annak érdekében, hogy felhívja az uniós polgárok figyelmét a közös értékeinkre, és mindenki számára biztosítsa az információkhoz való könnyű és akadálytalan hozzáférést. Ezek a célok azért fontosak számunkra, mert minden uniós országban jobban meg akarjuk érteni a közvéleményt. Ily módon meg akarjuk erősíteni a közös alapot, és segíteni kívánjuk a polgárok összehozását a nagyobb szolidaritás előmozdítása és a jogállamiságban való képzésük érdekében, a demokrácia megőrzése érdekében. </w:t>
      </w:r>
    </w:p>
    <w:p>
      <w:pPr>
        <w:pStyle w:val="P68B1DB1Normal33"/>
        <w:widowControl w:val="false"/>
        <w:spacing w:lineRule="exact" w:line="399" w:before="365" w:after="0"/>
        <w:ind w:left="4819" w:right="0" w:hanging="0"/>
        <w:jc w:val="left"/>
        <w:rPr/>
      </w:pPr>
      <w:r>
        <w:rPr/>
        <w:t xml:space="preserve"> </w:t>
      </w:r>
      <w:r>
        <w:rPr/>
        <w:t>___</w:t>
      </w:r>
    </w:p>
    <w:p>
      <w:pPr>
        <w:pStyle w:val="Normal"/>
        <w:spacing w:lineRule="auto" w:line="240"/>
        <w:rPr/>
      </w:pPr>
      <w:r>
        <w:rPr/>
      </w:r>
      <w:r>
        <w:br w:type="page"/>
      </w:r>
    </w:p>
    <w:p>
      <w:pPr>
        <w:pStyle w:val="Titre1"/>
        <w:numPr>
          <w:ilvl w:val="0"/>
          <w:numId w:val="2"/>
        </w:numPr>
        <w:rPr/>
      </w:pPr>
      <w:bookmarkStart w:id="215" w:name="__RefHeading___Toc297355_1346298689"/>
      <w:bookmarkEnd w:id="215"/>
      <w:r>
        <w:rPr/>
        <w:t>II D. Nemzeti panelek: Olaszország</w:t>
      </w:r>
    </w:p>
    <w:p>
      <w:pPr>
        <w:pStyle w:val="P68B1DB1Normal70"/>
        <w:spacing w:lineRule="auto" w:line="240"/>
        <w:jc w:val="center"/>
        <w:rPr/>
      </w:pPr>
      <w:r>
        <w:rPr/>
        <w:t xml:space="preserve">A polgári vitacsoport ajánlásokat fogalmaz meg az Európa jövőjéről szóló konferenciára, 2022. március 11–12. </w:t>
      </w:r>
    </w:p>
    <w:p>
      <w:pPr>
        <w:pStyle w:val="P68B1DB1Normal71"/>
        <w:widowControl w:val="false"/>
        <w:spacing w:lineRule="exact" w:line="916" w:before="147" w:after="0"/>
        <w:ind w:left="2234" w:right="0" w:hanging="0"/>
        <w:jc w:val="left"/>
        <w:rPr>
          <w:rFonts w:ascii="Arial" w:hAnsi="Arial"/>
          <w:color w:val="BD1271"/>
          <w:sz w:val="56"/>
        </w:rPr>
      </w:pPr>
      <w:r>
        <w:rPr/>
        <w:t xml:space="preserve">Összefoglaló jelentés </w:t>
      </w:r>
    </w:p>
    <w:p>
      <w:pPr>
        <w:pStyle w:val="Normal"/>
        <w:widowControl w:val="false"/>
        <w:spacing w:lineRule="exact" w:line="719" w:before="216" w:after="0"/>
        <w:ind w:left="4819" w:right="0" w:hanging="0"/>
        <w:jc w:val="left"/>
        <w:rPr/>
      </w:pPr>
      <w:r>
        <w:rPr>
          <w:color w:val="BD1271"/>
          <w:sz w:val="44"/>
        </w:rPr>
        <w:t xml:space="preserve"> </w:t>
      </w:r>
      <w:r>
        <w:rPr>
          <w:color w:val="000000"/>
          <w:sz w:val="32"/>
        </w:rPr>
        <w:t>Róma, 2022. március 16.</w:t>
      </w:r>
    </w:p>
    <w:p>
      <w:pPr>
        <w:pStyle w:val="P68B1DB1Normal72"/>
        <w:widowControl w:val="false"/>
        <w:spacing w:lineRule="exact" w:line="719" w:before="216" w:after="0"/>
        <w:ind w:left="4819" w:right="0" w:hanging="0"/>
        <w:jc w:val="left"/>
        <w:rPr>
          <w:rFonts w:ascii="Arial" w:hAnsi="Arial"/>
          <w:color w:val="BD1271"/>
          <w:sz w:val="44"/>
        </w:rPr>
      </w:pPr>
      <w:r>
        <w:rPr>
          <w:color w:val="BD1271"/>
          <w:sz w:val="44"/>
        </w:rPr>
        <w:drawing>
          <wp:anchor behindDoc="0" distT="0" distB="0" distL="0" distR="0" simplePos="0" locked="0" layoutInCell="1" allowOverlap="1" relativeHeight="41">
            <wp:simplePos x="0" y="0"/>
            <wp:positionH relativeFrom="column">
              <wp:posOffset>50800</wp:posOffset>
            </wp:positionH>
            <wp:positionV relativeFrom="paragraph">
              <wp:posOffset>155575</wp:posOffset>
            </wp:positionV>
            <wp:extent cx="810895" cy="956310"/>
            <wp:effectExtent l="0" t="0" r="0" b="0"/>
            <wp:wrapSquare wrapText="largest"/>
            <wp:docPr id="99" name="Kép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Kép42" descr=""/>
                    <pic:cNvPicPr>
                      <a:picLocks noChangeAspect="1" noChangeArrowheads="1"/>
                    </pic:cNvPicPr>
                  </pic:nvPicPr>
                  <pic:blipFill>
                    <a:blip r:embed="rId102"/>
                    <a:stretch>
                      <a:fillRect/>
                    </a:stretch>
                  </pic:blipFill>
                  <pic:spPr bwMode="auto">
                    <a:xfrm>
                      <a:off x="0" y="0"/>
                      <a:ext cx="810895" cy="956310"/>
                    </a:xfrm>
                    <a:prstGeom prst="rect">
                      <a:avLst/>
                    </a:prstGeom>
                  </pic:spPr>
                </pic:pic>
              </a:graphicData>
            </a:graphic>
          </wp:anchor>
        </w:drawing>
      </w:r>
    </w:p>
    <w:p>
      <w:pPr>
        <w:pStyle w:val="Normal"/>
        <w:spacing w:lineRule="auto" w:line="240"/>
        <w:rPr/>
      </w:pPr>
      <w:r>
        <w:rPr/>
      </w:r>
    </w:p>
    <w:p>
      <w:pPr>
        <w:pStyle w:val="Normal"/>
        <w:spacing w:lineRule="auto" w:line="240"/>
        <w:rPr/>
      </w:pPr>
      <w:r>
        <w:rPr/>
      </w:r>
      <w:r>
        <w:br w:type="page"/>
      </w:r>
    </w:p>
    <w:sdt>
      <w:sdtPr>
        <w:docPartObj>
          <w:docPartGallery w:val="Table of Contents"/>
          <w:docPartUnique w:val="true"/>
        </w:docPartObj>
      </w:sdtPr>
      <w:sdtContent>
        <w:p>
          <w:pPr>
            <w:pStyle w:val="TOAHeading"/>
            <w:rPr/>
          </w:pPr>
          <w:r>
            <w:rPr/>
            <w:t>Tartalomjegyzék</w:t>
          </w:r>
        </w:p>
        <w:p>
          <w:pPr>
            <w:pStyle w:val="Tabledesmatiresniveau1"/>
            <w:rPr/>
          </w:pPr>
          <w:r>
            <w:fldChar w:fldCharType="begin"/>
          </w:r>
          <w:r>
            <w:rPr>
              <w:rStyle w:val="Sautdindex"/>
            </w:rPr>
            <w:instrText> TOC \f \o "1-4" \h</w:instrText>
          </w:r>
          <w:r>
            <w:rPr>
              <w:rStyle w:val="Sautdindex"/>
            </w:rPr>
            <w:fldChar w:fldCharType="separate"/>
          </w:r>
          <w:hyperlink w:anchor="__RefHeading___Toc297355_1346298689">
            <w:r>
              <w:rPr>
                <w:rStyle w:val="Sautdindex"/>
              </w:rPr>
              <w:t>II D Panels nationaux : Italie</w:t>
              <w:tab/>
              <w:t>227</w:t>
            </w:r>
          </w:hyperlink>
        </w:p>
        <w:p>
          <w:pPr>
            <w:pStyle w:val="Tabledesmatiresniveau2"/>
            <w:tabs>
              <w:tab w:val="right" w:pos="9638" w:leader="dot"/>
            </w:tabs>
            <w:rPr/>
          </w:pPr>
          <w:hyperlink w:anchor="__RefHeading___Toc300308_1346298689">
            <w:r>
              <w:rPr>
                <w:rStyle w:val="Sautdindex"/>
              </w:rPr>
              <w:t>1. Principes directeurs du processus d'organisation du panel</w:t>
              <w:tab/>
              <w:t>229</w:t>
            </w:r>
          </w:hyperlink>
        </w:p>
        <w:p>
          <w:pPr>
            <w:pStyle w:val="Tabledesmatiresniveau2"/>
            <w:tabs>
              <w:tab w:val="right" w:pos="9638" w:leader="dot"/>
            </w:tabs>
            <w:rPr/>
          </w:pPr>
          <w:hyperlink w:anchor="__RefHeading___Toc300310_1346298689">
            <w:r>
              <w:rPr>
                <w:rStyle w:val="Sautdindex"/>
              </w:rPr>
              <w:t>2. Sélection des participants et modalité de participation</w:t>
              <w:tab/>
              <w:t>230</w:t>
            </w:r>
          </w:hyperlink>
        </w:p>
        <w:p>
          <w:pPr>
            <w:pStyle w:val="Tabledesmatiresniveau2"/>
            <w:tabs>
              <w:tab w:val="right" w:pos="9638" w:leader="dot"/>
            </w:tabs>
            <w:rPr/>
          </w:pPr>
          <w:hyperlink w:anchor="__RefHeading___Toc300312_1346298689">
            <w:r>
              <w:rPr>
                <w:rStyle w:val="Sautdindex"/>
              </w:rPr>
              <w:t>3. Organisation du panel</w:t>
              <w:tab/>
              <w:t>233</w:t>
            </w:r>
          </w:hyperlink>
        </w:p>
        <w:p>
          <w:pPr>
            <w:pStyle w:val="Tabledesmatiresniveau2"/>
            <w:tabs>
              <w:tab w:val="right" w:pos="9638" w:leader="dot"/>
            </w:tabs>
            <w:rPr/>
          </w:pPr>
          <w:hyperlink w:anchor="__RefHeading___Toc300314_1346298689">
            <w:r>
              <w:rPr>
                <w:rStyle w:val="Sautdindex"/>
              </w:rPr>
              <w:t>4. Programme de travail</w:t>
              <w:tab/>
              <w:t>233</w:t>
            </w:r>
          </w:hyperlink>
        </w:p>
        <w:p>
          <w:pPr>
            <w:pStyle w:val="Tabledesmatiresniveau2"/>
            <w:tabs>
              <w:tab w:val="right" w:pos="9638" w:leader="dot"/>
            </w:tabs>
            <w:rPr/>
          </w:pPr>
          <w:hyperlink w:anchor="__RefHeading___Toc300316_1346298689">
            <w:r>
              <w:rPr>
                <w:rStyle w:val="Sautdindex"/>
              </w:rPr>
              <w:t>5. Recommandations formulées</w:t>
              <w:tab/>
              <w:t>235</w:t>
            </w:r>
          </w:hyperlink>
        </w:p>
        <w:p>
          <w:pPr>
            <w:pStyle w:val="Tabledesmatiresniveau3"/>
            <w:tabs>
              <w:tab w:val="right" w:pos="9638" w:leader="dot"/>
            </w:tabs>
            <w:rPr/>
          </w:pPr>
          <w:hyperlink w:anchor="__RefHeading___Toc300318_1346298689">
            <w:r>
              <w:rPr>
                <w:rStyle w:val="Sautdindex"/>
              </w:rPr>
              <w:t>Une économie plus forte, justice sociale et emploi</w:t>
              <w:tab/>
              <w:t>235</w:t>
            </w:r>
          </w:hyperlink>
        </w:p>
        <w:p>
          <w:pPr>
            <w:pStyle w:val="Tabledesmatiresniveau4"/>
            <w:tabs>
              <w:tab w:val="right" w:pos="9638" w:leader="dot"/>
            </w:tabs>
            <w:rPr/>
          </w:pPr>
          <w:hyperlink w:anchor="__RefHeading___Toc300428_1346298689">
            <w:r>
              <w:rPr>
                <w:rStyle w:val="Sautdindex"/>
              </w:rPr>
              <w:t>1. Dépasser le modèle de production du siècle passé</w:t>
              <w:tab/>
              <w:t>235</w:t>
            </w:r>
          </w:hyperlink>
        </w:p>
        <w:p>
          <w:pPr>
            <w:pStyle w:val="Tabledesmatiresniveau4"/>
            <w:tabs>
              <w:tab w:val="right" w:pos="9638" w:leader="dot"/>
            </w:tabs>
            <w:rPr/>
          </w:pPr>
          <w:hyperlink w:anchor="__RefHeading___Toc300430_1346298689">
            <w:r>
              <w:rPr>
                <w:rStyle w:val="Sautdindex"/>
              </w:rPr>
              <w:t>2. Règlements génératifs et inclusifs en matière de production</w:t>
              <w:tab/>
              <w:t>235</w:t>
            </w:r>
          </w:hyperlink>
        </w:p>
        <w:p>
          <w:pPr>
            <w:pStyle w:val="Tabledesmatiresniveau4"/>
            <w:tabs>
              <w:tab w:val="right" w:pos="9638" w:leader="dot"/>
            </w:tabs>
            <w:rPr/>
          </w:pPr>
          <w:hyperlink w:anchor="__RefHeading___Toc300432_1346298689">
            <w:r>
              <w:rPr>
                <w:rStyle w:val="Sautdindex"/>
              </w:rPr>
              <w:t>3. Mesurer la croissance à l'aune du bonheur au sein de la population plutôt que de la quantité de produits</w:t>
              <w:tab/>
              <w:t>236</w:t>
            </w:r>
          </w:hyperlink>
        </w:p>
        <w:p>
          <w:pPr>
            <w:pStyle w:val="Tabledesmatiresniveau4"/>
            <w:tabs>
              <w:tab w:val="right" w:pos="9638" w:leader="dot"/>
            </w:tabs>
            <w:rPr/>
          </w:pPr>
          <w:hyperlink w:anchor="__RefHeading___Toc300434_1346298689">
            <w:r>
              <w:rPr>
                <w:rStyle w:val="Sautdindex"/>
              </w:rPr>
              <w:t>4. Une plus grande intégration parmi les États</w:t>
              <w:tab/>
              <w:t>237</w:t>
            </w:r>
          </w:hyperlink>
        </w:p>
        <w:p>
          <w:pPr>
            <w:pStyle w:val="Tabledesmatiresniveau4"/>
            <w:tabs>
              <w:tab w:val="right" w:pos="9638" w:leader="dot"/>
            </w:tabs>
            <w:rPr/>
          </w:pPr>
          <w:hyperlink w:anchor="__RefHeading___Toc300436_1346298689">
            <w:r>
              <w:rPr>
                <w:rStyle w:val="Sautdindex"/>
              </w:rPr>
              <w:t>5. Politiques d'inclusion</w:t>
              <w:tab/>
              <w:t>238</w:t>
            </w:r>
          </w:hyperlink>
        </w:p>
        <w:p>
          <w:pPr>
            <w:pStyle w:val="Tabledesmatiresniveau4"/>
            <w:tabs>
              <w:tab w:val="right" w:pos="9638" w:leader="dot"/>
            </w:tabs>
            <w:rPr/>
          </w:pPr>
          <w:hyperlink w:anchor="__RefHeading___Toc300438_1346298689">
            <w:r>
              <w:rPr>
                <w:rStyle w:val="Sautdindex"/>
              </w:rPr>
              <w:t>6. Emploi</w:t>
              <w:tab/>
              <w:t>239</w:t>
            </w:r>
          </w:hyperlink>
        </w:p>
        <w:p>
          <w:pPr>
            <w:pStyle w:val="Tabledesmatiresniveau3"/>
            <w:tabs>
              <w:tab w:val="right" w:pos="9638" w:leader="dot"/>
            </w:tabs>
            <w:rPr/>
          </w:pPr>
          <w:hyperlink w:anchor="__RefHeading___Toc300320_1346298689">
            <w:r>
              <w:rPr>
                <w:rStyle w:val="Sautdindex"/>
              </w:rPr>
              <w:t xml:space="preserve"> </w:t>
            </w:r>
            <w:r>
              <w:rPr>
                <w:rStyle w:val="Sautdindex"/>
              </w:rPr>
              <w:t>L'Europe dans le monde</w:t>
              <w:tab/>
              <w:t>240</w:t>
            </w:r>
          </w:hyperlink>
        </w:p>
        <w:p>
          <w:pPr>
            <w:pStyle w:val="Tabledesmatiresniveau4"/>
            <w:tabs>
              <w:tab w:val="right" w:pos="9638" w:leader="dot"/>
            </w:tabs>
            <w:rPr/>
          </w:pPr>
          <w:hyperlink w:anchor="__RefHeading___Toc300440_1346298689">
            <w:r>
              <w:rPr>
                <w:rStyle w:val="Sautdindex"/>
              </w:rPr>
              <w:t>1. Renforcer l'identité européenne</w:t>
              <w:tab/>
              <w:t>240</w:t>
            </w:r>
          </w:hyperlink>
        </w:p>
        <w:p>
          <w:pPr>
            <w:pStyle w:val="Tabledesmatiresniveau4"/>
            <w:tabs>
              <w:tab w:val="right" w:pos="9638" w:leader="dot"/>
            </w:tabs>
            <w:rPr/>
          </w:pPr>
          <w:hyperlink w:anchor="__RefHeading___Toc300442_1346298689">
            <w:r>
              <w:rPr>
                <w:rStyle w:val="Sautdindex"/>
              </w:rPr>
              <w:t>2. Renforcer l'économie et les institutions</w:t>
              <w:tab/>
              <w:t>240</w:t>
            </w:r>
          </w:hyperlink>
        </w:p>
        <w:p>
          <w:pPr>
            <w:pStyle w:val="Tabledesmatiresniveau4"/>
            <w:tabs>
              <w:tab w:val="right" w:pos="9638" w:leader="dot"/>
            </w:tabs>
            <w:rPr/>
          </w:pPr>
          <w:hyperlink w:anchor="__RefHeading___Toc300444_1346298689">
            <w:r>
              <w:rPr>
                <w:rStyle w:val="Sautdindex"/>
              </w:rPr>
              <w:t>3. Coopération et partenariats</w:t>
              <w:tab/>
              <w:t>241</w:t>
            </w:r>
          </w:hyperlink>
        </w:p>
        <w:p>
          <w:pPr>
            <w:pStyle w:val="Tabledesmatiresniveau4"/>
            <w:tabs>
              <w:tab w:val="right" w:pos="9638" w:leader="dot"/>
            </w:tabs>
            <w:rPr/>
          </w:pPr>
          <w:hyperlink w:anchor="__RefHeading___Toc300446_1346298689">
            <w:r>
              <w:rPr>
                <w:rStyle w:val="Sautdindex"/>
              </w:rPr>
              <w:t>4. Référence politique et culturelle</w:t>
              <w:tab/>
              <w:t>242</w:t>
            </w:r>
          </w:hyperlink>
        </w:p>
        <w:p>
          <w:pPr>
            <w:pStyle w:val="Tabledesmatiresniveau2"/>
            <w:tabs>
              <w:tab w:val="right" w:pos="9638" w:leader="dot"/>
            </w:tabs>
            <w:rPr/>
          </w:pPr>
          <w:hyperlink w:anchor="__RefHeading___Toc300322_1346298689">
            <w:r>
              <w:rPr>
                <w:rStyle w:val="Sautdindex"/>
              </w:rPr>
              <w:t>6. Évaluation finale par les participants</w:t>
              <w:tab/>
              <w:t>242</w:t>
            </w:r>
          </w:hyperlink>
        </w:p>
      </w:sdtContent>
    </w:sdt>
    <w:p>
      <w:pPr>
        <w:pStyle w:val="Normal"/>
        <w:spacing w:lineRule="auto" w:line="240"/>
        <w:rPr>
          <w:rFonts w:ascii="Calibri" w:hAnsi="Calibri"/>
          <w:color w:val="0000FF"/>
          <w:sz w:val="22"/>
        </w:rPr>
      </w:pPr>
      <w:r>
        <w:rPr>
          <w:rFonts w:ascii="Calibri" w:hAnsi="Calibri"/>
          <w:color w:val="0000FF"/>
          <w:sz w:val="22"/>
        </w:rPr>
      </w:r>
      <w:r>
        <w:rPr>
          <w:sz w:val="22"/>
          <w:rFonts w:ascii="Calibri" w:hAnsi="Calibri"/>
        </w:rPr>
        <w:fldChar w:fldCharType="end"/>
      </w:r>
      <w:r>
        <w:br w:type="page"/>
      </w:r>
    </w:p>
    <w:p>
      <w:pPr>
        <w:pStyle w:val="P68B1DB1Titre273"/>
        <w:numPr>
          <w:ilvl w:val="0"/>
          <w:numId w:val="2"/>
        </w:numPr>
        <w:rPr/>
      </w:pPr>
      <w:bookmarkStart w:id="216" w:name="__RefHeading___Toc300308_1346298689"/>
      <w:bookmarkEnd w:id="216"/>
      <w:r>
        <w:rPr/>
        <w:t xml:space="preserve">1. A testület szervezési folyamatának vezérelvei </w:t>
      </w:r>
    </w:p>
    <w:p>
      <w:pPr>
        <w:pStyle w:val="P68B1DB1Normal34"/>
        <w:widowControl w:val="false"/>
        <w:spacing w:lineRule="auto" w:line="240"/>
        <w:ind w:left="0" w:right="0" w:hanging="0"/>
        <w:jc w:val="left"/>
        <w:rPr/>
      </w:pPr>
      <w:r>
        <w:rPr/>
        <w:t xml:space="preserve"> </w:t>
      </w:r>
      <w:r>
        <w:rPr/>
        <w:t xml:space="preserve">A testület teljes végrehajtási folyamatát úgy alakították ki, hogy összhangban legyen az Európa jövőjéről szóló konferencia keretében a nemzeti polgári munkacsoportoknak szóló iránymutatásokban foglalt iránymutatásokkal. Pontosabban: </w:t>
      </w:r>
    </w:p>
    <w:p>
      <w:pPr>
        <w:pStyle w:val="Normal"/>
        <w:widowControl w:val="false"/>
        <w:spacing w:lineRule="auto" w:line="240" w:before="80" w:after="0"/>
        <w:ind w:left="360" w:right="0" w:hanging="0"/>
        <w:jc w:val="left"/>
        <w:rPr/>
      </w:pPr>
      <w:r>
        <w:rPr>
          <w:rFonts w:ascii="Symbol" w:hAnsi="Symbol"/>
          <w:color w:val="000000"/>
        </w:rPr>
        <w:t>•</w:t>
      </w:r>
      <w:r>
        <w:rPr>
          <w:color w:val="000000"/>
        </w:rPr>
        <w:t xml:space="preserve"> </w:t>
      </w:r>
      <w:r>
        <w:rPr>
          <w:b/>
          <w:color w:val="2E74B5"/>
        </w:rPr>
        <w:t>Cél:</w:t>
      </w:r>
      <w:r>
        <w:rPr>
          <w:b/>
          <w:color w:val="000000"/>
        </w:rPr>
        <w:t xml:space="preserve"> </w:t>
      </w:r>
    </w:p>
    <w:p>
      <w:pPr>
        <w:pStyle w:val="P68B1DB1Normal34"/>
        <w:widowControl w:val="false"/>
        <w:spacing w:lineRule="auto" w:line="240"/>
        <w:ind w:left="720" w:right="0" w:hanging="0"/>
        <w:jc w:val="left"/>
        <w:rPr/>
      </w:pPr>
      <w:r>
        <w:rPr/>
        <w:t xml:space="preserve">A testületben való részvételre meghívottak kitöltötték a projekt célkitűzéseit és céljait tartalmazó részvételi kérdőívet, külön utalva az Európa jövőjéről szóló konferenciára, az érintett témákra és a részvétel módozataira. </w:t>
      </w:r>
    </w:p>
    <w:p>
      <w:pPr>
        <w:pStyle w:val="P68B1DB1Normal74"/>
        <w:widowControl w:val="false"/>
        <w:spacing w:lineRule="auto" w:line="240"/>
        <w:ind w:left="360" w:right="0" w:hanging="0"/>
        <w:jc w:val="left"/>
        <w:rPr/>
      </w:pPr>
      <w:r>
        <w:rPr>
          <w:rFonts w:ascii="Symbol" w:hAnsi="Symbol"/>
        </w:rPr>
        <w:t>•</w:t>
      </w:r>
      <w:r>
        <w:rPr/>
        <w:t xml:space="preserve"> </w:t>
      </w:r>
      <w:r>
        <w:rPr>
          <w:b/>
        </w:rPr>
        <w:t xml:space="preserve">Átláthatóság: </w:t>
      </w:r>
    </w:p>
    <w:p>
      <w:pPr>
        <w:pStyle w:val="P68B1DB1Normal34"/>
        <w:widowControl w:val="false"/>
        <w:spacing w:lineRule="auto" w:line="240"/>
        <w:ind w:left="720" w:right="0" w:hanging="0"/>
        <w:jc w:val="left"/>
        <w:rPr/>
      </w:pPr>
      <w:r>
        <w:rPr/>
        <w:t xml:space="preserve">A kezdeményezést bemutató valamennyi dokumentumot különböző eszközökkel bocsátották a résztvevők rendelkezésére, mindig a konferencia hivatalos honlapjára hivatkozva. A dokumentumokat e-mailben küldték el valamennyi résztvevőnek. </w:t>
      </w:r>
    </w:p>
    <w:p>
      <w:pPr>
        <w:pStyle w:val="P68B1DB1Normal74"/>
        <w:widowControl w:val="false"/>
        <w:spacing w:lineRule="auto" w:line="240"/>
        <w:ind w:left="360" w:right="0" w:hanging="0"/>
        <w:jc w:val="left"/>
        <w:rPr/>
      </w:pPr>
      <w:r>
        <w:rPr>
          <w:rFonts w:ascii="Symbol" w:hAnsi="Symbol"/>
        </w:rPr>
        <w:t>•</w:t>
      </w:r>
      <w:r>
        <w:rPr/>
        <w:t xml:space="preserve"> </w:t>
      </w:r>
      <w:r>
        <w:rPr>
          <w:b/>
        </w:rPr>
        <w:t xml:space="preserve">Inkluzivitás: </w:t>
      </w:r>
    </w:p>
    <w:p>
      <w:pPr>
        <w:pStyle w:val="P68B1DB1Normal75"/>
        <w:widowControl w:val="false"/>
        <w:spacing w:lineRule="auto" w:line="240"/>
        <w:ind w:left="708" w:right="0" w:hanging="0"/>
        <w:jc w:val="left"/>
        <w:rPr/>
      </w:pPr>
      <w:r>
        <w:rPr>
          <w:color w:val="000000"/>
        </w:rPr>
        <w:t xml:space="preserve">A meghívást különböző csatornákon keresztül küldték el: például küldjön e-mailt az </w:t>
      </w:r>
      <w:r>
        <w:rPr>
          <w:color w:val="ED7D31"/>
        </w:rPr>
        <w:t>SWG</w:t>
      </w:r>
      <w:r>
        <w:rPr>
          <w:color w:val="000000"/>
        </w:rPr>
        <w:t xml:space="preserve"> közösség tagjainak, és ossza meg a jelentkezési lapra mutató linket a Twitteren és a LinkedIn-en keresztül. Ez összesen több mint 400 hozzáférést eredményezett a jelentkezési laphoz és 245 kérelmet. A résztvevők (véletlenszerű) kiválasztása oly módon történt, hogy biztosított legyen a különböző nemű, korú, társadalmi eredetű, lakóhely és szakmai státuszú személyek jelenléte. </w:t>
      </w:r>
    </w:p>
    <w:p>
      <w:pPr>
        <w:pStyle w:val="P68B1DB1Normal74"/>
        <w:widowControl w:val="false"/>
        <w:spacing w:lineRule="auto" w:line="240"/>
        <w:ind w:left="360" w:right="0" w:hanging="0"/>
        <w:jc w:val="left"/>
        <w:rPr/>
      </w:pPr>
      <w:r>
        <w:rPr>
          <w:rFonts w:ascii="Symbol" w:hAnsi="Symbol"/>
        </w:rPr>
        <w:t>•</w:t>
      </w:r>
      <w:r>
        <w:rPr/>
        <w:t xml:space="preserve"> </w:t>
      </w:r>
      <w:r>
        <w:rPr>
          <w:b/>
        </w:rPr>
        <w:t xml:space="preserve">Reprezentativitás: </w:t>
      </w:r>
    </w:p>
    <w:p>
      <w:pPr>
        <w:pStyle w:val="P68B1DB1Normal34"/>
        <w:widowControl w:val="false"/>
        <w:spacing w:lineRule="auto" w:line="240"/>
        <w:ind w:left="708" w:right="0" w:hanging="0"/>
        <w:jc w:val="left"/>
        <w:rPr/>
      </w:pPr>
      <w:r>
        <w:rPr/>
        <w:t xml:space="preserve">Bár a minta mérete statisztikai értelemben nem reprezentatív, a mintát úgy tervezték, hogy maximális heterogenitást érjen el a résztvevők között, hogy reprodukálja a célközönség mikrokozmoszát. </w:t>
      </w:r>
    </w:p>
    <w:p>
      <w:pPr>
        <w:pStyle w:val="P68B1DB1Normal74"/>
        <w:widowControl w:val="false"/>
        <w:spacing w:lineRule="auto" w:line="240"/>
        <w:ind w:left="360" w:right="0" w:hanging="0"/>
        <w:jc w:val="left"/>
        <w:rPr/>
      </w:pPr>
      <w:r>
        <w:rPr>
          <w:rFonts w:ascii="Symbol" w:hAnsi="Symbol"/>
        </w:rPr>
        <w:t>•</w:t>
      </w:r>
      <w:r>
        <w:rPr/>
        <w:t xml:space="preserve"> </w:t>
      </w:r>
      <w:r>
        <w:rPr>
          <w:b/>
        </w:rPr>
        <w:t xml:space="preserve">Információ: </w:t>
      </w:r>
    </w:p>
    <w:p>
      <w:pPr>
        <w:pStyle w:val="Normal"/>
        <w:widowControl w:val="false"/>
        <w:spacing w:lineRule="auto" w:line="240"/>
        <w:ind w:left="720" w:right="0" w:hanging="0"/>
        <w:jc w:val="left"/>
        <w:rPr/>
      </w:pPr>
      <w:r>
        <w:rPr>
          <w:color w:val="000000"/>
        </w:rPr>
        <w:t xml:space="preserve">Minden résztvevő széles körű tájékoztatást kapott a konferenciáról és a panelen megvitatott témákról. A projekt célkitűzéseit és módozatait a bevezető részben a semlegesség és a teljesség elvének megfelelően emlékeztették a résztvevőkre. Minden résztvevő lehetőséget kapott arra, hogy a </w:t>
      </w:r>
      <w:r>
        <w:rPr>
          <w:color w:val="ED7D31"/>
        </w:rPr>
        <w:t>SWG</w:t>
      </w:r>
      <w:r>
        <w:rPr>
          <w:color w:val="000000"/>
        </w:rPr>
        <w:t xml:space="preserve"> -n belül a projektmenedzserek közvetlen telefonszámán keresztül további információkat és részleteket kérjen az eseményről. </w:t>
      </w:r>
    </w:p>
    <w:p>
      <w:pPr>
        <w:pStyle w:val="P68B1DB1Normal74"/>
        <w:widowControl w:val="false"/>
        <w:spacing w:lineRule="auto" w:line="240"/>
        <w:ind w:left="360" w:right="0" w:hanging="0"/>
        <w:jc w:val="left"/>
        <w:rPr/>
      </w:pPr>
      <w:r>
        <w:rPr>
          <w:rFonts w:ascii="Symbol" w:hAnsi="Symbol"/>
        </w:rPr>
        <w:t>•</w:t>
      </w:r>
      <w:r>
        <w:rPr/>
        <w:t xml:space="preserve"> </w:t>
      </w:r>
      <w:r>
        <w:rPr>
          <w:b/>
        </w:rPr>
        <w:t xml:space="preserve">Tanácskozási csoportok: </w:t>
      </w:r>
    </w:p>
    <w:p>
      <w:pPr>
        <w:pStyle w:val="P68B1DB1Normal76"/>
        <w:widowControl w:val="false"/>
        <w:spacing w:lineRule="auto" w:line="240"/>
        <w:ind w:left="720" w:right="0" w:hanging="0"/>
        <w:jc w:val="left"/>
        <w:rPr/>
      </w:pPr>
      <w:r>
        <w:rPr/>
        <w:t xml:space="preserve">Az egész folyamat fő célja az volt, hogy konkrét ajánlásokat fogalmazzon meg, amelyeket a résztvevők széles körben osztanak az Európai Unióval. A munka megszervezésének és a csoportok vezetésének módja egy olyan folyamatot eredményezett, amely a résztvevők javallatainak gyűjtésére, kezelésére és szintézisére, valamint egy későbbi munkaülés során a csoportok által végzett ellenőrzésre és érvényesítésre összpontosított. </w:t>
      </w:r>
    </w:p>
    <w:p>
      <w:pPr>
        <w:pStyle w:val="P68B1DB1Normal74"/>
        <w:widowControl w:val="false"/>
        <w:spacing w:lineRule="auto" w:line="240"/>
        <w:ind w:left="360" w:right="0" w:hanging="0"/>
        <w:jc w:val="left"/>
        <w:rPr/>
      </w:pPr>
      <w:r>
        <w:rPr>
          <w:rFonts w:ascii="Symbol" w:hAnsi="Symbol"/>
        </w:rPr>
        <w:t>•</w:t>
      </w:r>
      <w:r>
        <w:rPr/>
        <w:t xml:space="preserve"> </w:t>
      </w:r>
      <w:r>
        <w:rPr>
          <w:b/>
        </w:rPr>
        <w:t xml:space="preserve">Naptár: </w:t>
      </w:r>
    </w:p>
    <w:p>
      <w:pPr>
        <w:pStyle w:val="P68B1DB1Normal76"/>
        <w:widowControl w:val="false"/>
        <w:spacing w:lineRule="auto" w:line="240"/>
        <w:ind w:left="720" w:right="0" w:hanging="0"/>
        <w:jc w:val="left"/>
        <w:rPr/>
      </w:pPr>
      <w:r>
        <w:rPr/>
        <w:t xml:space="preserve">A munkamenetek során nyugodt légkört alakítottak ki, amely minden szükséges időt biztosított a résztvevőknek ahhoz, hogy elmélyítsék azokat a témákat, amelyekre meghívták őket, hogy gondolkodjanak, fejtsék ki véleményüket és meghallgassák másokét. Ugyanezen okból úgy döntöttek, hogy a két fő csoportot két alcsoportra osztják. Emellett a munkát két napra osztották, hogy lehetővé tegyék a megfogalmazott ötletek alapját. </w:t>
      </w:r>
    </w:p>
    <w:p>
      <w:pPr>
        <w:pStyle w:val="Normal"/>
        <w:widowControl w:val="false"/>
        <w:spacing w:lineRule="auto" w:line="240"/>
        <w:ind w:left="360" w:right="0" w:hanging="0"/>
        <w:jc w:val="left"/>
        <w:rPr/>
      </w:pPr>
      <w:r>
        <w:rPr>
          <w:rFonts w:ascii="Symbol" w:hAnsi="Symbol"/>
          <w:color w:val="000000"/>
        </w:rPr>
        <w:t>•</w:t>
      </w:r>
      <w:r>
        <w:rPr>
          <w:color w:val="000000"/>
        </w:rPr>
        <w:t xml:space="preserve"> </w:t>
      </w:r>
      <w:r>
        <w:rPr>
          <w:b/>
          <w:color w:val="2E74B5"/>
        </w:rPr>
        <w:t>Nyomon követés:</w:t>
      </w:r>
      <w:r>
        <w:rPr>
          <w:color w:val="000000"/>
        </w:rPr>
        <w:t xml:space="preserve"> </w:t>
      </w:r>
    </w:p>
    <w:p>
      <w:pPr>
        <w:pStyle w:val="P68B1DB1Normal76"/>
        <w:widowControl w:val="false"/>
        <w:spacing w:lineRule="auto" w:line="240"/>
        <w:ind w:left="720" w:right="0" w:hanging="0"/>
        <w:jc w:val="left"/>
        <w:rPr/>
      </w:pPr>
      <w:r>
        <w:rPr/>
        <w:t xml:space="preserve">Az utolsó napon valamennyi csoport elvégezte a munka első szakaszában tett első ajánlástervezetek ellenőrzését és validálását. Miután az eredményekről szóló jelentést benyújtották a Miniszterek Tanácsa elnökségének Európai Tematikus Főosztályához és felhatalmazást kaptak, az ajánlások végleges változatát továbbították a testület valamennyi résztvevőjének. Mindenesetre a résztvevőket felkérték, hogy továbbra is kövessék nyomon a konferencia tevékenységeit a honlapon és a közzéteendő frissítéseken keresztül. </w:t>
      </w:r>
    </w:p>
    <w:p>
      <w:pPr>
        <w:pStyle w:val="P68B1DB1Normal74"/>
        <w:widowControl w:val="false"/>
        <w:spacing w:lineRule="auto" w:line="240"/>
        <w:ind w:left="360" w:right="0" w:hanging="0"/>
        <w:jc w:val="left"/>
        <w:rPr/>
      </w:pPr>
      <w:r>
        <w:rPr>
          <w:rFonts w:ascii="Symbol" w:hAnsi="Symbol"/>
        </w:rPr>
        <w:t>•</w:t>
      </w:r>
      <w:r>
        <w:rPr/>
        <w:t xml:space="preserve"> </w:t>
      </w:r>
      <w:r>
        <w:rPr>
          <w:b/>
        </w:rPr>
        <w:t xml:space="preserve">Integritás: </w:t>
      </w:r>
    </w:p>
    <w:p>
      <w:pPr>
        <w:pStyle w:val="Normal"/>
        <w:widowControl w:val="false"/>
        <w:spacing w:lineRule="auto" w:line="240"/>
        <w:ind w:left="720" w:right="0" w:hanging="0"/>
        <w:jc w:val="left"/>
        <w:rPr/>
      </w:pPr>
      <w:r>
        <w:rPr>
          <w:color w:val="000000"/>
        </w:rPr>
        <w:t xml:space="preserve">A teljes munkafolyamatot a nemzeti tanácsadó csoport önállóan </w:t>
      </w:r>
      <w:r>
        <w:rPr>
          <w:color w:val="ED7D31"/>
        </w:rPr>
        <w:t>végezte</w:t>
      </w:r>
      <w:r>
        <w:rPr>
          <w:color w:val="000000"/>
        </w:rPr>
        <w:t xml:space="preserve"> el, a kapott küldetéstől függően. A Miniszterek Tanácsa elnökségének Európai Tematikus Főosztálya folyamatosan tájékoztatást kapott a kezdeményezés különböző szakaszairól és eredményeiről. </w:t>
      </w:r>
    </w:p>
    <w:p>
      <w:pPr>
        <w:pStyle w:val="P68B1DB1Normal74"/>
        <w:widowControl w:val="false"/>
        <w:spacing w:lineRule="auto" w:line="240"/>
        <w:ind w:left="361" w:right="0" w:hanging="0"/>
        <w:jc w:val="left"/>
        <w:rPr/>
      </w:pPr>
      <w:r>
        <w:rPr>
          <w:rFonts w:ascii="Symbol" w:hAnsi="Symbol"/>
        </w:rPr>
        <w:t>•</w:t>
      </w:r>
      <w:r>
        <w:rPr/>
        <w:t xml:space="preserve"> </w:t>
      </w:r>
      <w:r>
        <w:rPr>
          <w:b/>
        </w:rPr>
        <w:t xml:space="preserve">A magánélet védelme: </w:t>
      </w:r>
    </w:p>
    <w:p>
      <w:pPr>
        <w:pStyle w:val="P68B1DB1Normal76"/>
        <w:widowControl w:val="false"/>
        <w:spacing w:lineRule="auto" w:line="240"/>
        <w:ind w:left="721" w:right="0" w:hanging="0"/>
        <w:jc w:val="left"/>
        <w:rPr/>
      </w:pPr>
      <w:r>
        <w:rPr/>
        <w:t xml:space="preserve">A résztvevők magánélete teljes mértékben garantált volt. A testületben való részvételre való jogosultsághoz valamennyi pályázónak alá kellett írnia a törvény által előírt, tájékoztatáson alapuló beleegyező nyilatkozatot. </w:t>
      </w:r>
    </w:p>
    <w:p>
      <w:pPr>
        <w:pStyle w:val="P68B1DB1Normal74"/>
        <w:widowControl w:val="false"/>
        <w:spacing w:lineRule="auto" w:line="240"/>
        <w:ind w:left="361" w:right="0" w:hanging="0"/>
        <w:jc w:val="left"/>
        <w:rPr/>
      </w:pPr>
      <w:r>
        <w:rPr>
          <w:rFonts w:ascii="Symbol" w:hAnsi="Symbol"/>
        </w:rPr>
        <w:t>•</w:t>
      </w:r>
      <w:r>
        <w:rPr/>
        <w:t xml:space="preserve"> </w:t>
      </w:r>
      <w:r>
        <w:rPr>
          <w:b/>
        </w:rPr>
        <w:t xml:space="preserve">Értékelés: </w:t>
      </w:r>
    </w:p>
    <w:p>
      <w:pPr>
        <w:pStyle w:val="P68B1DB1Normal76"/>
        <w:widowControl w:val="false"/>
        <w:spacing w:lineRule="auto" w:line="240"/>
        <w:ind w:left="721" w:right="0" w:hanging="0"/>
        <w:jc w:val="left"/>
        <w:rPr>
          <w:rFonts w:ascii="Arial" w:hAnsi="Arial"/>
          <w:color w:val="000000"/>
          <w:sz w:val="22"/>
        </w:rPr>
      </w:pPr>
      <w:r>
        <w:rPr/>
        <w:t xml:space="preserve">A folyamat végén kérdőívet küldtek valamennyi résztvevőnek, hogy felmérjék tapasztalataikat. Az eredményeket e jelentés foglalja össze. </w:t>
      </w:r>
    </w:p>
    <w:p>
      <w:pPr>
        <w:pStyle w:val="P68B1DB1Titre277"/>
        <w:numPr>
          <w:ilvl w:val="0"/>
          <w:numId w:val="2"/>
        </w:numPr>
        <w:rPr>
          <w:color w:val="BD1271"/>
        </w:rPr>
      </w:pPr>
      <w:bookmarkStart w:id="217" w:name="__RefHeading___Toc300310_1346298689"/>
      <w:bookmarkEnd w:id="217"/>
      <w:r>
        <w:rPr/>
        <w:t xml:space="preserve">2. A résztvevők kiválasztása és a részvétel módja </w:t>
      </w:r>
    </w:p>
    <w:p>
      <w:pPr>
        <w:pStyle w:val="P68B1DB1Normal74"/>
        <w:widowControl w:val="false"/>
        <w:spacing w:lineRule="auto" w:line="240" w:before="208" w:after="0"/>
        <w:ind w:left="0" w:right="0" w:hanging="0"/>
        <w:jc w:val="left"/>
        <w:rPr>
          <w:rFonts w:ascii="Arial" w:hAnsi="Arial"/>
          <w:color w:val="2E74B5"/>
          <w:sz w:val="22"/>
        </w:rPr>
      </w:pPr>
      <w:r>
        <w:rPr/>
        <w:t xml:space="preserve">Kiválasztás </w:t>
      </w:r>
    </w:p>
    <w:p>
      <w:pPr>
        <w:pStyle w:val="P68B1DB1Normal76"/>
        <w:widowControl w:val="false"/>
        <w:spacing w:lineRule="auto" w:line="240" w:before="90" w:after="0"/>
        <w:ind w:left="0" w:right="6" w:hanging="0"/>
        <w:jc w:val="left"/>
        <w:rPr/>
      </w:pPr>
      <w:r>
        <w:rPr/>
        <w:t xml:space="preserve">Az esemény előtti kommunikációs szakasz célja a kezdeményezésben részt venni kívánó legalább 50 olasz állampolgár kiválasztása volt. </w:t>
      </w:r>
    </w:p>
    <w:p>
      <w:pPr>
        <w:pStyle w:val="Normal"/>
        <w:widowControl w:val="false"/>
        <w:spacing w:lineRule="auto" w:line="240" w:before="90" w:after="0"/>
        <w:ind w:left="0" w:right="4" w:hanging="0"/>
        <w:jc w:val="both"/>
        <w:rPr/>
      </w:pPr>
      <w:r>
        <w:rPr>
          <w:color w:val="000000"/>
        </w:rPr>
        <w:t xml:space="preserve">E célból a </w:t>
      </w:r>
      <w:r>
        <w:rPr>
          <w:color w:val="ED7D31"/>
        </w:rPr>
        <w:t>SWG</w:t>
      </w:r>
      <w:r>
        <w:rPr>
          <w:color w:val="000000"/>
        </w:rPr>
        <w:t xml:space="preserve">-platformon online kitöltendő kérdőív formájában egy rövid önkérelmi űrlapot hoztak létre, amelyen keresztül a kezdeményezésben való részvétel iránt érdeklődők pályázhattak, jelezve, hogy milyen adatokat kell beilleszteni azon csoportokba, amelyekből a résztvevőket véletlenszerűen választották ki. A részvételhez szükséges feltételek a következők voltak: legyen internetkapcsolattal, mikrofonnal és videokamerával felszerelt eszközzel, valamint aláírja a konferencialevelet. </w:t>
      </w:r>
    </w:p>
    <w:p>
      <w:pPr>
        <w:pStyle w:val="Normal"/>
        <w:widowControl w:val="false"/>
        <w:spacing w:lineRule="auto" w:line="240" w:before="90" w:after="0"/>
        <w:ind w:left="0" w:right="3" w:hanging="0"/>
        <w:jc w:val="left"/>
        <w:rPr/>
      </w:pPr>
      <w:r>
        <w:drawing>
          <wp:anchor behindDoc="0" distT="0" distB="0" distL="0" distR="0" simplePos="0" locked="0" layoutInCell="1" allowOverlap="1" relativeHeight="64">
            <wp:simplePos x="0" y="0"/>
            <wp:positionH relativeFrom="column">
              <wp:posOffset>58420</wp:posOffset>
            </wp:positionH>
            <wp:positionV relativeFrom="paragraph">
              <wp:posOffset>1365885</wp:posOffset>
            </wp:positionV>
            <wp:extent cx="187960" cy="187960"/>
            <wp:effectExtent l="0" t="0" r="0" b="0"/>
            <wp:wrapSquare wrapText="largest"/>
            <wp:docPr id="100" name="Kép4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Kép44" descr=""/>
                    <pic:cNvPicPr>
                      <a:picLocks noChangeAspect="1" noChangeArrowheads="1"/>
                    </pic:cNvPicPr>
                  </pic:nvPicPr>
                  <pic:blipFill>
                    <a:blip r:embed="rId103"/>
                    <a:stretch>
                      <a:fillRect/>
                    </a:stretch>
                  </pic:blipFill>
                  <pic:spPr bwMode="auto">
                    <a:xfrm>
                      <a:off x="0" y="0"/>
                      <a:ext cx="187960" cy="187960"/>
                    </a:xfrm>
                    <a:prstGeom prst="rect">
                      <a:avLst/>
                    </a:prstGeom>
                  </pic:spPr>
                </pic:pic>
              </a:graphicData>
            </a:graphic>
          </wp:anchor>
        </w:drawing>
        <w:drawing>
          <wp:anchor behindDoc="0" distT="0" distB="0" distL="0" distR="0" simplePos="0" locked="0" layoutInCell="1" allowOverlap="1" relativeHeight="78">
            <wp:simplePos x="0" y="0"/>
            <wp:positionH relativeFrom="column">
              <wp:posOffset>49530</wp:posOffset>
            </wp:positionH>
            <wp:positionV relativeFrom="paragraph">
              <wp:posOffset>958850</wp:posOffset>
            </wp:positionV>
            <wp:extent cx="287020" cy="287020"/>
            <wp:effectExtent l="0" t="0" r="0" b="0"/>
            <wp:wrapSquare wrapText="largest"/>
            <wp:docPr id="101" name="Kép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Kép43" descr=""/>
                    <pic:cNvPicPr>
                      <a:picLocks noChangeAspect="1" noChangeArrowheads="1"/>
                    </pic:cNvPicPr>
                  </pic:nvPicPr>
                  <pic:blipFill>
                    <a:blip r:embed="rId104"/>
                    <a:stretch>
                      <a:fillRect/>
                    </a:stretch>
                  </pic:blipFill>
                  <pic:spPr bwMode="auto">
                    <a:xfrm>
                      <a:off x="0" y="0"/>
                      <a:ext cx="287020" cy="287020"/>
                    </a:xfrm>
                    <a:prstGeom prst="rect">
                      <a:avLst/>
                    </a:prstGeom>
                  </pic:spPr>
                </pic:pic>
              </a:graphicData>
            </a:graphic>
          </wp:anchor>
        </w:drawing>
      </w:r>
      <w:r>
        <w:rPr>
          <w:color w:val="000000"/>
        </w:rPr>
        <w:t>A</w:t>
      </w:r>
      <w:r>
        <w:rPr>
          <w:color w:val="000000"/>
        </w:rPr>
        <w:t xml:space="preserve"> jelentkezési lapot a</w:t>
      </w:r>
      <w:r>
        <w:rPr>
          <w:color w:val="ED7D31"/>
        </w:rPr>
        <w:t>SWG</w:t>
      </w:r>
      <w:r>
        <w:rPr>
          <w:color w:val="000000"/>
        </w:rPr>
        <w:t xml:space="preserve">számláiról a közösségi hálózatokon terjesztették. Ennek érdekében hat bejegyzést tettek közzé a Twitteren és egy a LinkedIn-en, a következő eredményekkel: </w:t>
      </w:r>
    </w:p>
    <w:tbl>
      <w:tblPr>
        <w:tblW w:w="9638"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2409"/>
        <w:gridCol w:w="2409"/>
        <w:gridCol w:w="2410"/>
        <w:gridCol w:w="2409"/>
      </w:tblGrid>
      <w:tr>
        <w:trPr/>
        <w:tc>
          <w:tcPr>
            <w:tcW w:w="2409"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jc w:val="center"/>
              <w:rPr/>
            </w:pPr>
            <w:r>
              <w:rPr/>
              <w:t>Közösségi hálózat</w:t>
            </w:r>
          </w:p>
        </w:tc>
        <w:tc>
          <w:tcPr>
            <w:tcW w:w="2409"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jc w:val="center"/>
              <w:rPr/>
            </w:pPr>
            <w:r>
              <w:rPr/>
              <w:t>Dátumok</w:t>
            </w:r>
          </w:p>
        </w:tc>
        <w:tc>
          <w:tcPr>
            <w:tcW w:w="2410"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jc w:val="center"/>
              <w:rPr/>
            </w:pPr>
            <w:r>
              <w:rPr/>
              <w:t>Nézetek száma</w:t>
            </w:r>
          </w:p>
        </w:tc>
        <w:tc>
          <w:tcPr>
            <w:tcW w:w="2409"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jc w:val="center"/>
              <w:rPr/>
            </w:pPr>
            <w:r>
              <w:rPr/>
              <w:t>Hozzáférés a jelentkezési laphoz</w:t>
            </w:r>
          </w:p>
        </w:tc>
      </w:tr>
      <w:tr>
        <w:trPr/>
        <w:tc>
          <w:tcPr>
            <w:tcW w:w="2409"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A Twitter</w:t>
            </w:r>
          </w:p>
        </w:tc>
        <w:tc>
          <w:tcPr>
            <w:tcW w:w="2409"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6 álláshely március 8. és 10. között</w:t>
            </w:r>
          </w:p>
        </w:tc>
        <w:tc>
          <w:tcPr>
            <w:tcW w:w="2410"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889</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jc w:val="center"/>
              <w:rPr/>
            </w:pPr>
            <w:r>
              <w:rPr/>
              <w:t>31</w:t>
            </w:r>
          </w:p>
        </w:tc>
      </w:tr>
      <w:tr>
        <w:trPr/>
        <w:tc>
          <w:tcPr>
            <w:tcW w:w="2409"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A LinkedIn-ről</w:t>
            </w:r>
          </w:p>
        </w:tc>
        <w:tc>
          <w:tcPr>
            <w:tcW w:w="2409"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1 hozzászólás március 8-én</w:t>
            </w:r>
          </w:p>
        </w:tc>
        <w:tc>
          <w:tcPr>
            <w:tcW w:w="2410"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410</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jc w:val="center"/>
              <w:rPr/>
            </w:pPr>
            <w:r>
              <w:rPr/>
              <w:t>25</w:t>
            </w:r>
          </w:p>
        </w:tc>
      </w:tr>
    </w:tbl>
    <w:p>
      <w:pPr>
        <w:pStyle w:val="Normal"/>
        <w:rPr/>
      </w:pPr>
      <w:r>
        <w:rPr/>
      </w:r>
    </w:p>
    <w:p>
      <w:pPr>
        <w:pStyle w:val="Normal"/>
        <w:widowControl w:val="false"/>
        <w:spacing w:lineRule="exact" w:line="252" w:before="208" w:after="0"/>
        <w:ind w:left="0" w:right="3" w:hanging="0"/>
        <w:jc w:val="both"/>
        <w:rPr/>
      </w:pPr>
      <w:r>
        <w:rPr>
          <w:color w:val="000000"/>
        </w:rPr>
        <w:t xml:space="preserve">Ugyanakkor felkérték a </w:t>
      </w:r>
      <w:r>
        <w:rPr>
          <w:color w:val="ED7D31"/>
        </w:rPr>
        <w:t>SWG</w:t>
      </w:r>
      <w:r>
        <w:rPr>
          <w:color w:val="000000"/>
        </w:rPr>
        <w:t xml:space="preserve"> közösség tagjait, hogy pályázzanak az olasz lakosság maximális reprezentativitását biztosító meghívási stratégiával összhangban, nemcsak a társadalmi jellemzők, hanem az eszmék, kulturális orientációk és értékek tekintetében is. </w:t>
      </w:r>
    </w:p>
    <w:p>
      <w:pPr>
        <w:pStyle w:val="P68B1DB1Normal76"/>
        <w:widowControl w:val="false"/>
        <w:spacing w:lineRule="exact" w:line="253" w:before="71" w:after="0"/>
        <w:ind w:left="1" w:right="0" w:hanging="0"/>
        <w:jc w:val="both"/>
        <w:rPr/>
      </w:pPr>
      <w:r>
        <w:rPr/>
        <w:t xml:space="preserve">A kérelmeket 2022. március 8. és március 10., 16.00 óra között lehet benyújtani. A folyamat összesen 420 hozzáférést eredményezett a jelentkezési laphoz, és 225 teljes pályázat érkezett be. </w:t>
      </w:r>
    </w:p>
    <w:p>
      <w:pPr>
        <w:pStyle w:val="P68B1DB1Normal76"/>
        <w:widowControl w:val="false"/>
        <w:spacing w:lineRule="exact" w:line="253" w:before="67" w:after="0"/>
        <w:ind w:left="1" w:right="2" w:hanging="0"/>
        <w:jc w:val="both"/>
        <w:rPr/>
      </w:pPr>
      <w:r>
        <w:rPr/>
        <w:t xml:space="preserve">Összesen </w:t>
      </w:r>
      <w:r>
        <w:rPr>
          <w:b/>
        </w:rPr>
        <w:t>140</w:t>
      </w:r>
      <w:r>
        <w:rPr/>
        <w:t xml:space="preserve"> személy volt ténylegesen támogatható, akik közül 70-et olyan kritérium alapján választottak ki, amely biztosítja a nem, a földrajzi eloszlás, az életkor és az iskolai végzettség kiegyensúlyozott jelenlétét. </w:t>
      </w:r>
    </w:p>
    <w:p>
      <w:pPr>
        <w:pStyle w:val="P68B1DB1Normal76"/>
        <w:widowControl w:val="false"/>
        <w:spacing w:lineRule="exact" w:line="253" w:before="73" w:after="0"/>
        <w:ind w:left="1" w:right="1" w:hanging="0"/>
        <w:jc w:val="both"/>
        <w:rPr/>
      </w:pPr>
      <w:r>
        <w:rPr/>
        <w:t xml:space="preserve">A kiválasztási eljárás keretében különös figyelmet fordítottak a résztvevők kiválasztása során a tisztességes valószínűség elvére, amelyet véletlenszerű kritériumon alapuló eljárások kísértek. </w:t>
      </w:r>
    </w:p>
    <w:p>
      <w:pPr>
        <w:pStyle w:val="P68B1DB1Normal76"/>
        <w:widowControl w:val="false"/>
        <w:spacing w:lineRule="exact" w:line="253" w:before="71" w:after="0"/>
        <w:ind w:left="1" w:right="0" w:hanging="0"/>
        <w:jc w:val="both"/>
        <w:rPr/>
      </w:pPr>
      <w:r>
        <w:rPr/>
        <w:t xml:space="preserve">A kiválasztás véletlenszerű jellege a projekt központi eleme volt a hozzáférési folyamat tisztességességének biztosítása érdekében. A kezdeményezés szellemében azonban fontosnak tűnt egy olyan stratégia bevezetése, amelynek célja nem csupán a lehető legtöbb ember bevonása, hanem a kiválasztottak maximális heterogenitásának biztosítása is a maximális inkluzivitás előmozdítása érdekében. </w:t>
      </w:r>
    </w:p>
    <w:p>
      <w:pPr>
        <w:pStyle w:val="P68B1DB1Normal34"/>
        <w:widowControl w:val="false"/>
        <w:spacing w:lineRule="exact" w:line="393" w:before="70" w:after="0"/>
        <w:ind w:left="0" w:right="0" w:hanging="0"/>
        <w:jc w:val="left"/>
        <w:rPr>
          <w:rFonts w:ascii="Arial" w:hAnsi="Arial"/>
          <w:color w:val="000000"/>
          <w:sz w:val="24"/>
        </w:rPr>
      </w:pPr>
      <w:r>
        <w:rPr/>
        <w:t xml:space="preserve"> </w:t>
      </w:r>
    </w:p>
    <w:p>
      <w:pPr>
        <w:pStyle w:val="P68B1DB1Normal76"/>
        <w:widowControl w:val="false"/>
        <w:spacing w:lineRule="exact" w:line="362" w:before="69" w:after="0"/>
        <w:ind w:left="0" w:right="0" w:hanging="0"/>
        <w:jc w:val="left"/>
        <w:rPr>
          <w:rFonts w:ascii="Arial" w:hAnsi="Arial"/>
          <w:color w:val="000000"/>
          <w:sz w:val="22"/>
        </w:rPr>
      </w:pPr>
      <w:r>
        <w:rPr/>
        <w:t>Összefoglalva, a jogosult személyek megoszlása a következő volt:</w:t>
      </w:r>
    </w:p>
    <w:p>
      <w:pPr>
        <w:pStyle w:val="P68B1DB1Normal76"/>
        <w:widowControl w:val="false"/>
        <w:spacing w:lineRule="exact" w:line="252" w:before="5945" w:after="0"/>
        <w:ind w:left="0" w:right="3" w:hanging="0"/>
        <w:jc w:val="both"/>
        <w:rPr>
          <w:rFonts w:ascii="Arial" w:hAnsi="Arial"/>
          <w:color w:val="000000"/>
          <w:sz w:val="22"/>
        </w:rPr>
      </w:pPr>
      <w:r>
        <w:rPr>
          <w:color w:val="000000"/>
          <w:sz w:val="22"/>
        </w:rPr>
        <mc:AlternateContent>
          <mc:Choice Requires="wpg">
            <w:drawing>
              <wp:anchor behindDoc="0" distT="0" distB="0" distL="0" distR="0" simplePos="0" locked="0" layoutInCell="1" allowOverlap="1" relativeHeight="54">
                <wp:simplePos x="0" y="0"/>
                <wp:positionH relativeFrom="column">
                  <wp:posOffset>0</wp:posOffset>
                </wp:positionH>
                <wp:positionV relativeFrom="paragraph">
                  <wp:posOffset>132715</wp:posOffset>
                </wp:positionV>
                <wp:extent cx="6059805" cy="3775710"/>
                <wp:effectExtent l="0" t="0" r="0" b="0"/>
                <wp:wrapTopAndBottom/>
                <wp:docPr id="102" name="Form4"/>
                <a:graphic xmlns:a="http://schemas.openxmlformats.org/drawingml/2006/main">
                  <a:graphicData uri="http://schemas.microsoft.com/office/word/2010/wordprocessingGroup">
                    <wpg:wgp>
                      <wpg:cNvGrpSpPr/>
                      <wpg:grpSpPr>
                        <a:xfrm>
                          <a:off x="0" y="0"/>
                          <a:ext cx="6059160" cy="3774960"/>
                        </a:xfrm>
                      </wpg:grpSpPr>
                      <pic:pic xmlns:pic="http://schemas.openxmlformats.org/drawingml/2006/picture">
                        <pic:nvPicPr>
                          <pic:cNvPr id="6" name="" descr=""/>
                          <pic:cNvPicPr/>
                        </pic:nvPicPr>
                        <pic:blipFill>
                          <a:blip r:embed="rId105"/>
                          <a:stretch/>
                        </pic:blipFill>
                        <pic:spPr>
                          <a:xfrm>
                            <a:off x="0" y="487080"/>
                            <a:ext cx="6049800" cy="3287880"/>
                          </a:xfrm>
                          <a:prstGeom prst="rect">
                            <a:avLst/>
                          </a:prstGeom>
                          <a:ln>
                            <a:noFill/>
                          </a:ln>
                        </pic:spPr>
                      </pic:pic>
                      <wps:wsp>
                        <wps:cNvSpPr/>
                        <wps:spPr>
                          <a:xfrm>
                            <a:off x="1450440" y="0"/>
                            <a:ext cx="3891960" cy="6159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 támogatható jelöltek megoszlása</w:t>
                              </w:r>
                            </w:p>
                          </w:txbxContent>
                        </wps:txbx>
                        <wps:bodyPr lIns="90000" rIns="90000" tIns="45000" bIns="45000">
                          <a:noAutofit/>
                        </wps:bodyPr>
                      </wps:wsp>
                      <wps:wsp>
                        <wps:cNvSpPr/>
                        <wps:spPr>
                          <a:xfrm>
                            <a:off x="489600" y="1149480"/>
                            <a:ext cx="10782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 nemek közötti</w:t>
                              </w:r>
                            </w:p>
                          </w:txbxContent>
                        </wps:txbx>
                        <wps:bodyPr lIns="90000" rIns="90000" tIns="45000" bIns="45000">
                          <a:noAutofit/>
                        </wps:bodyPr>
                      </wps:wsp>
                      <wps:wsp>
                        <wps:cNvSpPr/>
                        <wps:spPr>
                          <a:xfrm>
                            <a:off x="329400" y="2034720"/>
                            <a:ext cx="10782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korcsoport</w:t>
                              </w:r>
                            </w:p>
                          </w:txbxContent>
                        </wps:txbx>
                        <wps:bodyPr lIns="90000" rIns="90000" tIns="45000" bIns="45000">
                          <a:noAutofit/>
                        </wps:bodyPr>
                      </wps:wsp>
                      <wps:wsp>
                        <wps:cNvSpPr/>
                        <wps:spPr>
                          <a:xfrm>
                            <a:off x="1020960" y="2357280"/>
                            <a:ext cx="84204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18–34 éves</w:t>
                              </w:r>
                            </w:p>
                          </w:txbxContent>
                        </wps:txbx>
                        <wps:bodyPr lIns="90000" rIns="90000" tIns="45000" bIns="45000">
                          <a:noAutofit/>
                        </wps:bodyPr>
                      </wps:wsp>
                      <wps:wsp>
                        <wps:cNvSpPr/>
                        <wps:spPr>
                          <a:xfrm>
                            <a:off x="987480" y="2739960"/>
                            <a:ext cx="842040" cy="4413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35–64 év</w:t>
                              </w:r>
                            </w:p>
                          </w:txbxContent>
                        </wps:txbx>
                        <wps:bodyPr lIns="90000" rIns="90000" tIns="45000" bIns="45000">
                          <a:noAutofit/>
                        </wps:bodyPr>
                      </wps:wsp>
                      <wps:wsp>
                        <wps:cNvSpPr/>
                        <wps:spPr>
                          <a:xfrm>
                            <a:off x="995760" y="3064680"/>
                            <a:ext cx="84204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65–75 éves</w:t>
                              </w:r>
                            </w:p>
                          </w:txbxContent>
                        </wps:txbx>
                        <wps:bodyPr lIns="90000" rIns="90000" tIns="45000" bIns="45000">
                          <a:noAutofit/>
                        </wps:bodyPr>
                      </wps:wsp>
                      <wps:wsp>
                        <wps:cNvSpPr/>
                        <wps:spPr>
                          <a:xfrm>
                            <a:off x="2108160" y="1157760"/>
                            <a:ext cx="16668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Végzettségi szint</w:t>
                              </w:r>
                            </w:p>
                          </w:txbxContent>
                        </wps:txbx>
                        <wps:bodyPr lIns="90000" rIns="90000" tIns="45000" bIns="45000">
                          <a:noAutofit/>
                        </wps:bodyPr>
                      </wps:wsp>
                      <wps:wsp>
                        <wps:cNvSpPr/>
                        <wps:spPr>
                          <a:xfrm>
                            <a:off x="2748240" y="1480680"/>
                            <a:ext cx="84204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Alacsony</w:t>
                              </w:r>
                            </w:p>
                          </w:txbxContent>
                        </wps:txbx>
                        <wps:bodyPr lIns="90000" rIns="90000" tIns="45000" bIns="45000">
                          <a:noAutofit/>
                        </wps:bodyPr>
                      </wps:wsp>
                      <wps:wsp>
                        <wps:cNvSpPr/>
                        <wps:spPr>
                          <a:xfrm>
                            <a:off x="5090760" y="1335960"/>
                            <a:ext cx="84132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Északkelet</w:t>
                              </w:r>
                            </w:p>
                          </w:txbxContent>
                        </wps:txbx>
                        <wps:bodyPr lIns="90000" rIns="90000" tIns="45000" bIns="45000">
                          <a:noAutofit/>
                        </wps:bodyPr>
                      </wps:wsp>
                      <wps:wsp>
                        <wps:cNvSpPr/>
                        <wps:spPr>
                          <a:xfrm>
                            <a:off x="2024280" y="1735920"/>
                            <a:ext cx="177624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Főiskola, szakoktatás</w:t>
                              </w:r>
                            </w:p>
                          </w:txbxContent>
                        </wps:txbx>
                        <wps:bodyPr lIns="90000" rIns="90000" tIns="45000" bIns="45000">
                          <a:noAutofit/>
                        </wps:bodyPr>
                      </wps:wsp>
                      <wps:wsp>
                        <wps:cNvSpPr/>
                        <wps:spPr>
                          <a:xfrm>
                            <a:off x="2799000" y="2161440"/>
                            <a:ext cx="84204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Átlagos</w:t>
                              </w:r>
                            </w:p>
                          </w:txbxContent>
                        </wps:txbx>
                        <wps:bodyPr lIns="90000" rIns="90000" tIns="45000" bIns="45000">
                          <a:noAutofit/>
                        </wps:bodyPr>
                      </wps:wsp>
                      <wps:wsp>
                        <wps:cNvSpPr/>
                        <wps:spPr>
                          <a:xfrm>
                            <a:off x="2167200" y="2451240"/>
                            <a:ext cx="14814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Gimnázium</w:t>
                              </w:r>
                            </w:p>
                          </w:txbxContent>
                        </wps:txbx>
                        <wps:bodyPr lIns="90000" rIns="90000" tIns="45000" bIns="45000">
                          <a:noAutofit/>
                        </wps:bodyPr>
                      </wps:wsp>
                      <wps:wsp>
                        <wps:cNvSpPr/>
                        <wps:spPr>
                          <a:xfrm>
                            <a:off x="2816280" y="2945160"/>
                            <a:ext cx="8406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Felemelt</w:t>
                              </w:r>
                            </w:p>
                          </w:txbxContent>
                        </wps:txbx>
                        <wps:bodyPr lIns="90000" rIns="90000" tIns="45000" bIns="45000">
                          <a:noAutofit/>
                        </wps:bodyPr>
                      </wps:wsp>
                      <wps:wsp>
                        <wps:cNvSpPr/>
                        <wps:spPr>
                          <a:xfrm>
                            <a:off x="1990080" y="3174840"/>
                            <a:ext cx="1928520" cy="3848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Bachelor diploma, mesterképzés vagy több</w:t>
                              </w:r>
                            </w:p>
                          </w:txbxContent>
                        </wps:txbx>
                        <wps:bodyPr lIns="90000" rIns="90000" tIns="45000" bIns="45000">
                          <a:noAutofit/>
                        </wps:bodyPr>
                      </wps:wsp>
                      <wps:wsp>
                        <wps:cNvSpPr/>
                        <wps:spPr>
                          <a:xfrm>
                            <a:off x="4045680" y="1557720"/>
                            <a:ext cx="84276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Észak-nyugat</w:t>
                              </w:r>
                            </w:p>
                          </w:txbxContent>
                        </wps:txbx>
                        <wps:bodyPr lIns="90000" rIns="90000" tIns="45000" bIns="45000">
                          <a:noAutofit/>
                        </wps:bodyPr>
                      </wps:wsp>
                      <wps:wsp>
                        <wps:cNvSpPr/>
                        <wps:spPr>
                          <a:xfrm>
                            <a:off x="4130640" y="1157760"/>
                            <a:ext cx="167508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Tartózkodási terület</w:t>
                              </w:r>
                            </w:p>
                          </w:txbxContent>
                        </wps:txbx>
                        <wps:bodyPr lIns="90000" rIns="90000" tIns="45000" bIns="45000">
                          <a:noAutofit/>
                        </wps:bodyPr>
                      </wps:wsp>
                      <wps:wsp>
                        <wps:cNvSpPr/>
                        <wps:spPr>
                          <a:xfrm>
                            <a:off x="5217840" y="1897920"/>
                            <a:ext cx="84132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központ</w:t>
                              </w:r>
                            </w:p>
                          </w:txbxContent>
                        </wps:txbx>
                        <wps:bodyPr lIns="90000" rIns="90000" tIns="45000" bIns="45000">
                          <a:noAutofit/>
                        </wps:bodyPr>
                      </wps:wsp>
                      <wps:wsp>
                        <wps:cNvSpPr/>
                        <wps:spPr>
                          <a:xfrm>
                            <a:off x="4038120" y="2842920"/>
                            <a:ext cx="102672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Dél- és szigetek</w:t>
                              </w:r>
                            </w:p>
                          </w:txbxContent>
                        </wps:txbx>
                        <wps:bodyPr lIns="90000" rIns="90000" tIns="45000" bIns="45000">
                          <a:noAutofit/>
                        </wps:bodyPr>
                      </wps:wsp>
                    </wpg:wgp>
                  </a:graphicData>
                </a:graphic>
              </wp:anchor>
            </w:drawing>
          </mc:Choice>
          <mc:Fallback>
            <w:pict>
              <v:group id="shape_0" alt="Form4" style="position:absolute;margin-left:0pt;margin-top:10.45pt;width:477.1pt;height:297.25pt" coordorigin="0,209" coordsize="9542,5945">
                <v:shape id="shape_0" stroked="f" style="position:absolute;left:0;top:976;width:9526;height:5177" type="shapetype_75">
                  <v:imagedata r:id="rId105" o:detectmouseclick="t"/>
                  <w10:wrap type="none"/>
                  <v:stroke color="#3465a4" joinstyle="round" endcap="flat"/>
                </v:shape>
                <v:rect id="shape_0" stroked="f" style="position:absolute;left:2284;top:209;width:6128;height:969">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 támogatható jelöltek megoszlása</w:t>
                        </w:r>
                      </w:p>
                    </w:txbxContent>
                  </v:textbox>
                  <w10:wrap type="square"/>
                  <v:fill o:detectmouseclick="t" on="false"/>
                  <v:stroke color="#3465a4" joinstyle="round" endcap="flat"/>
                </v:rect>
                <v:rect id="shape_0" stroked="f" style="position:absolute;left:771;top:2019;width:1697;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 nemek közötti</w:t>
                        </w:r>
                      </w:p>
                    </w:txbxContent>
                  </v:textbox>
                  <w10:wrap type="square"/>
                  <v:fill o:detectmouseclick="t" on="false"/>
                  <v:stroke color="#3465a4" joinstyle="round" endcap="flat"/>
                </v:rect>
                <v:rect id="shape_0" stroked="f" style="position:absolute;left:519;top:3413;width:1697;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korcsoport</w:t>
                        </w:r>
                      </w:p>
                    </w:txbxContent>
                  </v:textbox>
                  <w10:wrap type="square"/>
                  <v:fill o:detectmouseclick="t" on="false"/>
                  <v:stroke color="#3465a4" joinstyle="round" endcap="flat"/>
                </v:rect>
                <v:rect id="shape_0" stroked="f" style="position:absolute;left:1608;top:3921;width:1325;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18–34 éves</w:t>
                        </w:r>
                      </w:p>
                    </w:txbxContent>
                  </v:textbox>
                  <w10:wrap type="square"/>
                  <v:fill o:detectmouseclick="t" on="false"/>
                  <v:stroke color="#3465a4" joinstyle="round" endcap="flat"/>
                </v:rect>
                <v:rect id="shape_0" stroked="f" style="position:absolute;left:1555;top:4524;width:1325;height:69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35–64 év</w:t>
                        </w:r>
                      </w:p>
                    </w:txbxContent>
                  </v:textbox>
                  <w10:wrap type="square"/>
                  <v:fill o:detectmouseclick="t" on="false"/>
                  <v:stroke color="#3465a4" joinstyle="round" endcap="flat"/>
                </v:rect>
                <v:rect id="shape_0" stroked="f" style="position:absolute;left:1568;top:5035;width:1325;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65–75 éves</w:t>
                        </w:r>
                      </w:p>
                    </w:txbxContent>
                  </v:textbox>
                  <w10:wrap type="square"/>
                  <v:fill o:detectmouseclick="t" on="false"/>
                  <v:stroke color="#3465a4" joinstyle="round" endcap="flat"/>
                </v:rect>
                <v:rect id="shape_0" stroked="f" style="position:absolute;left:3320;top:2032;width:2624;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Végzettségi szint</w:t>
                        </w:r>
                      </w:p>
                    </w:txbxContent>
                  </v:textbox>
                  <w10:wrap type="square"/>
                  <v:fill o:detectmouseclick="t" on="false"/>
                  <v:stroke color="#3465a4" joinstyle="round" endcap="flat"/>
                </v:rect>
                <v:rect id="shape_0" stroked="f" style="position:absolute;left:4328;top:2541;width:1325;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Alacsony</w:t>
                        </w:r>
                      </w:p>
                    </w:txbxContent>
                  </v:textbox>
                  <w10:wrap type="square"/>
                  <v:fill o:detectmouseclick="t" on="false"/>
                  <v:stroke color="#3465a4" joinstyle="round" endcap="flat"/>
                </v:rect>
                <v:rect id="shape_0" stroked="f" style="position:absolute;left:8017;top:2313;width:1324;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Északkelet</w:t>
                        </w:r>
                      </w:p>
                    </w:txbxContent>
                  </v:textbox>
                  <w10:wrap type="square"/>
                  <v:fill o:detectmouseclick="t" on="false"/>
                  <v:stroke color="#3465a4" joinstyle="round" endcap="flat"/>
                </v:rect>
                <v:rect id="shape_0" stroked="f" style="position:absolute;left:3188;top:2943;width:2796;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Főiskola, szakoktatás</w:t>
                        </w:r>
                      </w:p>
                    </w:txbxContent>
                  </v:textbox>
                  <w10:wrap type="square"/>
                  <v:fill o:detectmouseclick="t" on="false"/>
                  <v:stroke color="#3465a4" joinstyle="round" endcap="flat"/>
                </v:rect>
                <v:rect id="shape_0" stroked="f" style="position:absolute;left:4408;top:3613;width:1325;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Átlagos</w:t>
                        </w:r>
                      </w:p>
                    </w:txbxContent>
                  </v:textbox>
                  <w10:wrap type="square"/>
                  <v:fill o:detectmouseclick="t" on="false"/>
                  <v:stroke color="#3465a4" joinstyle="round" endcap="flat"/>
                </v:rect>
                <v:rect id="shape_0" stroked="f" style="position:absolute;left:3413;top:4069;width:2332;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Gimnázium</w:t>
                        </w:r>
                      </w:p>
                    </w:txbxContent>
                  </v:textbox>
                  <w10:wrap type="square"/>
                  <v:fill o:detectmouseclick="t" on="false"/>
                  <v:stroke color="#3465a4" joinstyle="round" endcap="flat"/>
                </v:rect>
                <v:rect id="shape_0" stroked="f" style="position:absolute;left:4435;top:4847;width:1323;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Felemelt</w:t>
                        </w:r>
                      </w:p>
                    </w:txbxContent>
                  </v:textbox>
                  <w10:wrap type="square"/>
                  <v:fill o:detectmouseclick="t" on="false"/>
                  <v:stroke color="#3465a4" joinstyle="round" endcap="flat"/>
                </v:rect>
                <v:rect id="shape_0" stroked="f" style="position:absolute;left:3134;top:5209;width:3036;height:60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Bachelor diploma, mesterképzés vagy több</w:t>
                        </w:r>
                      </w:p>
                    </w:txbxContent>
                  </v:textbox>
                  <w10:wrap type="square"/>
                  <v:fill o:detectmouseclick="t" on="false"/>
                  <v:stroke color="#3465a4" joinstyle="round" endcap="flat"/>
                </v:rect>
                <v:rect id="shape_0" stroked="f" style="position:absolute;left:6371;top:2662;width:1326;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Észak-nyugat</w:t>
                        </w:r>
                      </w:p>
                    </w:txbxContent>
                  </v:textbox>
                  <w10:wrap type="square"/>
                  <v:fill o:detectmouseclick="t" on="false"/>
                  <v:stroke color="#3465a4" joinstyle="round" endcap="flat"/>
                </v:rect>
                <v:rect id="shape_0" stroked="f" style="position:absolute;left:6505;top:2032;width:2637;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Tartózkodási terület</w:t>
                        </w:r>
                      </w:p>
                    </w:txbxContent>
                  </v:textbox>
                  <w10:wrap type="square"/>
                  <v:fill o:detectmouseclick="t" on="false"/>
                  <v:stroke color="#3465a4" joinstyle="round" endcap="flat"/>
                </v:rect>
                <v:rect id="shape_0" stroked="f" style="position:absolute;left:8217;top:3198;width:1324;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központ</w:t>
                        </w:r>
                      </w:p>
                    </w:txbxContent>
                  </v:textbox>
                  <w10:wrap type="square"/>
                  <v:fill o:detectmouseclick="t" on="false"/>
                  <v:stroke color="#3465a4" joinstyle="round" endcap="flat"/>
                </v:rect>
                <v:rect id="shape_0" stroked="f" style="position:absolute;left:6359;top:4686;width:1616;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Dél- és szigetek</w:t>
                        </w:r>
                      </w:p>
                    </w:txbxContent>
                  </v:textbox>
                  <w10:wrap type="square"/>
                  <v:fill o:detectmouseclick="t" on="false"/>
                  <v:stroke color="#3465a4" joinstyle="round" endcap="flat"/>
                </v:rect>
              </v:group>
            </w:pict>
          </mc:Fallback>
        </mc:AlternateContent>
      </w:r>
    </w:p>
    <w:p>
      <w:pPr>
        <w:pStyle w:val="Normal"/>
        <w:widowControl w:val="false"/>
        <w:spacing w:lineRule="auto" w:line="240"/>
        <w:ind w:left="0" w:right="0" w:hanging="0"/>
        <w:jc w:val="left"/>
        <w:rPr/>
      </w:pPr>
      <w:r>
        <w:rPr>
          <w:color w:val="000000"/>
        </w:rPr>
        <w:t xml:space="preserve">Miután a 70 jelöltet kiválasztották, az esemény reggelén telefonhívást kaptak, hogy megerősítsék részvételüket. Ezeket a hívásokat a </w:t>
      </w:r>
      <w:r>
        <w:rPr>
          <w:color w:val="ED7D31"/>
        </w:rPr>
        <w:t>SWG</w:t>
      </w:r>
      <w:r>
        <w:rPr/>
        <w:t>kapcsolattartó központja kezdeményezte</w:t>
      </w:r>
      <w:r>
        <w:rPr>
          <w:color w:val="000000"/>
        </w:rPr>
        <w:t xml:space="preserve"> a CATI (Computer Assisted Telephone Survey) módszerrel. E szakasz végén összesen 59 személy erősítette meg részvételét, és nyilvántartásba vették őket. </w:t>
      </w:r>
      <w:r>
        <w:rPr>
          <w:b/>
          <w:color w:val="BD1271"/>
        </w:rPr>
        <w:t>Ezek közül 55 aktívan részt vett a testületben.</w:t>
      </w:r>
      <w:r>
        <w:rPr/>
        <w:t xml:space="preserve"> </w:t>
      </w:r>
      <w:r>
        <w:br w:type="page"/>
      </w:r>
    </w:p>
    <w:p>
      <w:pPr>
        <w:pStyle w:val="Normal"/>
        <w:widowControl w:val="false"/>
        <w:spacing w:lineRule="auto" w:line="240"/>
        <w:ind w:left="0" w:right="0" w:hanging="0"/>
        <w:jc w:val="left"/>
        <w:rPr>
          <w:rFonts w:ascii="Arial" w:hAnsi="Arial"/>
          <w:b/>
          <w:b/>
          <w:color w:val="BD1271"/>
          <w:sz w:val="22"/>
        </w:rPr>
      </w:pPr>
      <w:r>
        <w:rPr>
          <w:b/>
          <w:color w:val="BD1271"/>
          <w:sz w:val="22"/>
        </w:rPr>
      </w:r>
    </w:p>
    <w:p>
      <w:pPr>
        <w:pStyle w:val="P68B1DB1Normal76"/>
        <w:widowControl w:val="false"/>
        <w:spacing w:lineRule="auto" w:line="240" w:before="64" w:after="0"/>
        <w:ind w:left="0" w:right="0" w:hanging="0"/>
        <w:jc w:val="left"/>
        <w:rPr>
          <w:rFonts w:ascii="Arial" w:hAnsi="Arial"/>
          <w:color w:val="000000"/>
          <w:sz w:val="22"/>
        </w:rPr>
      </w:pPr>
      <w:r>
        <w:rPr/>
        <w:t xml:space="preserve">A testület tagjainak társadalmi és korcsoport-eloszlása a következő volt: </w:t>
      </w:r>
    </w:p>
    <w:p>
      <w:pPr>
        <w:pStyle w:val="P68B1DB1Normal76"/>
        <w:widowControl w:val="false"/>
        <w:spacing w:lineRule="auto" w:line="240" w:before="5705" w:after="0"/>
        <w:ind w:left="0" w:right="0" w:hanging="0"/>
        <w:jc w:val="left"/>
        <w:rPr>
          <w:rFonts w:ascii="Arial" w:hAnsi="Arial"/>
          <w:color w:val="000000"/>
          <w:sz w:val="22"/>
        </w:rPr>
      </w:pPr>
      <w:r>
        <w:rPr>
          <w:color w:val="000000"/>
          <w:sz w:val="22"/>
        </w:rPr>
        <mc:AlternateContent>
          <mc:Choice Requires="wpg">
            <w:drawing>
              <wp:anchor behindDoc="0" distT="0" distB="0" distL="0" distR="0" simplePos="0" locked="0" layoutInCell="1" allowOverlap="1" relativeHeight="57">
                <wp:simplePos x="0" y="0"/>
                <wp:positionH relativeFrom="column">
                  <wp:posOffset>635</wp:posOffset>
                </wp:positionH>
                <wp:positionV relativeFrom="paragraph">
                  <wp:posOffset>41275</wp:posOffset>
                </wp:positionV>
                <wp:extent cx="6157595" cy="3623310"/>
                <wp:effectExtent l="0" t="0" r="0" b="0"/>
                <wp:wrapTopAndBottom/>
                <wp:docPr id="103" name="Formanyomtatvány5"/>
                <a:graphic xmlns:a="http://schemas.openxmlformats.org/drawingml/2006/main">
                  <a:graphicData uri="http://schemas.microsoft.com/office/word/2010/wordprocessingGroup">
                    <wpg:wgp>
                      <wpg:cNvGrpSpPr/>
                      <wpg:grpSpPr>
                        <a:xfrm>
                          <a:off x="0" y="0"/>
                          <a:ext cx="6157080" cy="3622680"/>
                        </a:xfrm>
                      </wpg:grpSpPr>
                      <pic:pic xmlns:pic="http://schemas.openxmlformats.org/drawingml/2006/picture">
                        <pic:nvPicPr>
                          <pic:cNvPr id="7" name="" descr=""/>
                          <pic:cNvPicPr/>
                        </pic:nvPicPr>
                        <pic:blipFill>
                          <a:blip r:embed="rId106"/>
                          <a:stretch/>
                        </pic:blipFill>
                        <pic:spPr>
                          <a:xfrm>
                            <a:off x="0" y="458640"/>
                            <a:ext cx="6061680" cy="3164040"/>
                          </a:xfrm>
                          <a:prstGeom prst="rect">
                            <a:avLst/>
                          </a:prstGeom>
                          <a:ln>
                            <a:noFill/>
                          </a:ln>
                        </pic:spPr>
                      </pic:pic>
                      <wps:wsp>
                        <wps:cNvSpPr/>
                        <wps:spPr>
                          <a:xfrm>
                            <a:off x="1477800" y="0"/>
                            <a:ext cx="3937680" cy="42048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Az aktív résztvevők megoszlása</w:t>
                              </w:r>
                            </w:p>
                          </w:txbxContent>
                        </wps:txbx>
                        <wps:bodyPr lIns="90000" rIns="90000" tIns="45000" bIns="45000">
                          <a:noAutofit/>
                        </wps:bodyPr>
                      </wps:wsp>
                      <wps:wsp>
                        <wps:cNvSpPr/>
                        <wps:spPr>
                          <a:xfrm>
                            <a:off x="523080" y="1010880"/>
                            <a:ext cx="10908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 nemek közötti</w:t>
                              </w:r>
                            </w:p>
                          </w:txbxContent>
                        </wps:txbx>
                        <wps:bodyPr lIns="90000" rIns="90000" tIns="45000" bIns="45000">
                          <a:noAutofit/>
                        </wps:bodyPr>
                      </wps:wsp>
                      <wps:wsp>
                        <wps:cNvSpPr/>
                        <wps:spPr>
                          <a:xfrm>
                            <a:off x="361440" y="1887840"/>
                            <a:ext cx="109044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korcsoport</w:t>
                              </w:r>
                            </w:p>
                          </w:txbxContent>
                        </wps:txbx>
                        <wps:bodyPr lIns="90000" rIns="90000" tIns="45000" bIns="45000">
                          <a:noAutofit/>
                        </wps:bodyPr>
                      </wps:wsp>
                      <wps:wsp>
                        <wps:cNvSpPr/>
                        <wps:spPr>
                          <a:xfrm>
                            <a:off x="1059840" y="2207160"/>
                            <a:ext cx="85212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18–34 éves</w:t>
                              </w:r>
                            </w:p>
                          </w:txbxContent>
                        </wps:txbx>
                        <wps:bodyPr lIns="90000" rIns="90000" tIns="45000" bIns="45000">
                          <a:noAutofit/>
                        </wps:bodyPr>
                      </wps:wsp>
                      <wps:wsp>
                        <wps:cNvSpPr/>
                        <wps:spPr>
                          <a:xfrm>
                            <a:off x="1026720" y="2586240"/>
                            <a:ext cx="851400" cy="4413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35–64 év</w:t>
                              </w:r>
                            </w:p>
                          </w:txbxContent>
                        </wps:txbx>
                        <wps:bodyPr lIns="90000" rIns="90000" tIns="45000" bIns="45000">
                          <a:noAutofit/>
                        </wps:bodyPr>
                      </wps:wsp>
                      <wps:wsp>
                        <wps:cNvSpPr/>
                        <wps:spPr>
                          <a:xfrm>
                            <a:off x="1035000" y="2907000"/>
                            <a:ext cx="85140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65–75 éves</w:t>
                              </w:r>
                            </w:p>
                          </w:txbxContent>
                        </wps:txbx>
                        <wps:bodyPr lIns="90000" rIns="90000" tIns="45000" bIns="45000">
                          <a:noAutofit/>
                        </wps:bodyPr>
                      </wps:wsp>
                      <wps:wsp>
                        <wps:cNvSpPr/>
                        <wps:spPr>
                          <a:xfrm>
                            <a:off x="2160360" y="1019160"/>
                            <a:ext cx="168588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Végzettségi szint</w:t>
                              </w:r>
                            </w:p>
                          </w:txbxContent>
                        </wps:txbx>
                        <wps:bodyPr lIns="90000" rIns="90000" tIns="45000" bIns="45000">
                          <a:noAutofit/>
                        </wps:bodyPr>
                      </wps:wsp>
                      <wps:wsp>
                        <wps:cNvSpPr/>
                        <wps:spPr>
                          <a:xfrm>
                            <a:off x="2808000" y="1339920"/>
                            <a:ext cx="85104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Alacsony</w:t>
                              </w:r>
                            </w:p>
                          </w:txbxContent>
                        </wps:txbx>
                        <wps:bodyPr lIns="90000" rIns="90000" tIns="45000" bIns="45000">
                          <a:noAutofit/>
                        </wps:bodyPr>
                      </wps:wsp>
                      <wps:wsp>
                        <wps:cNvSpPr/>
                        <wps:spPr>
                          <a:xfrm>
                            <a:off x="5177880" y="1196280"/>
                            <a:ext cx="85104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Északkelet</w:t>
                              </w:r>
                            </w:p>
                          </w:txbxContent>
                        </wps:txbx>
                        <wps:bodyPr lIns="90000" rIns="90000" tIns="45000" bIns="45000">
                          <a:noAutofit/>
                        </wps:bodyPr>
                      </wps:wsp>
                      <wps:wsp>
                        <wps:cNvSpPr/>
                        <wps:spPr>
                          <a:xfrm>
                            <a:off x="2075040" y="1592640"/>
                            <a:ext cx="179712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Főiskola, szakoktatás</w:t>
                              </w:r>
                            </w:p>
                          </w:txbxContent>
                        </wps:txbx>
                        <wps:bodyPr lIns="90000" rIns="90000" tIns="45000" bIns="45000">
                          <a:noAutofit/>
                        </wps:bodyPr>
                      </wps:wsp>
                      <wps:wsp>
                        <wps:cNvSpPr/>
                        <wps:spPr>
                          <a:xfrm>
                            <a:off x="2859480" y="2013480"/>
                            <a:ext cx="8514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Átlagos</w:t>
                              </w:r>
                            </w:p>
                          </w:txbxContent>
                        </wps:txbx>
                        <wps:bodyPr lIns="90000" rIns="90000" tIns="45000" bIns="45000">
                          <a:noAutofit/>
                        </wps:bodyPr>
                      </wps:wsp>
                      <wps:wsp>
                        <wps:cNvSpPr/>
                        <wps:spPr>
                          <a:xfrm>
                            <a:off x="2220120" y="2300040"/>
                            <a:ext cx="149868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Gimnázium</w:t>
                              </w:r>
                            </w:p>
                          </w:txbxContent>
                        </wps:txbx>
                        <wps:bodyPr lIns="90000" rIns="90000" tIns="45000" bIns="45000">
                          <a:noAutofit/>
                        </wps:bodyPr>
                      </wps:wsp>
                      <wps:wsp>
                        <wps:cNvSpPr/>
                        <wps:spPr>
                          <a:xfrm>
                            <a:off x="2876400" y="2789640"/>
                            <a:ext cx="85104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Felemelt</w:t>
                              </w:r>
                            </w:p>
                          </w:txbxContent>
                        </wps:txbx>
                        <wps:bodyPr lIns="90000" rIns="90000" tIns="45000" bIns="45000">
                          <a:noAutofit/>
                        </wps:bodyPr>
                      </wps:wsp>
                      <wps:wsp>
                        <wps:cNvSpPr/>
                        <wps:spPr>
                          <a:xfrm>
                            <a:off x="2040840" y="3016800"/>
                            <a:ext cx="1950840" cy="38088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Bachelor diploma, mesterképzés vagy több</w:t>
                              </w:r>
                            </w:p>
                          </w:txbxContent>
                        </wps:txbx>
                        <wps:bodyPr lIns="90000" rIns="90000" tIns="45000" bIns="45000">
                          <a:noAutofit/>
                        </wps:bodyPr>
                      </wps:wsp>
                      <wps:wsp>
                        <wps:cNvSpPr/>
                        <wps:spPr>
                          <a:xfrm>
                            <a:off x="4120560" y="1415520"/>
                            <a:ext cx="85212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Észak-nyugat</w:t>
                              </w:r>
                            </w:p>
                          </w:txbxContent>
                        </wps:txbx>
                        <wps:bodyPr lIns="90000" rIns="90000" tIns="45000" bIns="45000">
                          <a:noAutofit/>
                        </wps:bodyPr>
                      </wps:wsp>
                      <wps:wsp>
                        <wps:cNvSpPr/>
                        <wps:spPr>
                          <a:xfrm>
                            <a:off x="4205520" y="1019160"/>
                            <a:ext cx="16956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Tartózkodási terület</w:t>
                              </w:r>
                            </w:p>
                          </w:txbxContent>
                        </wps:txbx>
                        <wps:bodyPr lIns="90000" rIns="90000" tIns="45000" bIns="45000">
                          <a:noAutofit/>
                        </wps:bodyPr>
                      </wps:wsp>
                      <wps:wsp>
                        <wps:cNvSpPr/>
                        <wps:spPr>
                          <a:xfrm>
                            <a:off x="5305320" y="1752480"/>
                            <a:ext cx="8514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központ</w:t>
                              </w:r>
                            </w:p>
                          </w:txbxContent>
                        </wps:txbx>
                        <wps:bodyPr lIns="90000" rIns="90000" tIns="45000" bIns="45000">
                          <a:noAutofit/>
                        </wps:bodyPr>
                      </wps:wsp>
                      <wps:wsp>
                        <wps:cNvSpPr/>
                        <wps:spPr>
                          <a:xfrm>
                            <a:off x="4112280" y="2687400"/>
                            <a:ext cx="1038960" cy="2660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Dél- és szigetek</w:t>
                              </w:r>
                            </w:p>
                          </w:txbxContent>
                        </wps:txbx>
                        <wps:bodyPr lIns="90000" rIns="90000" tIns="45000" bIns="45000">
                          <a:noAutofit/>
                        </wps:bodyPr>
                      </wps:wsp>
                    </wpg:wgp>
                  </a:graphicData>
                </a:graphic>
              </wp:anchor>
            </w:drawing>
          </mc:Choice>
          <mc:Fallback>
            <w:pict>
              <v:group id="shape_0" alt="Formanyomtatvány5" style="position:absolute;margin-left:0.05pt;margin-top:3.25pt;width:484.8pt;height:285.3pt" coordorigin="1,65" coordsize="9696,5706">
                <v:shape id="shape_0" stroked="f" style="position:absolute;left:1;top:787;width:9545;height:4982" type="shapetype_75">
                  <v:imagedata r:id="rId106" o:detectmouseclick="t"/>
                  <w10:wrap type="none"/>
                  <v:stroke color="#3465a4" joinstyle="round" endcap="flat"/>
                </v:shape>
                <v:rect id="shape_0" stroked="f" style="position:absolute;left:2328;top:65;width:6200;height:661">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Az aktív résztvevők megoszlása</w:t>
                        </w:r>
                      </w:p>
                    </w:txbxContent>
                  </v:textbox>
                  <w10:wrap type="square"/>
                  <v:fill o:detectmouseclick="t" on="false"/>
                  <v:stroke color="#3465a4" joinstyle="round" endcap="flat"/>
                </v:rect>
                <v:rect id="shape_0" stroked="f" style="position:absolute;left:825;top:1657;width:1717;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 nemek közötti</w:t>
                        </w:r>
                      </w:p>
                    </w:txbxContent>
                  </v:textbox>
                  <w10:wrap type="square"/>
                  <v:fill o:detectmouseclick="t" on="false"/>
                  <v:stroke color="#3465a4" joinstyle="round" endcap="flat"/>
                </v:rect>
                <v:rect id="shape_0" stroked="f" style="position:absolute;left:570;top:3038;width:1716;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korcsoport</w:t>
                        </w:r>
                      </w:p>
                    </w:txbxContent>
                  </v:textbox>
                  <w10:wrap type="square"/>
                  <v:fill o:detectmouseclick="t" on="false"/>
                  <v:stroke color="#3465a4" joinstyle="round" endcap="flat"/>
                </v:rect>
                <v:rect id="shape_0" stroked="f" style="position:absolute;left:1670;top:3541;width:1341;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18–34 éves</w:t>
                        </w:r>
                      </w:p>
                    </w:txbxContent>
                  </v:textbox>
                  <w10:wrap type="square"/>
                  <v:fill o:detectmouseclick="t" on="false"/>
                  <v:stroke color="#3465a4" joinstyle="round" endcap="flat"/>
                </v:rect>
                <v:rect id="shape_0" stroked="f" style="position:absolute;left:1618;top:4138;width:1340;height:69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35–64 év</w:t>
                        </w:r>
                      </w:p>
                    </w:txbxContent>
                  </v:textbox>
                  <w10:wrap type="square"/>
                  <v:fill o:detectmouseclick="t" on="false"/>
                  <v:stroke color="#3465a4" joinstyle="round" endcap="flat"/>
                </v:rect>
                <v:rect id="shape_0" stroked="f" style="position:absolute;left:1631;top:4643;width:1340;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65–75 éves</w:t>
                        </w:r>
                      </w:p>
                    </w:txbxContent>
                  </v:textbox>
                  <w10:wrap type="square"/>
                  <v:fill o:detectmouseclick="t" on="false"/>
                  <v:stroke color="#3465a4" joinstyle="round" endcap="flat"/>
                </v:rect>
                <v:rect id="shape_0" stroked="f" style="position:absolute;left:3403;top:1670;width:2654;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Végzettségi szint</w:t>
                        </w:r>
                      </w:p>
                    </w:txbxContent>
                  </v:textbox>
                  <w10:wrap type="square"/>
                  <v:fill o:detectmouseclick="t" on="false"/>
                  <v:stroke color="#3465a4" joinstyle="round" endcap="flat"/>
                </v:rect>
                <v:rect id="shape_0" stroked="f" style="position:absolute;left:4423;top:2175;width:1339;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Alacsony</w:t>
                        </w:r>
                      </w:p>
                    </w:txbxContent>
                  </v:textbox>
                  <w10:wrap type="square"/>
                  <v:fill o:detectmouseclick="t" on="false"/>
                  <v:stroke color="#3465a4" joinstyle="round" endcap="flat"/>
                </v:rect>
                <v:rect id="shape_0" stroked="f" style="position:absolute;left:8155;top:1949;width:1339;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Északkelet</w:t>
                        </w:r>
                      </w:p>
                    </w:txbxContent>
                  </v:textbox>
                  <w10:wrap type="square"/>
                  <v:fill o:detectmouseclick="t" on="false"/>
                  <v:stroke color="#3465a4" joinstyle="round" endcap="flat"/>
                </v:rect>
                <v:rect id="shape_0" stroked="f" style="position:absolute;left:3269;top:2573;width:2829;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Főiskola, szakoktatás</w:t>
                        </w:r>
                      </w:p>
                    </w:txbxContent>
                  </v:textbox>
                  <w10:wrap type="square"/>
                  <v:fill o:detectmouseclick="t" on="false"/>
                  <v:stroke color="#3465a4" joinstyle="round" endcap="flat"/>
                </v:rect>
                <v:rect id="shape_0" stroked="f" style="position:absolute;left:4504;top:3236;width:1340;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Átlagos</w:t>
                        </w:r>
                      </w:p>
                    </w:txbxContent>
                  </v:textbox>
                  <w10:wrap type="square"/>
                  <v:fill o:detectmouseclick="t" on="false"/>
                  <v:stroke color="#3465a4" joinstyle="round" endcap="flat"/>
                </v:rect>
                <v:rect id="shape_0" stroked="f" style="position:absolute;left:3497;top:3687;width:2359;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Gimnázium</w:t>
                        </w:r>
                      </w:p>
                    </w:txbxContent>
                  </v:textbox>
                  <w10:wrap type="square"/>
                  <v:fill o:detectmouseclick="t" on="false"/>
                  <v:stroke color="#3465a4" joinstyle="round" endcap="flat"/>
                </v:rect>
                <v:rect id="shape_0" stroked="f" style="position:absolute;left:4531;top:4458;width:1339;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Felemelt</w:t>
                        </w:r>
                      </w:p>
                    </w:txbxContent>
                  </v:textbox>
                  <w10:wrap type="square"/>
                  <v:fill o:detectmouseclick="t" on="false"/>
                  <v:stroke color="#3465a4" joinstyle="round" endcap="flat"/>
                </v:rect>
                <v:rect id="shape_0" stroked="f" style="position:absolute;left:3215;top:4816;width:3071;height:599">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Bachelor diploma, mesterképzés vagy több</w:t>
                        </w:r>
                      </w:p>
                    </w:txbxContent>
                  </v:textbox>
                  <w10:wrap type="square"/>
                  <v:fill o:detectmouseclick="t" on="false"/>
                  <v:stroke color="#3465a4" joinstyle="round" endcap="flat"/>
                </v:rect>
                <v:rect id="shape_0" stroked="f" style="position:absolute;left:6490;top:2294;width:1341;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Észak-nyugat</w:t>
                        </w:r>
                      </w:p>
                    </w:txbxContent>
                  </v:textbox>
                  <w10:wrap type="square"/>
                  <v:fill o:detectmouseclick="t" on="false"/>
                  <v:stroke color="#3465a4" joinstyle="round" endcap="flat"/>
                </v:rect>
                <v:rect id="shape_0" stroked="f" style="position:absolute;left:6624;top:1670;width:2669;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Tartózkodási terület</w:t>
                        </w:r>
                      </w:p>
                    </w:txbxContent>
                  </v:textbox>
                  <w10:wrap type="square"/>
                  <v:fill o:detectmouseclick="t" on="false"/>
                  <v:stroke color="#3465a4" joinstyle="round" endcap="flat"/>
                </v:rect>
                <v:rect id="shape_0" stroked="f" style="position:absolute;left:8356;top:2825;width:1340;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központ</w:t>
                        </w:r>
                      </w:p>
                    </w:txbxContent>
                  </v:textbox>
                  <w10:wrap type="square"/>
                  <v:fill o:detectmouseclick="t" on="false"/>
                  <v:stroke color="#3465a4" joinstyle="round" endcap="flat"/>
                </v:rect>
                <v:rect id="shape_0" stroked="f" style="position:absolute;left:6477;top:4297;width:1635;height:418">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Dél- és szigetek</w:t>
                        </w:r>
                      </w:p>
                    </w:txbxContent>
                  </v:textbox>
                  <w10:wrap type="square"/>
                  <v:fill o:detectmouseclick="t" on="false"/>
                  <v:stroke color="#3465a4" joinstyle="round" endcap="flat"/>
                </v:rect>
              </v:group>
            </w:pict>
          </mc:Fallback>
        </mc:AlternateContent>
      </w:r>
    </w:p>
    <w:p>
      <w:pPr>
        <w:pStyle w:val="P68B1DB1Normal24"/>
        <w:widowControl w:val="false"/>
        <w:spacing w:lineRule="exact" w:line="362" w:before="198" w:after="0"/>
        <w:ind w:left="0" w:right="0" w:hanging="0"/>
        <w:jc w:val="left"/>
        <w:rPr>
          <w:rFonts w:ascii="Times New Roman" w:hAnsi="Times New Roman"/>
          <w:color w:val="000000"/>
          <w:sz w:val="22"/>
        </w:rPr>
      </w:pPr>
      <w:r>
        <w:rPr/>
        <w:t xml:space="preserve">Íme a kiválasztási folyamat lépéseinek eredményei: </w:t>
      </w:r>
    </w:p>
    <w:p>
      <w:pPr>
        <w:pStyle w:val="Normal"/>
        <w:widowControl w:val="false"/>
        <w:spacing w:lineRule="exact" w:line="393"/>
        <w:ind w:left="0" w:right="0" w:hanging="0"/>
        <w:jc w:val="left"/>
        <w:rPr>
          <w:rFonts w:ascii="Times New Roman" w:hAnsi="Times New Roman"/>
          <w:color w:val="000000"/>
          <w:sz w:val="24"/>
        </w:rPr>
      </w:pPr>
      <w:r>
        <w:rPr>
          <w:rFonts w:ascii="Times New Roman" w:hAnsi="Times New Roman"/>
          <w:color w:val="000000"/>
          <w:sz w:val="24"/>
        </w:rPr>
        <mc:AlternateContent>
          <mc:Choice Requires="wpg">
            <w:drawing>
              <wp:anchor behindDoc="0" distT="0" distB="0" distL="0" distR="0" simplePos="0" locked="0" layoutInCell="1" allowOverlap="1" relativeHeight="58">
                <wp:simplePos x="0" y="0"/>
                <wp:positionH relativeFrom="column">
                  <wp:posOffset>10160</wp:posOffset>
                </wp:positionH>
                <wp:positionV relativeFrom="paragraph">
                  <wp:posOffset>144780</wp:posOffset>
                </wp:positionV>
                <wp:extent cx="6047740" cy="3640455"/>
                <wp:effectExtent l="0" t="0" r="0" b="0"/>
                <wp:wrapNone/>
                <wp:docPr id="104" name="Formanyomtatvány6"/>
                <a:graphic xmlns:a="http://schemas.openxmlformats.org/drawingml/2006/main">
                  <a:graphicData uri="http://schemas.microsoft.com/office/word/2010/wordprocessingGroup">
                    <wpg:wgp>
                      <wpg:cNvGrpSpPr/>
                      <wpg:grpSpPr>
                        <a:xfrm>
                          <a:off x="0" y="0"/>
                          <a:ext cx="6047280" cy="3639960"/>
                        </a:xfrm>
                      </wpg:grpSpPr>
                      <pic:pic xmlns:pic="http://schemas.openxmlformats.org/drawingml/2006/picture">
                        <pic:nvPicPr>
                          <pic:cNvPr id="8" name="" descr=""/>
                          <pic:cNvPicPr/>
                        </pic:nvPicPr>
                        <pic:blipFill>
                          <a:blip r:embed="rId107"/>
                          <a:stretch/>
                        </pic:blipFill>
                        <pic:spPr>
                          <a:xfrm>
                            <a:off x="1520280" y="457920"/>
                            <a:ext cx="2903400" cy="3182040"/>
                          </a:xfrm>
                          <a:prstGeom prst="rect">
                            <a:avLst/>
                          </a:prstGeom>
                          <a:ln>
                            <a:noFill/>
                          </a:ln>
                        </pic:spPr>
                      </pic:pic>
                      <wps:wsp>
                        <wps:cNvSpPr/>
                        <wps:spPr>
                          <a:xfrm>
                            <a:off x="693360" y="0"/>
                            <a:ext cx="4645800" cy="4057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 jelentkezési folyamat</w:t>
                              </w:r>
                            </w:p>
                          </w:txbxContent>
                        </wps:txbx>
                        <wps:bodyPr lIns="90000" rIns="90000" tIns="45000" bIns="45000">
                          <a:noAutofit/>
                        </wps:bodyPr>
                      </wps:wsp>
                      <wps:wsp>
                        <wps:cNvSpPr/>
                        <wps:spPr>
                          <a:xfrm>
                            <a:off x="0" y="675720"/>
                            <a:ext cx="1599480" cy="4413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Hozzáférés a jelentkezési laphoz</w:t>
                              </w:r>
                            </w:p>
                          </w:txbxContent>
                        </wps:txbx>
                        <wps:bodyPr lIns="90000" rIns="90000" tIns="45000" bIns="45000">
                          <a:noAutofit/>
                        </wps:bodyPr>
                      </wps:wsp>
                      <wps:wsp>
                        <wps:cNvSpPr/>
                        <wps:spPr>
                          <a:xfrm>
                            <a:off x="0" y="1099080"/>
                            <a:ext cx="159948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Teljes alkalmazások</w:t>
                              </w:r>
                            </w:p>
                          </w:txbxContent>
                        </wps:txbx>
                        <wps:bodyPr lIns="90000" rIns="90000" tIns="45000" bIns="45000">
                          <a:noAutofit/>
                        </wps:bodyPr>
                      </wps:wsp>
                      <wps:wsp>
                        <wps:cNvSpPr/>
                        <wps:spPr>
                          <a:xfrm>
                            <a:off x="0" y="1497240"/>
                            <a:ext cx="159948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Jogosult jelöltek</w:t>
                              </w:r>
                            </w:p>
                          </w:txbxContent>
                        </wps:txbx>
                        <wps:bodyPr lIns="90000" rIns="90000" tIns="45000" bIns="45000">
                          <a:noAutofit/>
                        </wps:bodyPr>
                      </wps:wsp>
                      <wps:wsp>
                        <wps:cNvSpPr/>
                        <wps:spPr>
                          <a:xfrm>
                            <a:off x="0" y="1920240"/>
                            <a:ext cx="1599480" cy="308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Felvétel a testületbe</w:t>
                              </w:r>
                            </w:p>
                          </w:txbxContent>
                        </wps:txbx>
                        <wps:bodyPr lIns="90000" rIns="90000" tIns="45000" bIns="45000">
                          <a:noAutofit/>
                        </wps:bodyPr>
                      </wps:wsp>
                      <wps:wsp>
                        <wps:cNvSpPr/>
                        <wps:spPr>
                          <a:xfrm>
                            <a:off x="0" y="2343240"/>
                            <a:ext cx="1599480" cy="308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Aktív résztvevők</w:t>
                              </w:r>
                            </w:p>
                          </w:txbxContent>
                        </wps:txbx>
                        <wps:bodyPr lIns="90000" rIns="90000" tIns="45000" bIns="45000">
                          <a:noAutofit/>
                        </wps:bodyPr>
                      </wps:wsp>
                      <wps:wsp>
                        <wps:cNvSpPr/>
                        <wps:spPr>
                          <a:xfrm>
                            <a:off x="4430520" y="594360"/>
                            <a:ext cx="1599480" cy="308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2022. március 8–10.</w:t>
                              </w:r>
                            </w:p>
                          </w:txbxContent>
                        </wps:txbx>
                        <wps:bodyPr lIns="90000" rIns="90000" tIns="45000" bIns="45000">
                          <a:noAutofit/>
                        </wps:bodyPr>
                      </wps:wsp>
                      <wps:wsp>
                        <wps:cNvSpPr/>
                        <wps:spPr>
                          <a:xfrm>
                            <a:off x="4447440" y="1099800"/>
                            <a:ext cx="1599480" cy="30780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2022. március 10.</w:t>
                              </w:r>
                            </w:p>
                          </w:txbxContent>
                        </wps:txbx>
                        <wps:bodyPr lIns="90000" rIns="90000" tIns="45000" bIns="45000">
                          <a:noAutofit/>
                        </wps:bodyPr>
                      </wps:wsp>
                      <wps:wsp>
                        <wps:cNvSpPr/>
                        <wps:spPr>
                          <a:xfrm>
                            <a:off x="4430520" y="595080"/>
                            <a:ext cx="1599480" cy="30780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2022. március 8–10.</w:t>
                              </w:r>
                            </w:p>
                          </w:txbxContent>
                        </wps:txbx>
                        <wps:bodyPr lIns="90000" rIns="90000" tIns="45000" bIns="45000">
                          <a:noAutofit/>
                        </wps:bodyPr>
                      </wps:wsp>
                      <wps:wsp>
                        <wps:cNvSpPr/>
                        <wps:spPr>
                          <a:xfrm>
                            <a:off x="4439160" y="1514520"/>
                            <a:ext cx="1598760" cy="308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2022. március 10.</w:t>
                              </w:r>
                            </w:p>
                          </w:txbxContent>
                        </wps:txbx>
                        <wps:bodyPr lIns="90000" rIns="90000" tIns="45000" bIns="45000">
                          <a:noAutofit/>
                        </wps:bodyPr>
                      </wps:wsp>
                      <wps:wsp>
                        <wps:cNvSpPr/>
                        <wps:spPr>
                          <a:xfrm>
                            <a:off x="4430520" y="1913400"/>
                            <a:ext cx="1599480" cy="30780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2022. március 11.</w:t>
                              </w:r>
                            </w:p>
                          </w:txbxContent>
                        </wps:txbx>
                        <wps:bodyPr lIns="90000" rIns="90000" tIns="45000" bIns="45000">
                          <a:noAutofit/>
                        </wps:bodyPr>
                      </wps:wsp>
                      <wps:wsp>
                        <wps:cNvSpPr/>
                        <wps:spPr>
                          <a:xfrm>
                            <a:off x="4404240" y="2279160"/>
                            <a:ext cx="1599480" cy="308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2022. március 11–12.</w:t>
                              </w:r>
                            </w:p>
                          </w:txbxContent>
                        </wps:txbx>
                        <wps:bodyPr lIns="90000" rIns="90000" tIns="45000" bIns="45000">
                          <a:noAutofit/>
                        </wps:bodyPr>
                      </wps:wsp>
                    </wpg:wgp>
                  </a:graphicData>
                </a:graphic>
              </wp:anchor>
            </w:drawing>
          </mc:Choice>
          <mc:Fallback>
            <w:pict>
              <v:group id="shape_0" alt="Formanyomtatvány6" style="position:absolute;margin-left:0.8pt;margin-top:11.4pt;width:476.1pt;height:286.6pt" coordorigin="16,228" coordsize="9522,5732">
                <v:shape id="shape_0" stroked="f" style="position:absolute;left:2410;top:949;width:4571;height:5010" type="shapetype_75">
                  <v:imagedata r:id="rId107" o:detectmouseclick="t"/>
                  <w10:wrap type="none"/>
                  <v:stroke color="#3465a4" joinstyle="round" endcap="flat"/>
                </v:shape>
                <v:rect id="shape_0" stroked="f" style="position:absolute;left:1108;top:228;width:7315;height:638">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 jelentkezési folyamat</w:t>
                        </w:r>
                      </w:p>
                    </w:txbxContent>
                  </v:textbox>
                  <w10:wrap type="square"/>
                  <v:fill o:detectmouseclick="t" on="false"/>
                  <v:stroke color="#3465a4" joinstyle="round" endcap="flat"/>
                </v:rect>
                <v:rect id="shape_0" stroked="f" style="position:absolute;left:16;top:1292;width:2518;height:69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Hozzáférés a jelentkezési laphoz</w:t>
                        </w:r>
                      </w:p>
                    </w:txbxContent>
                  </v:textbox>
                  <w10:wrap type="square"/>
                  <v:fill o:detectmouseclick="t" on="false"/>
                  <v:stroke color="#3465a4" joinstyle="round" endcap="flat"/>
                </v:rect>
                <v:rect id="shape_0" stroked="f" style="position:absolute;left:16;top:1959;width:2518;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Teljes alkalmazások</w:t>
                        </w:r>
                      </w:p>
                    </w:txbxContent>
                  </v:textbox>
                  <w10:wrap type="square"/>
                  <v:fill o:detectmouseclick="t" on="false"/>
                  <v:stroke color="#3465a4" joinstyle="round" endcap="flat"/>
                </v:rect>
                <v:rect id="shape_0" stroked="f" style="position:absolute;left:16;top:2586;width:2518;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Jogosult jelöltek</w:t>
                        </w:r>
                      </w:p>
                    </w:txbxContent>
                  </v:textbox>
                  <w10:wrap type="square"/>
                  <v:fill o:detectmouseclick="t" on="false"/>
                  <v:stroke color="#3465a4" joinstyle="round" endcap="flat"/>
                </v:rect>
                <v:rect id="shape_0" stroked="f" style="position:absolute;left:16;top:3252;width:2518;height:48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Felvétel a testületbe</w:t>
                        </w:r>
                      </w:p>
                    </w:txbxContent>
                  </v:textbox>
                  <w10:wrap type="square"/>
                  <v:fill o:detectmouseclick="t" on="false"/>
                  <v:stroke color="#3465a4" joinstyle="round" endcap="flat"/>
                </v:rect>
                <v:rect id="shape_0" stroked="f" style="position:absolute;left:16;top:3918;width:2518;height:48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Aktív résztvevők</w:t>
                        </w:r>
                      </w:p>
                    </w:txbxContent>
                  </v:textbox>
                  <w10:wrap type="square"/>
                  <v:fill o:detectmouseclick="t" on="false"/>
                  <v:stroke color="#3465a4" joinstyle="round" endcap="flat"/>
                </v:rect>
                <v:rect id="shape_0" stroked="f" style="position:absolute;left:6993;top:1164;width:2518;height:48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2022. március 8–10.</w:t>
                        </w:r>
                      </w:p>
                    </w:txbxContent>
                  </v:textbox>
                  <w10:wrap type="square"/>
                  <v:fill o:detectmouseclick="t" on="false"/>
                  <v:stroke color="#3465a4" joinstyle="round" endcap="flat"/>
                </v:rect>
                <v:rect id="shape_0" stroked="f" style="position:absolute;left:7020;top:1960;width:2518;height:48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2022. március 10.</w:t>
                        </w:r>
                      </w:p>
                    </w:txbxContent>
                  </v:textbox>
                  <w10:wrap type="square"/>
                  <v:fill o:detectmouseclick="t" on="false"/>
                  <v:stroke color="#3465a4" joinstyle="round" endcap="flat"/>
                </v:rect>
                <v:rect id="shape_0" stroked="f" style="position:absolute;left:6993;top:1165;width:2518;height:48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2022. március 8–10.</w:t>
                        </w:r>
                      </w:p>
                    </w:txbxContent>
                  </v:textbox>
                  <w10:wrap type="square"/>
                  <v:fill o:detectmouseclick="t" on="false"/>
                  <v:stroke color="#3465a4" joinstyle="round" endcap="flat"/>
                </v:rect>
                <v:rect id="shape_0" stroked="f" style="position:absolute;left:7007;top:2613;width:2517;height:48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2022. március 10.</w:t>
                        </w:r>
                      </w:p>
                    </w:txbxContent>
                  </v:textbox>
                  <w10:wrap type="square"/>
                  <v:fill o:detectmouseclick="t" on="false"/>
                  <v:stroke color="#3465a4" joinstyle="round" endcap="flat"/>
                </v:rect>
                <v:rect id="shape_0" stroked="f" style="position:absolute;left:6993;top:3241;width:2518;height:48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2022. március 11.</w:t>
                        </w:r>
                      </w:p>
                    </w:txbxContent>
                  </v:textbox>
                  <w10:wrap type="square"/>
                  <v:fill o:detectmouseclick="t" on="false"/>
                  <v:stroke color="#3465a4" joinstyle="round" endcap="flat"/>
                </v:rect>
                <v:rect id="shape_0" stroked="f" style="position:absolute;left:6952;top:3817;width:2518;height:48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2022. március 11–12.</w:t>
                        </w:r>
                      </w:p>
                    </w:txbxContent>
                  </v:textbox>
                  <w10:wrap type="square"/>
                  <v:fill o:detectmouseclick="t" on="false"/>
                  <v:stroke color="#3465a4" joinstyle="round" endcap="flat"/>
                </v:rect>
              </v:group>
            </w:pict>
          </mc:Fallback>
        </mc:AlternateContent>
      </w:r>
      <w:r>
        <w:br w:type="page"/>
      </w:r>
    </w:p>
    <w:p>
      <w:pPr>
        <w:pStyle w:val="P68B1DB1Normal74"/>
        <w:widowControl w:val="false"/>
        <w:spacing w:lineRule="exact" w:line="393"/>
        <w:ind w:left="0" w:right="0" w:hanging="0"/>
        <w:jc w:val="left"/>
        <w:rPr>
          <w:rFonts w:ascii="Arial" w:hAnsi="Arial"/>
          <w:color w:val="2E74B5"/>
          <w:sz w:val="22"/>
        </w:rPr>
      </w:pPr>
      <w:r>
        <w:rPr/>
        <w:t xml:space="preserve">Kommunikációs berendezések </w:t>
      </w:r>
    </w:p>
    <w:p>
      <w:pPr>
        <w:pStyle w:val="P68B1DB1Normal76"/>
        <w:widowControl w:val="false"/>
        <w:spacing w:lineRule="exact" w:line="379" w:before="200" w:after="0"/>
        <w:ind w:left="0" w:right="2" w:hanging="0"/>
        <w:jc w:val="left"/>
        <w:rPr/>
      </w:pPr>
      <w:r>
        <w:rPr/>
        <w:t xml:space="preserve">Annak érdekében, hogy kezdettől fogva magas szintű motivációt és részvételt biztosítsanak, a következő dokumentumokat bocsátották valamennyi résztvevő rendelkezésére: </w:t>
      </w:r>
    </w:p>
    <w:p>
      <w:pPr>
        <w:pStyle w:val="P68B1DB1Normal76"/>
        <w:widowControl w:val="false"/>
        <w:spacing w:lineRule="exact" w:line="252" w:before="192" w:after="0"/>
        <w:ind w:left="720" w:right="0" w:hanging="0"/>
        <w:jc w:val="left"/>
        <w:rPr/>
      </w:pPr>
      <w:r>
        <w:rPr/>
        <w:t xml:space="preserve">• </w:t>
      </w:r>
      <w:r>
        <w:rPr>
          <w:b/>
        </w:rPr>
        <w:t xml:space="preserve">az Európa jövőjéről szóló konferencia és a nemzeti panelek ismertetői; </w:t>
      </w:r>
    </w:p>
    <w:p>
      <w:pPr>
        <w:pStyle w:val="P68B1DB1Normal76"/>
        <w:widowControl w:val="false"/>
        <w:spacing w:lineRule="exact" w:line="379"/>
        <w:ind w:left="720" w:right="0" w:hanging="0"/>
        <w:jc w:val="left"/>
        <w:rPr/>
      </w:pPr>
      <w:r>
        <w:rPr/>
        <w:t xml:space="preserve">• </w:t>
      </w:r>
      <w:r>
        <w:rPr>
          <w:b/>
        </w:rPr>
        <w:t xml:space="preserve">az Európa jövőjéről szóló konferencia chartája; </w:t>
      </w:r>
    </w:p>
    <w:p>
      <w:pPr>
        <w:pStyle w:val="P68B1DB1Normal76"/>
        <w:widowControl w:val="false"/>
        <w:spacing w:lineRule="exact" w:line="379"/>
        <w:ind w:left="720" w:right="0" w:hanging="0"/>
        <w:jc w:val="left"/>
        <w:rPr/>
      </w:pPr>
      <w:r>
        <w:rPr/>
        <w:t xml:space="preserve">• </w:t>
      </w:r>
      <w:r>
        <w:rPr>
          <w:b/>
        </w:rPr>
        <w:t xml:space="preserve">a vitacsoportok során megvitatandó témák; </w:t>
      </w:r>
    </w:p>
    <w:p>
      <w:pPr>
        <w:pStyle w:val="P68B1DB1Normal76"/>
        <w:widowControl w:val="false"/>
        <w:spacing w:lineRule="exact" w:line="379"/>
        <w:ind w:left="721" w:right="0" w:hanging="0"/>
        <w:jc w:val="left"/>
        <w:rPr/>
      </w:pPr>
      <w:r>
        <w:rPr/>
        <w:t xml:space="preserve">• </w:t>
      </w:r>
      <w:r>
        <w:rPr/>
        <w:t xml:space="preserve">a </w:t>
      </w:r>
      <w:r>
        <w:rPr>
          <w:b/>
        </w:rPr>
        <w:t xml:space="preserve">részvételhez szükséges technikai és szervezési információk. </w:t>
      </w:r>
    </w:p>
    <w:p>
      <w:pPr>
        <w:pStyle w:val="P68B1DB1Titre277"/>
        <w:numPr>
          <w:ilvl w:val="0"/>
          <w:numId w:val="2"/>
        </w:numPr>
        <w:rPr>
          <w:color w:val="BD1271"/>
        </w:rPr>
      </w:pPr>
      <w:bookmarkStart w:id="218" w:name="__RefHeading___Toc300312_1346298689"/>
      <w:bookmarkEnd w:id="218"/>
      <w:r>
        <w:rPr/>
        <w:t xml:space="preserve">3. A testület szervezése </w:t>
      </w:r>
    </w:p>
    <w:p>
      <w:pPr>
        <w:pStyle w:val="P68B1DB1Normal76"/>
        <w:widowControl w:val="false"/>
        <w:spacing w:lineRule="exact" w:line="272" w:before="231" w:after="0"/>
        <w:ind w:left="0" w:right="0" w:hanging="0"/>
        <w:jc w:val="both"/>
        <w:rPr/>
      </w:pPr>
      <w:r>
        <w:rPr/>
        <w:t xml:space="preserve">A maximális részvétel lehetővé tétele érdekében, beleértve a szakmai kötelezettségvállalással rendelkező személyeket is, a testületet két egymást követő fél napon keresztül szervezték meg, köztük egy hétvégén, a következő menetrend szerint: </w:t>
      </w:r>
    </w:p>
    <w:p>
      <w:pPr>
        <w:pStyle w:val="P68B1DB1Normal76"/>
        <w:widowControl w:val="false"/>
        <w:spacing w:lineRule="exact" w:line="288" w:before="101" w:after="0"/>
        <w:ind w:left="359" w:right="0" w:hanging="0"/>
        <w:jc w:val="left"/>
        <w:rPr/>
      </w:pPr>
      <w:r>
        <w:rPr>
          <w:rFonts w:ascii="Symbol" w:hAnsi="Symbol"/>
        </w:rPr>
        <w:t>•</w:t>
      </w:r>
      <w:r>
        <w:rPr/>
        <w:t xml:space="preserve"> </w:t>
      </w:r>
      <w:r>
        <w:rPr>
          <w:b/>
        </w:rPr>
        <w:t xml:space="preserve">Március 11., péntek 16–20.00 </w:t>
      </w:r>
    </w:p>
    <w:p>
      <w:pPr>
        <w:pStyle w:val="P68B1DB1Normal76"/>
        <w:widowControl w:val="false"/>
        <w:spacing w:lineRule="exact" w:line="288" w:before="101" w:after="0"/>
        <w:ind w:left="359" w:right="0" w:hanging="0"/>
        <w:jc w:val="left"/>
        <w:rPr/>
      </w:pPr>
      <w:r>
        <w:rPr>
          <w:rFonts w:ascii="Symbol" w:hAnsi="Symbol"/>
        </w:rPr>
        <w:t>•</w:t>
      </w:r>
      <w:r>
        <w:rPr/>
        <w:t xml:space="preserve"> </w:t>
      </w:r>
      <w:r>
        <w:rPr>
          <w:b/>
        </w:rPr>
        <w:t xml:space="preserve">Március 12-én, szombaton 10 órától 12 óráig </w:t>
      </w:r>
    </w:p>
    <w:p>
      <w:pPr>
        <w:pStyle w:val="Normal"/>
        <w:widowControl w:val="false"/>
        <w:spacing w:lineRule="exact" w:line="286" w:before="83" w:after="0"/>
        <w:ind w:left="0" w:right="1" w:hanging="0"/>
        <w:jc w:val="both"/>
        <w:rPr/>
      </w:pPr>
      <w:r>
        <w:rPr>
          <w:color w:val="000000"/>
        </w:rPr>
        <w:t xml:space="preserve">E választás célja egyrészt a munkavállalók részvételének megkönnyítése a kezdeményezésben, másrészt a részvételi idő felosztása a nagyobb figyelem és részvétel ösztönzése, valamint a benyújtott témák és javaslatok további megvitatása érdekében. A panel résztvevői a GoToMeeting platformon keresztül csatlakoztak a két munkaüléshez, és négy csoportra osztották őket (mindkét tematikus terület), amelyet egy </w:t>
      </w:r>
      <w:r>
        <w:rPr>
          <w:color w:val="ED7D31"/>
        </w:rPr>
        <w:t>SWG</w:t>
      </w:r>
      <w:r>
        <w:rPr>
          <w:color w:val="000000"/>
        </w:rPr>
        <w:t xml:space="preserve"> moderátor és az eljárás megírásáért felelős személy asszisztensei irányítottak. A moderátorok két különböző vitafórumon keresztül segítették elő a csoportokat (egy-egy tematikus terület), azzal a céllal, hogy a lehető legnagyobb mértékben bevonják az összes kiválasztott személyt, és biztosítsák a maximális befogadáson és semlegességen alapuló megközelítést. </w:t>
      </w:r>
    </w:p>
    <w:p>
      <w:pPr>
        <w:pStyle w:val="Titre2"/>
        <w:numPr>
          <w:ilvl w:val="1"/>
          <w:numId w:val="2"/>
        </w:numPr>
        <w:rPr/>
      </w:pPr>
      <w:bookmarkStart w:id="219" w:name="__RefHeading___Toc300314_1346298689"/>
      <w:bookmarkEnd w:id="219"/>
      <w:r>
        <w:rPr>
          <w:color w:val="BD1271"/>
        </w:rPr>
        <w:t>4. Munkaprogram</w:t>
      </w:r>
      <w:r>
        <w:rPr/>
        <w:t xml:space="preserve"> </w:t>
      </w:r>
    </w:p>
    <w:p>
      <w:pPr>
        <w:pStyle w:val="P68B1DB1Normal80"/>
        <w:widowControl w:val="false"/>
        <w:spacing w:lineRule="exact" w:line="393" w:before="85" w:after="0"/>
        <w:ind w:left="0" w:right="0" w:hanging="0"/>
        <w:jc w:val="left"/>
        <w:rPr>
          <w:rFonts w:ascii="Arial" w:hAnsi="Arial"/>
          <w:color w:val="116E9A"/>
          <w:sz w:val="24"/>
        </w:rPr>
      </w:pPr>
      <w:r>
        <w:rPr/>
        <w:t xml:space="preserve">Első ülés (2022. március 11., péntek) </w:t>
      </w:r>
    </w:p>
    <w:p>
      <w:pPr>
        <w:pStyle w:val="P68B1DB1Normal76"/>
        <w:widowControl w:val="false"/>
        <w:spacing w:lineRule="exact" w:line="362" w:before="208" w:after="0"/>
        <w:ind w:left="360" w:right="0" w:hanging="0"/>
        <w:jc w:val="left"/>
        <w:rPr/>
      </w:pPr>
      <w:r>
        <w:rPr/>
        <w:t xml:space="preserve">• </w:t>
      </w:r>
      <w:r>
        <w:rPr/>
        <w:t xml:space="preserve">00 – A virtuális terem megnyitása és annak lehetősége, hogy a résztvevők csatlakozzanak a platformhoz, hogy ellenőrizzék hang- és videorendszereik megfelelő működését. </w:t>
      </w:r>
    </w:p>
    <w:p>
      <w:pPr>
        <w:pStyle w:val="P68B1DB1Normal76"/>
        <w:widowControl w:val="false"/>
        <w:spacing w:lineRule="exact" w:line="362"/>
        <w:ind w:left="360" w:right="0" w:hanging="0"/>
        <w:jc w:val="left"/>
        <w:rPr/>
      </w:pPr>
      <w:r>
        <w:rPr/>
        <w:t xml:space="preserve">• </w:t>
      </w:r>
      <w:r>
        <w:rPr/>
        <w:t xml:space="preserve">16:00 – Bevezetés moderátorral: a kezdeményezés okainak magyarázata és a munka szerkezetének leírása. </w:t>
      </w:r>
    </w:p>
    <w:p>
      <w:pPr>
        <w:pStyle w:val="P68B1DB1Normal76"/>
        <w:widowControl w:val="false"/>
        <w:spacing w:lineRule="exact" w:line="362"/>
        <w:ind w:left="360" w:right="0" w:hanging="0"/>
        <w:jc w:val="left"/>
        <w:rPr>
          <w:rFonts w:ascii="Arial" w:hAnsi="Arial"/>
          <w:color w:val="000000"/>
          <w:sz w:val="22"/>
        </w:rPr>
      </w:pPr>
      <w:r>
        <w:rPr/>
        <w:t xml:space="preserve">• </w:t>
      </w:r>
      <w:r>
        <w:rPr/>
        <w:t xml:space="preserve">15:00 – A résztvevők csoportos elosztása a jelentkezési szakaszban megadott preferenciák alapján. </w:t>
      </w:r>
    </w:p>
    <w:p>
      <w:pPr>
        <w:pStyle w:val="P68B1DB1Normal76"/>
        <w:widowControl w:val="false"/>
        <w:spacing w:lineRule="exact" w:line="362"/>
        <w:ind w:left="360" w:right="0" w:hanging="0"/>
        <w:jc w:val="left"/>
        <w:rPr>
          <w:rFonts w:ascii="Arial" w:hAnsi="Arial"/>
          <w:color w:val="000000"/>
          <w:sz w:val="22"/>
        </w:rPr>
      </w:pPr>
      <w:r>
        <w:rPr/>
        <w:t xml:space="preserve">• </w:t>
      </w:r>
      <w:r>
        <w:rPr/>
        <w:t xml:space="preserve">16:20 – A csoportbeszélgetés kezdete. </w:t>
      </w:r>
    </w:p>
    <w:p>
      <w:pPr>
        <w:pStyle w:val="P68B1DB1Normal76"/>
        <w:widowControl w:val="false"/>
        <w:spacing w:lineRule="exact" w:line="362"/>
        <w:ind w:left="360" w:right="0" w:hanging="0"/>
        <w:jc w:val="left"/>
        <w:rPr>
          <w:rFonts w:ascii="Arial" w:hAnsi="Arial"/>
          <w:color w:val="000000"/>
          <w:sz w:val="22"/>
        </w:rPr>
      </w:pPr>
      <w:r>
        <w:rPr/>
        <w:t xml:space="preserve">• </w:t>
      </w:r>
      <w:r>
        <w:rPr/>
        <w:t xml:space="preserve">20.00 – Az ülés vége. </w:t>
      </w:r>
    </w:p>
    <w:p>
      <w:pPr>
        <w:pStyle w:val="P68B1DB1Normal80"/>
        <w:widowControl w:val="false"/>
        <w:spacing w:lineRule="exact" w:line="393" w:before="248" w:after="0"/>
        <w:ind w:left="0" w:right="0" w:hanging="0"/>
        <w:jc w:val="left"/>
        <w:rPr>
          <w:rFonts w:ascii="Arial" w:hAnsi="Arial"/>
          <w:color w:val="116E9A"/>
          <w:sz w:val="24"/>
        </w:rPr>
      </w:pPr>
      <w:r>
        <w:rPr/>
        <w:t xml:space="preserve">Második ülés (2022. március 12., szombat) </w:t>
      </w:r>
    </w:p>
    <w:p>
      <w:pPr>
        <w:pStyle w:val="P68B1DB1Normal76"/>
        <w:widowControl w:val="false"/>
        <w:spacing w:lineRule="exact" w:line="362" w:before="208" w:after="0"/>
        <w:ind w:left="360" w:right="0" w:hanging="0"/>
        <w:jc w:val="left"/>
        <w:rPr>
          <w:rFonts w:ascii="Arial" w:hAnsi="Arial"/>
          <w:color w:val="000000"/>
          <w:sz w:val="22"/>
        </w:rPr>
      </w:pPr>
      <w:r>
        <w:rPr/>
        <w:t xml:space="preserve">• </w:t>
      </w:r>
      <w:r>
        <w:rPr/>
        <w:t xml:space="preserve">10 – A munka folytatása az első napi munka eredményeinek olvasásával. </w:t>
      </w:r>
    </w:p>
    <w:p>
      <w:pPr>
        <w:pStyle w:val="P68B1DB1Normal76"/>
        <w:widowControl w:val="false"/>
        <w:spacing w:lineRule="exact" w:line="254"/>
        <w:ind w:left="360" w:right="140" w:hanging="0"/>
        <w:jc w:val="left"/>
        <w:rPr/>
      </w:pPr>
      <w:r>
        <w:rPr/>
        <w:t xml:space="preserve">• </w:t>
      </w:r>
      <w:r>
        <w:rPr/>
        <w:t xml:space="preserve">10.15 – Folytatás, részletes megbeszélések és a résztvevők észrevételei. </w:t>
      </w:r>
    </w:p>
    <w:p>
      <w:pPr>
        <w:pStyle w:val="Normal"/>
        <w:widowControl w:val="false"/>
        <w:spacing w:lineRule="exact" w:line="362"/>
        <w:ind w:left="360" w:right="0" w:hanging="0"/>
        <w:jc w:val="left"/>
        <w:rPr/>
      </w:pPr>
      <w:r>
        <w:rPr>
          <w:color w:val="000000"/>
        </w:rPr>
        <w:t xml:space="preserve">• </w:t>
      </w:r>
      <w:r>
        <w:rPr>
          <w:color w:val="000000"/>
        </w:rPr>
        <w:t>12.00 – A munka befejezése</w:t>
      </w:r>
      <w:r>
        <w:rPr>
          <w:color w:val="FF0000"/>
        </w:rPr>
        <w:t>.</w:t>
      </w:r>
      <w:r>
        <w:rPr>
          <w:color w:val="000000"/>
        </w:rPr>
        <w:t xml:space="preserve"> </w:t>
      </w:r>
    </w:p>
    <w:p>
      <w:pPr>
        <w:pStyle w:val="P68B1DB1Normal34"/>
        <w:widowControl w:val="false"/>
        <w:spacing w:lineRule="exact" w:line="393"/>
        <w:ind w:left="360" w:right="0" w:hanging="0"/>
        <w:jc w:val="left"/>
        <w:rPr>
          <w:rFonts w:ascii="Arial" w:hAnsi="Arial"/>
          <w:color w:val="000000"/>
          <w:sz w:val="24"/>
        </w:rPr>
      </w:pPr>
      <w:r>
        <w:rPr/>
        <w:t xml:space="preserve"> </w:t>
      </w:r>
    </w:p>
    <w:p>
      <w:pPr>
        <w:pStyle w:val="Normal"/>
        <w:spacing w:lineRule="auto" w:line="240" w:before="5420" w:after="57"/>
        <w:rPr/>
      </w:pPr>
      <w:r>
        <w:rPr/>
        <w:drawing>
          <wp:anchor behindDoc="0" distT="0" distB="0" distL="0" distR="0" simplePos="0" locked="0" layoutInCell="1" allowOverlap="1" relativeHeight="61">
            <wp:simplePos x="0" y="0"/>
            <wp:positionH relativeFrom="column">
              <wp:align>center</wp:align>
            </wp:positionH>
            <wp:positionV relativeFrom="paragraph">
              <wp:posOffset>635</wp:posOffset>
            </wp:positionV>
            <wp:extent cx="6120130" cy="3441700"/>
            <wp:effectExtent l="0" t="0" r="0" b="0"/>
            <wp:wrapTopAndBottom/>
            <wp:docPr id="105" name="Kép4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Kép45" descr=""/>
                    <pic:cNvPicPr>
                      <a:picLocks noChangeAspect="1" noChangeArrowheads="1"/>
                    </pic:cNvPicPr>
                  </pic:nvPicPr>
                  <pic:blipFill>
                    <a:blip r:embed="rId108"/>
                    <a:stretch>
                      <a:fillRect/>
                    </a:stretch>
                  </pic:blipFill>
                  <pic:spPr bwMode="auto">
                    <a:xfrm>
                      <a:off x="0" y="0"/>
                      <a:ext cx="6120130" cy="3441700"/>
                    </a:xfrm>
                    <a:prstGeom prst="rect">
                      <a:avLst/>
                    </a:prstGeom>
                  </pic:spPr>
                </pic:pic>
              </a:graphicData>
            </a:graphic>
          </wp:anchor>
        </w:drawing>
      </w:r>
    </w:p>
    <w:p>
      <w:pPr>
        <w:pStyle w:val="Normal"/>
        <w:spacing w:lineRule="auto" w:line="240"/>
        <w:rPr/>
      </w:pPr>
      <w:r>
        <w:rPr/>
      </w:r>
      <w:r>
        <w:br w:type="page"/>
      </w:r>
    </w:p>
    <w:p>
      <w:pPr>
        <w:pStyle w:val="P68B1DB1Titre277"/>
        <w:numPr>
          <w:ilvl w:val="0"/>
          <w:numId w:val="2"/>
        </w:numPr>
        <w:rPr>
          <w:color w:val="BD1271"/>
        </w:rPr>
      </w:pPr>
      <w:bookmarkStart w:id="220" w:name="__RefHeading___Toc300316_1346298689"/>
      <w:bookmarkEnd w:id="220"/>
      <w:r>
        <w:rPr/>
        <w:t xml:space="preserve">5. Ajánlások </w:t>
      </w:r>
    </w:p>
    <w:p>
      <w:pPr>
        <w:pStyle w:val="Titre3"/>
        <w:numPr>
          <w:ilvl w:val="2"/>
          <w:numId w:val="2"/>
        </w:numPr>
        <w:rPr/>
      </w:pPr>
      <w:bookmarkStart w:id="221" w:name="__RefHeading___Toc300318_1346298689"/>
      <w:bookmarkEnd w:id="221"/>
      <w:r>
        <w:rPr>
          <w:color w:val="FFFFFF"/>
          <w:shd w:fill="0066B3" w:val="clear"/>
        </w:rPr>
        <w:t>Erősebb gazdaság, társadalmi igazságosság és foglalkoztatás</w:t>
      </w:r>
      <w:r>
        <w:rPr/>
        <w:t xml:space="preserve"> </w:t>
      </w:r>
    </w:p>
    <w:p>
      <w:pPr>
        <w:pStyle w:val="P68B1DB1Normal19"/>
        <w:widowControl w:val="false"/>
        <w:spacing w:lineRule="auto" w:line="240" w:before="106" w:after="0"/>
        <w:ind w:left="0" w:right="0" w:hanging="0"/>
        <w:jc w:val="left"/>
        <w:rPr>
          <w:rFonts w:ascii="Times New Roman" w:hAnsi="Times New Roman"/>
          <w:color w:val="000000"/>
          <w:sz w:val="24"/>
        </w:rPr>
      </w:pPr>
      <w:r>
        <w:rPr/>
        <w:t xml:space="preserve"> </w:t>
      </w:r>
    </w:p>
    <w:p>
      <w:pPr>
        <w:pStyle w:val="P68B1DB1Titre481"/>
        <w:numPr>
          <w:ilvl w:val="0"/>
          <w:numId w:val="2"/>
        </w:numPr>
        <w:rPr>
          <w:color w:val="0066B3"/>
        </w:rPr>
      </w:pPr>
      <w:bookmarkStart w:id="222" w:name="__RefHeading___Toc300428_1346298689"/>
      <w:bookmarkEnd w:id="222"/>
      <w:r>
        <w:rPr/>
        <w:t xml:space="preserve">1. Az elmúlt század termelési modelljének leküzdése </w:t>
      </w:r>
    </w:p>
    <w:p>
      <w:pPr>
        <w:pStyle w:val="P68B1DB1Normal76"/>
        <w:widowControl w:val="false"/>
        <w:spacing w:lineRule="auto" w:line="240" w:before="80" w:after="0"/>
        <w:ind w:left="0" w:right="1" w:hanging="0"/>
        <w:jc w:val="both"/>
        <w:rPr/>
      </w:pPr>
      <w:r>
        <w:rPr/>
        <w:t xml:space="preserve">A panel résztvevői úgy érezték, hogy a legutóbbi globális események (a Covid19-világjárvány és az Oroszország és Ukrajna közötti konfliktus) látszólag megmutatták a jelenlegi európai termelési modell korlátait, és rámutattak arra, hogy felül kell vizsgálni egy olyan megközelítést, amelyet sokan „az elmúlt évszázadhoz kapcsolódónak” neveznek.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2" w:hanging="0"/>
        <w:jc w:val="both"/>
        <w:rPr/>
      </w:pPr>
      <w:r>
        <w:rPr/>
        <w:t xml:space="preserve">Annak bizonyítéka, hogy Európa függ az Európai Unión kívüli országokból származó energia- és élelmiszerimporttól, valamint az a felfedezés (a világjárvány alatt), hogy nem tudjuk egyedül előállítani a vírus terjedése elleni küzdelemhez szükséges orvostechnikai eszközöket és vakcinákat, azt a benyomást keltette, hogy gazdasági rendszerünk az önellátás hiánya miatt strukturális gyengeségben szenved.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3" w:hanging="0"/>
        <w:jc w:val="both"/>
        <w:rPr/>
      </w:pPr>
      <w:r>
        <w:rPr/>
        <w:t xml:space="preserve">Ugyanakkor a résztvevők egyértelműen úgy vélik, hogy egy erősebb gazdaságnak, amely képes munkahelyeket teremteni a társadalmi igazságosság összefüggésében, képesnek kell lennie arra, hogy jelentős technológiai eszközöket szerezzen. Ehhez elengedhetetlen egy olyan oktatási rendszer támogatása, amely egyre nagyobb figyelmet fordít a STEM-hez kapcsolódó tantárgyakra.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0" w:hanging="0"/>
        <w:jc w:val="both"/>
        <w:rPr/>
      </w:pPr>
      <w:r>
        <w:rPr>
          <w:b/>
        </w:rPr>
        <w:t>A technológiai innováció, a fenntartható energia, de a turizmus és a kultúra is</w:t>
      </w:r>
      <w:r>
        <w:rPr/>
        <w:t xml:space="preserve"> három alapvető tengelynek tűnik a jövő európai gazdaságának fejlődése szempontjából, különös hangsúlyt fektetve az alapvető termelés fenntartására annak érdekében, hogy elkerülhető legyen a harmadik országoktól az alapvető termékek és nyersanyagok kínálatától való túlzott függőség kockázata. </w:t>
      </w:r>
    </w:p>
    <w:p>
      <w:pPr>
        <w:pStyle w:val="P68B1DB1Normal82"/>
        <w:widowControl w:val="false"/>
        <w:spacing w:lineRule="auto" w:line="240"/>
        <w:ind w:left="4819" w:right="0" w:hanging="0"/>
        <w:jc w:val="left"/>
        <w:rPr>
          <w:rFonts w:ascii="Arial" w:hAnsi="Arial"/>
          <w:color w:val="2E74B5"/>
          <w:sz w:val="24"/>
        </w:rPr>
      </w:pPr>
      <w:r>
        <w:rPr/>
        <w:t xml:space="preserve"> </w:t>
      </w:r>
    </w:p>
    <w:p>
      <w:pPr>
        <w:pStyle w:val="P68B1DB1Normal83"/>
        <w:widowControl w:val="false"/>
        <w:spacing w:lineRule="auto" w:line="240" w:before="84" w:after="0"/>
        <w:ind w:left="3000" w:right="0" w:hanging="0"/>
        <w:jc w:val="left"/>
        <w:rPr>
          <w:rFonts w:ascii="Arial" w:hAnsi="Arial"/>
          <w:b/>
          <w:b/>
          <w:color w:val="2E74B5"/>
          <w:sz w:val="24"/>
        </w:rPr>
      </w:pPr>
      <w:r>
        <w:rPr/>
        <w:t xml:space="preserve">AJÁNLÁSOK RÖVIDEN </w:t>
      </w:r>
    </w:p>
    <w:p>
      <w:pPr>
        <w:pStyle w:val="P68B1DB1Normal84"/>
        <w:widowControl w:val="false"/>
        <w:spacing w:lineRule="auto" w:line="240" w:before="69" w:after="0"/>
        <w:ind w:left="283" w:right="0" w:hanging="0"/>
        <w:jc w:val="left"/>
        <w:rPr/>
      </w:pPr>
      <w:r>
        <w:rPr>
          <w:color w:val="BD1271"/>
        </w:rPr>
        <w:t xml:space="preserve">1. </w:t>
      </w:r>
      <w:r>
        <w:rPr>
          <w:color w:val="000000"/>
        </w:rPr>
        <w:t>Hatékony fellépés az éghajlatváltozás és az alternatív energia terén.</w:t>
      </w:r>
    </w:p>
    <w:p>
      <w:pPr>
        <w:pStyle w:val="P68B1DB1Normal84"/>
        <w:widowControl w:val="false"/>
        <w:spacing w:lineRule="auto" w:line="240"/>
        <w:ind w:left="283" w:right="0" w:hanging="0"/>
        <w:jc w:val="left"/>
        <w:rPr/>
      </w:pPr>
      <w:r>
        <w:rPr>
          <w:color w:val="BD1271"/>
        </w:rPr>
        <w:t xml:space="preserve">2. </w:t>
      </w:r>
      <w:r>
        <w:rPr>
          <w:color w:val="000000"/>
        </w:rPr>
        <w:t>Fektessen be az idegenforgalomba és a kulturális gazdaságba, és értékelje Európa számos kis úti célját is.</w:t>
      </w:r>
    </w:p>
    <w:p>
      <w:pPr>
        <w:pStyle w:val="P68B1DB1Normal84"/>
        <w:widowControl w:val="false"/>
        <w:spacing w:lineRule="auto" w:line="240"/>
        <w:ind w:left="283" w:right="0" w:hanging="0"/>
        <w:jc w:val="left"/>
        <w:rPr/>
      </w:pPr>
      <w:r>
        <w:rPr>
          <w:color w:val="BD1271"/>
        </w:rPr>
        <w:t xml:space="preserve">3. </w:t>
      </w:r>
      <w:r>
        <w:rPr>
          <w:color w:val="000000"/>
        </w:rPr>
        <w:t>Fókuszban a technológia és az innováció, mint a növekedés mozgatórugói.</w:t>
      </w:r>
    </w:p>
    <w:p>
      <w:pPr>
        <w:pStyle w:val="P68B1DB1Normal84"/>
        <w:widowControl w:val="false"/>
        <w:spacing w:lineRule="auto" w:line="240"/>
        <w:ind w:left="283" w:right="0" w:hanging="0"/>
        <w:jc w:val="left"/>
        <w:rPr/>
      </w:pPr>
      <w:r>
        <w:rPr>
          <w:color w:val="BD1271"/>
        </w:rPr>
        <w:t xml:space="preserve">4. </w:t>
      </w:r>
      <w:r>
        <w:rPr>
          <w:color w:val="000000"/>
        </w:rPr>
        <w:t>A többi országtól a nyersanyagoktól, energiaforrásoktól és mezőgazdaságtól való függőség csökkentése.</w:t>
      </w:r>
    </w:p>
    <w:p>
      <w:pPr>
        <w:pStyle w:val="P68B1DB1Normal84"/>
        <w:widowControl w:val="false"/>
        <w:spacing w:lineRule="auto" w:line="240"/>
        <w:ind w:left="283" w:right="0" w:hanging="0"/>
        <w:jc w:val="left"/>
        <w:rPr/>
      </w:pPr>
      <w:r>
        <w:rPr>
          <w:color w:val="BD1271"/>
        </w:rPr>
        <w:t xml:space="preserve">5. </w:t>
      </w:r>
      <w:r>
        <w:rPr>
          <w:color w:val="000000"/>
        </w:rPr>
        <w:t>Ösztönözni kell a fiatalokat, hogy tanulmányozzák a tudományos témákat.</w:t>
      </w:r>
    </w:p>
    <w:p>
      <w:pPr>
        <w:pStyle w:val="P68B1DB1Normal85"/>
        <w:widowControl w:val="false"/>
        <w:spacing w:lineRule="exact" w:line="460"/>
        <w:ind w:left="0" w:right="0" w:hanging="0"/>
        <w:jc w:val="left"/>
        <w:rPr>
          <w:rFonts w:ascii="Arial" w:hAnsi="Arial"/>
          <w:color w:val="FFFFFF"/>
          <w:sz w:val="28"/>
        </w:rPr>
      </w:pPr>
      <w:r>
        <w:rPr/>
        <w:t xml:space="preserve"> </w:t>
      </w:r>
    </w:p>
    <w:p>
      <w:pPr>
        <w:pStyle w:val="P68B1DB1Titre481"/>
        <w:numPr>
          <w:ilvl w:val="0"/>
          <w:numId w:val="2"/>
        </w:numPr>
        <w:rPr>
          <w:color w:val="0066B3"/>
        </w:rPr>
      </w:pPr>
      <w:bookmarkStart w:id="223" w:name="__RefHeading___Toc300430_1346298689"/>
      <w:bookmarkEnd w:id="223"/>
      <w:r>
        <w:rPr/>
        <w:t xml:space="preserve">2. Generatív és inkluzív termelési szabályok </w:t>
      </w:r>
    </w:p>
    <w:p>
      <w:pPr>
        <w:pStyle w:val="P68B1DB1Normal76"/>
        <w:widowControl w:val="false"/>
        <w:spacing w:lineRule="auto" w:line="240" w:before="91" w:after="0"/>
        <w:ind w:left="0" w:right="2" w:hanging="0"/>
        <w:jc w:val="both"/>
        <w:rPr/>
      </w:pPr>
      <w:r>
        <w:rPr/>
        <w:t xml:space="preserve">Az elmúlt évszázad gazdasági logikájának leküzdése érdekében felül kell vizsgálni az üzleti tevékenységeket szabályozó szabályokat és eljárásokat is. Ebben az értelemben négy ajánlás létezik, amelyek mindegyike egy közös logikára reagál: egyrészt a szabályok egyszerűsítése, másrészt a visszaélések elleni magas szintű éberség fenntartása (különösen a hamisítás és a tisztességtelen verseny tekintetében). </w:t>
      </w:r>
    </w:p>
    <w:p>
      <w:pPr>
        <w:pStyle w:val="P68B1DB1Normal76"/>
        <w:widowControl w:val="false"/>
        <w:spacing w:lineRule="auto" w:line="240" w:before="15" w:after="0"/>
        <w:ind w:left="0" w:right="2" w:hanging="0"/>
        <w:jc w:val="both"/>
        <w:rPr/>
      </w:pPr>
      <w:r>
        <w:rPr/>
        <w:t xml:space="preserve">Nagy figyelmet fordítanak arra, hogy elsősorban generatív gazdasági szabályokra van szükség, amelyek a lehető legnagyobb mértékben csökkentik a termelési folyamatok szabványosítását (a mély kulturális gyökerekkel rendelkező helyi termelés veszélyeztetése), valamint a mezőgazdasági termékek elpusztítását az előre meghatározott termelési mennyiségek fenntartásának szükségessége miatt. </w:t>
      </w:r>
    </w:p>
    <w:p>
      <w:pPr>
        <w:pStyle w:val="P68B1DB1Normal83"/>
        <w:widowControl w:val="false"/>
        <w:spacing w:lineRule="auto" w:line="240" w:before="6" w:after="0"/>
        <w:ind w:left="4819" w:right="0" w:hanging="0"/>
        <w:jc w:val="left"/>
        <w:rPr>
          <w:rFonts w:ascii="Arial" w:hAnsi="Arial"/>
          <w:b/>
          <w:b/>
          <w:color w:val="2E74B5"/>
          <w:sz w:val="24"/>
        </w:rPr>
      </w:pPr>
      <w:r>
        <w:rPr/>
        <w:t xml:space="preserve"> </w:t>
      </w:r>
    </w:p>
    <w:p>
      <w:pPr>
        <w:pStyle w:val="P68B1DB1Normal83"/>
        <w:widowControl w:val="false"/>
        <w:spacing w:lineRule="auto" w:line="240" w:before="72" w:after="0"/>
        <w:ind w:left="3000" w:right="0" w:hanging="0"/>
        <w:jc w:val="left"/>
        <w:rPr>
          <w:rFonts w:ascii="Arial" w:hAnsi="Arial"/>
          <w:b/>
          <w:b/>
          <w:color w:val="2E74B5"/>
          <w:sz w:val="24"/>
        </w:rPr>
      </w:pPr>
      <w:r>
        <w:rPr/>
        <w:t xml:space="preserve">AJÁNLÁSOK RÖVIDEN </w:t>
      </w:r>
    </w:p>
    <w:p>
      <w:pPr>
        <w:pStyle w:val="P68B1DB1Normal84"/>
        <w:widowControl w:val="false"/>
        <w:spacing w:lineRule="auto" w:line="240" w:before="72" w:after="0"/>
        <w:ind w:left="142" w:right="0" w:hanging="0"/>
        <w:jc w:val="left"/>
        <w:rPr/>
      </w:pPr>
      <w:r>
        <w:rPr>
          <w:color w:val="BD1271"/>
        </w:rPr>
        <w:t xml:space="preserve">1. </w:t>
      </w:r>
      <w:r>
        <w:rPr>
          <w:color w:val="000000"/>
        </w:rPr>
        <w:t>A bürokrácia csökkentése (engedélyek, tanúsítványok).</w:t>
      </w:r>
    </w:p>
    <w:p>
      <w:pPr>
        <w:pStyle w:val="P68B1DB1Normal84"/>
        <w:widowControl w:val="false"/>
        <w:spacing w:lineRule="auto" w:line="240"/>
        <w:ind w:left="142" w:right="0" w:hanging="0"/>
        <w:jc w:val="left"/>
        <w:rPr/>
      </w:pPr>
      <w:r>
        <w:rPr>
          <w:color w:val="BD1271"/>
        </w:rPr>
        <w:t xml:space="preserve">2. </w:t>
      </w:r>
      <w:r>
        <w:rPr>
          <w:color w:val="000000"/>
        </w:rPr>
        <w:t>A termékek szabványosításának csökkentése, valamint a kultúra és a termelés helyi és regionális sajátosságainak elismerése (a termelési hagyományok tiszteletben tartása).</w:t>
      </w:r>
    </w:p>
    <w:p>
      <w:pPr>
        <w:pStyle w:val="P68B1DB1Normal84"/>
        <w:widowControl w:val="false"/>
        <w:spacing w:lineRule="auto" w:line="240"/>
        <w:ind w:left="142" w:right="417" w:hanging="0"/>
        <w:jc w:val="left"/>
        <w:rPr/>
      </w:pPr>
      <w:r>
        <w:rPr>
          <w:color w:val="BD1271"/>
        </w:rPr>
        <w:t xml:space="preserve">3. </w:t>
      </w:r>
      <w:r>
        <w:rPr>
          <w:color w:val="000000"/>
        </w:rPr>
        <w:t>Túllépi a mezőgazdasági termelés kvótáinak logikáját és a többlettermelés ebből eredő pusztulását.</w:t>
      </w:r>
    </w:p>
    <w:p>
      <w:pPr>
        <w:pStyle w:val="P68B1DB1Normal84"/>
        <w:widowControl w:val="false"/>
        <w:spacing w:lineRule="auto" w:line="240"/>
        <w:ind w:left="142" w:right="0" w:hanging="0"/>
        <w:jc w:val="left"/>
        <w:rPr/>
      </w:pPr>
      <w:r>
        <w:rPr>
          <w:color w:val="BD1271"/>
        </w:rPr>
        <w:t xml:space="preserve">4. </w:t>
      </w:r>
      <w:r>
        <w:rPr>
          <w:color w:val="000000"/>
        </w:rPr>
        <w:t>A hamisítás és a tisztességtelen verseny elleni küzdelem.</w:t>
      </w:r>
    </w:p>
    <w:p>
      <w:pPr>
        <w:pStyle w:val="P68B1DB1Normal86"/>
        <w:widowControl w:val="false"/>
        <w:spacing w:lineRule="auto" w:line="240"/>
        <w:ind w:left="0" w:right="0" w:hanging="0"/>
        <w:jc w:val="left"/>
        <w:rPr>
          <w:rFonts w:ascii="Arial" w:hAnsi="Arial"/>
          <w:color w:val="2E74B5"/>
          <w:sz w:val="28"/>
        </w:rPr>
      </w:pPr>
      <w:r>
        <w:rPr/>
        <w:t xml:space="preserve"> </w:t>
      </w:r>
    </w:p>
    <w:p>
      <w:pPr>
        <w:pStyle w:val="P68B1DB1Titre487"/>
        <w:numPr>
          <w:ilvl w:val="0"/>
          <w:numId w:val="2"/>
        </w:numPr>
        <w:rPr>
          <w:sz w:val="24"/>
        </w:rPr>
      </w:pPr>
      <w:bookmarkStart w:id="224" w:name="__RefHeading___Toc300432_1346298689"/>
      <w:bookmarkEnd w:id="224"/>
      <w:r>
        <w:rPr/>
        <w:t xml:space="preserve">3. A növekedés mérése a népesség boldogságával szemben, nem pedig a termékek mennyisége </w:t>
      </w:r>
    </w:p>
    <w:p>
      <w:pPr>
        <w:pStyle w:val="P68B1DB1Normal76"/>
        <w:widowControl w:val="false"/>
        <w:spacing w:lineRule="auto" w:line="240" w:before="88" w:after="0"/>
        <w:ind w:left="0" w:right="0" w:hanging="0"/>
        <w:jc w:val="both"/>
        <w:rPr/>
      </w:pPr>
      <w:r>
        <w:rPr/>
        <w:t xml:space="preserve">Az elmúlt évszázad termelési modelljén túlmutatni nemcsak a termelési módszerek megváltoztatását jelenti, hanem egy olyan új kultúra kialakítását is, amelyben a növekedési mutatók nemcsak a termelt áruk mennyiségére összpontosítanak, hanem arra is, hogy a polgárok számára biztosítsák a boldogság célkitűzését. Ebben az új gazdaságban az áruk nem lehetnek a hatások és a beruházások szempontjainak középpontjában, de ennek a helynek vissza kell térnie az emberekhez. Ez magában foglalja az előállított javak mennyiségén (GDP) alapuló mutatók rendszeréről az emberek jólétének mérésére alkalmas rendszerre való áttérést (BIB – bruttó hazai boldogság). </w:t>
      </w:r>
    </w:p>
    <w:p>
      <w:pPr>
        <w:pStyle w:val="P68B1DB1Normal83"/>
        <w:widowControl w:val="false"/>
        <w:spacing w:lineRule="auto" w:line="240" w:before="8" w:after="0"/>
        <w:ind w:left="4819" w:right="0" w:hanging="0"/>
        <w:jc w:val="left"/>
        <w:rPr>
          <w:rFonts w:ascii="Arial" w:hAnsi="Arial"/>
          <w:b/>
          <w:b/>
          <w:color w:val="2E74B5"/>
          <w:sz w:val="24"/>
        </w:rPr>
      </w:pPr>
      <w:r>
        <w:rPr/>
        <w:t xml:space="preserve"> </w:t>
      </w:r>
    </w:p>
    <w:p>
      <w:pPr>
        <w:pStyle w:val="P68B1DB1Normal83"/>
        <w:widowControl w:val="false"/>
        <w:spacing w:lineRule="auto" w:line="240" w:before="69" w:after="0"/>
        <w:ind w:left="3079" w:right="0" w:hanging="0"/>
        <w:jc w:val="left"/>
        <w:rPr>
          <w:rFonts w:ascii="Arial" w:hAnsi="Arial"/>
          <w:b/>
          <w:b/>
          <w:color w:val="2E74B5"/>
          <w:sz w:val="24"/>
        </w:rPr>
      </w:pPr>
      <w:r>
        <w:rPr/>
        <w:t xml:space="preserve">AJÁNLÁS RÖVIDEN </w:t>
      </w:r>
    </w:p>
    <w:p>
      <w:pPr>
        <w:pStyle w:val="P68B1DB1Normal84"/>
        <w:widowControl w:val="false"/>
        <w:spacing w:lineRule="auto" w:line="240" w:before="69" w:after="0"/>
        <w:ind w:left="142" w:right="0" w:hanging="0"/>
        <w:jc w:val="left"/>
        <w:rPr/>
      </w:pPr>
      <w:r>
        <w:rPr>
          <w:color w:val="BD1271"/>
        </w:rPr>
        <w:t xml:space="preserve">1. </w:t>
      </w:r>
      <w:r>
        <w:rPr>
          <w:color w:val="000000"/>
        </w:rPr>
        <w:t>Fejlesszen ki egy olyan gazdaságot, amely jobban összpontosít a boldogság termelésére (bruttó hazai boldogság), mint az árukra (bruttó hazai termék).</w:t>
      </w:r>
    </w:p>
    <w:p>
      <w:pPr>
        <w:pStyle w:val="Normal"/>
        <w:widowControl w:val="false"/>
        <w:spacing w:lineRule="exact" w:line="460"/>
        <w:ind w:left="0" w:right="0" w:hanging="0"/>
        <w:jc w:val="left"/>
        <w:rPr>
          <w:rFonts w:ascii="Arial" w:hAnsi="Arial"/>
          <w:color w:val="000000"/>
          <w:sz w:val="28"/>
        </w:rPr>
      </w:pPr>
      <w:r>
        <w:rPr>
          <w:color w:val="000000"/>
          <w:sz w:val="28"/>
        </w:rPr>
      </w:r>
      <w:r>
        <w:br w:type="page"/>
      </w:r>
    </w:p>
    <w:p>
      <w:pPr>
        <w:pStyle w:val="P68B1DB1Titre481"/>
        <w:numPr>
          <w:ilvl w:val="0"/>
          <w:numId w:val="2"/>
        </w:numPr>
        <w:rPr>
          <w:color w:val="0066B3"/>
        </w:rPr>
      </w:pPr>
      <w:bookmarkStart w:id="225" w:name="__RefHeading___Toc300434_1346298689"/>
      <w:bookmarkEnd w:id="225"/>
      <w:r>
        <w:rPr/>
        <w:t xml:space="preserve">4. Nagyobb integráció az államok között </w:t>
      </w:r>
    </w:p>
    <w:p>
      <w:pPr>
        <w:pStyle w:val="P68B1DB1Normal76"/>
        <w:widowControl w:val="false"/>
        <w:spacing w:lineRule="auto" w:line="240" w:before="49" w:after="0"/>
        <w:ind w:left="0" w:right="0" w:hanging="0"/>
        <w:jc w:val="both"/>
        <w:rPr/>
      </w:pPr>
      <w:r>
        <w:rPr/>
        <w:t xml:space="preserve">Ami mindenki számára világos, még azok között is, akik kevésbé elégedettek a jelenlegi szervezettel és az Európai Unió által eddig elért eredményekkel, az az, hogy egy monetáris unió nem elég, és Európának képesnek kell lennie arra, hogy egyre erősebben fejlődjön, mint koherens politikai egység, amely képes arra, hogy egységes hangon tárgyaljon, és belsőleg nagyobb szolidaritással lépjen fel. Az erősebb unió az Európai Unió politikai, kereskedelmi és produktív erejének megerősítésének alapvető eleme: az alapvető jogszabályok homogenitása, valamint a vállalkozások és a polgárok adózásának integrált és koherens rendszere, amelyben összehangolják a polgárok béreit és szolgáltatásait. Csak így lesz olyan Európa, amely képes csökkenteni a társadalmi különbségeket és előmozdítani az életminőséget. </w:t>
      </w:r>
    </w:p>
    <w:p>
      <w:pPr>
        <w:pStyle w:val="P68B1DB1Normal76"/>
        <w:widowControl w:val="false"/>
        <w:spacing w:lineRule="auto" w:line="240" w:before="1" w:after="0"/>
        <w:ind w:left="0" w:right="2" w:hanging="0"/>
        <w:jc w:val="both"/>
        <w:rPr/>
      </w:pPr>
      <w:r>
        <w:rPr/>
        <w:t xml:space="preserve">Ez azt jelenti, hogy nem térünk vissza az elmúlt évek eredményeire, és nem őrizzük meg a jóléti állam fogalmát, amelyet a panel résztvevői a világon a legfejlettebbnek és a leginkább aggódónak tartanak a polgárok esélyegyenlőségének és társadalmi igazságosságának biztosítása miatt. </w:t>
      </w:r>
    </w:p>
    <w:p>
      <w:pPr>
        <w:pStyle w:val="P68B1DB1Normal83"/>
        <w:widowControl w:val="false"/>
        <w:spacing w:lineRule="auto" w:line="240" w:before="72" w:after="0"/>
        <w:ind w:left="3000" w:right="0" w:hanging="0"/>
        <w:jc w:val="left"/>
        <w:rPr>
          <w:rFonts w:ascii="Arial" w:hAnsi="Arial"/>
          <w:b/>
          <w:b/>
          <w:color w:val="2E74B5"/>
          <w:sz w:val="24"/>
        </w:rPr>
      </w:pPr>
      <w:r>
        <w:rPr/>
        <w:t xml:space="preserve">AJÁNLÁSOK RÖVIDEN </w:t>
      </w:r>
    </w:p>
    <w:p>
      <w:pPr>
        <w:pStyle w:val="P68B1DB1Normal84"/>
        <w:widowControl w:val="false"/>
        <w:spacing w:lineRule="auto" w:line="240" w:before="69" w:after="0"/>
        <w:ind w:left="283" w:right="0" w:hanging="0"/>
        <w:jc w:val="left"/>
        <w:rPr/>
      </w:pPr>
      <w:r>
        <w:rPr>
          <w:color w:val="BD1271"/>
        </w:rPr>
        <w:t xml:space="preserve">1. </w:t>
      </w:r>
      <w:r>
        <w:rPr>
          <w:color w:val="000000"/>
        </w:rPr>
        <w:t>Ne kössenek kompromisszumot a szociális jogok (közegészségügy, közoktatás, munkapolitika) tekintetében.</w:t>
      </w:r>
    </w:p>
    <w:p>
      <w:pPr>
        <w:pStyle w:val="P68B1DB1Normal84"/>
        <w:widowControl w:val="false"/>
        <w:spacing w:lineRule="auto" w:line="240"/>
        <w:ind w:left="283" w:right="0" w:hanging="0"/>
        <w:jc w:val="left"/>
        <w:rPr/>
      </w:pPr>
      <w:r>
        <w:rPr>
          <w:color w:val="BD1271"/>
        </w:rPr>
        <w:t xml:space="preserve">2. </w:t>
      </w:r>
      <w:r>
        <w:rPr>
          <w:color w:val="000000"/>
        </w:rPr>
        <w:t>A közös valutával, valamint a fizetési rendszerek és a távközlés összekapcsolásával kapcsolatban tett intézkedések megszilárdítása.</w:t>
      </w:r>
    </w:p>
    <w:p>
      <w:pPr>
        <w:pStyle w:val="P68B1DB1Normal88"/>
        <w:widowControl w:val="false"/>
        <w:spacing w:lineRule="auto" w:line="240"/>
        <w:ind w:left="0" w:right="0" w:hanging="0"/>
        <w:jc w:val="left"/>
        <w:rPr>
          <w:rFonts w:ascii="Arial" w:hAnsi="Arial"/>
          <w:color w:val="000000"/>
          <w:sz w:val="18"/>
        </w:rPr>
      </w:pPr>
      <w:r>
        <w:rPr/>
        <w:t xml:space="preserve"> </w:t>
      </w:r>
    </w:p>
    <w:p>
      <w:pPr>
        <w:pStyle w:val="P68B1DB1Normal76"/>
        <w:widowControl w:val="false"/>
        <w:spacing w:lineRule="auto" w:line="240" w:before="57" w:after="0"/>
        <w:ind w:left="0" w:right="0" w:hanging="0"/>
        <w:jc w:val="both"/>
        <w:rPr/>
      </w:pPr>
      <w:r>
        <w:rPr/>
        <w:t xml:space="preserve">Ma azonban minden, ami a múltban történt, már nem tűnik elégségesnek, és a jövő Európájának határozott előrelépést kell tennie a tagállamok közötti integráció terén, egy olyan belső elképzelés szerint, amely már nem a versenyen, hanem az együttműködésen alapul, biztosítva, hogy minden európai polgár ugyanolyan garancia- és lehetőségrendszerekkel rendelkezzen az Unió valamennyi tagállamában. </w:t>
      </w:r>
    </w:p>
    <w:p>
      <w:pPr>
        <w:pStyle w:val="P68B1DB1Normal34"/>
        <w:widowControl w:val="false"/>
        <w:spacing w:lineRule="auto" w:line="240" w:before="3" w:after="0"/>
        <w:ind w:left="0" w:right="0" w:hanging="0"/>
        <w:jc w:val="left"/>
        <w:rPr>
          <w:rFonts w:ascii="Arial" w:hAnsi="Arial"/>
          <w:color w:val="000000"/>
          <w:sz w:val="24"/>
        </w:rPr>
      </w:pPr>
      <w:r>
        <w:rPr/>
        <w:t xml:space="preserve"> </w:t>
      </w:r>
    </w:p>
    <w:p>
      <w:pPr>
        <w:pStyle w:val="P68B1DB1Normal83"/>
        <w:widowControl w:val="false"/>
        <w:spacing w:lineRule="auto" w:line="240" w:before="81" w:after="0"/>
        <w:ind w:left="3000" w:right="0" w:hanging="0"/>
        <w:jc w:val="left"/>
        <w:rPr>
          <w:rFonts w:ascii="Arial" w:hAnsi="Arial"/>
          <w:b/>
          <w:b/>
          <w:color w:val="2E74B5"/>
          <w:sz w:val="24"/>
        </w:rPr>
      </w:pPr>
      <w:r>
        <w:rPr/>
        <w:t xml:space="preserve">AJÁNLÁSOK RÖVIDEN </w:t>
      </w:r>
    </w:p>
    <w:p>
      <w:pPr>
        <w:pStyle w:val="P68B1DB1Normal84"/>
        <w:widowControl w:val="false"/>
        <w:spacing w:lineRule="auto" w:line="240" w:before="72" w:after="0"/>
        <w:ind w:left="283" w:right="0" w:hanging="0"/>
        <w:jc w:val="left"/>
        <w:rPr/>
      </w:pPr>
      <w:r>
        <w:rPr>
          <w:color w:val="BD1271"/>
        </w:rPr>
        <w:t xml:space="preserve">1. </w:t>
      </w:r>
      <w:r>
        <w:rPr>
          <w:color w:val="000000"/>
        </w:rPr>
        <w:t>Lépjünk túl az államok önzőségén és az egyéni előnyök mások kárára való keresésén.</w:t>
      </w:r>
    </w:p>
    <w:p>
      <w:pPr>
        <w:pStyle w:val="P68B1DB1Normal84"/>
        <w:widowControl w:val="false"/>
        <w:spacing w:lineRule="auto" w:line="240"/>
        <w:ind w:left="283" w:right="0" w:hanging="0"/>
        <w:jc w:val="left"/>
        <w:rPr/>
      </w:pPr>
      <w:r>
        <w:rPr>
          <w:color w:val="BD1271"/>
        </w:rPr>
        <w:t xml:space="preserve">2. </w:t>
      </w:r>
      <w:r>
        <w:rPr>
          <w:color w:val="000000"/>
        </w:rPr>
        <w:t>Hozzon létre egy olyan rendszert, amely minden országban azonos törvényekkel, adórendszerekkel, jogokkal és kötelezettségekkel rendelkezik.</w:t>
      </w:r>
    </w:p>
    <w:p>
      <w:pPr>
        <w:pStyle w:val="P68B1DB1Normal84"/>
        <w:widowControl w:val="false"/>
        <w:spacing w:lineRule="auto" w:line="240"/>
        <w:ind w:left="283" w:right="0" w:hanging="0"/>
        <w:jc w:val="left"/>
        <w:rPr/>
      </w:pPr>
      <w:r>
        <w:rPr>
          <w:color w:val="BD1271"/>
        </w:rPr>
        <w:t xml:space="preserve">3. </w:t>
      </w:r>
      <w:r>
        <w:rPr>
          <w:color w:val="000000"/>
        </w:rPr>
        <w:t>Összehangolt adórendszerek a különböző államok között, különös tekintettel a vállalkozásokra (nincs vámszabad terület vagy alacsony adó).</w:t>
      </w:r>
    </w:p>
    <w:p>
      <w:pPr>
        <w:pStyle w:val="P68B1DB1Normal84"/>
        <w:widowControl w:val="false"/>
        <w:spacing w:lineRule="auto" w:line="240"/>
        <w:ind w:left="283" w:right="416" w:hanging="0"/>
        <w:jc w:val="left"/>
        <w:rPr/>
      </w:pPr>
      <w:r>
        <w:rPr>
          <w:color w:val="BD1271"/>
        </w:rPr>
        <w:t xml:space="preserve">4. </w:t>
      </w:r>
      <w:r>
        <w:rPr>
          <w:color w:val="000000"/>
        </w:rPr>
        <w:t>A termékek következetes árai és a különböző államok közötti egyenlő vásárlóerő garantálása.</w:t>
      </w:r>
    </w:p>
    <w:p>
      <w:pPr>
        <w:pStyle w:val="P68B1DB1Normal84"/>
        <w:widowControl w:val="false"/>
        <w:spacing w:lineRule="auto" w:line="240"/>
        <w:ind w:left="283" w:right="416" w:hanging="0"/>
        <w:jc w:val="left"/>
        <w:rPr/>
      </w:pPr>
      <w:r>
        <w:rPr>
          <w:color w:val="BD1271"/>
        </w:rPr>
        <w:t xml:space="preserve">5. </w:t>
      </w:r>
      <w:r>
        <w:rPr>
          <w:color w:val="000000"/>
        </w:rPr>
        <w:t>Csökkenteni kell az ugyanazon ország különböző államai és földrajzi régiói közötti bérkülönbségeket.</w:t>
      </w:r>
    </w:p>
    <w:p>
      <w:pPr>
        <w:pStyle w:val="P68B1DB1Normal84"/>
        <w:widowControl w:val="false"/>
        <w:spacing w:lineRule="auto" w:line="240"/>
        <w:ind w:left="283" w:right="416" w:hanging="0"/>
        <w:jc w:val="left"/>
        <w:rPr/>
      </w:pPr>
      <w:r>
        <w:rPr>
          <w:color w:val="BD1271"/>
        </w:rPr>
        <w:t xml:space="preserve">6. </w:t>
      </w:r>
      <w:r>
        <w:rPr>
          <w:color w:val="000000"/>
        </w:rPr>
        <w:t>Közös felelősségsé kell tenni több tagállam államadósságát.</w:t>
      </w:r>
    </w:p>
    <w:p>
      <w:pPr>
        <w:pStyle w:val="Normal"/>
        <w:widowControl w:val="false"/>
        <w:spacing w:lineRule="auto" w:line="240"/>
        <w:ind w:left="0" w:right="0" w:hanging="0"/>
        <w:jc w:val="left"/>
        <w:rPr>
          <w:rFonts w:ascii="Times New Roman" w:hAnsi="Times New Roman"/>
          <w:color w:val="000000"/>
          <w:sz w:val="24"/>
        </w:rPr>
      </w:pPr>
      <w:r>
        <w:rPr>
          <w:rFonts w:ascii="Times New Roman" w:hAnsi="Times New Roman"/>
          <w:color w:val="000000"/>
          <w:sz w:val="24"/>
        </w:rPr>
      </w:r>
      <w:r>
        <w:br w:type="page"/>
      </w:r>
    </w:p>
    <w:p>
      <w:pPr>
        <w:pStyle w:val="P68B1DB1Titre481"/>
        <w:numPr>
          <w:ilvl w:val="0"/>
          <w:numId w:val="2"/>
        </w:numPr>
        <w:rPr>
          <w:color w:val="0066B3"/>
        </w:rPr>
      </w:pPr>
      <w:bookmarkStart w:id="226" w:name="__RefHeading___Toc300436_1346298689"/>
      <w:bookmarkEnd w:id="226"/>
      <w:r>
        <w:rPr/>
        <w:t xml:space="preserve">5. Integrációs politikák </w:t>
      </w:r>
    </w:p>
    <w:p>
      <w:pPr>
        <w:pStyle w:val="P68B1DB1Normal76"/>
        <w:widowControl w:val="false"/>
        <w:spacing w:lineRule="auto" w:line="240" w:before="88" w:after="0"/>
        <w:ind w:left="0" w:right="0" w:hanging="0"/>
        <w:jc w:val="both"/>
        <w:rPr/>
      </w:pPr>
      <w:r>
        <w:rPr/>
        <w:t xml:space="preserve">Egy igazságos Európa, amely képes boldogságot nyújtani polgárainak, befogadó Európa, amely mindig nagy figyelmet fordít az egyenlőtlenség elleni küzdelemre. Az ajánlások meghatározták a hosszú távú célok (például a nemek közötti egyenlőség) eléréséhez vezető utat, és új követelményeket határoztak meg a kortárs társadalmak kulturális átalakulásával kapcsolatban (digitális egyenlőtlenség és az egészséges környezetben való élethez való jog). </w:t>
      </w:r>
    </w:p>
    <w:p>
      <w:pPr>
        <w:pStyle w:val="P68B1DB1Normal89"/>
        <w:widowControl w:val="false"/>
        <w:spacing w:lineRule="auto" w:line="240" w:before="74" w:after="0"/>
        <w:ind w:left="4819" w:right="0" w:hanging="0"/>
        <w:jc w:val="left"/>
        <w:rPr>
          <w:rFonts w:ascii="Arial" w:hAnsi="Arial"/>
          <w:b/>
          <w:b/>
          <w:color w:val="BD1271"/>
          <w:sz w:val="24"/>
        </w:rPr>
      </w:pPr>
      <w:r>
        <w:rPr/>
        <w:t xml:space="preserve"> </w:t>
      </w:r>
    </w:p>
    <w:p>
      <w:pPr>
        <w:pStyle w:val="P68B1DB1Normal83"/>
        <w:widowControl w:val="false"/>
        <w:spacing w:lineRule="auto" w:line="240" w:before="72" w:after="0"/>
        <w:ind w:left="3000" w:right="0" w:hanging="0"/>
        <w:jc w:val="left"/>
        <w:rPr>
          <w:rFonts w:ascii="Arial" w:hAnsi="Arial"/>
          <w:b/>
          <w:b/>
          <w:color w:val="2E74B5"/>
          <w:sz w:val="24"/>
        </w:rPr>
      </w:pPr>
      <w:r>
        <w:rPr/>
        <w:t xml:space="preserve">AJÁNLÁSOK RÖVIDEN </w:t>
      </w:r>
    </w:p>
    <w:p>
      <w:pPr>
        <w:pStyle w:val="P68B1DB1Normal84"/>
        <w:widowControl w:val="false"/>
        <w:spacing w:lineRule="auto" w:line="240" w:before="69" w:after="0"/>
        <w:ind w:left="283" w:right="0" w:hanging="0"/>
        <w:jc w:val="left"/>
        <w:rPr/>
      </w:pPr>
      <w:r>
        <w:rPr>
          <w:color w:val="BD1271"/>
        </w:rPr>
        <w:t xml:space="preserve">1. </w:t>
      </w:r>
      <w:r>
        <w:rPr>
          <w:color w:val="000000"/>
        </w:rPr>
        <w:t>A nemek közötti teljes egyenlőség megvalósítása, többek között az apai szülői szabadság és a gyermekgondozási létesítmények megerősítése révén.</w:t>
      </w:r>
    </w:p>
    <w:p>
      <w:pPr>
        <w:pStyle w:val="P68B1DB1Normal84"/>
        <w:widowControl w:val="false"/>
        <w:spacing w:lineRule="auto" w:line="240"/>
        <w:ind w:left="283" w:right="0" w:hanging="0"/>
        <w:jc w:val="left"/>
        <w:rPr/>
      </w:pPr>
      <w:r>
        <w:rPr>
          <w:color w:val="BD1271"/>
        </w:rPr>
        <w:t xml:space="preserve">2. </w:t>
      </w:r>
      <w:r>
        <w:rPr>
          <w:color w:val="000000"/>
        </w:rPr>
        <w:t>A digitális egyenlőtlenségek kezelése.</w:t>
      </w:r>
    </w:p>
    <w:p>
      <w:pPr>
        <w:pStyle w:val="P68B1DB1Normal84"/>
        <w:widowControl w:val="false"/>
        <w:spacing w:lineRule="auto" w:line="240"/>
        <w:ind w:left="283" w:right="0" w:hanging="0"/>
        <w:jc w:val="left"/>
        <w:rPr/>
      </w:pPr>
      <w:r>
        <w:rPr>
          <w:color w:val="BD1271"/>
        </w:rPr>
        <w:t xml:space="preserve">3. </w:t>
      </w:r>
      <w:r>
        <w:rPr>
          <w:color w:val="000000"/>
        </w:rPr>
        <w:t>Annak biztosítása, hogy minden európai polgár egészséges és fenntartható környezetben élhessen.</w:t>
      </w:r>
    </w:p>
    <w:p>
      <w:pPr>
        <w:pStyle w:val="P68B1DB1Normal84"/>
        <w:widowControl w:val="false"/>
        <w:spacing w:lineRule="auto" w:line="240"/>
        <w:ind w:left="283" w:right="0" w:hanging="0"/>
        <w:jc w:val="left"/>
        <w:rPr/>
      </w:pPr>
      <w:r>
        <w:rPr>
          <w:color w:val="BD1271"/>
        </w:rPr>
        <w:t xml:space="preserve">4. </w:t>
      </w:r>
      <w:r>
        <w:rPr>
          <w:color w:val="000000"/>
        </w:rPr>
        <w:t>A társadalmi mobilitás lehetőségeinek biztosítása, és ezért minden lehetőség a személyes fejlődésre és az önrendelkezésre</w:t>
      </w:r>
      <w:r>
        <w:rPr>
          <w:color w:val="FF0000"/>
        </w:rPr>
        <w:t>.</w:t>
      </w:r>
      <w:r>
        <w:rPr>
          <w:color w:val="000000"/>
        </w:rPr>
        <w:t xml:space="preserve"> </w:t>
      </w:r>
    </w:p>
    <w:p>
      <w:pPr>
        <w:pStyle w:val="P68B1DB1Normal84"/>
        <w:widowControl w:val="false"/>
        <w:spacing w:lineRule="auto" w:line="240"/>
        <w:ind w:left="283" w:right="0" w:hanging="0"/>
        <w:jc w:val="left"/>
        <w:rPr/>
      </w:pPr>
      <w:r>
        <w:rPr>
          <w:color w:val="BD1271"/>
        </w:rPr>
        <w:t>5. A</w:t>
      </w:r>
      <w:r>
        <w:rPr>
          <w:color w:val="000000"/>
        </w:rPr>
        <w:t>generációk megújulásának előmozdítása minden szinten</w:t>
      </w:r>
      <w:r>
        <w:rPr>
          <w:color w:val="FF0000"/>
        </w:rPr>
        <w:t>.</w:t>
      </w:r>
      <w:r>
        <w:rPr>
          <w:color w:val="000000"/>
        </w:rPr>
        <w:t xml:space="preserve"> </w:t>
      </w:r>
    </w:p>
    <w:p>
      <w:pPr>
        <w:pStyle w:val="P68B1DB1Normal84"/>
        <w:widowControl w:val="false"/>
        <w:spacing w:lineRule="auto" w:line="240"/>
        <w:ind w:left="283" w:right="0" w:hanging="0"/>
        <w:jc w:val="left"/>
        <w:rPr/>
      </w:pPr>
      <w:r>
        <w:rPr>
          <w:color w:val="BD1271"/>
        </w:rPr>
        <w:t xml:space="preserve">6. </w:t>
      </w:r>
      <w:r>
        <w:rPr>
          <w:color w:val="000000"/>
        </w:rPr>
        <w:t>A menekültek és migránsok fogadásának kiegyensúlyozott kezelése a különböző államok között.</w:t>
      </w:r>
    </w:p>
    <w:p>
      <w:pPr>
        <w:pStyle w:val="P68B1DB1Normal76"/>
        <w:widowControl w:val="false"/>
        <w:spacing w:lineRule="auto" w:line="240" w:before="106" w:after="0"/>
        <w:ind w:left="0" w:right="0" w:hanging="0"/>
        <w:jc w:val="both"/>
        <w:rPr/>
      </w:pPr>
      <w:r>
        <w:rPr/>
        <w:t xml:space="preserve">Ismét úgy tűnik, hogy az iskolák és az oktatási politikák központi szerepet töltenek be, nemcsak azért, hogy a fiatalok számára biztosítsák a munkaerőpiacra való belépéshez szükséges készségeket, hanem az európai kultúra kiépítéséhez is. Az intézmények Európájának kiépítését követően elengedhetetlen a népek Európájának kiépítése. E tekintetben hangsúlyt fektetnek a közös nyelv központi szerepére a különböző országok polgárai közötti párbeszéd és a szolgáltatásokhoz való egyenlő hozzáférés lehetővé tétele érdekében. Ahogy az eszperantó álma összeomlott, az Egyesült Királyság Európai Unióból való kilépése kétségeket vetett fel az angol mint közös nyelv, a nemzetközi kapcsolatok egyik kulcsfontosságú nyelve, valamint a tudományos és gazdasági rendszerben való elfogadás lehetőségével kapcsolatban. </w:t>
      </w:r>
    </w:p>
    <w:p>
      <w:pPr>
        <w:pStyle w:val="P68B1DB1Normal90"/>
        <w:widowControl w:val="false"/>
        <w:spacing w:lineRule="auto" w:line="240" w:before="86" w:after="0"/>
        <w:ind w:left="0" w:right="0" w:hanging="0"/>
        <w:jc w:val="left"/>
        <w:rPr>
          <w:rFonts w:ascii="Arial" w:hAnsi="Arial"/>
          <w:color w:val="000000"/>
          <w:sz w:val="16"/>
        </w:rPr>
      </w:pPr>
      <w:r>
        <w:rPr/>
        <w:t xml:space="preserve"> </w:t>
      </w:r>
    </w:p>
    <w:p>
      <w:pPr>
        <w:pStyle w:val="P68B1DB1Normal83"/>
        <w:widowControl w:val="false"/>
        <w:spacing w:lineRule="auto" w:line="240" w:before="45" w:after="0"/>
        <w:ind w:left="3142" w:right="0" w:hanging="0"/>
        <w:jc w:val="left"/>
        <w:rPr>
          <w:rFonts w:ascii="Arial" w:hAnsi="Arial"/>
          <w:b/>
          <w:b/>
          <w:color w:val="2E74B5"/>
          <w:sz w:val="24"/>
        </w:rPr>
      </w:pPr>
      <w:r>
        <w:rPr/>
        <w:t xml:space="preserve">AJÁNLÁSOK RÖVIDEN </w:t>
      </w:r>
    </w:p>
    <w:p>
      <w:pPr>
        <w:pStyle w:val="P68B1DB1Normal84"/>
        <w:widowControl w:val="false"/>
        <w:spacing w:lineRule="auto" w:line="240" w:before="72" w:after="0"/>
        <w:ind w:left="283" w:right="0" w:hanging="0"/>
        <w:jc w:val="left"/>
        <w:rPr/>
      </w:pPr>
      <w:r>
        <w:rPr>
          <w:color w:val="BD1271"/>
        </w:rPr>
        <w:t xml:space="preserve">1. </w:t>
      </w:r>
      <w:r>
        <w:rPr>
          <w:color w:val="000000"/>
        </w:rPr>
        <w:t>A közös nyelv elfogadásának előmozdítása.</w:t>
      </w:r>
    </w:p>
    <w:p>
      <w:pPr>
        <w:pStyle w:val="P68B1DB1Normal84"/>
        <w:widowControl w:val="false"/>
        <w:spacing w:lineRule="auto" w:line="240"/>
        <w:ind w:left="283" w:right="0" w:hanging="0"/>
        <w:jc w:val="left"/>
        <w:rPr/>
      </w:pPr>
      <w:r>
        <w:rPr>
          <w:color w:val="BD1271"/>
        </w:rPr>
        <w:t xml:space="preserve">2. </w:t>
      </w:r>
      <w:r>
        <w:rPr>
          <w:color w:val="000000"/>
        </w:rPr>
        <w:t>Fektessenek be az iskolákba és az európai történelem oktatásába, nem pedig az egyes nemzetekbe, valamint a politikai gazdaságtanba és az állampolgári ismeretek oktatásába.</w:t>
      </w:r>
    </w:p>
    <w:p>
      <w:pPr>
        <w:pStyle w:val="P68B1DB1Normal84"/>
        <w:widowControl w:val="false"/>
        <w:spacing w:lineRule="auto" w:line="240"/>
        <w:ind w:left="283" w:right="417" w:hanging="0"/>
        <w:jc w:val="left"/>
        <w:rPr/>
      </w:pPr>
      <w:r>
        <w:rPr>
          <w:color w:val="BD1271"/>
        </w:rPr>
        <w:t xml:space="preserve">3. </w:t>
      </w:r>
      <w:r>
        <w:rPr>
          <w:color w:val="000000"/>
        </w:rPr>
        <w:t>A kultúrához, az oktatáshoz és a különböző tagállamok diákjai és polgárai közötti cserékhez való hozzáférés.</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Normal"/>
        <w:widowControl w:val="false"/>
        <w:spacing w:lineRule="auto" w:line="240"/>
        <w:ind w:left="0" w:right="0" w:hanging="0"/>
        <w:jc w:val="left"/>
        <w:rPr>
          <w:rFonts w:ascii="Times New Roman" w:hAnsi="Times New Roman"/>
          <w:color w:val="000000"/>
          <w:sz w:val="24"/>
        </w:rPr>
      </w:pPr>
      <w:r>
        <w:rPr>
          <w:rFonts w:ascii="Times New Roman" w:hAnsi="Times New Roman"/>
          <w:color w:val="000000"/>
          <w:sz w:val="24"/>
        </w:rPr>
      </w:r>
      <w:r>
        <w:br w:type="page"/>
      </w:r>
    </w:p>
    <w:p>
      <w:pPr>
        <w:pStyle w:val="P68B1DB1Normal76"/>
        <w:widowControl w:val="false"/>
        <w:spacing w:lineRule="auto" w:line="240" w:before="109" w:after="0"/>
        <w:ind w:left="0" w:right="0" w:hanging="0"/>
        <w:jc w:val="both"/>
        <w:rPr/>
      </w:pPr>
      <w:r>
        <w:rPr/>
        <w:t xml:space="preserve">A befogadási politikák kulcsszerepet játszanak annak biztosításában, hogy a polgárok hozzáférhessenek a lehetőségekhez. E tekintetben a panel résztvevői hangsúlyozták, hogy Olaszország gyakran nem tudja felhasználni az erre a célra rendelkezésre bocsátott uniós forrásokat. A befogadás és a hozzáférhetőség azt jelenti, hogy az európai intézményeknek közelebb kell állniuk polgáraikhoz, és ezek a fogalmak együtt járnak az európai polgárokat megillető jogokkal kapcsolatos tájékoztatással és tudatossággal. Ebből a szempontból az uniós intézmények és a polgárok közötti közvetlen kapcsolat fontossága merült fel, anélkül, hogy szükségképpen a tagállamoknak kellene közvetíteniük. </w:t>
      </w:r>
    </w:p>
    <w:p>
      <w:pPr>
        <w:pStyle w:val="P68B1DB1Normal34"/>
        <w:widowControl w:val="false"/>
        <w:spacing w:lineRule="auto" w:line="240" w:before="78" w:after="0"/>
        <w:ind w:left="0" w:right="0" w:hanging="0"/>
        <w:jc w:val="left"/>
        <w:rPr>
          <w:rFonts w:ascii="Arial" w:hAnsi="Arial"/>
          <w:color w:val="000000"/>
          <w:sz w:val="24"/>
        </w:rPr>
      </w:pPr>
      <w:r>
        <w:rPr/>
        <w:t xml:space="preserve"> </w:t>
      </w:r>
    </w:p>
    <w:p>
      <w:pPr>
        <w:pStyle w:val="P68B1DB1Normal74"/>
        <w:widowControl w:val="false"/>
        <w:spacing w:lineRule="auto" w:line="240" w:before="43" w:after="0"/>
        <w:ind w:left="3000" w:right="0" w:hanging="0"/>
        <w:jc w:val="left"/>
        <w:rPr/>
      </w:pPr>
      <w:r>
        <w:rPr>
          <w:b/>
          <w:sz w:val="24"/>
        </w:rPr>
        <w:t>AJÁNLÁSOK RÖVIDEN</w:t>
      </w:r>
      <w:r>
        <w:rPr>
          <w:sz w:val="28"/>
        </w:rPr>
        <w:t xml:space="preserve"> </w:t>
      </w:r>
    </w:p>
    <w:p>
      <w:pPr>
        <w:pStyle w:val="P68B1DB1Normal84"/>
        <w:widowControl w:val="false"/>
        <w:spacing w:lineRule="auto" w:line="240" w:before="71" w:after="0"/>
        <w:ind w:left="283" w:right="0" w:hanging="0"/>
        <w:jc w:val="left"/>
        <w:rPr/>
      </w:pPr>
      <w:r>
        <w:rPr>
          <w:color w:val="BD1271"/>
        </w:rPr>
        <w:t>1. Az</w:t>
      </w:r>
      <w:r>
        <w:rPr>
          <w:color w:val="000000"/>
        </w:rPr>
        <w:t>uniós források felhasználásának előmozdítása az egyenlőtlenségek csökkentése érdekében</w:t>
      </w:r>
      <w:r>
        <w:rPr>
          <w:color w:val="FF0000"/>
        </w:rPr>
        <w:t>.</w:t>
      </w:r>
      <w:r>
        <w:rPr>
          <w:color w:val="000000"/>
        </w:rPr>
        <w:t xml:space="preserve"> </w:t>
      </w:r>
    </w:p>
    <w:p>
      <w:pPr>
        <w:pStyle w:val="P68B1DB1Normal84"/>
        <w:widowControl w:val="false"/>
        <w:spacing w:lineRule="auto" w:line="240"/>
        <w:ind w:left="283" w:right="416" w:hanging="0"/>
        <w:jc w:val="left"/>
        <w:rPr/>
      </w:pPr>
      <w:r>
        <w:rPr>
          <w:color w:val="BD1271"/>
        </w:rPr>
        <w:t xml:space="preserve">2. </w:t>
      </w:r>
      <w:r>
        <w:rPr>
          <w:color w:val="000000"/>
        </w:rPr>
        <w:t>Az európai intézmények hozzáférhetősége és a polgárokhoz való közelsége.</w:t>
      </w:r>
    </w:p>
    <w:p>
      <w:pPr>
        <w:pStyle w:val="P68B1DB1Normal84"/>
        <w:widowControl w:val="false"/>
        <w:spacing w:lineRule="auto" w:line="240"/>
        <w:ind w:left="283" w:right="416" w:hanging="0"/>
        <w:jc w:val="left"/>
        <w:rPr/>
      </w:pPr>
      <w:r>
        <w:rPr>
          <w:color w:val="BD1271"/>
        </w:rPr>
        <w:t xml:space="preserve">3. </w:t>
      </w:r>
      <w:r>
        <w:rPr>
          <w:color w:val="000000"/>
        </w:rPr>
        <w:t>Egyértelműen közöljék a polgárokkal jogaikat és lehetőségeiket, és előmozdítsák a polgárok közvetlen hozzáférését ezekhez.</w:t>
      </w:r>
    </w:p>
    <w:p>
      <w:pPr>
        <w:pStyle w:val="P68B1DB1Normal91"/>
        <w:widowControl w:val="false"/>
        <w:spacing w:lineRule="auto" w:line="240"/>
        <w:ind w:left="0" w:right="0" w:hanging="0"/>
        <w:jc w:val="left"/>
        <w:rPr>
          <w:rFonts w:ascii="Arial" w:hAnsi="Arial"/>
          <w:color w:val="000000"/>
          <w:sz w:val="28"/>
        </w:rPr>
      </w:pPr>
      <w:r>
        <w:rPr/>
        <w:t xml:space="preserve"> </w:t>
      </w:r>
    </w:p>
    <w:p>
      <w:pPr>
        <w:pStyle w:val="P68B1DB1Titre481"/>
        <w:numPr>
          <w:ilvl w:val="0"/>
          <w:numId w:val="2"/>
        </w:numPr>
        <w:rPr>
          <w:color w:val="0066B3"/>
        </w:rPr>
      </w:pPr>
      <w:bookmarkStart w:id="227" w:name="__RefHeading___Toc300438_1346298689"/>
      <w:bookmarkEnd w:id="227"/>
      <w:r>
        <w:rPr/>
        <w:t xml:space="preserve">6. Foglalkoztatás </w:t>
      </w:r>
    </w:p>
    <w:p>
      <w:pPr>
        <w:pStyle w:val="Normal"/>
        <w:widowControl w:val="false"/>
        <w:spacing w:lineRule="auto" w:line="240" w:before="97" w:after="0"/>
        <w:ind w:left="0" w:right="1" w:hanging="0"/>
        <w:jc w:val="both"/>
        <w:rPr/>
      </w:pPr>
      <w:r>
        <w:rPr>
          <w:color w:val="000000"/>
        </w:rPr>
        <w:t xml:space="preserve">A foglalkoztatás kérdése folyamatosan horizontális elemként és az Európai Unió azon képességének közvetlen hatásaként merült fel, hogy reagálni tudjon az ajánlásaira. A résztvevők </w:t>
      </w:r>
      <w:r>
        <w:rPr>
          <w:color w:val="FF0000"/>
        </w:rPr>
        <w:t>közötti</w:t>
      </w:r>
      <w:r>
        <w:rPr>
          <w:color w:val="000000"/>
        </w:rPr>
        <w:t xml:space="preserve"> vita során egyértelmű volt, hogy a foglalkoztatás kérdése a polgárok életének középpontjában áll, de együtt jár a gazdasági és társadalmi igazságossággal kapcsolatos kérdések megerősítésével. Nagy várakozással tekintünk egy olyan Európai Unióra, amelyben az aktív munkaerő-politikák továbbra is központi szerepet töltenek be és egyre inkább összehangoltak. </w:t>
      </w:r>
    </w:p>
    <w:p>
      <w:pPr>
        <w:pStyle w:val="P68B1DB1Normal34"/>
        <w:widowControl w:val="false"/>
        <w:spacing w:lineRule="auto" w:line="240" w:before="77" w:after="0"/>
        <w:ind w:left="0" w:right="0" w:hanging="0"/>
        <w:jc w:val="left"/>
        <w:rPr>
          <w:rFonts w:ascii="Arial" w:hAnsi="Arial"/>
          <w:color w:val="000000"/>
          <w:sz w:val="24"/>
        </w:rPr>
      </w:pPr>
      <w:r>
        <w:rPr/>
        <w:t xml:space="preserve"> </w:t>
      </w:r>
    </w:p>
    <w:p>
      <w:pPr>
        <w:pStyle w:val="P68B1DB1Normal74"/>
        <w:widowControl w:val="false"/>
        <w:spacing w:lineRule="auto" w:line="240" w:before="43" w:after="0"/>
        <w:ind w:left="3000" w:right="0" w:hanging="0"/>
        <w:jc w:val="left"/>
        <w:rPr/>
      </w:pPr>
      <w:r>
        <w:rPr>
          <w:b/>
          <w:sz w:val="24"/>
        </w:rPr>
        <w:t>AJÁNLÁSOK RÖVIDEN</w:t>
      </w:r>
      <w:r>
        <w:rPr>
          <w:sz w:val="28"/>
        </w:rPr>
        <w:t xml:space="preserve"> </w:t>
      </w:r>
    </w:p>
    <w:p>
      <w:pPr>
        <w:pStyle w:val="P68B1DB1Normal84"/>
        <w:widowControl w:val="false"/>
        <w:spacing w:lineRule="auto" w:line="240" w:before="71" w:after="0"/>
        <w:ind w:left="283" w:right="0" w:hanging="0"/>
        <w:jc w:val="left"/>
        <w:rPr/>
      </w:pPr>
      <w:r>
        <w:rPr>
          <w:color w:val="BD1271"/>
        </w:rPr>
        <w:t xml:space="preserve">1. </w:t>
      </w:r>
      <w:r>
        <w:rPr>
          <w:color w:val="000000"/>
        </w:rPr>
        <w:t>Az európai munkavállalók közötti kereskedelem előmozdítása az Európai Foglalkoztatási Központon keresztül.</w:t>
      </w:r>
    </w:p>
    <w:p>
      <w:pPr>
        <w:pStyle w:val="P68B1DB1Normal84"/>
        <w:widowControl w:val="false"/>
        <w:spacing w:lineRule="auto" w:line="240"/>
        <w:ind w:left="283" w:right="0" w:hanging="0"/>
        <w:jc w:val="left"/>
        <w:rPr/>
      </w:pPr>
      <w:r>
        <w:rPr>
          <w:color w:val="BD1271"/>
        </w:rPr>
        <w:t xml:space="preserve">2. </w:t>
      </w:r>
      <w:r>
        <w:rPr>
          <w:color w:val="000000"/>
        </w:rPr>
        <w:t>Integrált foglalkoztatáspolitikák uniós szinten.</w:t>
      </w:r>
    </w:p>
    <w:p>
      <w:pPr>
        <w:pStyle w:val="P68B1DB1Normal84"/>
        <w:widowControl w:val="false"/>
        <w:spacing w:lineRule="auto" w:line="240"/>
        <w:ind w:left="283" w:right="0" w:hanging="0"/>
        <w:jc w:val="left"/>
        <w:rPr/>
      </w:pPr>
      <w:r>
        <w:rPr>
          <w:color w:val="BD1271"/>
        </w:rPr>
        <w:t xml:space="preserve">3. </w:t>
      </w:r>
      <w:r>
        <w:rPr>
          <w:color w:val="000000"/>
        </w:rPr>
        <w:t>Ösztönzőket nyújt azoknak a vállalatoknak, amelyek munkahelyeket kínálnak.</w:t>
      </w:r>
    </w:p>
    <w:p>
      <w:pPr>
        <w:pStyle w:val="Normal"/>
        <w:widowControl w:val="false"/>
        <w:spacing w:lineRule="auto" w:line="240"/>
        <w:ind w:left="994" w:right="0" w:hanging="0"/>
        <w:jc w:val="left"/>
        <w:rPr>
          <w:rFonts w:ascii="Arial" w:hAnsi="Arial"/>
          <w:color w:val="000000"/>
          <w:sz w:val="28"/>
        </w:rPr>
      </w:pPr>
      <w:r>
        <w:rPr>
          <w:color w:val="000000"/>
          <w:sz w:val="28"/>
        </w:rPr>
      </w:r>
      <w:r>
        <w:br w:type="page"/>
      </w:r>
    </w:p>
    <w:p>
      <w:pPr>
        <w:pStyle w:val="P68B1DB1Titre392"/>
        <w:numPr>
          <w:ilvl w:val="0"/>
          <w:numId w:val="2"/>
        </w:numPr>
        <w:rPr>
          <w:color w:val="FFFFFF"/>
          <w:highlight w:val="darkCyan"/>
        </w:rPr>
      </w:pPr>
      <w:bookmarkStart w:id="228" w:name="__RefHeading___Toc300320_1346298689"/>
      <w:bookmarkEnd w:id="228"/>
      <w:r>
        <w:rPr/>
        <w:t xml:space="preserve"> </w:t>
      </w:r>
      <w:r>
        <w:rPr/>
        <w:t xml:space="preserve">Európa a világban </w:t>
      </w:r>
    </w:p>
    <w:p>
      <w:pPr>
        <w:pStyle w:val="P68B1DB1Normal76"/>
        <w:widowControl w:val="false"/>
        <w:spacing w:lineRule="exact" w:line="380" w:before="143" w:after="0"/>
        <w:ind w:left="74" w:right="0" w:hanging="0"/>
        <w:jc w:val="both"/>
        <w:rPr/>
      </w:pPr>
      <w:r>
        <w:rPr/>
        <w:t xml:space="preserve">A közelmúlt nemzetközi eseményei, és különösen az Oroszország és Ukrajna közötti háború jelentős hatással volt annak megítélésére, hogy Európának milyen szerepet kell játszania nemzetközi szinten. Az összegyűjtött ajánlások elsősorban az EU megerősítésére összpontosítottak (mind az identitás, mind a gazdasági hatalom tekintetében), valamint arra, hogy referencia- és helyreállítási modellként pozícionálják az EU-t a többi országgal fenntartott kapcsolataiban. </w:t>
      </w:r>
    </w:p>
    <w:p>
      <w:pPr>
        <w:pStyle w:val="P68B1DB1Normal34"/>
        <w:widowControl w:val="false"/>
        <w:spacing w:lineRule="exact" w:line="393" w:before="1424" w:after="0"/>
        <w:ind w:left="74" w:right="0" w:hanging="0"/>
        <w:jc w:val="left"/>
        <w:rPr>
          <w:rFonts w:ascii="Arial" w:hAnsi="Arial"/>
          <w:color w:val="000000"/>
          <w:sz w:val="24"/>
        </w:rPr>
      </w:pPr>
      <w:r>
        <w:rPr>
          <w:color w:val="000000"/>
          <w:sz w:val="24"/>
        </w:rPr>
        <mc:AlternateContent>
          <mc:Choice Requires="wpg">
            <w:drawing>
              <wp:anchor behindDoc="0" distT="0" distB="0" distL="0" distR="0" simplePos="0" locked="0" layoutInCell="1" allowOverlap="1" relativeHeight="59">
                <wp:simplePos x="0" y="0"/>
                <wp:positionH relativeFrom="column">
                  <wp:posOffset>-166370</wp:posOffset>
                </wp:positionH>
                <wp:positionV relativeFrom="paragraph">
                  <wp:posOffset>67945</wp:posOffset>
                </wp:positionV>
                <wp:extent cx="6453505" cy="904875"/>
                <wp:effectExtent l="0" t="0" r="0" b="0"/>
                <wp:wrapTopAndBottom/>
                <wp:docPr id="106" name="Formanyomtatvány7"/>
                <a:graphic xmlns:a="http://schemas.openxmlformats.org/drawingml/2006/main">
                  <a:graphicData uri="http://schemas.microsoft.com/office/word/2010/wordprocessingGroup">
                    <wpg:wgp>
                      <wpg:cNvGrpSpPr/>
                      <wpg:grpSpPr>
                        <a:xfrm>
                          <a:off x="0" y="0"/>
                          <a:ext cx="6453000" cy="904320"/>
                        </a:xfrm>
                      </wpg:grpSpPr>
                      <pic:pic xmlns:pic="http://schemas.openxmlformats.org/drawingml/2006/picture">
                        <pic:nvPicPr>
                          <pic:cNvPr id="9" name="" descr=""/>
                          <pic:cNvPicPr/>
                        </pic:nvPicPr>
                        <pic:blipFill>
                          <a:blip r:embed="rId109"/>
                          <a:stretch/>
                        </pic:blipFill>
                        <pic:spPr>
                          <a:xfrm rot="10800000">
                            <a:off x="444600" y="207000"/>
                            <a:ext cx="5524560" cy="348480"/>
                          </a:xfrm>
                          <a:prstGeom prst="rect">
                            <a:avLst/>
                          </a:prstGeom>
                          <a:ln>
                            <a:noFill/>
                          </a:ln>
                        </pic:spPr>
                      </pic:pic>
                      <wps:wsp>
                        <wps:cNvSpPr/>
                        <wps:spPr>
                          <a:xfrm>
                            <a:off x="0" y="118080"/>
                            <a:ext cx="1533600" cy="47052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Az európai identitás erősítése</w:t>
                              </w:r>
                            </w:p>
                          </w:txbxContent>
                        </wps:txbx>
                        <wps:bodyPr lIns="90000" rIns="90000" tIns="45000" bIns="45000">
                          <a:noAutofit/>
                        </wps:bodyPr>
                      </wps:wsp>
                      <wps:wsp>
                        <wps:cNvSpPr/>
                        <wps:spPr>
                          <a:xfrm>
                            <a:off x="1477800" y="84600"/>
                            <a:ext cx="1636560" cy="47052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 gazdaság és az intézmények megerősítése</w:t>
                              </w:r>
                            </w:p>
                          </w:txbxContent>
                        </wps:txbx>
                        <wps:bodyPr lIns="90000" rIns="90000" tIns="45000" bIns="45000">
                          <a:noAutofit/>
                        </wps:bodyPr>
                      </wps:wsp>
                      <wps:wsp>
                        <wps:cNvSpPr/>
                        <wps:spPr>
                          <a:xfrm>
                            <a:off x="3385080" y="0"/>
                            <a:ext cx="1589400" cy="47052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Együttműködés és partnerségek</w:t>
                              </w:r>
                            </w:p>
                          </w:txbxContent>
                        </wps:txbx>
                        <wps:bodyPr lIns="90000" rIns="90000" tIns="45000" bIns="45000">
                          <a:noAutofit/>
                        </wps:bodyPr>
                      </wps:wsp>
                      <wps:wsp>
                        <wps:cNvSpPr/>
                        <wps:spPr>
                          <a:xfrm>
                            <a:off x="4845600" y="8280"/>
                            <a:ext cx="1607040" cy="59184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Politikai és kulturális referenciapont</w:t>
                              </w:r>
                            </w:p>
                          </w:txbxContent>
                        </wps:txbx>
                        <wps:bodyPr lIns="90000" rIns="90000" tIns="45000" bIns="45000">
                          <a:noAutofit/>
                        </wps:bodyPr>
                      </wps:wsp>
                    </wpg:wgp>
                  </a:graphicData>
                </a:graphic>
              </wp:anchor>
            </w:drawing>
          </mc:Choice>
          <mc:Fallback>
            <w:pict>
              <v:group id="shape_0" alt="Formanyomtatvány7" style="position:absolute;margin-left:-13.1pt;margin-top:5.35pt;width:508.1pt;height:71.15pt" coordorigin="-262,107" coordsize="10162,1423">
                <v:shape id="shape_0" stroked="f" style="position:absolute;left:438;top:982;width:8699;height:548;rotation:180" type="shapetype_75">
                  <v:imagedata r:id="rId110" o:detectmouseclick="t"/>
                  <w10:wrap type="none"/>
                  <v:stroke color="#3465a4" joinstyle="round" endcap="flat"/>
                </v:shape>
                <v:rect id="shape_0" stroked="f" style="position:absolute;left:-262;top:293;width:2414;height:740">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Az európai identitás erősítése</w:t>
                        </w:r>
                      </w:p>
                    </w:txbxContent>
                  </v:textbox>
                  <w10:wrap type="square"/>
                  <v:fill o:detectmouseclick="t" on="false"/>
                  <v:stroke color="#3465a4" joinstyle="round" endcap="flat"/>
                </v:rect>
                <v:rect id="shape_0" stroked="f" style="position:absolute;left:2065;top:240;width:2576;height:740">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 gazdaság és az intézmények megerősítése</w:t>
                        </w:r>
                      </w:p>
                    </w:txbxContent>
                  </v:textbox>
                  <w10:wrap type="square"/>
                  <v:fill o:detectmouseclick="t" on="false"/>
                  <v:stroke color="#3465a4" joinstyle="round" endcap="flat"/>
                </v:rect>
                <v:rect id="shape_0" stroked="f" style="position:absolute;left:5069;top:107;width:2502;height:740">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Együttműködés és partnerségek</w:t>
                        </w:r>
                      </w:p>
                    </w:txbxContent>
                  </v:textbox>
                  <w10:wrap type="square"/>
                  <v:fill o:detectmouseclick="t" on="false"/>
                  <v:stroke color="#3465a4" joinstyle="round" endcap="flat"/>
                </v:rect>
                <v:rect id="shape_0" stroked="f" style="position:absolute;left:7369;top:120;width:2530;height:931">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Politikai és kulturális referenciapont</w:t>
                        </w:r>
                      </w:p>
                    </w:txbxContent>
                  </v:textbox>
                  <w10:wrap type="square"/>
                  <v:fill o:detectmouseclick="t" on="false"/>
                  <v:stroke color="#3465a4" joinstyle="round" endcap="flat"/>
                </v:rect>
              </v:group>
            </w:pict>
          </mc:Fallback>
        </mc:AlternateContent>
      </w:r>
    </w:p>
    <w:p>
      <w:pPr>
        <w:pStyle w:val="P68B1DB1Titre481"/>
        <w:numPr>
          <w:ilvl w:val="0"/>
          <w:numId w:val="2"/>
        </w:numPr>
        <w:rPr>
          <w:color w:val="0066B3"/>
        </w:rPr>
      </w:pPr>
      <w:bookmarkStart w:id="229" w:name="__RefHeading___Toc300440_1346298689"/>
      <w:bookmarkEnd w:id="229"/>
      <w:r>
        <w:rPr/>
        <w:t>1. Az európai identitás erősítése</w:t>
      </w:r>
    </w:p>
    <w:p>
      <w:pPr>
        <w:pStyle w:val="P68B1DB1Normal76"/>
        <w:widowControl w:val="false"/>
        <w:spacing w:lineRule="auto" w:line="240" w:before="106" w:after="0"/>
        <w:ind w:left="74" w:right="0" w:hanging="0"/>
        <w:jc w:val="both"/>
        <w:rPr/>
      </w:pPr>
      <w:r>
        <w:rPr/>
        <w:t xml:space="preserve">Ahhoz, hogy határain túl is elismerjék, az Európai Uniónak először belső kohéziót kell mutatnia, nemcsak gazdasági és pénzügyi szempontból, hanem identitás és értékek tekintetében is. Olyan identitás, amelyet nem jóváhagyással, hanem a helyi sajátosságok közös alapvető értékek keretében történő felértékelésével hoznak létre. </w:t>
      </w:r>
    </w:p>
    <w:p>
      <w:pPr>
        <w:pStyle w:val="P68B1DB1Normal76"/>
        <w:widowControl w:val="false"/>
        <w:spacing w:lineRule="auto" w:line="240" w:before="78" w:after="0"/>
        <w:ind w:left="74" w:right="1" w:hanging="0"/>
        <w:jc w:val="both"/>
        <w:rPr/>
      </w:pPr>
      <w:r>
        <w:rPr/>
        <w:t xml:space="preserve">Az Unió alkalmazási körének esetleges bővítésével kapcsolatos mérlegelésre is sor került a következők szem előtt tartásával: egyes panelek résztvevői szerint nem differenciálatlan módon, hanem inkább a kultúra és az értékek kölcsönös elismerésére kellene összpontosítani, nem pedig a gazdasági normákra. </w:t>
      </w:r>
    </w:p>
    <w:p>
      <w:pPr>
        <w:pStyle w:val="P68B1DB1Normal83"/>
        <w:widowControl w:val="false"/>
        <w:spacing w:lineRule="auto" w:line="240" w:before="74" w:after="0"/>
        <w:ind w:left="4894" w:right="0" w:hanging="0"/>
        <w:jc w:val="left"/>
        <w:rPr>
          <w:rFonts w:ascii="Arial" w:hAnsi="Arial"/>
          <w:b/>
          <w:b/>
          <w:color w:val="2E74B5"/>
          <w:sz w:val="24"/>
        </w:rPr>
      </w:pPr>
      <w:r>
        <w:rPr/>
        <w:t xml:space="preserve"> </w:t>
      </w:r>
    </w:p>
    <w:p>
      <w:pPr>
        <w:pStyle w:val="P68B1DB1Normal74"/>
        <w:widowControl w:val="false"/>
        <w:spacing w:lineRule="auto" w:line="240" w:before="33" w:after="0"/>
        <w:ind w:left="3074" w:right="0" w:hanging="0"/>
        <w:jc w:val="left"/>
        <w:rPr/>
      </w:pPr>
      <w:r>
        <w:rPr>
          <w:b/>
          <w:sz w:val="24"/>
        </w:rPr>
        <w:t>AJÁNLÁSOK RÖVIDEN</w:t>
      </w:r>
      <w:r>
        <w:rPr>
          <w:sz w:val="28"/>
        </w:rPr>
        <w:t xml:space="preserve"> </w:t>
      </w:r>
    </w:p>
    <w:p>
      <w:pPr>
        <w:pStyle w:val="P68B1DB1Normal84"/>
        <w:widowControl w:val="false"/>
        <w:spacing w:lineRule="auto" w:line="240" w:before="147" w:after="0"/>
        <w:ind w:left="358" w:right="0" w:hanging="0"/>
        <w:jc w:val="left"/>
        <w:rPr/>
      </w:pPr>
      <w:r>
        <w:rPr>
          <w:color w:val="BD1271"/>
        </w:rPr>
        <w:t xml:space="preserve">1. </w:t>
      </w:r>
      <w:r>
        <w:rPr>
          <w:color w:val="000000"/>
        </w:rPr>
        <w:t>Az európai kulturális értékek és jellemzők, valamint a regionális sajátosságok megerősítése.</w:t>
      </w:r>
    </w:p>
    <w:p>
      <w:pPr>
        <w:pStyle w:val="P68B1DB1Normal84"/>
        <w:widowControl w:val="false"/>
        <w:spacing w:lineRule="auto" w:line="240"/>
        <w:ind w:left="358" w:right="0" w:hanging="0"/>
        <w:jc w:val="left"/>
        <w:rPr/>
      </w:pPr>
      <w:r>
        <w:rPr>
          <w:color w:val="BD1271"/>
        </w:rPr>
        <w:t xml:space="preserve">2. </w:t>
      </w:r>
      <w:r>
        <w:rPr>
          <w:color w:val="000000"/>
        </w:rPr>
        <w:t>Az európai kultúra intézményének létrehozása a különböző államok polgárai közötti tisztelet és kölcsönös gazdagodás kultúrájának előmozdítása érdekében.</w:t>
      </w:r>
    </w:p>
    <w:p>
      <w:pPr>
        <w:pStyle w:val="P68B1DB1Normal84"/>
        <w:widowControl w:val="false"/>
        <w:spacing w:lineRule="auto" w:line="240"/>
        <w:ind w:left="418" w:right="418" w:hanging="0"/>
        <w:jc w:val="both"/>
        <w:rPr/>
      </w:pPr>
      <w:r>
        <w:rPr>
          <w:color w:val="BD1271"/>
        </w:rPr>
        <w:t xml:space="preserve">3. </w:t>
      </w:r>
      <w:r>
        <w:rPr>
          <w:color w:val="000000"/>
        </w:rPr>
        <w:t>Az új tagjelölt országokhoz tartozás elveinek újrafogalmazása az olyan tényezők megerősítésével, mint a kulturális identitás és értékek.</w:t>
      </w:r>
    </w:p>
    <w:p>
      <w:pPr>
        <w:pStyle w:val="P68B1DB1Normal34"/>
        <w:widowControl w:val="false"/>
        <w:spacing w:lineRule="auto" w:line="240"/>
        <w:ind w:left="74" w:right="0" w:hanging="0"/>
        <w:jc w:val="left"/>
        <w:rPr>
          <w:rFonts w:ascii="Arial" w:hAnsi="Arial"/>
          <w:color w:val="000000"/>
          <w:sz w:val="24"/>
        </w:rPr>
      </w:pPr>
      <w:r>
        <w:rPr/>
        <w:t xml:space="preserve"> </w:t>
      </w:r>
    </w:p>
    <w:p>
      <w:pPr>
        <w:pStyle w:val="P68B1DB1Titre481"/>
        <w:numPr>
          <w:ilvl w:val="0"/>
          <w:numId w:val="2"/>
        </w:numPr>
        <w:rPr>
          <w:color w:val="0066B3"/>
        </w:rPr>
      </w:pPr>
      <w:bookmarkStart w:id="230" w:name="__RefHeading___Toc300442_1346298689"/>
      <w:bookmarkEnd w:id="230"/>
      <w:r>
        <w:rPr/>
        <w:t xml:space="preserve">2. A gazdaság és az intézmények megerősítése </w:t>
      </w:r>
    </w:p>
    <w:p>
      <w:pPr>
        <w:pStyle w:val="P68B1DB1Normal76"/>
        <w:widowControl w:val="false"/>
        <w:spacing w:lineRule="auto" w:line="240" w:before="109" w:after="0"/>
        <w:ind w:left="0" w:right="0" w:hanging="0"/>
        <w:jc w:val="both"/>
        <w:rPr/>
      </w:pPr>
      <w:r>
        <w:rPr/>
        <w:t xml:space="preserve">A jövő Európája várhatóan vezető szerepet tölt be nemzetközi szinten, amelyet csak erős és független, más országokból származó Unióval lehet felvállalni. Széles körben elismert tény, hogy az uniós országok nyersanyaghiányban szenvednek, de elengedhetetlennek tűnik, hogy az EU képes legyen nagyobb függetlenséget biztosítani az energiaellátás, a mezőgazdaság és a technológiai termékek tekintetében. </w:t>
      </w:r>
    </w:p>
    <w:p>
      <w:pPr>
        <w:pStyle w:val="P68B1DB1Normal76"/>
        <w:widowControl w:val="false"/>
        <w:spacing w:lineRule="auto" w:line="240" w:before="78" w:after="0"/>
        <w:ind w:left="0" w:right="1" w:hanging="0"/>
        <w:jc w:val="both"/>
        <w:rPr/>
      </w:pPr>
      <w:r>
        <w:rPr/>
        <w:t xml:space="preserve">Ehhez konkrét beruházásokra van szükség az olyan területeken, mint a technológia (ahol az Európai Unió jelenleg nem játszik vezető szerepet), hanem az élelmiszer- és energiaágazatban is. </w:t>
      </w:r>
    </w:p>
    <w:p>
      <w:pPr>
        <w:pStyle w:val="P68B1DB1Normal76"/>
        <w:widowControl w:val="false"/>
        <w:spacing w:lineRule="auto" w:line="240" w:before="78" w:after="0"/>
        <w:ind w:left="0" w:right="2" w:hanging="0"/>
        <w:jc w:val="both"/>
        <w:rPr/>
      </w:pPr>
      <w:r>
        <w:rPr/>
        <w:t xml:space="preserve">Az Oroszország és Ukrajna közötti háború a vita középpontjába helyezte az integrált európai védelmi politika fontosságát is, amelynek sajátos identitása és nagyobb autonómiája van a NATO-tól, anélkül, hogy megkérdőjelezné a NATO tagságát. </w:t>
      </w:r>
    </w:p>
    <w:p>
      <w:pPr>
        <w:pStyle w:val="P68B1DB1Normal76"/>
        <w:widowControl w:val="false"/>
        <w:spacing w:lineRule="auto" w:line="240" w:before="78" w:after="0"/>
        <w:ind w:left="0" w:right="1" w:hanging="0"/>
        <w:jc w:val="left"/>
        <w:rPr/>
      </w:pPr>
      <w:r>
        <w:rPr/>
        <w:t xml:space="preserve">Végezetül, ez egyértelmű választásokat jelent a jövőre nézve, amelyet a tudományba és a kutatásba való jelentős beruházás kísér a fiatal európaiak készségeinek növelése érdekében. </w:t>
      </w:r>
    </w:p>
    <w:p>
      <w:pPr>
        <w:pStyle w:val="P68B1DB1Normal34"/>
        <w:widowControl w:val="false"/>
        <w:spacing w:lineRule="auto" w:line="240" w:before="78" w:after="0"/>
        <w:ind w:left="0" w:right="0" w:hanging="0"/>
        <w:jc w:val="left"/>
        <w:rPr>
          <w:rFonts w:ascii="Arial" w:hAnsi="Arial"/>
          <w:color w:val="000000"/>
          <w:sz w:val="24"/>
        </w:rPr>
      </w:pPr>
      <w:r>
        <w:rPr/>
        <w:t xml:space="preserve"> </w:t>
      </w:r>
    </w:p>
    <w:p>
      <w:pPr>
        <w:pStyle w:val="P68B1DB1Normal74"/>
        <w:widowControl w:val="false"/>
        <w:spacing w:lineRule="auto" w:line="240" w:before="43" w:after="0"/>
        <w:ind w:left="3000" w:right="0" w:hanging="0"/>
        <w:jc w:val="left"/>
        <w:rPr/>
      </w:pPr>
      <w:r>
        <w:rPr>
          <w:b/>
          <w:sz w:val="24"/>
        </w:rPr>
        <w:t>AJÁNLÁSOK RÖVIDEN</w:t>
      </w:r>
      <w:r>
        <w:rPr>
          <w:sz w:val="28"/>
        </w:rPr>
        <w:t xml:space="preserve"> </w:t>
      </w:r>
    </w:p>
    <w:p>
      <w:pPr>
        <w:pStyle w:val="P68B1DB1Normal84"/>
        <w:widowControl w:val="false"/>
        <w:spacing w:lineRule="auto" w:line="240" w:before="70" w:after="0"/>
        <w:ind w:left="283" w:right="0" w:hanging="0"/>
        <w:jc w:val="left"/>
        <w:rPr/>
      </w:pPr>
      <w:r>
        <w:rPr>
          <w:color w:val="BD1271"/>
        </w:rPr>
        <w:t xml:space="preserve">1. </w:t>
      </w:r>
      <w:r>
        <w:rPr>
          <w:color w:val="000000"/>
        </w:rPr>
        <w:t xml:space="preserve">A belső termelési kapacitás megerősítése: élelmiszerlánc (különösen búza) és technológia (mikroprocesszorok). </w:t>
      </w:r>
    </w:p>
    <w:p>
      <w:pPr>
        <w:pStyle w:val="P68B1DB1Normal84"/>
        <w:widowControl w:val="false"/>
        <w:spacing w:lineRule="auto" w:line="240"/>
        <w:ind w:left="283" w:right="0" w:hanging="0"/>
        <w:jc w:val="left"/>
        <w:rPr/>
      </w:pPr>
      <w:r>
        <w:rPr>
          <w:color w:val="BD1271"/>
        </w:rPr>
        <w:t xml:space="preserve">2. </w:t>
      </w:r>
      <w:r>
        <w:rPr>
          <w:color w:val="000000"/>
        </w:rPr>
        <w:t>A tipikus regionális és európai produkciók népszerűsítése.</w:t>
      </w:r>
    </w:p>
    <w:p>
      <w:pPr>
        <w:pStyle w:val="P68B1DB1Normal84"/>
        <w:widowControl w:val="false"/>
        <w:spacing w:lineRule="auto" w:line="240"/>
        <w:ind w:left="283" w:right="0" w:hanging="0"/>
        <w:jc w:val="left"/>
        <w:rPr/>
      </w:pPr>
      <w:r>
        <w:rPr>
          <w:color w:val="BD1271"/>
        </w:rPr>
        <w:t xml:space="preserve">3. </w:t>
      </w:r>
      <w:r>
        <w:rPr>
          <w:color w:val="000000"/>
        </w:rPr>
        <w:t>Az európai ipari klaszterek (pl. acél) megerősítése.</w:t>
      </w:r>
    </w:p>
    <w:p>
      <w:pPr>
        <w:pStyle w:val="P68B1DB1Normal84"/>
        <w:widowControl w:val="false"/>
        <w:spacing w:lineRule="auto" w:line="240"/>
        <w:ind w:left="283" w:right="0" w:hanging="0"/>
        <w:jc w:val="left"/>
        <w:rPr/>
      </w:pPr>
      <w:r>
        <w:rPr>
          <w:color w:val="BD1271"/>
        </w:rPr>
        <w:t xml:space="preserve">4. </w:t>
      </w:r>
      <w:r>
        <w:rPr>
          <w:color w:val="000000"/>
        </w:rPr>
        <w:t>A helyi energiatermelés megerősítése ökológiai szempontból (gáz, nap, szél).</w:t>
      </w:r>
    </w:p>
    <w:p>
      <w:pPr>
        <w:pStyle w:val="P68B1DB1Normal84"/>
        <w:widowControl w:val="false"/>
        <w:spacing w:lineRule="auto" w:line="240"/>
        <w:ind w:left="283" w:right="0" w:hanging="0"/>
        <w:jc w:val="left"/>
        <w:rPr/>
      </w:pPr>
      <w:r>
        <w:rPr>
          <w:color w:val="BD1271"/>
        </w:rPr>
        <w:t xml:space="preserve">5. </w:t>
      </w:r>
      <w:r>
        <w:rPr>
          <w:color w:val="000000"/>
        </w:rPr>
        <w:t>Repülőgépipari technológiák fejlesztése.</w:t>
      </w:r>
    </w:p>
    <w:p>
      <w:pPr>
        <w:pStyle w:val="P68B1DB1Normal84"/>
        <w:widowControl w:val="false"/>
        <w:spacing w:lineRule="auto" w:line="240"/>
        <w:ind w:left="283" w:right="417" w:hanging="0"/>
        <w:jc w:val="left"/>
        <w:rPr/>
      </w:pPr>
      <w:r>
        <w:rPr>
          <w:color w:val="BD1271"/>
        </w:rPr>
        <w:t xml:space="preserve">6. </w:t>
      </w:r>
      <w:r>
        <w:rPr>
          <w:color w:val="000000"/>
        </w:rPr>
        <w:t>Európai tudományos laboratóriumok (Európai vírusbank) létrehozása.</w:t>
      </w:r>
    </w:p>
    <w:p>
      <w:pPr>
        <w:pStyle w:val="P68B1DB1Normal84"/>
        <w:widowControl w:val="false"/>
        <w:spacing w:lineRule="auto" w:line="240"/>
        <w:ind w:left="283" w:right="417" w:hanging="0"/>
        <w:jc w:val="left"/>
        <w:rPr/>
      </w:pPr>
      <w:r>
        <w:rPr>
          <w:color w:val="BD1271"/>
        </w:rPr>
        <w:t xml:space="preserve">7. </w:t>
      </w:r>
      <w:r>
        <w:rPr>
          <w:color w:val="000000"/>
        </w:rPr>
        <w:t>Létre kell hozni egy közös európai hadsereget, amely a NATO keretein belül működik, de hozzájárul a túllépéshez is.</w:t>
      </w:r>
    </w:p>
    <w:p>
      <w:pPr>
        <w:pStyle w:val="P68B1DB1Normal84"/>
        <w:widowControl w:val="false"/>
        <w:spacing w:lineRule="auto" w:line="240"/>
        <w:ind w:left="283" w:right="417" w:hanging="0"/>
        <w:jc w:val="left"/>
        <w:rPr/>
      </w:pPr>
      <w:r>
        <w:rPr>
          <w:color w:val="BD1271"/>
        </w:rPr>
        <w:t xml:space="preserve">8. </w:t>
      </w:r>
      <w:r>
        <w:rPr>
          <w:color w:val="000000"/>
        </w:rPr>
        <w:t>Fektessenek be az oktatók képzésébe (európai tanárcserék, Erasmus tanároknak).</w:t>
      </w:r>
    </w:p>
    <w:p>
      <w:pPr>
        <w:pStyle w:val="P68B1DB1Normal84"/>
        <w:widowControl w:val="false"/>
        <w:spacing w:lineRule="auto" w:line="240"/>
        <w:ind w:left="283" w:right="416" w:hanging="0"/>
        <w:jc w:val="left"/>
        <w:rPr/>
      </w:pPr>
      <w:r>
        <w:rPr>
          <w:color w:val="BD1271"/>
        </w:rPr>
        <w:t>9. Az</w:t>
      </w:r>
      <w:r>
        <w:rPr>
          <w:color w:val="000000"/>
        </w:rPr>
        <w:t>európai kutatók mobilitásának növelése új európai tudományos intézmények létrehozásával</w:t>
      </w:r>
      <w:r>
        <w:rPr>
          <w:color w:val="FF0000"/>
        </w:rPr>
        <w:t>.</w:t>
      </w:r>
      <w:r>
        <w:rPr>
          <w:color w:val="000000"/>
        </w:rPr>
        <w:t xml:space="preserve"> </w:t>
      </w:r>
    </w:p>
    <w:p>
      <w:pPr>
        <w:pStyle w:val="P68B1DB1Normal84"/>
        <w:widowControl w:val="false"/>
        <w:spacing w:lineRule="auto" w:line="240"/>
        <w:ind w:left="283" w:right="0" w:hanging="0"/>
        <w:jc w:val="left"/>
        <w:rPr/>
      </w:pPr>
      <w:r>
        <w:rPr>
          <w:color w:val="BD1271"/>
        </w:rPr>
        <w:t xml:space="preserve">10. </w:t>
      </w:r>
      <w:r>
        <w:rPr>
          <w:color w:val="000000"/>
        </w:rPr>
        <w:t>Az innovatív induló vállalkozások megjelenésének elősegítése.</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P68B1DB1Titre481"/>
        <w:numPr>
          <w:ilvl w:val="0"/>
          <w:numId w:val="2"/>
        </w:numPr>
        <w:rPr>
          <w:color w:val="0066B3"/>
        </w:rPr>
      </w:pPr>
      <w:bookmarkStart w:id="231" w:name="__RefHeading___Toc300444_1346298689"/>
      <w:bookmarkEnd w:id="231"/>
      <w:r>
        <w:rPr/>
        <w:t xml:space="preserve">3. Együttműködés és partnerségek </w:t>
      </w:r>
    </w:p>
    <w:p>
      <w:pPr>
        <w:pStyle w:val="P68B1DB1Normal76"/>
        <w:widowControl w:val="false"/>
        <w:spacing w:lineRule="auto" w:line="240" w:before="109" w:after="0"/>
        <w:ind w:left="0" w:right="2" w:hanging="0"/>
        <w:jc w:val="both"/>
        <w:rPr/>
      </w:pPr>
      <w:r>
        <w:rPr/>
        <w:t xml:space="preserve">A holnap Európájának jövőképe nem egy erődítmény, amely megvédi vagyonát, hanem egy nemzetközi színtéren lévő főszereplő, aki képes párbeszédet folytatni a világ összes országával. Olyan párbeszéd, amely kereskedelmi hatalomból indul ki, és amelynek gazdasági vezető szerepre kell irányulnia, és amelyet nagyszabású nemzetközi partnerségek és projektek létrehozásával lehet megszilárdítani. </w:t>
      </w:r>
    </w:p>
    <w:p>
      <w:pPr>
        <w:pStyle w:val="P68B1DB1Normal76"/>
        <w:widowControl w:val="false"/>
        <w:spacing w:lineRule="auto" w:line="240" w:before="78" w:after="0"/>
        <w:ind w:left="0" w:right="0" w:hanging="0"/>
        <w:jc w:val="both"/>
        <w:rPr/>
      </w:pPr>
      <w:r>
        <w:rPr/>
        <w:t xml:space="preserve">Mindezt a világ legsérülékenyebb régióira irányuló együttműködés és figyelem, a legszegényebb országok kiemelését célzó ad hoc projektek, valamint a keleti országokkal folytatott kulturális és gazdasági csereprogramok céljából. </w:t>
      </w:r>
    </w:p>
    <w:p>
      <w:pPr>
        <w:pStyle w:val="P68B1DB1Normal76"/>
        <w:widowControl w:val="false"/>
        <w:spacing w:lineRule="auto" w:line="240" w:before="78" w:after="0"/>
        <w:ind w:left="0" w:right="3" w:hanging="0"/>
        <w:jc w:val="both"/>
        <w:rPr/>
      </w:pPr>
      <w:r>
        <w:rPr/>
        <w:t xml:space="preserve">Különös figyelmet kell fordítani a migráció témájára is, az országok közötti jobb koordináció, valamint a kérelmek és az egyének kezelésére vonatkozó közös eljárások alkalmazása mellett. </w:t>
      </w:r>
    </w:p>
    <w:p>
      <w:pPr>
        <w:pStyle w:val="P68B1DB1Normal34"/>
        <w:widowControl w:val="false"/>
        <w:spacing w:lineRule="auto" w:line="240" w:before="78" w:after="0"/>
        <w:ind w:left="0" w:right="0" w:hanging="0"/>
        <w:jc w:val="left"/>
        <w:rPr>
          <w:rFonts w:ascii="Arial" w:hAnsi="Arial"/>
          <w:color w:val="000000"/>
          <w:sz w:val="24"/>
        </w:rPr>
      </w:pPr>
      <w:r>
        <w:rPr/>
        <w:t xml:space="preserve"> </w:t>
      </w:r>
    </w:p>
    <w:p>
      <w:pPr>
        <w:pStyle w:val="P68B1DB1Normal74"/>
        <w:widowControl w:val="false"/>
        <w:spacing w:lineRule="auto" w:line="240" w:before="43" w:after="0"/>
        <w:ind w:left="3000" w:right="0" w:hanging="0"/>
        <w:jc w:val="left"/>
        <w:rPr/>
      </w:pPr>
      <w:r>
        <w:rPr>
          <w:b/>
          <w:sz w:val="24"/>
        </w:rPr>
        <w:t>AJÁNLÁSOK RÖVIDEN</w:t>
      </w:r>
      <w:r>
        <w:rPr>
          <w:sz w:val="28"/>
        </w:rPr>
        <w:t xml:space="preserve"> </w:t>
      </w:r>
    </w:p>
    <w:p>
      <w:pPr>
        <w:pStyle w:val="P68B1DB1Normal84"/>
        <w:widowControl w:val="false"/>
        <w:spacing w:lineRule="auto" w:line="240" w:before="71" w:after="0"/>
        <w:ind w:left="283" w:right="0" w:hanging="0"/>
        <w:jc w:val="left"/>
        <w:rPr/>
      </w:pPr>
      <w:r>
        <w:rPr>
          <w:color w:val="BD1271"/>
        </w:rPr>
        <w:t xml:space="preserve">1. </w:t>
      </w:r>
      <w:r>
        <w:rPr>
          <w:color w:val="000000"/>
        </w:rPr>
        <w:t>Az export fellendítése.</w:t>
      </w:r>
    </w:p>
    <w:p>
      <w:pPr>
        <w:pStyle w:val="P68B1DB1Normal84"/>
        <w:widowControl w:val="false"/>
        <w:spacing w:lineRule="auto" w:line="240"/>
        <w:ind w:left="283" w:right="0" w:hanging="0"/>
        <w:jc w:val="left"/>
        <w:rPr/>
      </w:pPr>
      <w:r>
        <w:rPr>
          <w:color w:val="BD1271"/>
        </w:rPr>
        <w:t xml:space="preserve">2. </w:t>
      </w:r>
      <w:r>
        <w:rPr>
          <w:color w:val="000000"/>
        </w:rPr>
        <w:t>Transznacionális európai turisztikai útvonalak előmozdítása.</w:t>
      </w:r>
    </w:p>
    <w:p>
      <w:pPr>
        <w:pStyle w:val="P68B1DB1Normal84"/>
        <w:widowControl w:val="false"/>
        <w:spacing w:lineRule="auto" w:line="240"/>
        <w:ind w:left="283" w:right="0" w:hanging="0"/>
        <w:jc w:val="left"/>
        <w:rPr/>
      </w:pPr>
      <w:r>
        <w:rPr>
          <w:color w:val="BD1271"/>
        </w:rPr>
        <w:t xml:space="preserve">3. </w:t>
      </w:r>
      <w:r>
        <w:rPr>
          <w:color w:val="000000"/>
        </w:rPr>
        <w:t>Az európai szintű tárgyalások kereskedelmi rendszerének kialakítása (nem egyénileg mint államok vagy vállalatok, hanem mint Unió), hogy nagyobb tárgyalási hatalommal rendelkezzen, de az emberi jogok tiszteletben tartásával kapcsolatos korlátokkal.</w:t>
      </w:r>
    </w:p>
    <w:p>
      <w:pPr>
        <w:pStyle w:val="P68B1DB1Normal84"/>
        <w:widowControl w:val="false"/>
        <w:spacing w:lineRule="auto" w:line="240"/>
        <w:ind w:left="283" w:right="417" w:hanging="0"/>
        <w:jc w:val="left"/>
        <w:rPr/>
      </w:pPr>
      <w:r>
        <w:rPr>
          <w:color w:val="BD1271"/>
        </w:rPr>
        <w:t xml:space="preserve">4. </w:t>
      </w:r>
      <w:r>
        <w:rPr>
          <w:color w:val="000000"/>
        </w:rPr>
        <w:t>Vezető nagy nemzetközi projektek, mint például a Nemzetközi Űrállomás.</w:t>
      </w:r>
    </w:p>
    <w:p>
      <w:pPr>
        <w:pStyle w:val="P68B1DB1Normal84"/>
        <w:widowControl w:val="false"/>
        <w:spacing w:lineRule="auto" w:line="240"/>
        <w:ind w:left="283" w:right="417" w:hanging="0"/>
        <w:jc w:val="left"/>
        <w:rPr/>
      </w:pPr>
      <w:r>
        <w:rPr>
          <w:color w:val="BD1271"/>
        </w:rPr>
        <w:t xml:space="preserve">5. </w:t>
      </w:r>
      <w:r>
        <w:rPr>
          <w:color w:val="000000"/>
        </w:rPr>
        <w:t>Finanszírozzon olyan projekteket Afrikában, amelyek iskolák és kórházak építésére irányulnak, anélkül, hogy gyarmati jellegű attitűdöt alkalmaznának, de az európai értékek és jogok tiszteletben tartására összpontosítanak.</w:t>
      </w:r>
    </w:p>
    <w:p>
      <w:pPr>
        <w:pStyle w:val="P68B1DB1Normal84"/>
        <w:widowControl w:val="false"/>
        <w:spacing w:lineRule="auto" w:line="240"/>
        <w:ind w:left="283" w:right="417" w:hanging="0"/>
        <w:jc w:val="left"/>
        <w:rPr/>
      </w:pPr>
      <w:r>
        <w:rPr>
          <w:color w:val="BD1271"/>
        </w:rPr>
        <w:t xml:space="preserve">6. </w:t>
      </w:r>
      <w:r>
        <w:rPr>
          <w:color w:val="000000"/>
        </w:rPr>
        <w:t>Fektessenek be helyszíni képzésbe (különösen a nők számára) a legszegényebb országokban.</w:t>
      </w:r>
    </w:p>
    <w:p>
      <w:pPr>
        <w:pStyle w:val="P68B1DB1Normal84"/>
        <w:widowControl w:val="false"/>
        <w:spacing w:lineRule="auto" w:line="240"/>
        <w:ind w:left="283" w:right="0" w:hanging="0"/>
        <w:jc w:val="left"/>
        <w:rPr/>
      </w:pPr>
      <w:r>
        <w:rPr>
          <w:color w:val="BD1271"/>
        </w:rPr>
        <w:t xml:space="preserve">7. </w:t>
      </w:r>
      <w:r>
        <w:rPr>
          <w:color w:val="000000"/>
        </w:rPr>
        <w:t>Technikusok és oktatók cseréjének előmozdítása.</w:t>
      </w:r>
    </w:p>
    <w:p>
      <w:pPr>
        <w:pStyle w:val="P68B1DB1Normal84"/>
        <w:widowControl w:val="false"/>
        <w:spacing w:lineRule="auto" w:line="240"/>
        <w:ind w:left="283" w:right="0" w:hanging="0"/>
        <w:jc w:val="left"/>
        <w:rPr/>
      </w:pPr>
      <w:r>
        <w:rPr>
          <w:color w:val="BD1271"/>
        </w:rPr>
        <w:t xml:space="preserve">8. </w:t>
      </w:r>
      <w:r>
        <w:rPr>
          <w:color w:val="000000"/>
        </w:rPr>
        <w:t>A migránsok hozzáférésére vonatkozó közös szabályok rendszerének létrehozása, a humanitárius és gazdasági migráció különböző folyamataival, valamint a különböző államok közötti méltányos elosztással, de közös szabályokkal (cénusz és a magatartás és a foglalkoztatás ellenőrzése).</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P68B1DB1Titre481"/>
        <w:numPr>
          <w:ilvl w:val="0"/>
          <w:numId w:val="2"/>
        </w:numPr>
        <w:rPr>
          <w:color w:val="0066B3"/>
        </w:rPr>
      </w:pPr>
      <w:bookmarkStart w:id="232" w:name="__RefHeading___Toc300446_1346298689"/>
      <w:bookmarkEnd w:id="232"/>
      <w:r>
        <w:rPr/>
        <w:t xml:space="preserve">4. Politikai és kulturális referenciák </w:t>
      </w:r>
    </w:p>
    <w:p>
      <w:pPr>
        <w:pStyle w:val="P68B1DB1Normal76"/>
        <w:widowControl w:val="false"/>
        <w:spacing w:lineRule="auto" w:line="240" w:before="106" w:after="0"/>
        <w:ind w:left="0" w:right="145" w:hanging="0"/>
        <w:jc w:val="both"/>
        <w:rPr/>
      </w:pPr>
      <w:r>
        <w:rPr/>
        <w:t xml:space="preserve">A fent leírt forgatókönyv szerint Európa a jogok és az etika szempontjából globális szinten egyértelmű politikai és kulturális referenciaként szolgál, példát mutatva az egészséges környezet, az emberek jogainak tiszteletben tartása, valamint a Kelet és Nyugat közötti párbeszéd biztosítása érdekében. </w:t>
      </w:r>
    </w:p>
    <w:p>
      <w:pPr>
        <w:pStyle w:val="P68B1DB1Normal83"/>
        <w:widowControl w:val="false"/>
        <w:spacing w:lineRule="auto" w:line="240" w:before="73" w:after="0"/>
        <w:ind w:left="4819" w:right="0" w:hanging="0"/>
        <w:jc w:val="left"/>
        <w:rPr>
          <w:rFonts w:ascii="Arial" w:hAnsi="Arial"/>
          <w:b/>
          <w:b/>
          <w:color w:val="2E74B5"/>
          <w:sz w:val="24"/>
        </w:rPr>
      </w:pPr>
      <w:r>
        <w:rPr/>
        <w:t xml:space="preserve"> </w:t>
      </w:r>
    </w:p>
    <w:p>
      <w:pPr>
        <w:pStyle w:val="P68B1DB1Normal75"/>
        <w:widowControl w:val="false"/>
        <w:spacing w:lineRule="auto" w:line="240" w:before="72" w:after="0"/>
        <w:ind w:left="3000" w:right="0" w:hanging="0"/>
        <w:jc w:val="left"/>
        <w:rPr/>
      </w:pPr>
      <w:r>
        <w:rPr>
          <w:b/>
          <w:color w:val="2E74B5"/>
        </w:rPr>
        <w:t>AJÁNLÁSOK RÖVIDEN</w:t>
      </w:r>
      <w:r>
        <w:rPr>
          <w:color w:val="000000"/>
        </w:rPr>
        <w:t xml:space="preserve"> </w:t>
      </w:r>
    </w:p>
    <w:p>
      <w:pPr>
        <w:pStyle w:val="P68B1DB1Normal84"/>
        <w:widowControl w:val="false"/>
        <w:spacing w:lineRule="auto" w:line="240" w:before="69" w:after="0"/>
        <w:ind w:left="283" w:right="0" w:hanging="0"/>
        <w:jc w:val="left"/>
        <w:rPr/>
      </w:pPr>
      <w:r>
        <w:rPr>
          <w:color w:val="BD1271"/>
        </w:rPr>
        <w:t xml:space="preserve">1. </w:t>
      </w:r>
      <w:r>
        <w:rPr>
          <w:color w:val="000000"/>
        </w:rPr>
        <w:t>Zöld kontinensként vezető szerepet tölt be, mások előtt nulla kibocsátást ér el, és növeli a tiszta energiatermelést (szél és nap).</w:t>
      </w:r>
    </w:p>
    <w:p>
      <w:pPr>
        <w:pStyle w:val="P68B1DB1Normal84"/>
        <w:widowControl w:val="false"/>
        <w:spacing w:lineRule="auto" w:line="240"/>
        <w:ind w:left="283" w:right="0" w:hanging="0"/>
        <w:jc w:val="left"/>
        <w:rPr/>
      </w:pPr>
      <w:r>
        <w:rPr>
          <w:color w:val="BD1271"/>
        </w:rPr>
        <w:t xml:space="preserve">2. </w:t>
      </w:r>
      <w:r>
        <w:rPr>
          <w:color w:val="000000"/>
        </w:rPr>
        <w:t>A nulla hatású áruk előállítására szolgáló technológiák exportálása.</w:t>
      </w:r>
    </w:p>
    <w:p>
      <w:pPr>
        <w:pStyle w:val="P68B1DB1Normal84"/>
        <w:widowControl w:val="false"/>
        <w:spacing w:lineRule="auto" w:line="240"/>
        <w:ind w:left="283" w:right="0" w:hanging="0"/>
        <w:jc w:val="left"/>
        <w:rPr/>
      </w:pPr>
      <w:r>
        <w:rPr>
          <w:color w:val="BD1271"/>
        </w:rPr>
        <w:t xml:space="preserve">3. </w:t>
      </w:r>
      <w:r>
        <w:rPr>
          <w:color w:val="000000"/>
        </w:rPr>
        <w:t>Összefolyásként szolgálnak Kelet és Nyugat között, előmozdítva a kulturális cseréket és a közös kulturális kezdeményezéseket (például a művészeti világnapokat a különböző európai fővárosokban, egy művészeti programmal, amely nyugati és keleti művészeket is magában foglal).</w:t>
      </w:r>
    </w:p>
    <w:p>
      <w:pPr>
        <w:pStyle w:val="P68B1DB1Normal84"/>
        <w:widowControl w:val="false"/>
        <w:spacing w:lineRule="auto" w:line="240"/>
        <w:ind w:left="283" w:right="560" w:hanging="0"/>
        <w:jc w:val="left"/>
        <w:rPr/>
      </w:pPr>
      <w:r>
        <w:rPr>
          <w:color w:val="BD1271"/>
        </w:rPr>
        <w:t xml:space="preserve">4. </w:t>
      </w:r>
      <w:r>
        <w:rPr>
          <w:color w:val="000000"/>
        </w:rPr>
        <w:t>Hozzon létre egy európai etikai modellt a migrációs folyamatok kezelésére, amely nemzetközi szinten is megosztható.</w:t>
      </w:r>
    </w:p>
    <w:p>
      <w:pPr>
        <w:pStyle w:val="P68B1DB1Normal32"/>
        <w:widowControl w:val="false"/>
        <w:spacing w:lineRule="auto" w:line="240"/>
        <w:ind w:left="283" w:right="0" w:hanging="0"/>
        <w:jc w:val="left"/>
        <w:rPr>
          <w:rFonts w:ascii="Arial" w:hAnsi="Arial"/>
          <w:b/>
          <w:b/>
          <w:color w:val="000000"/>
          <w:sz w:val="24"/>
        </w:rPr>
      </w:pPr>
      <w:r>
        <w:rPr/>
        <w:t xml:space="preserve"> </w:t>
      </w:r>
    </w:p>
    <w:p>
      <w:pPr>
        <w:pStyle w:val="Titre2"/>
        <w:numPr>
          <w:ilvl w:val="1"/>
          <w:numId w:val="2"/>
        </w:numPr>
        <w:rPr/>
      </w:pPr>
      <w:bookmarkStart w:id="233" w:name="__RefHeading___Toc300322_1346298689"/>
      <w:bookmarkEnd w:id="233"/>
      <w:r>
        <w:rPr/>
        <w:t xml:space="preserve">6. A résztvevők végső értékelése </w:t>
      </w:r>
    </w:p>
    <w:p>
      <w:pPr>
        <w:pStyle w:val="P68B1DB1Normal76"/>
        <w:widowControl w:val="false"/>
        <w:spacing w:lineRule="auto" w:line="240" w:before="106" w:after="0"/>
        <w:ind w:left="0" w:right="0" w:hanging="0"/>
        <w:jc w:val="both"/>
        <w:rPr/>
      </w:pPr>
      <w:r>
        <w:rPr/>
        <w:t xml:space="preserve">A két munkanap végén valamennyi résztvevőt felkértek, hogy töltsenek ki egy rövid kérdőívet, hogy értékeljék tapasztalataikat. Az értékelő kérdőívet két nappal a testület vége után küldték el annak érdekében, hogy minden résztvevő időt kapjon arra, hogy visszalépjen a tapasztalatoktól, és objektívebb választ tudjon adni. </w:t>
      </w:r>
    </w:p>
    <w:p>
      <w:pPr>
        <w:pStyle w:val="Normal"/>
        <w:widowControl w:val="false"/>
        <w:spacing w:lineRule="auto" w:line="240" w:before="78" w:after="0"/>
        <w:ind w:left="0" w:right="2" w:hanging="0"/>
        <w:jc w:val="left"/>
        <w:rPr/>
      </w:pPr>
      <w:r>
        <w:rPr>
          <w:color w:val="000000"/>
        </w:rPr>
        <w:t xml:space="preserve">Az összegyűjtött eredmények különösen magas szintű elégedettséget mutatnak mind az érdeklődés, mind a részvétel könnyűsége, valamint a hallgatás és a befogadás érzése tekintetében. </w:t>
      </w:r>
      <w:r>
        <w:br w:type="page"/>
      </w:r>
    </w:p>
    <w:p>
      <w:pPr>
        <w:pStyle w:val="Normal"/>
        <w:widowControl w:val="false"/>
        <w:spacing w:lineRule="auto" w:line="240" w:before="4764" w:after="0"/>
        <w:ind w:left="0" w:right="2" w:hanging="0"/>
        <w:jc w:val="left"/>
        <w:rPr>
          <w:rFonts w:ascii="Arial" w:hAnsi="Arial"/>
          <w:color w:val="000000"/>
          <w:sz w:val="24"/>
        </w:rPr>
      </w:pPr>
      <w:r>
        <w:rPr>
          <w:color w:val="000000"/>
          <w:sz w:val="24"/>
        </w:rPr>
        <mc:AlternateContent>
          <mc:Choice Requires="wpg">
            <w:drawing>
              <wp:anchor behindDoc="0" distT="0" distB="0" distL="0" distR="0" simplePos="0" locked="0" layoutInCell="1" allowOverlap="1" relativeHeight="60">
                <wp:simplePos x="0" y="0"/>
                <wp:positionH relativeFrom="column">
                  <wp:posOffset>635</wp:posOffset>
                </wp:positionH>
                <wp:positionV relativeFrom="paragraph">
                  <wp:posOffset>50165</wp:posOffset>
                </wp:positionV>
                <wp:extent cx="5996305" cy="3025775"/>
                <wp:effectExtent l="0" t="0" r="0" b="0"/>
                <wp:wrapTopAndBottom/>
                <wp:docPr id="107" name="Formanyomtatvány"/>
                <a:graphic xmlns:a="http://schemas.openxmlformats.org/drawingml/2006/main">
                  <a:graphicData uri="http://schemas.microsoft.com/office/word/2010/wordprocessingGroup">
                    <wpg:wgp>
                      <wpg:cNvGrpSpPr/>
                      <wpg:grpSpPr>
                        <a:xfrm>
                          <a:off x="0" y="0"/>
                          <a:ext cx="5995800" cy="3025080"/>
                        </a:xfrm>
                      </wpg:grpSpPr>
                      <pic:pic xmlns:pic="http://schemas.openxmlformats.org/drawingml/2006/picture">
                        <pic:nvPicPr>
                          <pic:cNvPr id="10" name="" descr=""/>
                          <pic:cNvPicPr/>
                        </pic:nvPicPr>
                        <pic:blipFill>
                          <a:blip r:embed="rId111"/>
                          <a:stretch/>
                        </pic:blipFill>
                        <pic:spPr>
                          <a:xfrm>
                            <a:off x="2533680" y="487080"/>
                            <a:ext cx="3379320" cy="2538000"/>
                          </a:xfrm>
                          <a:prstGeom prst="rect">
                            <a:avLst/>
                          </a:prstGeom>
                          <a:ln>
                            <a:noFill/>
                          </a:ln>
                        </pic:spPr>
                      </pic:pic>
                      <wps:wsp>
                        <wps:cNvSpPr/>
                        <wps:spPr>
                          <a:xfrm>
                            <a:off x="210240" y="0"/>
                            <a:ext cx="578556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 xml:space="preserve">Elégedettség a testületben való részvétellel </w:t>
                              </w:r>
                            </w:p>
                          </w:txbxContent>
                        </wps:txbx>
                        <wps:bodyPr lIns="90000" rIns="90000" tIns="45000" bIns="45000">
                          <a:noAutofit/>
                        </wps:bodyPr>
                      </wps:wsp>
                      <wps:wsp>
                        <wps:cNvSpPr/>
                        <wps:spPr>
                          <a:xfrm>
                            <a:off x="60480" y="640800"/>
                            <a:ext cx="2477880" cy="3751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Általános elégedettség a tapasztalatokkal</w:t>
                              </w:r>
                            </w:p>
                          </w:txbxContent>
                        </wps:txbx>
                        <wps:bodyPr lIns="90000" rIns="90000" tIns="45000" bIns="45000">
                          <a:noAutofit/>
                        </wps:bodyPr>
                      </wps:wsp>
                      <wps:wsp>
                        <wps:cNvSpPr/>
                        <wps:spPr>
                          <a:xfrm>
                            <a:off x="69120" y="1184400"/>
                            <a:ext cx="2478240" cy="382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 résztvevők hozzájárulásainak minősége</w:t>
                              </w:r>
                            </w:p>
                          </w:txbxContent>
                        </wps:txbx>
                        <wps:bodyPr lIns="90000" rIns="90000" tIns="45000" bIns="45000">
                          <a:noAutofit/>
                        </wps:bodyPr>
                      </wps:wsp>
                      <wps:wsp>
                        <wps:cNvSpPr/>
                        <wps:spPr>
                          <a:xfrm>
                            <a:off x="60840" y="1469520"/>
                            <a:ext cx="2478240" cy="382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Az ajánlások és a vita közötti koherencia</w:t>
                              </w:r>
                            </w:p>
                          </w:txbxContent>
                        </wps:txbx>
                        <wps:bodyPr lIns="90000" rIns="90000" tIns="45000" bIns="45000">
                          <a:noAutofit/>
                        </wps:bodyPr>
                      </wps:wsp>
                      <wps:wsp>
                        <wps:cNvSpPr/>
                        <wps:spPr>
                          <a:xfrm>
                            <a:off x="61560" y="1861200"/>
                            <a:ext cx="2478240" cy="236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 platform egyszerű használata</w:t>
                              </w:r>
                            </w:p>
                          </w:txbxContent>
                        </wps:txbx>
                        <wps:bodyPr lIns="90000" rIns="90000" tIns="45000" bIns="45000">
                          <a:noAutofit/>
                        </wps:bodyPr>
                      </wps:wsp>
                      <wps:wsp>
                        <wps:cNvSpPr/>
                        <wps:spPr>
                          <a:xfrm>
                            <a:off x="0" y="2128680"/>
                            <a:ext cx="2478240" cy="23688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 vélemények sokféleségének tiszteletben tartása</w:t>
                              </w:r>
                            </w:p>
                          </w:txbxContent>
                        </wps:txbx>
                        <wps:bodyPr lIns="90000" rIns="90000" tIns="45000" bIns="45000">
                          <a:noAutofit/>
                        </wps:bodyPr>
                      </wps:wsp>
                      <wps:wsp>
                        <wps:cNvSpPr/>
                        <wps:spPr>
                          <a:xfrm>
                            <a:off x="44280" y="2343240"/>
                            <a:ext cx="2477880" cy="52848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 moderátorok képessége, hogy hangot adjanak a résztvevőknek, és meghallgassák beavatkozásaikat</w:t>
                              </w:r>
                            </w:p>
                          </w:txbxContent>
                        </wps:txbx>
                        <wps:bodyPr lIns="90000" rIns="90000" tIns="45000" bIns="45000">
                          <a:noAutofit/>
                        </wps:bodyPr>
                      </wps:wsp>
                      <wps:wsp>
                        <wps:cNvSpPr/>
                        <wps:spPr>
                          <a:xfrm>
                            <a:off x="27360" y="2788200"/>
                            <a:ext cx="2477880" cy="236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Érdeklődés a tárgyalt témák iránt</w:t>
                              </w:r>
                            </w:p>
                          </w:txbxContent>
                        </wps:txbx>
                        <wps:bodyPr lIns="90000" rIns="90000" tIns="45000" bIns="45000">
                          <a:noAutofit/>
                        </wps:bodyPr>
                      </wps:wsp>
                    </wpg:wgp>
                  </a:graphicData>
                </a:graphic>
              </wp:anchor>
            </w:drawing>
          </mc:Choice>
          <mc:Fallback>
            <w:pict>
              <v:group id="shape_0" alt="Formanyomtatvány" style="position:absolute;margin-left:0.05pt;margin-top:3.95pt;width:472.1pt;height:238.2pt" coordorigin="1,79" coordsize="9442,4764">
                <v:shape id="shape_0" stroked="f" style="position:absolute;left:3991;top:846;width:5321;height:3996" type="shapetype_75">
                  <v:imagedata r:id="rId111" o:detectmouseclick="t"/>
                  <w10:wrap type="none"/>
                  <v:stroke color="#3465a4" joinstyle="round" endcap="flat"/>
                </v:shape>
                <v:rect id="shape_0" stroked="f" style="position:absolute;left:332;top:79;width:9110;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 xml:space="preserve">Elégedettség a testületben való részvétellel </w:t>
                        </w:r>
                      </w:p>
                    </w:txbxContent>
                  </v:textbox>
                  <w10:wrap type="square"/>
                  <v:fill o:detectmouseclick="t" on="false"/>
                  <v:stroke color="#3465a4" joinstyle="round" endcap="flat"/>
                </v:rect>
                <v:rect id="shape_0" stroked="f" style="position:absolute;left:96;top:1088;width:3901;height:590">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Általános elégedettség a tapasztalatokkal</w:t>
                        </w:r>
                      </w:p>
                    </w:txbxContent>
                  </v:textbox>
                  <w10:wrap type="square"/>
                  <v:fill o:detectmouseclick="t" on="false"/>
                  <v:stroke color="#3465a4" joinstyle="round" endcap="flat"/>
                </v:rect>
                <v:rect id="shape_0" stroked="f" style="position:absolute;left:110;top:1944;width:3902;height:601">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 résztvevők hozzájárulásainak minősége</w:t>
                        </w:r>
                      </w:p>
                    </w:txbxContent>
                  </v:textbox>
                  <w10:wrap type="square"/>
                  <v:fill o:detectmouseclick="t" on="false"/>
                  <v:stroke color="#3465a4" joinstyle="round" endcap="flat"/>
                </v:rect>
                <v:rect id="shape_0" stroked="f" style="position:absolute;left:97;top:2393;width:3902;height:601">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Az ajánlások és a vita közötti koherencia</w:t>
                        </w:r>
                      </w:p>
                    </w:txbxContent>
                  </v:textbox>
                  <w10:wrap type="square"/>
                  <v:fill o:detectmouseclick="t" on="false"/>
                  <v:stroke color="#3465a4" joinstyle="round" endcap="flat"/>
                </v:rect>
                <v:rect id="shape_0" stroked="f" style="position:absolute;left:98;top:3010;width:3902;height:371">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 platform egyszerű használata</w:t>
                        </w:r>
                      </w:p>
                    </w:txbxContent>
                  </v:textbox>
                  <w10:wrap type="square"/>
                  <v:fill o:detectmouseclick="t" on="false"/>
                  <v:stroke color="#3465a4" joinstyle="round" endcap="flat"/>
                </v:rect>
                <v:rect id="shape_0" stroked="f" style="position:absolute;left:1;top:3431;width:3902;height:372">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 vélemények sokféleségének tiszteletben tartása</w:t>
                        </w:r>
                      </w:p>
                    </w:txbxContent>
                  </v:textbox>
                  <w10:wrap type="square"/>
                  <v:fill o:detectmouseclick="t" on="false"/>
                  <v:stroke color="#3465a4" joinstyle="round" endcap="flat"/>
                </v:rect>
                <v:rect id="shape_0" stroked="f" style="position:absolute;left:71;top:3769;width:3901;height:831">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 moderátorok képessége, hogy hangot adjanak a résztvevőknek, és meghallgassák beavatkozásaikat</w:t>
                        </w:r>
                      </w:p>
                    </w:txbxContent>
                  </v:textbox>
                  <w10:wrap type="square"/>
                  <v:fill o:detectmouseclick="t" on="false"/>
                  <v:stroke color="#3465a4" joinstyle="round" endcap="flat"/>
                </v:rect>
                <v:rect id="shape_0" stroked="f" style="position:absolute;left:44;top:4470;width:3901;height:371">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Érdeklődés a tárgyalt témák iránt</w:t>
                        </w:r>
                      </w:p>
                    </w:txbxContent>
                  </v:textbox>
                  <w10:wrap type="square"/>
                  <v:fill o:detectmouseclick="t" on="false"/>
                  <v:stroke color="#3465a4" joinstyle="round" endcap="flat"/>
                </v:rect>
              </v:group>
            </w:pict>
          </mc:Fallback>
        </mc:AlternateContent>
      </w:r>
    </w:p>
    <w:p>
      <w:pPr>
        <w:pStyle w:val="P68B1DB1Normal76"/>
        <w:widowControl w:val="false"/>
        <w:spacing w:lineRule="auto" w:line="240" w:before="48" w:after="0"/>
        <w:ind w:left="0" w:right="1" w:hanging="0"/>
        <w:jc w:val="both"/>
        <w:rPr/>
      </w:pPr>
      <w:r>
        <w:rPr/>
        <w:t xml:space="preserve">Bár kezdetben különböző tapasztalatokkal, készségekkel és motivációkkal rendelkeztek, a résztvevők erőteljesen részt vettek: Az értékelő kérdőív válaszadóinak 98%-a érezte úgy, hogy aktívan részt vett a vitában, és pozitívan járult hozzá a vitához.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0" w:hanging="0"/>
        <w:jc w:val="both"/>
        <w:rPr/>
      </w:pPr>
      <w:r>
        <w:rPr/>
        <w:t xml:space="preserve">Általánosságban elmondható, hogy ennek a tapasztalatnak a hasznosságát, amelyet mindenekelőtt az aktív részvétel lehetőségének tekintettek, és amely az európai intézményekhez való nagyobb közelség érzését keltette, nagyon erősen érezték. Ez szinte valamennyi válaszadót arra késztette, hogy az ilyen típusú kezdeményezést az idő múlásával ismételje meg. </w:t>
      </w:r>
    </w:p>
    <w:p>
      <w:pPr>
        <w:pStyle w:val="Normal"/>
        <w:widowControl w:val="false"/>
        <w:spacing w:lineRule="exact" w:line="202" w:before="4966" w:after="0"/>
        <w:ind w:left="0" w:right="0" w:hanging="0"/>
        <w:jc w:val="both"/>
        <w:rPr/>
      </w:pPr>
      <w:r>
        <mc:AlternateContent>
          <mc:Choice Requires="wpg">
            <w:drawing>
              <wp:anchor behindDoc="0" distT="0" distB="0" distL="0" distR="0" simplePos="0" locked="0" layoutInCell="1" allowOverlap="1" relativeHeight="62">
                <wp:simplePos x="0" y="0"/>
                <wp:positionH relativeFrom="column">
                  <wp:posOffset>0</wp:posOffset>
                </wp:positionH>
                <wp:positionV relativeFrom="paragraph">
                  <wp:posOffset>71120</wp:posOffset>
                </wp:positionV>
                <wp:extent cx="6047740" cy="3154045"/>
                <wp:effectExtent l="0" t="0" r="0" b="0"/>
                <wp:wrapTopAndBottom/>
                <wp:docPr id="108" name="Formanyomtatvány9"/>
                <a:graphic xmlns:a="http://schemas.openxmlformats.org/drawingml/2006/main">
                  <a:graphicData uri="http://schemas.microsoft.com/office/word/2010/wordprocessingGroup">
                    <wpg:wgp>
                      <wpg:cNvGrpSpPr/>
                      <wpg:grpSpPr>
                        <a:xfrm>
                          <a:off x="0" y="0"/>
                          <a:ext cx="6047280" cy="3153240"/>
                        </a:xfrm>
                      </wpg:grpSpPr>
                      <pic:pic xmlns:pic="http://schemas.openxmlformats.org/drawingml/2006/picture">
                        <pic:nvPicPr>
                          <pic:cNvPr id="11" name="" descr=""/>
                          <pic:cNvPicPr/>
                        </pic:nvPicPr>
                        <pic:blipFill>
                          <a:blip r:embed="rId112"/>
                          <a:stretch/>
                        </pic:blipFill>
                        <pic:spPr>
                          <a:xfrm>
                            <a:off x="272880" y="357480"/>
                            <a:ext cx="5774040" cy="2601000"/>
                          </a:xfrm>
                          <a:prstGeom prst="rect">
                            <a:avLst/>
                          </a:prstGeom>
                          <a:ln>
                            <a:noFill/>
                          </a:ln>
                        </pic:spPr>
                      </pic:pic>
                      <wps:wsp>
                        <wps:cNvSpPr/>
                        <wps:spPr>
                          <a:xfrm>
                            <a:off x="404640" y="0"/>
                            <a:ext cx="5614560" cy="80064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AZ „EURÓPA JÖVŐJÉRŐL SZÓLÓ KONFERENCIA OLASZ TESTÜLETE” ÉRDEKLŐDÉSÉNEK ÉRTÉKELÉSE</w:t>
                              </w:r>
                            </w:p>
                          </w:txbxContent>
                        </wps:txbx>
                        <wps:bodyPr lIns="90000" rIns="90000" tIns="45000" bIns="45000">
                          <a:noAutofit/>
                        </wps:bodyPr>
                      </wps:wsp>
                      <wps:wsp>
                        <wps:cNvSpPr/>
                        <wps:spPr>
                          <a:xfrm>
                            <a:off x="47160" y="497160"/>
                            <a:ext cx="2207880" cy="275040"/>
                          </a:xfrm>
                          <a:prstGeom prst="rect">
                            <a:avLst/>
                          </a:prstGeom>
                          <a:noFill/>
                          <a:ln>
                            <a:noFill/>
                          </a:ln>
                        </wps:spPr>
                        <wps:style>
                          <a:lnRef idx="0"/>
                          <a:fillRef idx="0"/>
                          <a:effectRef idx="0"/>
                          <a:fontRef idx="minor"/>
                        </wps:style>
                        <wps:txb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Gyakrabban kellene megtörténnie</w:t>
                              </w:r>
                            </w:p>
                          </w:txbxContent>
                        </wps:txbx>
                        <wps:bodyPr lIns="90000" rIns="90000" tIns="45000" bIns="45000">
                          <a:noAutofit/>
                        </wps:bodyPr>
                      </wps:wsp>
                      <wps:wsp>
                        <wps:cNvSpPr/>
                        <wps:spPr>
                          <a:xfrm>
                            <a:off x="47160" y="986760"/>
                            <a:ext cx="2207880" cy="484560"/>
                          </a:xfrm>
                          <a:prstGeom prst="rect">
                            <a:avLst/>
                          </a:prstGeom>
                          <a:noFill/>
                          <a:ln>
                            <a:noFill/>
                          </a:ln>
                        </wps:spPr>
                        <wps:style>
                          <a:lnRef idx="0"/>
                          <a:fillRef idx="0"/>
                          <a:effectRef idx="0"/>
                          <a:fontRef idx="minor"/>
                        </wps:style>
                        <wps:txb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Hasznos ahhoz, hogy az európai intézményekben meghallgassák a polgárok hangját</w:t>
                              </w:r>
                            </w:p>
                          </w:txbxContent>
                        </wps:txbx>
                        <wps:bodyPr lIns="90000" rIns="90000" tIns="45000" bIns="45000">
                          <a:noAutofit/>
                        </wps:bodyPr>
                      </wps:wsp>
                      <wps:wsp>
                        <wps:cNvSpPr/>
                        <wps:spPr>
                          <a:xfrm>
                            <a:off x="47160" y="1492920"/>
                            <a:ext cx="2207880" cy="353160"/>
                          </a:xfrm>
                          <a:prstGeom prst="rect">
                            <a:avLst/>
                          </a:prstGeom>
                          <a:noFill/>
                          <a:ln>
                            <a:noFill/>
                          </a:ln>
                        </wps:spPr>
                        <wps:style>
                          <a:lnRef idx="0"/>
                          <a:fillRef idx="0"/>
                          <a:effectRef idx="0"/>
                          <a:fontRef idx="minor"/>
                        </wps:style>
                        <wps:txb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Pozitívan járulhat hozzá Európa jövőjének javításához</w:t>
                              </w:r>
                            </w:p>
                          </w:txbxContent>
                        </wps:txbx>
                        <wps:bodyPr lIns="90000" rIns="90000" tIns="45000" bIns="45000">
                          <a:noAutofit/>
                        </wps:bodyPr>
                      </wps:wsp>
                      <wps:wsp>
                        <wps:cNvSpPr/>
                        <wps:spPr>
                          <a:xfrm>
                            <a:off x="0" y="1972800"/>
                            <a:ext cx="2208600" cy="353160"/>
                          </a:xfrm>
                          <a:prstGeom prst="rect">
                            <a:avLst/>
                          </a:prstGeom>
                          <a:noFill/>
                          <a:ln>
                            <a:noFill/>
                          </a:ln>
                        </wps:spPr>
                        <wps:style>
                          <a:lnRef idx="0"/>
                          <a:fillRef idx="0"/>
                          <a:effectRef idx="0"/>
                          <a:fontRef idx="minor"/>
                        </wps:style>
                        <wps:txb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Az európai intézmények közelebb hozása a polgárokhoz</w:t>
                              </w:r>
                            </w:p>
                          </w:txbxContent>
                        </wps:txbx>
                        <wps:bodyPr lIns="90000" rIns="90000" tIns="45000" bIns="45000">
                          <a:noAutofit/>
                        </wps:bodyPr>
                      </wps:wsp>
                      <wps:wsp>
                        <wps:cNvSpPr/>
                        <wps:spPr>
                          <a:xfrm>
                            <a:off x="0" y="2409120"/>
                            <a:ext cx="2208600" cy="736560"/>
                          </a:xfrm>
                          <a:prstGeom prst="rect">
                            <a:avLst/>
                          </a:prstGeom>
                          <a:noFill/>
                          <a:ln>
                            <a:noFill/>
                          </a:ln>
                        </wps:spPr>
                        <wps:style>
                          <a:lnRef idx="0"/>
                          <a:fillRef idx="0"/>
                          <a:effectRef idx="0"/>
                          <a:fontRef idx="minor"/>
                        </wps:style>
                        <wps:txb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Időpocsékolás volt</w:t>
                              </w:r>
                            </w:p>
                          </w:txbxContent>
                        </wps:txbx>
                        <wps:bodyPr lIns="90000" rIns="90000" tIns="45000" bIns="45000">
                          <a:noAutofit/>
                        </wps:bodyPr>
                      </wps:wsp>
                      <wps:wsp>
                        <wps:cNvSpPr/>
                        <wps:spPr>
                          <a:xfrm>
                            <a:off x="527760" y="2738160"/>
                            <a:ext cx="85968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Teljesen egyetértek</w:t>
                              </w:r>
                            </w:p>
                          </w:txbxContent>
                        </wps:txbx>
                        <wps:bodyPr lIns="90000" rIns="90000" tIns="45000" bIns="45000">
                          <a:noAutofit/>
                        </wps:bodyPr>
                      </wps:wsp>
                      <wps:wsp>
                        <wps:cNvSpPr/>
                        <wps:spPr>
                          <a:xfrm>
                            <a:off x="1548000" y="2711520"/>
                            <a:ext cx="77868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Inkább egyetértek.</w:t>
                              </w:r>
                            </w:p>
                          </w:txbxContent>
                        </wps:txbx>
                        <wps:bodyPr lIns="90000" rIns="90000" tIns="45000" bIns="45000">
                          <a:noAutofit/>
                        </wps:bodyPr>
                      </wps:wsp>
                      <wps:wsp>
                        <wps:cNvSpPr/>
                        <wps:spPr>
                          <a:xfrm>
                            <a:off x="2504520" y="2755800"/>
                            <a:ext cx="128844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Nincs megállapodás és nincs megállapodás</w:t>
                              </w:r>
                            </w:p>
                          </w:txbxContent>
                        </wps:txbx>
                        <wps:bodyPr lIns="90000" rIns="90000" tIns="45000" bIns="45000">
                          <a:noAutofit/>
                        </wps:bodyPr>
                      </wps:wsp>
                      <wps:wsp>
                        <wps:cNvSpPr/>
                        <wps:spPr>
                          <a:xfrm>
                            <a:off x="3935160" y="2729880"/>
                            <a:ext cx="85968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Nem értek egyet.</w:t>
                              </w:r>
                            </w:p>
                          </w:txbxContent>
                        </wps:txbx>
                        <wps:bodyPr lIns="90000" rIns="90000" tIns="45000" bIns="45000">
                          <a:noAutofit/>
                        </wps:bodyPr>
                      </wps:wsp>
                      <wps:wsp>
                        <wps:cNvSpPr/>
                        <wps:spPr>
                          <a:xfrm>
                            <a:off x="5044320" y="2800440"/>
                            <a:ext cx="85968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Egyáltalán nem értek egyet.</w:t>
                              </w:r>
                            </w:p>
                          </w:txbxContent>
                        </wps:txbx>
                        <wps:bodyPr lIns="90000" rIns="90000" tIns="45000" bIns="45000">
                          <a:noAutofit/>
                        </wps:bodyPr>
                      </wps:wsp>
                    </wpg:wgp>
                  </a:graphicData>
                </a:graphic>
              </wp:anchor>
            </w:drawing>
          </mc:Choice>
          <mc:Fallback>
            <w:pict>
              <v:group id="shape_0" alt="Formanyomtatvány9" style="position:absolute;margin-left:0pt;margin-top:5.6pt;width:476.15pt;height:248.3pt" coordorigin="0,112" coordsize="9523,4966">
                <v:shape id="shape_0" stroked="f" style="position:absolute;left:430;top:675;width:9092;height:4095" type="shapetype_75">
                  <v:imagedata r:id="rId112" o:detectmouseclick="t"/>
                  <w10:wrap type="none"/>
                  <v:stroke color="#3465a4" joinstyle="round" endcap="flat"/>
                </v:shape>
                <v:rect id="shape_0" stroked="f" style="position:absolute;left:637;top:112;width:8841;height:1260">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AZ „EURÓPA JÖVŐJÉRŐL SZÓLÓ KONFERENCIA OLASZ TESTÜLETE” ÉRDEKLŐDÉSÉNEK ÉRTÉKELÉSE</w:t>
                        </w:r>
                      </w:p>
                    </w:txbxContent>
                  </v:textbox>
                  <w10:wrap type="square"/>
                  <v:fill o:detectmouseclick="t" on="false"/>
                  <v:stroke color="#3465a4" joinstyle="round" endcap="flat"/>
                </v:rect>
                <v:rect id="shape_0" stroked="f" style="position:absolute;left:74;top:895;width:3476;height:432">
                  <v:textbo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Gyakrabban kellene megtörténnie</w:t>
                        </w:r>
                      </w:p>
                    </w:txbxContent>
                  </v:textbox>
                  <w10:wrap type="square"/>
                  <v:fill o:detectmouseclick="t" on="false"/>
                  <v:stroke color="#3465a4" joinstyle="round" endcap="flat"/>
                </v:rect>
                <v:rect id="shape_0" stroked="f" style="position:absolute;left:74;top:1666;width:3476;height:762">
                  <v:textbo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Hasznos ahhoz, hogy az európai intézményekben meghallgassák a polgárok hangját</w:t>
                        </w:r>
                      </w:p>
                    </w:txbxContent>
                  </v:textbox>
                  <w10:wrap type="square"/>
                  <v:fill o:detectmouseclick="t" on="false"/>
                  <v:stroke color="#3465a4" joinstyle="round" endcap="flat"/>
                </v:rect>
                <v:rect id="shape_0" stroked="f" style="position:absolute;left:74;top:2463;width:3476;height:555">
                  <v:textbo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Pozitívan járulhat hozzá Európa jövőjének javításához</w:t>
                        </w:r>
                      </w:p>
                    </w:txbxContent>
                  </v:textbox>
                  <w10:wrap type="square"/>
                  <v:fill o:detectmouseclick="t" on="false"/>
                  <v:stroke color="#3465a4" joinstyle="round" endcap="flat"/>
                </v:rect>
                <v:rect id="shape_0" stroked="f" style="position:absolute;left:0;top:3219;width:3477;height:555">
                  <v:textbo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Az európai intézmények közelebb hozása a polgárokhoz</w:t>
                        </w:r>
                      </w:p>
                    </w:txbxContent>
                  </v:textbox>
                  <w10:wrap type="square"/>
                  <v:fill o:detectmouseclick="t" on="false"/>
                  <v:stroke color="#3465a4" joinstyle="round" endcap="flat"/>
                </v:rect>
                <v:rect id="shape_0" stroked="f" style="position:absolute;left:0;top:3906;width:3477;height:1159">
                  <v:textbo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Időpocsékolás volt</w:t>
                        </w:r>
                      </w:p>
                    </w:txbxContent>
                  </v:textbox>
                  <w10:wrap type="square"/>
                  <v:fill o:detectmouseclick="t" on="false"/>
                  <v:stroke color="#3465a4" joinstyle="round" endcap="flat"/>
                </v:rect>
                <v:rect id="shape_0" stroked="f" style="position:absolute;left:831;top:4424;width:1353;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Teljesen egyetértek</w:t>
                        </w:r>
                      </w:p>
                    </w:txbxContent>
                  </v:textbox>
                  <w10:wrap type="square"/>
                  <v:fill o:detectmouseclick="t" on="false"/>
                  <v:stroke color="#3465a4" joinstyle="round" endcap="flat"/>
                </v:rect>
                <v:rect id="shape_0" stroked="f" style="position:absolute;left:2438;top:4382;width:1225;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Inkább egyetértek.</w:t>
                        </w:r>
                      </w:p>
                    </w:txbxContent>
                  </v:textbox>
                  <w10:wrap type="square"/>
                  <v:fill o:detectmouseclick="t" on="false"/>
                  <v:stroke color="#3465a4" joinstyle="round" endcap="flat"/>
                </v:rect>
                <v:rect id="shape_0" stroked="f" style="position:absolute;left:3944;top:4452;width:2028;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Nincs megállapodás és nincs megállapodás</w:t>
                        </w:r>
                      </w:p>
                    </w:txbxContent>
                  </v:textbox>
                  <w10:wrap type="square"/>
                  <v:fill o:detectmouseclick="t" on="false"/>
                  <v:stroke color="#3465a4" joinstyle="round" endcap="flat"/>
                </v:rect>
                <v:rect id="shape_0" stroked="f" style="position:absolute;left:6197;top:4411;width:1353;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Nem értek egyet.</w:t>
                        </w:r>
                      </w:p>
                    </w:txbxContent>
                  </v:textbox>
                  <w10:wrap type="square"/>
                  <v:fill o:detectmouseclick="t" on="false"/>
                  <v:stroke color="#3465a4" joinstyle="round" endcap="flat"/>
                </v:rect>
                <v:rect id="shape_0" stroked="f" style="position:absolute;left:7944;top:4522;width:1353;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Egyáltalán nem értek egyet.</w:t>
                        </w:r>
                      </w:p>
                    </w:txbxContent>
                  </v:textbox>
                  <w10:wrap type="square"/>
                  <v:fill o:detectmouseclick="t" on="false"/>
                  <v:stroke color="#3465a4" joinstyle="round" endcap="flat"/>
                </v:rect>
              </v:group>
            </w:pict>
          </mc:Fallback>
        </mc:AlternateContent>
      </w:r>
      <w:r>
        <w:rPr>
          <w:color w:val="000000"/>
        </w:rPr>
        <w:t>Valamennyi résztvevő jelezte, hogy ha egy ilyen kezdeményezést újra szerveznek, akkor nem csak hajlandóak lennének részt venni, hanem ajánlanák barátaiknak is a részvételt.</w:t>
      </w:r>
    </w:p>
    <w:p>
      <w:pPr>
        <w:pStyle w:val="Normal"/>
        <w:widowControl w:val="false"/>
        <w:spacing w:lineRule="exact" w:line="393"/>
        <w:ind w:left="0" w:right="0" w:hanging="0"/>
        <w:jc w:val="left"/>
        <w:rPr>
          <w:rFonts w:ascii="Arial" w:hAnsi="Arial"/>
          <w:color w:val="000000"/>
          <w:sz w:val="24"/>
        </w:rPr>
      </w:pPr>
      <w:r>
        <w:rPr>
          <w:color w:val="000000"/>
          <w:sz w:val="24"/>
        </w:rPr>
      </w:r>
      <w:r>
        <w:br w:type="page"/>
      </w:r>
    </w:p>
    <w:p>
      <w:pPr>
        <w:pStyle w:val="Titre1"/>
        <w:numPr>
          <w:ilvl w:val="0"/>
          <w:numId w:val="2"/>
        </w:numPr>
        <w:rPr/>
      </w:pPr>
      <w:bookmarkStart w:id="234" w:name="__RefHeading___Toc298382_1346298689"/>
      <w:bookmarkEnd w:id="234"/>
      <w:r>
        <w:rPr/>
        <w:t>II. E. Nemzeti panelek: Litvánia</w:t>
      </w:r>
    </w:p>
    <w:p>
      <w:pPr>
        <w:pStyle w:val="P68B1DB1Normal95"/>
        <w:widowControl w:val="false"/>
        <w:spacing w:lineRule="exact" w:line="393"/>
        <w:ind w:left="0" w:right="0" w:hanging="0"/>
        <w:jc w:val="left"/>
        <w:rPr>
          <w:rFonts w:ascii="Arial" w:hAnsi="Arial"/>
          <w:color w:val="5A5A5A"/>
          <w:sz w:val="28"/>
        </w:rPr>
      </w:pPr>
      <w:r>
        <w:rPr/>
        <w:t xml:space="preserve">Az Európa jövőjéről szóló litván polgári vitacsoport </w:t>
      </w:r>
    </w:p>
    <w:p>
      <w:pPr>
        <w:pStyle w:val="P68B1DB1Normal95"/>
        <w:widowControl w:val="false"/>
        <w:spacing w:lineRule="exact" w:line="460"/>
        <w:ind w:left="4320" w:right="0" w:hanging="0"/>
        <w:jc w:val="left"/>
        <w:rPr>
          <w:rFonts w:ascii="Arial" w:hAnsi="Arial"/>
          <w:color w:val="5A5A5A"/>
          <w:sz w:val="28"/>
        </w:rPr>
      </w:pPr>
      <w:r>
        <w:rPr/>
        <w:t xml:space="preserve">Jelentés </w:t>
      </w:r>
    </w:p>
    <w:p>
      <w:pPr>
        <w:pStyle w:val="P68B1DB1Normal76"/>
        <w:widowControl w:val="false"/>
        <w:spacing w:lineRule="exact" w:line="227" w:before="87" w:after="0"/>
        <w:ind w:left="0" w:right="2" w:hanging="0"/>
        <w:jc w:val="both"/>
        <w:rPr/>
      </w:pPr>
      <w:r>
        <w:rPr/>
        <w:t xml:space="preserve">Ez a jelentés négy részből áll. Az első röviden bemutatja az esemény előrehaladását. A második az uniós és litván szakpolitikákkal foglalkozó polgári vitacsoport résztvevői által tett ajánlásokat vázolja fel. A harmadik rövid elemzést nyújt a csoportokban folytatott megbeszélésekről és a fórum főbb eredményeiről. A negyedik a polgári vitacsoport eredményeit hasonlítja össze a litván polgárok Európa helyzetéről és jövőjéről szóló felméréseinek eredményeivel. </w:t>
      </w:r>
    </w:p>
    <w:p>
      <w:pPr>
        <w:pStyle w:val="P68B1DB1Normal96"/>
        <w:widowControl w:val="false"/>
        <w:spacing w:lineRule="exact" w:line="517" w:before="188" w:after="0"/>
        <w:ind w:left="0" w:right="0" w:hanging="0"/>
        <w:jc w:val="left"/>
        <w:rPr/>
      </w:pPr>
      <w:r>
        <w:rPr>
          <w:rFonts w:ascii="Calibri" w:hAnsi="Calibri"/>
        </w:rPr>
        <w:t>1.</w:t>
      </w:r>
      <w:r>
        <w:rPr/>
        <w:t xml:space="preserve"> </w:t>
      </w:r>
      <w:r>
        <w:rPr>
          <w:rFonts w:ascii="Calibri" w:hAnsi="Calibri"/>
        </w:rPr>
        <w:t>A Nemzeti Polgári Testület magatartása</w:t>
      </w:r>
    </w:p>
    <w:p>
      <w:pPr>
        <w:pStyle w:val="Normal"/>
        <w:widowControl w:val="false"/>
        <w:spacing w:lineRule="exact" w:line="253" w:before="95" w:after="0"/>
        <w:ind w:left="0" w:right="0" w:hanging="0"/>
        <w:jc w:val="both"/>
        <w:rPr/>
      </w:pPr>
      <w:r>
        <w:rPr>
          <w:color w:val="000000"/>
        </w:rPr>
        <w:t>Az Európa jövőjéről szóló konferencia keretében a nemzeti polgári panelek megszervezésére vonatkozó iránymutatásokkal összhangban a Kantar TNS LT felmérési intézet a Külügyminisztérium (MAE) kérésére 2021 decemberében kidolgozta a litván lakosság reprezentatív mintájának rétegzett véletlenszerű kiválasztási módszertanát, amelynek alapján a Kantar TNS 25, 18–65 éves litván állampolgárt választott ki, akik különböző társadalmi-gazdasági csoportokat és Litvánia valamennyi földrajzi régióját képviselik</w:t>
      </w:r>
      <w:r>
        <w:rPr>
          <w:rStyle w:val="Ancredenotedebasdepage"/>
          <w:rStyle w:val="Ancredenotedebasdepage"/>
          <w:color w:val="000000"/>
          <w:sz w:val="14"/>
        </w:rPr>
        <w:footnoteReference w:id="16"/>
      </w:r>
      <w:r>
        <w:rPr>
          <w:color w:val="000000"/>
        </w:rPr>
        <w:t xml:space="preserve">. </w:t>
      </w:r>
    </w:p>
    <w:p>
      <w:pPr>
        <w:pStyle w:val="P68B1DB1Normal76"/>
        <w:widowControl w:val="false"/>
        <w:spacing w:lineRule="exact" w:line="253"/>
        <w:ind w:left="0" w:right="1" w:hanging="0"/>
        <w:jc w:val="both"/>
        <w:rPr/>
      </w:pPr>
      <w:r>
        <w:rPr/>
        <w:t xml:space="preserve">Január 4-én a kiválasztott polgárok meghívást kaptak egy virtuális bevezető ülésre, amelyen bemutatták a nemzeti polgári vitacsoport ötletét, és eszmecseréket tartottak az Európa jövője szempontjából legfontosabb témákról. A rendezvény végén a résztvevők egy háttéranyagot kaptak, amelyben részletesen ismertették a megvitatott témákat és információforrásokat. </w:t>
      </w:r>
    </w:p>
    <w:p>
      <w:pPr>
        <w:pStyle w:val="P68B1DB1Normal76"/>
        <w:widowControl w:val="false"/>
        <w:spacing w:lineRule="exact" w:line="253"/>
        <w:ind w:left="0" w:right="2" w:hanging="0"/>
        <w:jc w:val="both"/>
        <w:rPr/>
      </w:pPr>
      <w:r>
        <w:rPr/>
        <w:t xml:space="preserve">Január 15-én az európai elfogatóparancs keretében nemzeti polgárokból álló testületet tartottak az európai elfogatóparancsban, amelyet az európai elfogatóparancs Kelet-európai Tanulmányi Központja (RESC) és a Kantar TNS LT közvélemény-kutatási intézet szervezett, amelyben 25 kiválasztott polgár vett részt közvetlenül. </w:t>
      </w:r>
    </w:p>
    <w:p>
      <w:pPr>
        <w:pStyle w:val="P68B1DB1Normal76"/>
        <w:widowControl w:val="false"/>
        <w:spacing w:lineRule="exact" w:line="362"/>
        <w:ind w:left="0" w:right="0" w:hanging="0"/>
        <w:jc w:val="left"/>
        <w:rPr>
          <w:rFonts w:ascii="Arial" w:hAnsi="Arial"/>
          <w:color w:val="000000"/>
          <w:sz w:val="22"/>
        </w:rPr>
      </w:pPr>
      <w:r>
        <w:rPr/>
        <w:t xml:space="preserve"> </w:t>
      </w:r>
    </w:p>
    <w:p>
      <w:pPr>
        <w:pStyle w:val="P68B1DB1Normal76"/>
        <w:widowControl w:val="false"/>
        <w:spacing w:lineRule="exact" w:line="253"/>
        <w:ind w:left="0" w:right="0" w:hanging="0"/>
        <w:jc w:val="both"/>
        <w:rPr/>
      </w:pPr>
      <w:r>
        <w:rPr/>
        <w:t xml:space="preserve">A résztvevők két, az uniós politikákkal kapcsolatos kérdést vitattak meg: </w:t>
      </w:r>
      <w:r>
        <w:rPr>
          <w:b/>
        </w:rPr>
        <w:t>az EU külpolitikában betöltött szerepe és hatásköre,</w:t>
      </w:r>
      <w:r>
        <w:rPr/>
        <w:t xml:space="preserve"> valamint </w:t>
      </w:r>
      <w:r>
        <w:rPr>
          <w:b/>
        </w:rPr>
        <w:t>az EU gazdasági szerepe</w:t>
      </w:r>
      <w:r>
        <w:rPr/>
        <w:t>.</w:t>
      </w:r>
      <w:r>
        <w:rPr>
          <w:b/>
        </w:rPr>
        <w:t xml:space="preserve"> Ezen a</w:t>
      </w:r>
      <w:r>
        <w:rPr/>
        <w:t xml:space="preserve">rendezvényen külön-külön ülésezett, amelyen Linas Kojala (RESC) és Ramūnas Vilpišauskas (a vilniusi egyetem professzora) uniós szakpolitikai szakértők röviden ismertették a polgárokat az ülés témájának aktualitásával és kérdéseivel. A vita során a polgárok kérdéseket tehettek fel és megoszthatták nézeteiket. A szakértői előadásokat követően a résztvevőket három kisebb reprezentatív csoportra osztották, hogy mindegyikük az ülés témájával kapcsolatos másik kérdésen gondolkodjon. A tárgyalt külpolitikai kérdések a következők voltak: </w:t>
      </w:r>
    </w:p>
    <w:p>
      <w:pPr>
        <w:pStyle w:val="P68B1DB1Normal76"/>
        <w:widowControl w:val="false"/>
        <w:spacing w:lineRule="exact" w:line="253"/>
        <w:ind w:left="720" w:right="1" w:hanging="0"/>
        <w:jc w:val="left"/>
        <w:rPr/>
      </w:pPr>
      <w:r>
        <w:rPr>
          <w:b/>
        </w:rPr>
        <w:t>1.1.</w:t>
      </w:r>
      <w:r>
        <w:rPr/>
        <w:t xml:space="preserve"> Szükség van-e önálló uniós védelmi és külpolitikára?</w:t>
      </w:r>
    </w:p>
    <w:p>
      <w:pPr>
        <w:pStyle w:val="P68B1DB1Normal76"/>
        <w:widowControl w:val="false"/>
        <w:spacing w:lineRule="exact" w:line="253"/>
        <w:ind w:left="720" w:right="1" w:hanging="0"/>
        <w:jc w:val="left"/>
        <w:rPr/>
      </w:pPr>
      <w:r>
        <w:rPr>
          <w:b/>
        </w:rPr>
        <w:t>1.2.</w:t>
      </w:r>
      <w:r>
        <w:rPr/>
        <w:t xml:space="preserve"> Milyen kapcsolatokat kell kialakítani az EU kelet-európai szomszédaival, Észak-Afrikával és Törökországgal? </w:t>
      </w:r>
    </w:p>
    <w:p>
      <w:pPr>
        <w:pStyle w:val="P68B1DB1Normal76"/>
        <w:widowControl w:val="false"/>
        <w:spacing w:lineRule="exact" w:line="379"/>
        <w:ind w:left="720" w:right="0" w:hanging="0"/>
        <w:jc w:val="left"/>
        <w:rPr/>
      </w:pPr>
      <w:r>
        <w:rPr>
          <w:b/>
        </w:rPr>
        <w:t>1.3.</w:t>
      </w:r>
      <w:r>
        <w:rPr/>
        <w:t xml:space="preserve"> Mi legyen az EU migrációs politikája? </w:t>
      </w:r>
    </w:p>
    <w:p>
      <w:pPr>
        <w:pStyle w:val="P68B1DB1Normal76"/>
        <w:widowControl w:val="false"/>
        <w:spacing w:lineRule="exact" w:line="254"/>
        <w:ind w:left="0" w:right="0" w:hanging="0"/>
        <w:jc w:val="left"/>
        <w:rPr/>
      </w:pPr>
      <w:r>
        <w:rPr/>
        <w:t xml:space="preserve">Az EU gazdasági szerepéről szóló ülés során a következő kérdéseket vitatták meg: </w:t>
      </w:r>
    </w:p>
    <w:p>
      <w:pPr>
        <w:pStyle w:val="P68B1DB1Normal76"/>
        <w:widowControl w:val="false"/>
        <w:spacing w:lineRule="exact" w:line="254"/>
        <w:ind w:left="720" w:right="0" w:hanging="0"/>
        <w:jc w:val="left"/>
        <w:rPr/>
      </w:pPr>
      <w:r>
        <w:rPr>
          <w:b/>
        </w:rPr>
        <w:t xml:space="preserve">2.1. </w:t>
      </w:r>
      <w:r>
        <w:rPr/>
        <w:t xml:space="preserve">Szükség van-e az uniós költségvetésből és az EU közös adósságából származó források nagyobb mértékű átcsoportosítására? </w:t>
      </w:r>
    </w:p>
    <w:p>
      <w:pPr>
        <w:pStyle w:val="P68B1DB1Normal76"/>
        <w:widowControl w:val="false"/>
        <w:spacing w:lineRule="exact" w:line="379"/>
        <w:ind w:left="720" w:right="0" w:hanging="0"/>
        <w:jc w:val="left"/>
        <w:rPr/>
      </w:pPr>
      <w:r>
        <w:rPr>
          <w:b/>
        </w:rPr>
        <w:t xml:space="preserve">2.2. </w:t>
      </w:r>
      <w:r>
        <w:rPr/>
        <w:t>Uniós szinten kell-e szabályozni a szociális normákat?</w:t>
      </w:r>
      <w:r>
        <w:rPr>
          <w:b/>
        </w:rPr>
        <w:t xml:space="preserve"> </w:t>
      </w:r>
    </w:p>
    <w:p>
      <w:pPr>
        <w:pStyle w:val="P68B1DB1Normal76"/>
        <w:widowControl w:val="false"/>
        <w:spacing w:lineRule="exact" w:line="379"/>
        <w:ind w:left="720" w:right="0" w:hanging="0"/>
        <w:jc w:val="left"/>
        <w:rPr/>
      </w:pPr>
      <w:r>
        <w:rPr>
          <w:b/>
        </w:rPr>
        <w:t>2.3.</w:t>
      </w:r>
      <w:r>
        <w:rPr/>
        <w:t xml:space="preserve"> Hogyan erősíthetjük meg az EU gazdaságát? </w:t>
      </w:r>
    </w:p>
    <w:p>
      <w:pPr>
        <w:pStyle w:val="P68B1DB1Normal76"/>
        <w:widowControl w:val="false"/>
        <w:spacing w:lineRule="auto" w:line="240"/>
        <w:ind w:left="0" w:right="0" w:hanging="0"/>
        <w:jc w:val="both"/>
        <w:rPr/>
      </w:pPr>
      <w:r>
        <w:rPr/>
        <w:t xml:space="preserve">Az ülés végén minden csoportnak meg kellett fogalmaznia a vita főbb következtetéseit, elvi nyilatkozatokat vagy konkrét javaslatokat kellett tennie az EU politikai aggályairól. Az egész testülettel folytatott vita során az egyes csoportok képviselője bemutatta ezeket a megállapításokat a többi résztvevőnek. Azok, akik más csoportokban voltak, kérdéseket tehettek fel, és ötletükkel kiegészíthették a javaslatokat. Az előadásokat és vitákat követően a polgárok e következtetések közül kettőt szavaztak meg, és szavaztak a legfontosabb javaslatra vagy nyilatkozatra, amely Litvánia szerepe az EU megerősítésében és az EU sikere Európa-szerte; és a másik szavazás a nyilatkozat vagy javaslat mellett úgy tűnik, hogy a legfontosabb személyes minőségükben, az ő érdekükben, mint az EU lakosa. A szavazást követően vitára került sor a panelen, és megvitatták a megbeszélések során felmerült főbb elképzeléseket. </w:t>
      </w:r>
    </w:p>
    <w:p>
      <w:pPr>
        <w:pStyle w:val="P68B1DB1Normal76"/>
        <w:widowControl w:val="false"/>
        <w:spacing w:lineRule="auto" w:line="240"/>
        <w:ind w:left="0" w:right="0" w:hanging="0"/>
        <w:jc w:val="both"/>
        <w:rPr/>
      </w:pPr>
      <w:r>
        <w:rPr/>
        <w:t xml:space="preserve">Az eseményt követő héten a szakértők megvizsgálták a megbeszélések tartalmát, és feltárták a polgárok által javasolt ötletek lényegét. Január 25-én virtuális összesítő ülést tartottak, és megbeszéléseik tartalmából származó ajánlásokat megosztottak a polgárokkal. A polgárok lehetőséget kaptak arra, hogy nyilatkozzanak arról, hogy jóváhagyták-e az ajánlásokat, kiegészítsék azokat az anyaggal és értékeljék azokat. Az összes résztvevőnek egy héttel az összesítő ülés után ismét lehetősége nyílt arra, hogy véleményüket és észrevételeiket írásban megküldjék a panel szervezőinek. </w:t>
      </w:r>
    </w:p>
    <w:p>
      <w:pPr>
        <w:pStyle w:val="P68B1DB1Normal97"/>
        <w:widowControl w:val="false"/>
        <w:spacing w:lineRule="auto" w:line="240"/>
        <w:ind w:left="0" w:right="0" w:hanging="0"/>
        <w:jc w:val="left"/>
        <w:rPr>
          <w:rFonts w:ascii="Garamond" w:hAnsi="Garamond"/>
          <w:color w:val="000000"/>
          <w:sz w:val="22"/>
        </w:rPr>
      </w:pPr>
      <w:r>
        <w:rPr/>
        <w:t xml:space="preserve"> </w:t>
      </w:r>
    </w:p>
    <w:p>
      <w:pPr>
        <w:pStyle w:val="P68B1DB1Normal98"/>
        <w:widowControl w:val="false"/>
        <w:spacing w:lineRule="auto" w:line="240" w:before="82" w:after="0"/>
        <w:ind w:left="0" w:right="0" w:hanging="0"/>
        <w:jc w:val="left"/>
        <w:rPr/>
      </w:pPr>
      <w:r>
        <w:rPr/>
        <w:t xml:space="preserve">2. </w:t>
      </w:r>
      <w:r>
        <w:rPr>
          <w:i/>
        </w:rPr>
        <w:t>A Nemzeti Polgári Testület eredményei</w:t>
      </w:r>
      <w:r>
        <w:rPr/>
        <w:t xml:space="preserve"> </w:t>
      </w:r>
    </w:p>
    <w:p>
      <w:pPr>
        <w:pStyle w:val="P68B1DB1Normal76"/>
        <w:widowControl w:val="false"/>
        <w:spacing w:lineRule="auto" w:line="240" w:before="70" w:after="0"/>
        <w:ind w:left="0" w:right="1" w:hanging="0"/>
        <w:jc w:val="both"/>
        <w:rPr/>
      </w:pPr>
      <w:r>
        <w:rPr/>
        <w:t xml:space="preserve">A jelentés e része bemutatja a polgári vitacsoport eredményeit, a munkacsoportok résztvevőinek ajánlásait és az EU külpolitikában és gazdaságban betöltött szerepével kapcsolatos álláspontjukat.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0" w:hanging="0"/>
        <w:jc w:val="left"/>
        <w:rPr/>
      </w:pPr>
      <w:r>
        <w:rPr>
          <w:b/>
        </w:rPr>
        <w:t>Első ülés:</w:t>
      </w:r>
      <w:r>
        <w:rPr/>
        <w:t xml:space="preserve"> </w:t>
      </w:r>
      <w:r>
        <w:rPr>
          <w:b/>
        </w:rPr>
        <w:t>az EU szerepe és hatáskörei a külpolitikában</w:t>
      </w:r>
    </w:p>
    <w:p>
      <w:pPr>
        <w:pStyle w:val="P68B1DB1Normal99"/>
        <w:widowControl w:val="false"/>
        <w:spacing w:lineRule="auto" w:line="240" w:before="39" w:after="0"/>
        <w:ind w:left="468" w:right="0" w:hanging="0"/>
        <w:jc w:val="left"/>
        <w:rPr/>
      </w:pPr>
      <w:r>
        <w:rPr/>
        <w:t xml:space="preserve">1. Felszólítjuk az EU-t, hogy dolgozzon ki hatékonyabb politikát Kínával szemben. Litvániát határozottabban kell támogatni, ugyanakkor jobban össze kell hangolnia álláspontját az uniós partnerek álláspontjával. Annak biztosítása érdekében, hogy az érdekek kiegyensúlyozottabbak legyenek az EU-n belül, és csak egyetlen politika legyen Kínával szemben, valamint más külpolitikai kérdésekben, javasoljuk, hogy fontolják meg egy uniós külügyminiszter létrehozásának lehetőségét. </w:t>
      </w:r>
    </w:p>
    <w:p>
      <w:pPr>
        <w:pStyle w:val="P68B1DB1Normal99"/>
        <w:widowControl w:val="false"/>
        <w:spacing w:lineRule="auto" w:line="240" w:before="78" w:after="0"/>
        <w:ind w:left="468" w:right="341" w:hanging="0"/>
        <w:jc w:val="left"/>
        <w:rPr/>
      </w:pPr>
      <w:r>
        <w:rPr/>
        <w:t xml:space="preserve">2. Javasoljuk, hogy uniós szinten tűzzék napirendre a migránskvóták kérdését. </w:t>
      </w:r>
    </w:p>
    <w:p>
      <w:pPr>
        <w:pStyle w:val="P68B1DB1Normal99"/>
        <w:widowControl w:val="false"/>
        <w:spacing w:lineRule="auto" w:line="240" w:before="78" w:after="0"/>
        <w:ind w:left="468" w:right="0" w:hanging="0"/>
        <w:jc w:val="left"/>
        <w:rPr/>
      </w:pPr>
      <w:r>
        <w:rPr/>
        <w:t>3. Javasoljuk, hogy hozzanak létre egy külön uniós szintű bizottságot a migrációs kérdések kezelésére, amely gyorsabb választ adna a migrációs válságokra, és biztosítaná a tagállamok azon jogát, hogy kifejtsék és megvédjék nemzeti érdekeiket, valamint közös migrációkezelési iránymutatásokat dolgozzanak ki és hajtsanak végre.</w:t>
      </w:r>
    </w:p>
    <w:p>
      <w:pPr>
        <w:pStyle w:val="P68B1DB1Normal99"/>
        <w:widowControl w:val="false"/>
        <w:spacing w:lineRule="auto" w:line="240" w:before="78" w:after="0"/>
        <w:ind w:left="468" w:right="0" w:hanging="0"/>
        <w:jc w:val="left"/>
        <w:rPr/>
      </w:pPr>
      <w:r>
        <w:rPr/>
        <w:t xml:space="preserve">4. Javasoljuk, hogy erősítsék meg a gazdasági és humanitárius kapcsolatokat az észak-afrikai országokkal anélkül, hogy szem elől tévesztenék a politikai realitásokat, különösen Kína, Oroszország és a régió más államai befolyásának csökkentése érdekében. </w:t>
      </w:r>
    </w:p>
    <w:p>
      <w:pPr>
        <w:pStyle w:val="P68B1DB1Normal99"/>
        <w:widowControl w:val="false"/>
        <w:spacing w:lineRule="auto" w:line="240" w:before="78" w:after="0"/>
        <w:ind w:left="468" w:right="466" w:hanging="0"/>
        <w:jc w:val="left"/>
        <w:rPr/>
      </w:pPr>
      <w:r>
        <w:rPr/>
        <w:t xml:space="preserve">5. Javasoljuk, hogy erősítsék meg a kelet-európai kapcsolatokat, és ösztönözzék a személyes szintű gazdasági intézkedéseket. </w:t>
      </w:r>
    </w:p>
    <w:p>
      <w:pPr>
        <w:pStyle w:val="P68B1DB1Normal99"/>
        <w:widowControl w:val="false"/>
        <w:spacing w:lineRule="auto" w:line="240" w:before="78" w:after="0"/>
        <w:ind w:left="468" w:right="286" w:hanging="0"/>
        <w:jc w:val="left"/>
        <w:rPr/>
      </w:pPr>
      <w:r>
        <w:rPr/>
        <w:t xml:space="preserve">6. Ragaszkodunk ahhoz, hogy az EU által a külföldi szereplőkre kiszabott szankciók szigorúbbak és célzottabbak legyenek, és a szankcionált állam fontos szereplőit (pl. politikai vezetők) érintik. </w:t>
      </w:r>
    </w:p>
    <w:p>
      <w:pPr>
        <w:pStyle w:val="P68B1DB1Normal99"/>
        <w:widowControl w:val="false"/>
        <w:spacing w:lineRule="auto" w:line="240" w:before="78" w:after="0"/>
        <w:ind w:left="466" w:right="295" w:hanging="0"/>
        <w:jc w:val="left"/>
        <w:rPr/>
      </w:pPr>
      <w:r>
        <w:rPr/>
        <w:t>7. Ragaszkodunk ahhoz, hogy az EU közös kül- és biztonságpolitikája a különböző uniós tagállamok, valamint a különböző európai régiók és társadalmak közötti szolidaritás alapelvén alapuljon.</w:t>
      </w:r>
    </w:p>
    <w:p>
      <w:pPr>
        <w:pStyle w:val="P68B1DB1Normal99"/>
        <w:widowControl w:val="false"/>
        <w:spacing w:lineRule="auto" w:line="240" w:before="78" w:after="0"/>
        <w:ind w:left="466" w:right="295" w:hanging="0"/>
        <w:jc w:val="left"/>
        <w:rPr/>
      </w:pPr>
      <w:r>
        <w:rPr/>
        <w:t xml:space="preserve">8. Javasoljuk, hogy az EU vizsgálja felül a migrációval kapcsolatos eddigi nyitottsági politikát, amely biztonsági problémákat okoz, növeli a bűnözést és a kommunitarizmus kialakulását a társadalomban. </w:t>
      </w:r>
    </w:p>
    <w:p>
      <w:pPr>
        <w:pStyle w:val="P68B1DB1Normal99"/>
        <w:widowControl w:val="false"/>
        <w:spacing w:lineRule="auto" w:line="240" w:before="78" w:after="0"/>
        <w:ind w:left="468" w:right="0" w:hanging="0"/>
        <w:jc w:val="left"/>
        <w:rPr/>
      </w:pPr>
      <w:r>
        <w:rPr/>
        <w:t xml:space="preserve">9. Felkérjük Litvániát, hogy aktívabban szólaljon fel a migrációval kapcsolatos kérdésekről, és kezdjen megbeszéléseket a migrációval kapcsolatos kérdésekről. </w:t>
      </w:r>
    </w:p>
    <w:p>
      <w:pPr>
        <w:pStyle w:val="P68B1DB1Normal99"/>
        <w:widowControl w:val="false"/>
        <w:spacing w:lineRule="auto" w:line="240" w:before="78" w:after="0"/>
        <w:ind w:left="468" w:right="0" w:hanging="0"/>
        <w:jc w:val="left"/>
        <w:rPr>
          <w:rFonts w:ascii="Arial" w:hAnsi="Arial"/>
          <w:color w:val="000000"/>
          <w:sz w:val="20"/>
        </w:rPr>
      </w:pPr>
      <w:r>
        <w:rPr/>
        <w:t xml:space="preserve">10. Javasoljuk, hogy az EU folytasson aktív és szigorú politikát azokkal az államokkal szemben, amelyek hibrid támadások során fegyverként használják a migrációs áramlásokat: egyrészt szigorúbb szankciók alkalmazásával, másrészt az eszkaláció enyhítése céljából velük folytatott párbeszéd révén. </w:t>
      </w:r>
    </w:p>
    <w:p>
      <w:pPr>
        <w:pStyle w:val="P68B1DB1Normal100"/>
        <w:widowControl w:val="false"/>
        <w:spacing w:lineRule="auto" w:line="240" w:before="111" w:after="0"/>
        <w:ind w:left="0" w:right="0" w:hanging="0"/>
        <w:jc w:val="left"/>
        <w:rPr>
          <w:rFonts w:ascii="Arial" w:hAnsi="Arial"/>
          <w:b/>
          <w:b/>
          <w:i/>
          <w:i/>
          <w:color w:val="000000"/>
          <w:sz w:val="22"/>
        </w:rPr>
      </w:pPr>
      <w:r>
        <w:rPr/>
        <w:t xml:space="preserve"> </w:t>
      </w:r>
    </w:p>
    <w:p>
      <w:pPr>
        <w:pStyle w:val="P68B1DB1Normal100"/>
        <w:widowControl w:val="false"/>
        <w:spacing w:lineRule="auto" w:line="240"/>
        <w:ind w:left="0" w:right="0" w:hanging="0"/>
        <w:jc w:val="left"/>
        <w:rPr>
          <w:rFonts w:ascii="Arial" w:hAnsi="Arial"/>
          <w:b/>
          <w:b/>
          <w:i/>
          <w:i/>
          <w:color w:val="000000"/>
          <w:sz w:val="22"/>
        </w:rPr>
      </w:pPr>
      <w:r>
        <w:rPr/>
        <w:t xml:space="preserve">Második ülés: az EU gazdasági szerepe </w:t>
      </w:r>
    </w:p>
    <w:p>
      <w:pPr>
        <w:pStyle w:val="P68B1DB1Normal99"/>
        <w:widowControl w:val="false"/>
        <w:spacing w:lineRule="auto" w:line="240"/>
        <w:ind w:left="828" w:right="142" w:hanging="359"/>
        <w:jc w:val="both"/>
        <w:rPr/>
      </w:pPr>
      <w:r>
        <w:rPr/>
        <w:t xml:space="preserve">1. Javasoljuk, hogy az EU különböző eszközökkel erősítse meg az alapvető áruk ellátásának biztonságát: az EU belső kereskedelmének előtérbe helyezése, a fejlett technológiák előállításának előmozdítása és az importforrások további diverzifikálása. Javasoljuk az új exportpiacok feltárását is. </w:t>
      </w:r>
    </w:p>
    <w:p>
      <w:pPr>
        <w:pStyle w:val="P68B1DB1Normal99"/>
        <w:widowControl w:val="false"/>
        <w:spacing w:lineRule="auto" w:line="240" w:before="83" w:after="0"/>
        <w:ind w:left="828" w:right="143" w:hanging="359"/>
        <w:jc w:val="both"/>
        <w:rPr/>
      </w:pPr>
      <w:r>
        <w:rPr/>
        <w:t xml:space="preserve">2. Javasoljuk a földgázszerződések tárgyalási gyakorlatának felülvizsgálatát mind a rövid, mind a hosszú távú szerződések tekintetében. Az energiaellátási források további diverzifikációját javasoljuk. </w:t>
      </w:r>
    </w:p>
    <w:p>
      <w:pPr>
        <w:pStyle w:val="P68B1DB1Normal99"/>
        <w:widowControl w:val="false"/>
        <w:spacing w:lineRule="auto" w:line="240" w:before="83" w:after="0"/>
        <w:ind w:left="828" w:right="143" w:hanging="359"/>
        <w:jc w:val="both"/>
        <w:rPr/>
      </w:pPr>
      <w:r>
        <w:rPr/>
        <w:t xml:space="preserve">3. Javasoljuk, hogy a zöld megállapodás intézkedéseit és azok végrehajtását a lehetséges negatív társadalmi-gazdasági hatások figyelembevételével értékeljék. A zöld megállapodás célkitűzéseinek megvalósítása érdekében javasoljuk, hogy a megújuló energiaforrások felhasználása mellett nukleáris energiát és földgázt is használjanak. </w:t>
      </w:r>
    </w:p>
    <w:p>
      <w:pPr>
        <w:pStyle w:val="P68B1DB1Normal99"/>
        <w:widowControl w:val="false"/>
        <w:spacing w:lineRule="auto" w:line="240" w:before="83" w:after="0"/>
        <w:ind w:left="828" w:right="143" w:hanging="359"/>
        <w:jc w:val="both"/>
        <w:rPr/>
      </w:pPr>
      <w:r>
        <w:rPr/>
        <w:t xml:space="preserve">4. Hangsúlyozzuk, hogy különösen fontos, hogy minden tagállam tiszteletben tartsa az uniós jog elsőbbségének elvét. Kérjük például, hogy Litvániának egyértelmű elvi álláspontja legyen ebben a kérdésben. </w:t>
      </w:r>
    </w:p>
    <w:p>
      <w:pPr>
        <w:pStyle w:val="P68B1DB1Normal99"/>
        <w:widowControl w:val="false"/>
        <w:spacing w:lineRule="auto" w:line="240" w:before="83" w:after="0"/>
        <w:ind w:left="828" w:right="142" w:hanging="359"/>
        <w:jc w:val="both"/>
        <w:rPr/>
      </w:pPr>
      <w:r>
        <w:rPr/>
        <w:t>5. Javasoljuk, hogy Litvánia aktívabban használja ki az uniós országok bevált gyakorlatait a magasabb szociális normák, a gazdasági terjeszkedés, valamint a kiegyensúlyozott és fenntartható fejlődés érdekében.</w:t>
      </w:r>
    </w:p>
    <w:p>
      <w:pPr>
        <w:pStyle w:val="P68B1DB1Normal99"/>
        <w:widowControl w:val="false"/>
        <w:spacing w:lineRule="auto" w:line="240" w:before="83" w:after="0"/>
        <w:ind w:left="828" w:right="142" w:hanging="359"/>
        <w:jc w:val="both"/>
        <w:rPr/>
      </w:pPr>
      <w:r>
        <w:rPr/>
        <w:t xml:space="preserve">6. Javasoljuk, hogy fordítsanak nagyobb figyelmet a kiberbiztonság, valamint az adatok és az infrastruktúra védelmének megerősítésére. </w:t>
      </w:r>
    </w:p>
    <w:p>
      <w:pPr>
        <w:pStyle w:val="P68B1DB1Normal99"/>
        <w:widowControl w:val="false"/>
        <w:spacing w:lineRule="auto" w:line="240" w:before="83" w:after="0"/>
        <w:ind w:left="821" w:right="143" w:hanging="354"/>
        <w:jc w:val="both"/>
        <w:rPr/>
      </w:pPr>
      <w:r>
        <w:rPr/>
        <w:t xml:space="preserve">7. Javasoljuk, hogy az EU és a tagállamok prioritásként kezeljék az alapvető gazdasági ismeretek fejlesztését a polgárok körében, az oktatást és az információterjesztést. </w:t>
      </w:r>
    </w:p>
    <w:p>
      <w:pPr>
        <w:pStyle w:val="P68B1DB1Normal99"/>
        <w:widowControl w:val="false"/>
        <w:spacing w:lineRule="auto" w:line="240" w:before="45" w:after="0"/>
        <w:ind w:left="821" w:right="143" w:hanging="354"/>
        <w:jc w:val="both"/>
        <w:rPr/>
      </w:pPr>
      <w:r>
        <w:rPr/>
        <w:t xml:space="preserve">8. Javasoljuk, hogy az új uniós kereskedelmi megállapodások tartalmazzanak ambiciózus szociális, munkaügyi és egészségügyi normákat. Javasoljuk, hogy uniós szinten határozzanak meg iránymutatásokat arra vonatkozóan, hogy mit kell tenni, és nincs joguk arra, hogy olyan közösségimédia-platformokat hozzanak létre, amelyek a fogyasztók személyes adatait és az azokra vonatkozó információkat kezelik. </w:t>
      </w:r>
    </w:p>
    <w:p>
      <w:pPr>
        <w:pStyle w:val="P68B1DB1Normal99"/>
        <w:widowControl w:val="false"/>
        <w:spacing w:lineRule="auto" w:line="240" w:before="42" w:after="0"/>
        <w:ind w:left="821" w:right="143" w:hanging="354"/>
        <w:jc w:val="both"/>
        <w:rPr/>
      </w:pPr>
      <w:r>
        <w:rPr/>
        <w:t>9. Javasoljuk, hogy a lehető legjobb hitelfelvételi feltételek elérése érdekében tovább vizsgálják meg az uniós szintű közös hitelfelvétel lehetőségét. Azt is javasoljuk, hogy dolgozzanak ki pénzügyileg megalapozott és felelős politikát annak érdekében, hogy csökkenjen a tagállamok eladósodottsága iránti igény.</w:t>
      </w:r>
    </w:p>
    <w:p>
      <w:pPr>
        <w:pStyle w:val="P68B1DB1Normal99"/>
        <w:widowControl w:val="false"/>
        <w:spacing w:lineRule="auto" w:line="240" w:before="42" w:after="0"/>
        <w:ind w:left="821" w:right="143" w:hanging="354"/>
        <w:jc w:val="both"/>
        <w:rPr/>
      </w:pPr>
      <w:r>
        <w:rPr/>
        <w:t>10. Javasoljuk, hogy erősítsék meg az uniós források felhasználásának és felhasználásának nyomon követését, segítve a helyi önkormányzatokat abban, hogy valódi gyakorlatot alakítsanak ki az alapok felhasználásának kiigazítására. Mivel az uniós források kedvezményezettjeinek objektív helyzete változhat, különösen fontos az átláthatóságra és a rugalmasságra vonatkozó követelmények összehangolása.</w:t>
      </w:r>
    </w:p>
    <w:p>
      <w:pPr>
        <w:pStyle w:val="P68B1DB1Normal99"/>
        <w:widowControl w:val="false"/>
        <w:spacing w:lineRule="auto" w:line="240" w:before="42" w:after="0"/>
        <w:ind w:left="821" w:right="143" w:hanging="354"/>
        <w:jc w:val="both"/>
        <w:rPr/>
      </w:pPr>
      <w:r>
        <w:rPr/>
        <w:t xml:space="preserve">11. Javasoljuk, hogy Litvánia továbbra is aktívan mozdítsa elő a gazdasági fejlődést és a beruházásokat az ország régióiban. </w:t>
      </w:r>
    </w:p>
    <w:p>
      <w:pPr>
        <w:pStyle w:val="P68B1DB1Normal35"/>
        <w:widowControl w:val="false"/>
        <w:spacing w:lineRule="auto" w:line="240" w:before="62" w:after="0"/>
        <w:ind w:left="0" w:right="0" w:hanging="0"/>
        <w:jc w:val="left"/>
        <w:rPr>
          <w:rFonts w:ascii="Arial" w:hAnsi="Arial"/>
          <w:b/>
          <w:b/>
          <w:color w:val="000000"/>
          <w:sz w:val="22"/>
        </w:rPr>
      </w:pPr>
      <w:r>
        <w:rPr/>
        <w:t xml:space="preserve"> </w:t>
      </w:r>
    </w:p>
    <w:p>
      <w:pPr>
        <w:pStyle w:val="P68B1DB1Normal96"/>
        <w:widowControl w:val="false"/>
        <w:spacing w:lineRule="auto" w:line="240" w:before="16" w:after="0"/>
        <w:ind w:left="720" w:right="0" w:hanging="0"/>
        <w:jc w:val="left"/>
        <w:rPr/>
      </w:pPr>
      <w:r>
        <w:rPr/>
        <w:t xml:space="preserve">3. A nemzeti polgári munkacsoportban folytatott megbeszélések és az eredmények elemzése </w:t>
      </w:r>
    </w:p>
    <w:p>
      <w:pPr>
        <w:pStyle w:val="P68B1DB1Normal76"/>
        <w:widowControl w:val="false"/>
        <w:spacing w:lineRule="auto" w:line="240" w:before="46" w:after="0"/>
        <w:ind w:left="0" w:right="29" w:hanging="0"/>
        <w:jc w:val="both"/>
        <w:rPr/>
      </w:pPr>
      <w:r>
        <w:rPr/>
        <w:t xml:space="preserve">A nemzeti polgári vitacsoport résztvevői megvitatták a litvániai legfontosabb aktuális kérdéseket (amelyeket nagy részben nemzeti szinten vitatnak meg a politikai és média színtéren), és hogyan kezeljék azokat. A testület főbb következtetéseiről szóló általános szavazás során kiderült, hogy a két ülésen leadott szavazatok közel 45%-át két témára vonatkozó javaslatokra fordították: a Kínával fennálló kapcsolatok és a migrációs áramlások ellenőrzése (lásd az alábbi táblázatot). Az energiapolitika témája is nagy figyelmet kapott. Ez csak egy javaslat tárgyát képezte, de a résztvevők közel 10%-ának szavazatát kapta. E szavazások eredménye azt sugallja, hogy a polgárok Európa jövőjéről alkotott felfogása döntő lehet a mai politikai kérdések és hírek szempontjából (nemzeti szinten). </w:t>
      </w:r>
    </w:p>
    <w:p>
      <w:pPr>
        <w:pStyle w:val="P68B1DB1Normal76"/>
        <w:widowControl w:val="false"/>
        <w:spacing w:lineRule="auto" w:line="240"/>
        <w:ind w:left="0" w:right="0" w:hanging="0"/>
        <w:jc w:val="left"/>
        <w:rPr>
          <w:rFonts w:ascii="Arial" w:hAnsi="Arial"/>
          <w:color w:val="000000"/>
          <w:sz w:val="22"/>
        </w:rPr>
      </w:pPr>
      <w:r>
        <w:rPr/>
        <w:t xml:space="preserve">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175"/>
        <w:gridCol w:w="7779"/>
        <w:gridCol w:w="374"/>
        <w:gridCol w:w="1310"/>
      </w:tblGrid>
      <w:tr>
        <w:trPr>
          <w:trHeight w:val="236"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1"/>
              <w:spacing w:before="57" w:after="57"/>
              <w:jc w:val="left"/>
              <w:rPr>
                <w:rFonts w:ascii="Garamond" w:hAnsi="Garamond"/>
                <w:b/>
                <w:b/>
                <w:color w:val="000000"/>
              </w:rPr>
            </w:pPr>
            <w:r>
              <w:rPr/>
              <w:t>Ajánlás</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1"/>
              <w:spacing w:before="57" w:after="57"/>
              <w:jc w:val="left"/>
              <w:rPr>
                <w:rFonts w:ascii="Garamond" w:hAnsi="Garamond"/>
                <w:b/>
                <w:b/>
                <w:color w:val="000000"/>
              </w:rPr>
            </w:pPr>
            <w:r>
              <w:rPr/>
              <w:t>Szavazás</w:t>
            </w:r>
          </w:p>
        </w:tc>
      </w:tr>
      <w:tr>
        <w:trPr>
          <w:trHeight w:val="251" w:hRule="atLeast"/>
        </w:trPr>
        <w:tc>
          <w:tcPr>
            <w:tcW w:w="175" w:type="dxa"/>
            <w:tcBorders>
              <w:top w:val="single" w:sz="2" w:space="0" w:color="000001"/>
              <w:left w:val="single" w:sz="2" w:space="0" w:color="000001"/>
              <w:bottom w:val="single" w:sz="2" w:space="0" w:color="000001"/>
              <w:insideH w:val="single" w:sz="2" w:space="0" w:color="000001"/>
            </w:tcBorders>
            <w:shd w:fill="C0C0C0" w:val="clear"/>
            <w:tcMar>
              <w:right w:w="0" w:type="dxa"/>
            </w:tcMar>
            <w:vAlign w:val="center"/>
          </w:tcPr>
          <w:p>
            <w:pPr>
              <w:pStyle w:val="Contenudetableau"/>
              <w:spacing w:before="57" w:after="57"/>
              <w:rPr>
                <w:color w:val="000000"/>
              </w:rPr>
            </w:pPr>
            <w:r>
              <w:rPr>
                <w:color w:val="000000"/>
              </w:rPr>
            </w:r>
          </w:p>
        </w:tc>
        <w:tc>
          <w:tcPr>
            <w:tcW w:w="8153" w:type="dxa"/>
            <w:gridSpan w:val="2"/>
            <w:tcBorders>
              <w:top w:val="single" w:sz="2" w:space="0" w:color="000001"/>
              <w:bottom w:val="single" w:sz="2" w:space="0" w:color="000001"/>
              <w:insideH w:val="single" w:sz="2" w:space="0" w:color="000001"/>
            </w:tcBorders>
            <w:shd w:fill="C0C0C0" w:val="clear"/>
            <w:tcMar>
              <w:left w:w="0" w:type="dxa"/>
              <w:right w:w="0" w:type="dxa"/>
            </w:tcMar>
            <w:vAlign w:val="center"/>
          </w:tcPr>
          <w:p>
            <w:pPr>
              <w:pStyle w:val="P68B1DB1Contenudetableau101"/>
              <w:spacing w:before="57" w:after="57"/>
              <w:jc w:val="left"/>
              <w:rPr>
                <w:rFonts w:ascii="Garamond" w:hAnsi="Garamond"/>
                <w:b/>
                <w:b/>
                <w:color w:val="000000"/>
              </w:rPr>
            </w:pPr>
            <w:r>
              <w:rPr/>
              <w:t>Első ülés: az EU szerepe és hatáskörei a külpolitikában</w:t>
            </w:r>
          </w:p>
        </w:tc>
        <w:tc>
          <w:tcPr>
            <w:tcW w:w="1310" w:type="dxa"/>
            <w:tcBorders>
              <w:top w:val="single" w:sz="2" w:space="0" w:color="000001"/>
              <w:bottom w:val="single" w:sz="2" w:space="0" w:color="000001"/>
              <w:right w:val="single" w:sz="2" w:space="0" w:color="000001"/>
              <w:insideH w:val="single" w:sz="2" w:space="0" w:color="000001"/>
              <w:insideV w:val="single" w:sz="2" w:space="0" w:color="000001"/>
            </w:tcBorders>
            <w:shd w:fill="C0C0C0" w:val="clear"/>
            <w:tcMar>
              <w:left w:w="0" w:type="dxa"/>
            </w:tcMar>
            <w:vAlign w:val="center"/>
          </w:tcPr>
          <w:p>
            <w:pPr>
              <w:pStyle w:val="Contenudetableau"/>
              <w:spacing w:before="57" w:after="57"/>
              <w:rPr>
                <w:color w:val="000000"/>
              </w:rPr>
            </w:pPr>
            <w:r>
              <w:rPr>
                <w:color w:val="000000"/>
              </w:rPr>
            </w:r>
          </w:p>
        </w:tc>
      </w:tr>
      <w:tr>
        <w:trPr>
          <w:trHeight w:val="154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1. Felszólítjuk az EU-t, hogy dolgozzon ki hatékonyabb politikát Kínával szemben. A Litvániának nyújtott jelenlegi támogatás nem elegendő, de Litvánia sem hangolta össze kellőképpen álláspontját az uniós partnerek álláspontjával. Annak biztosítása érdekében, hogy az érdekek kiegyensúlyozottabbak legyenek az EU-n belül, és csak egyetlen politika legyen Kínával szemben, valamint más külpolitikai kérdésekben, javasoljuk, hogy fontolják meg egy uniós külügyminiszter létrehozásának lehetőségét.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11 (22,9%) fontos Európa számára: 8; személyes minőségében: 3</w:t>
            </w:r>
          </w:p>
        </w:tc>
      </w:tr>
      <w:tr>
        <w:trPr>
          <w:trHeight w:val="79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2. Javasoljuk, hogy uniós szinten tűzzék napirendre a migránskvóták kérdését.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9 (18,8%) fontos Európa számára: 9 </w:t>
            </w:r>
          </w:p>
        </w:tc>
      </w:tr>
      <w:tr>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right w:w="0" w:type="dxa"/>
            </w:tcMar>
            <w:vAlign w:val="center"/>
          </w:tcPr>
          <w:p>
            <w:pPr>
              <w:pStyle w:val="P68B1DB1Contenudetableau102"/>
              <w:spacing w:before="57" w:after="57"/>
              <w:jc w:val="left"/>
              <w:rPr>
                <w:rFonts w:ascii="Garamond" w:hAnsi="Garamond"/>
                <w:color w:val="000000"/>
              </w:rPr>
            </w:pPr>
            <w:r>
              <w:rPr/>
              <w:t xml:space="preserve">3. Javasoljuk, hogy hozzanak létre egy külön uniós szintű bizottságot a migrációs kérdések kezelésére, amely biztosítaná a migrációs válságokra való gyorsabb reagálást, valamint a tagállamok azon jogát, hogy kifejtsék és megvédjék nemzeti érdekeiket, valamint közös migrációkezelési iránymutatásokat dolgozzanak ki és hajtsanak végre.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7 (14,6%) fontos Európa számára: 3) személyes minőségében: 4 </w:t>
            </w:r>
          </w:p>
        </w:tc>
      </w:tr>
      <w:tr>
        <w:trPr>
          <w:trHeight w:val="806"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4. Javasoljuk, hogy erősítsék meg a gazdasági és humanitárius kapcsolatokat az észak-afrikai országokkal anélkül, hogy szem elől tévesztenék a politikai realitásokat, különösen Kína, Oroszország és a régió más államai befolyásának csökkentése érdekében.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6 (12,5%) személyes szempontból fontos: 6</w:t>
            </w:r>
          </w:p>
        </w:tc>
      </w:tr>
      <w:tr>
        <w:trPr>
          <w:trHeight w:val="79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5. Javasoljuk, hogy erősítsük meg a kelet-európai kapcsolatokat, és alkalmazzuk a gazdasági intézkedéseket az emberek szintjén.</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5 (10,4%) személy szerint fontos: 5</w:t>
            </w:r>
          </w:p>
        </w:tc>
      </w:tr>
      <w:tr>
        <w:trPr>
          <w:trHeight w:val="251" w:hRule="atLeast"/>
        </w:trPr>
        <w:tc>
          <w:tcPr>
            <w:tcW w:w="175" w:type="dxa"/>
            <w:tcBorders>
              <w:top w:val="single" w:sz="2" w:space="0" w:color="000001"/>
              <w:left w:val="single" w:sz="2" w:space="0" w:color="000001"/>
              <w:bottom w:val="single" w:sz="2" w:space="0" w:color="000001"/>
              <w:insideH w:val="single" w:sz="2" w:space="0" w:color="000001"/>
            </w:tcBorders>
            <w:shd w:fill="C0C0C0" w:val="clear"/>
            <w:tcMar>
              <w:right w:w="0" w:type="dxa"/>
            </w:tcMar>
            <w:vAlign w:val="center"/>
          </w:tcPr>
          <w:p>
            <w:pPr>
              <w:pStyle w:val="Contenudetableau"/>
              <w:spacing w:before="57" w:after="57"/>
              <w:rPr>
                <w:color w:val="000000"/>
              </w:rPr>
            </w:pPr>
            <w:r>
              <w:rPr>
                <w:color w:val="000000"/>
              </w:rPr>
            </w:r>
          </w:p>
        </w:tc>
        <w:tc>
          <w:tcPr>
            <w:tcW w:w="8153" w:type="dxa"/>
            <w:gridSpan w:val="2"/>
            <w:tcBorders>
              <w:top w:val="single" w:sz="2" w:space="0" w:color="000001"/>
              <w:bottom w:val="single" w:sz="2" w:space="0" w:color="000001"/>
              <w:insideH w:val="single" w:sz="2" w:space="0" w:color="000001"/>
            </w:tcBorders>
            <w:shd w:fill="C0C0C0" w:val="clear"/>
            <w:tcMar>
              <w:left w:w="0" w:type="dxa"/>
              <w:right w:w="0" w:type="dxa"/>
            </w:tcMar>
            <w:vAlign w:val="center"/>
          </w:tcPr>
          <w:p>
            <w:pPr>
              <w:pStyle w:val="P68B1DB1Contenudetableau101"/>
              <w:spacing w:before="57" w:after="57"/>
              <w:jc w:val="left"/>
              <w:rPr>
                <w:rFonts w:ascii="Garamond" w:hAnsi="Garamond"/>
                <w:b/>
                <w:b/>
                <w:color w:val="000000"/>
              </w:rPr>
            </w:pPr>
            <w:r>
              <w:rPr/>
              <w:t xml:space="preserve">Második ülés: az EU gazdasági szerepe </w:t>
            </w:r>
          </w:p>
        </w:tc>
        <w:tc>
          <w:tcPr>
            <w:tcW w:w="1310" w:type="dxa"/>
            <w:tcBorders>
              <w:top w:val="single" w:sz="2" w:space="0" w:color="000001"/>
              <w:bottom w:val="single" w:sz="2" w:space="0" w:color="000001"/>
              <w:right w:val="single" w:sz="2" w:space="0" w:color="000001"/>
              <w:insideH w:val="single" w:sz="2" w:space="0" w:color="000001"/>
              <w:insideV w:val="single" w:sz="2" w:space="0" w:color="000001"/>
            </w:tcBorders>
            <w:shd w:fill="C0C0C0" w:val="clear"/>
            <w:tcMar>
              <w:left w:w="0" w:type="dxa"/>
            </w:tcMar>
            <w:vAlign w:val="center"/>
          </w:tcPr>
          <w:p>
            <w:pPr>
              <w:pStyle w:val="Contenudetableau"/>
              <w:spacing w:before="57" w:after="57"/>
              <w:rPr>
                <w:color w:val="000000"/>
              </w:rPr>
            </w:pPr>
            <w:r>
              <w:rPr>
                <w:color w:val="000000"/>
              </w:rPr>
            </w:r>
          </w:p>
        </w:tc>
      </w:tr>
      <w:tr>
        <w:trPr>
          <w:trHeight w:val="127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1. Javasoljuk, hogy az EU tegyen meg különböző lépéseket az alapvető áruk ellátásának biztonsága érdekében: az EU-n belüli kereskedelem előtérbe helyezése, a fejlett technológiák Unión belüli előállításának előmozdítása és az importforrások további diverzifikálása. Javasoljuk az új exportpiacok feltárását is.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9 (19,6%) fontos Európa számára: 3) személy szerint: 6 </w:t>
            </w:r>
          </w:p>
        </w:tc>
      </w:tr>
      <w:tr>
        <w:trPr>
          <w:trHeight w:val="91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2. Javasoljuk a földgázszerződések tárgyalási gyakorlatának felülvizsgálatát mind a rövid, mind a hosszú távú szerződések tekintetében. Az energiaellátási források további diverzifikációját javasoljuk.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9 (19,6%) fontos Európa számára: 9</w:t>
            </w:r>
          </w:p>
        </w:tc>
      </w:tr>
      <w:tr>
        <w:trPr>
          <w:trHeight w:val="112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3. Javasoljuk, hogy a zöld megállapodás intézkedéseit és azok végrehajtását a lehetséges negatív társadalmi-gazdasági hatások figyelembevételével értékeljék. A zöld megállapodás célkitűzéseinek megvalósítása érdekében javasoljuk, hogy a megújuló energiaforrások felhasználása mellett nukleáris energiát és földgázt is használjanak.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6 (13%) személyes szempontból fontos: 6</w:t>
            </w:r>
          </w:p>
        </w:tc>
      </w:tr>
      <w:tr>
        <w:trPr>
          <w:trHeight w:val="1016"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4. Hangsúlyozzuk, hogy fontos, hogy minden tagállam tiszteletben tartsa az uniós jog elsőbbségének elvét. Kérjük például, hogy Litvániának egyértelmű elvi álláspontja legyen ebben a kérdésben.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4 (8,7%) fontos Európa számára: 2; személyes minőségében: 2</w:t>
            </w:r>
          </w:p>
        </w:tc>
      </w:tr>
    </w:tbl>
    <w:p>
      <w:pPr>
        <w:pStyle w:val="P68B1DB1Normal97"/>
        <w:spacing w:lineRule="auto" w:line="240"/>
        <w:rPr>
          <w:rFonts w:ascii="Garamond" w:hAnsi="Garamond"/>
          <w:color w:val="000000"/>
          <w:sz w:val="22"/>
        </w:rPr>
      </w:pPr>
      <w:r>
        <w:rPr/>
        <w:t xml:space="preserve"> </w:t>
      </w:r>
    </w:p>
    <w:p>
      <w:pPr>
        <w:pStyle w:val="P68B1DB1Normal76"/>
        <w:widowControl w:val="false"/>
        <w:spacing w:lineRule="auto" w:line="240" w:before="48" w:after="0"/>
        <w:ind w:left="0" w:right="0" w:hanging="0"/>
        <w:jc w:val="both"/>
        <w:rPr/>
      </w:pPr>
      <w:r>
        <w:rPr/>
        <w:t xml:space="preserve">Emellett a polgárok számára a legfontosabb kérdések – nevezetesen a Kínával való kapcsolatok, a migráció vagy az energiaügy – átmenetiek: állásfoglalásuk alapvető hatással lesz Európa hosszú távú jövőjére. Ezért nem problematikus annak a valószínűsége, hogy a polgárok a jövőről gondolkodnak, ami jelenleg fontos. Mivel a jövő építése ma számos apró lépéssel kezdődik, a polgárok elvárásainak rövid távú észlelése elengedhetetlen feltétele a folyamatok és a problémamegoldás erős, hosszú távú ellenőrzésének. A nemzeti polgárok testületének főbb eredményeiről szóló alábbi elemzés ezen a megfigyelésen alapul.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spacing w:lineRule="auto" w:line="240"/>
        <w:rPr/>
      </w:pPr>
      <w:r>
        <w:rPr/>
        <w:t>A legtöbb szavazatot (11 vagy közel 12%) fogadó állásfoglalás szerint</w:t>
      </w:r>
      <w:r>
        <w:rPr>
          <w:b/>
        </w:rPr>
        <w:t xml:space="preserve"> az EU-nak hatékonyabb politikára van szüksége Kínával szemben</w:t>
      </w:r>
      <w:r>
        <w:rPr/>
        <w:t xml:space="preserve">. Ez az általános következtetés több konkrétabb kijelentést is tartalmazott. Először is a résztvevők hangsúlyozták, hogy ebben a szakaszban nem volt elegendő az EU által Litvániának nyújtott támogatás a kínai gazdasági nyomással szemben. Másodszor, a csoport képviselői, akik közölték a következtetést, hangsúlyozták, hogy Litvániának nagyobb erőfeszítéseket kell tennie annak érdekében, hogy összehangolja Kínával kapcsolatos politikáját az uniós partnerek politikájával, különösen azért, mert az EU egésze számára fontos, hogy továbbra is folytassa a Kínával folytatott kereskedelmet. Harmadszor, a polgárok felvetették azt az elképzelést, hogy az álláspontok összehangolása és a Kínával kapcsolatos közös politika kialakítása hatékonyabb lehet, ha létrehoznak egy uniós külügyminisztert. Nyolc résztvevő kiemelten fontosnak nyilvánította ezt a következtetést egész Európa számára, hárman pedig személyes minőségükben.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0" w:hanging="0"/>
        <w:jc w:val="both"/>
        <w:rPr/>
      </w:pPr>
      <w:r>
        <w:rPr/>
        <w:t xml:space="preserve">A Kínával fenntartott kapcsolatok kérdése szorosan összefügg két másik javaslattal, amelyek nagy számban szólalnak meg a polgárok körében. Kilenc résztvevő szavazott a második ülésen levont következtetés mellett, miszerint az </w:t>
      </w:r>
      <w:r>
        <w:rPr>
          <w:b/>
        </w:rPr>
        <w:t>EU-nak erősítenie kell az ellátásbiztonságot</w:t>
      </w:r>
      <w:r>
        <w:rPr/>
        <w:t xml:space="preserve"> (három résztvevő jelezte, hogy ez egész Európa számára különösen fontos, hat másik pedig személyes minőségükben). Ez a következtetés több szempontot is tartalmazott. Először is a polgárok hangsúlyozták, hogy elsőbbséget kell biztosítani azoknak az uniós piacoknak, amelyeket megbízható beszállítók és az igényes szabványoknak megfelelő termékek jellemeznek. Másodszor, a résztvevők hangsúlyozták, hogy ösztönözni kell a csúcstechnológiai termelési kapacitást Európában. Harmadszor, a polgárok támogatták az importforrások nagyobb diverzifikációját. Ezen ajánlások megfogalmazása során a résztvevők következetesen utaltak Kína tényezőjére: a biztonsági fenyegetések a kínai árukkal, a fejlett technológiák gyártásához szükséges kínai nyersanyagokra való támaszkodással, valamint a kínai piacon működő nyugati vállalatok másolási és lopási gyakorlatával kapcsolatosak. Az</w:t>
      </w:r>
      <w:r>
        <w:rPr>
          <w:b/>
        </w:rPr>
        <w:t xml:space="preserve"> EU észak-afrikai országokkal való gazdasági és humanitárius együttműködésének fejlesztésére</w:t>
      </w:r>
      <w:r>
        <w:rPr/>
        <w:t xml:space="preserve"> irányuló javaslat szintén hat (személyesen fontos) szavazatot kapott, mivel ebben a régióban fontos Kína, Oroszország és más barátságos államok befolyásának csökkentése.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0" w:hanging="0"/>
        <w:jc w:val="both"/>
        <w:rPr/>
      </w:pPr>
      <w:r>
        <w:rPr/>
        <w:t>A szavazás eredményei a polgárok migrációs kérdésekkel kapcsolatos aggályait is tükrözték. A külpolitika három leghangosabb megállapítása közül kettőt a migrációnak szenteltek. Kilenc résztvevő megszavazta azt a javaslatot</w:t>
      </w:r>
      <w:r>
        <w:rPr>
          <w:b/>
        </w:rPr>
        <w:t>, hogy az EU térjen vissza a tagállamok számára kötelező migránsfogadási kvóták rendszerének létrehozásához</w:t>
      </w:r>
      <w:r>
        <w:rPr/>
        <w:t xml:space="preserve"> (mindannyian hangsúlyozták, hogy ez a javaslat egész Európa számára különösen fontos). Az e következtetést levonó résztvevők támogatták, hogy a nemzeti kvótákat a lakosok száma szerint határozzák meg, és hogy az uniós társfinanszírozás a migránsok e kvóták szerinti szükségleteinek kielégítésére irányuljon. Hét résztvevő még mindig megszavazta azt a javaslatot, </w:t>
      </w:r>
      <w:r>
        <w:rPr>
          <w:b/>
        </w:rPr>
        <w:t>hogy a migrációs kérdésekkel foglalkozó állandó technikai bizottságot hozzanak létre uniós szinten, amelybe a tagállamok képviselőit küldenék ki (</w:t>
      </w:r>
      <w:r>
        <w:rPr/>
        <w:t xml:space="preserve"> három résztvevő ezt a javaslatot Európa egésze számára különösen fontosnak tartja, négyen pedig személyes minőségükben fontosnak tartják). A résztvevők hangsúlyozták, hogy egy ilyen szerv lehetővé tenné az EU számára, hogy gyorsabban reagáljon a migrációs válságokra, biztosítva ugyanakkor az egyensúlyt az általános uniós elvek megfelelő tiszteletben tartása és a tagállamok nemzeti érdekeik és biztonságuk védelméhez való joga között.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0" w:hanging="0"/>
        <w:jc w:val="both"/>
        <w:rPr/>
      </w:pPr>
      <w:r>
        <w:rPr/>
        <w:t xml:space="preserve">A migrációs politikáról szóló vita során a résztvevők két különálló válságról tárgyaltak a migrációs áramlások kezelése terén: 2016-ban a Földközi-tenger migrációs válsága, valamint 2012-ben Belarusz Litvánia, Lettország és Lengyelország elleni hibrid támadása, amelynek során Minszk a Közel-Keletről és Afrikából érkező migránsokat használta fel. A testület több résztvevője elmondta, hogy a 2016-os válság távolinak és irrelevánsnak tűnt mind Litvánia egésze, mind pedig a személyes minőségükben, és a migránsokra vonatkozó kvótarendszer létrehozására irányuló javaslat számukra nem tűnt megfelelőnek. A résztvevők szerint a hibrid támadás tapasztalata közelebb hozta a migráció kérdését Kelet-Európában, és arra kényszerült, hogy a kvótákat adaptált, hatékony és szolidaritáson alapuló migrációs politikai eszközként közelítse meg. Néhány résztvevő rámutatott, hogy a 2021-es válság közepette nehéz lett megkülönböztetni az ország területén tartózkodókat, a menekülteket, a migránsokat és a fenyegetést jelentő személyeket. A vita valamennyi résztvevője egyetértett abban, hogy a jelenlegi „nyitott” uniós migrációs politika nem veszi kellőképpen figyelembe a migráció jelentette veszélyeket, a tagállamok nemzeti érdekeit, a migránsok integrációjára való képességüket stb.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spacing w:lineRule="auto" w:line="240"/>
        <w:jc w:val="both"/>
        <w:rPr/>
      </w:pPr>
      <w:r>
        <w:rPr/>
        <w:t xml:space="preserve">Összefoglalva elmondható, hogy Litvánia 2021-es legforróbb hírének két eleme – a Kínával való kapcsolatok és a migrációs áramlások kezelése – arra ösztönzi a litván állampolgárokat, hogy követeljék meg az EU nagyobb mértékű beavatkozását és hatékonyabb közös politikáját. A polgárokat aggasztja Kína politikája és annak növekvő befolyása Európában és az EU szomszédságában. El kell ismerni, hogy Kína gazdasági befolyása arra kényszeríti Európát, hogy megfelelő és kiegyensúlyozott politikai intézkedésekre törekedjen. A polgárok véleménye szerint a fő megoldás az EU közös külpolitikai eszközeinek, iparpolitikájának és a szomszédokkal való együttműködésnek a megerősítése. Hasonlóképpen a polgárok úgy vélték, hogy az egységes uniós szintű fellépés, valamint a migrációs kvóták esetleges új rendszere valószínűleg a legmegfelelőbb módja a migráció jelentette biztonsági fenyegetések elkerülésének, valamint az Európába irányuló migrációs áramlások gyors és hatékony ellenőrzésének. A testület véleménye szerint Kína növekvő nyomására és Belarusz hibrid támadására az lenne a legjobb válasz, ha mélyreható és megerősített közös uniós politikát alakítanának ki. </w:t>
      </w:r>
    </w:p>
    <w:p>
      <w:pPr>
        <w:pStyle w:val="P68B1DB1Normal76"/>
        <w:widowControl w:val="false"/>
        <w:spacing w:lineRule="auto" w:line="240"/>
        <w:ind w:left="0" w:right="0" w:hanging="0"/>
        <w:jc w:val="both"/>
        <w:rPr>
          <w:rFonts w:ascii="Arial" w:hAnsi="Arial"/>
          <w:color w:val="000000"/>
          <w:sz w:val="22"/>
        </w:rPr>
      </w:pPr>
      <w:r>
        <w:rPr/>
        <w:t xml:space="preserve"> </w:t>
      </w:r>
    </w:p>
    <w:p>
      <w:pPr>
        <w:pStyle w:val="P68B1DB1Normal76"/>
        <w:widowControl w:val="false"/>
        <w:spacing w:lineRule="auto" w:line="240"/>
        <w:ind w:left="0" w:right="0" w:hanging="0"/>
        <w:jc w:val="both"/>
        <w:rPr/>
      </w:pPr>
      <w:r>
        <w:rPr/>
        <w:t>A vita tárgyát képező válságokról szóló vélemény összehasonlítható a panel résztvevőinek energia- és éghajlat-politikai kérdésekkel kapcsolatos javaslataival. 2021 végén sok litván állampolgárnak közvetlenül kellett foglalkoznia az emelkedő fűtési árakkal, és az energiaárak válsága gyorsan bebizonyosodott, hogy Litvánia számára a legfontosabb hír. Az energiaárakra vonatkozó aggodalmak a résztvevők szavazásán is tükröződnek: kilenc polgár megszavazta azt a következtetést is, hogy ez a kérdés egész Európa számára a legfontosabb. A résztvevők fő ajánlása az volt,</w:t>
      </w:r>
      <w:r>
        <w:rPr>
          <w:b/>
        </w:rPr>
        <w:t xml:space="preserve"> hogy vizsgálják felül a tagállamok jelenlegi gyakorlatát azáltal, hogy energiaellátási szerződéseket kötnek különböző szolgáltatókkal, és törekednek azok megkötésére mind rövid, mind hosszú távon.</w:t>
      </w:r>
      <w:r>
        <w:rPr/>
        <w:t xml:space="preserve"> Más szóval a polgárok támogatták az energiaellátási források diverzifikálására irányuló politikát, de nem tettek ajánlásokat az általános uniós politikákra vonatkozóan, és nem javasolták az energiapolitikák további integrációját. </w:t>
      </w:r>
    </w:p>
    <w:p>
      <w:pPr>
        <w:pStyle w:val="P68B1DB1Normal76"/>
        <w:widowControl w:val="false"/>
        <w:spacing w:lineRule="auto" w:line="240"/>
        <w:ind w:left="0" w:right="0" w:hanging="0"/>
        <w:jc w:val="both"/>
        <w:rPr>
          <w:rFonts w:ascii="Arial" w:hAnsi="Arial"/>
          <w:color w:val="000000"/>
          <w:sz w:val="22"/>
        </w:rPr>
      </w:pPr>
      <w:r>
        <w:rPr/>
        <w:t xml:space="preserve"> </w:t>
      </w:r>
    </w:p>
    <w:p>
      <w:pPr>
        <w:pStyle w:val="P68B1DB1Normal76"/>
        <w:widowControl w:val="false"/>
        <w:spacing w:lineRule="auto" w:line="240"/>
        <w:ind w:left="0" w:right="0" w:hanging="0"/>
        <w:jc w:val="both"/>
        <w:rPr/>
      </w:pPr>
      <w:r>
        <w:rPr/>
        <w:t xml:space="preserve">Az éghajlat-politikával kapcsolatban a polgárok javasolták </w:t>
      </w:r>
      <w:r>
        <w:rPr>
          <w:b/>
        </w:rPr>
        <w:t>a zöld megállapodás intézkedéseinek értékelését, figyelembe véve a várható társadalmi-gazdasági hatásokat és ambíciókat.</w:t>
      </w:r>
      <w:r>
        <w:rPr/>
        <w:t xml:space="preserve"> Ez a javaslat hat résztvevő hangját fogadta, akik mindegyike személyes szempontból fontosnak tartotta. Egyes résztvevők aggodalmuknak adtak hangot az úgynevezett „zöld átállás” túl gyors üteme miatt, és kijelentették, hogy Litvániának alaposabban meg kell vizsgálnia, hogy egy ilyen politika aláásná-e az ország és polgárai érdekeit. Néhány résztvevő újraélesztette annak szükségességét, hogy ne csak a megújuló energiát, hanem az atomenergiát és a földgázt is felhasználják. Álláspontjuk alátámasztására Németország azon döntésére hivatkoztak, hogy továbbra is földgázt használnak, valamint az új generációs „moduláris” atomreaktorokban rejlő potenciálra. Ami az éghajlat-politikát illeti, a testület ezért a tagállami szakpolitikákat a nemzeti szükségletekkel összhangban rangsorolta, nem pedig az éghajlat-politikai irányításra vonatkozó ambiciózus közös uniós politikát. </w:t>
      </w:r>
    </w:p>
    <w:p>
      <w:pPr>
        <w:pStyle w:val="P68B1DB1Normal76"/>
        <w:widowControl w:val="false"/>
        <w:spacing w:lineRule="auto" w:line="240"/>
        <w:ind w:left="0" w:right="0" w:hanging="0"/>
        <w:jc w:val="both"/>
        <w:rPr>
          <w:rFonts w:ascii="Arial" w:hAnsi="Arial"/>
          <w:color w:val="000000"/>
          <w:sz w:val="22"/>
        </w:rPr>
      </w:pPr>
      <w:r>
        <w:rPr/>
        <w:t xml:space="preserve"> </w:t>
      </w:r>
    </w:p>
    <w:p>
      <w:pPr>
        <w:pStyle w:val="P68B1DB1Normal76"/>
        <w:widowControl w:val="false"/>
        <w:spacing w:lineRule="auto" w:line="240"/>
        <w:ind w:left="0" w:right="2" w:hanging="0"/>
        <w:jc w:val="both"/>
        <w:rPr/>
      </w:pPr>
      <w:r>
        <w:rPr/>
        <w:t xml:space="preserve">Tekintettel a panel résztvevőinek viszonylag kis számára és a polgárok különböző válságokra adott válaszlépései közötti különbségekre (a fellépés egységesebbé vagy rugalmasabbá tételére), helytelen lenne itt összesítő és széles körben alkalmazható intézkedéseket mérlegelni. A vélemények kifejezésének e dinamikája azonban a litván polgárok uniós integrációs kérdésekről szóló jövőbeli véleménytanulmányai szempontjából érdekes témákra vonatkozó javaslathoz vezethet, amelyben figyelembe kell venni, hogy a polgárok mit mondanak az autonóm uniós politikákról, az intézményi keretek változásairól és a különbségekről. </w:t>
      </w:r>
    </w:p>
    <w:p>
      <w:pPr>
        <w:pStyle w:val="P68B1DB1Normal76"/>
        <w:widowControl w:val="false"/>
        <w:spacing w:lineRule="auto" w:line="240"/>
        <w:ind w:left="0" w:right="0" w:hanging="0"/>
        <w:jc w:val="both"/>
        <w:rPr>
          <w:rFonts w:ascii="Arial" w:hAnsi="Arial"/>
          <w:color w:val="000000"/>
          <w:sz w:val="22"/>
        </w:rPr>
      </w:pPr>
      <w:r>
        <w:rPr/>
        <w:t xml:space="preserve"> </w:t>
      </w:r>
    </w:p>
    <w:p>
      <w:pPr>
        <w:pStyle w:val="P68B1DB1Normal96"/>
        <w:spacing w:lineRule="auto" w:line="240"/>
        <w:jc w:val="both"/>
        <w:rPr>
          <w:rFonts w:ascii="Arial" w:hAnsi="Arial"/>
          <w:i/>
          <w:i/>
          <w:color w:val="404040"/>
          <w:sz w:val="32"/>
        </w:rPr>
      </w:pPr>
      <w:r>
        <w:rPr/>
        <w:t xml:space="preserve">4. A polgári vitacsoport eredményei a litván közvélemény tágabb kontextusában </w:t>
      </w:r>
    </w:p>
    <w:p>
      <w:pPr>
        <w:pStyle w:val="Normal"/>
        <w:widowControl w:val="false"/>
        <w:spacing w:lineRule="auto" w:line="240"/>
        <w:ind w:left="0" w:right="1" w:hanging="0"/>
        <w:jc w:val="both"/>
        <w:rPr/>
      </w:pPr>
      <w:r>
        <w:rPr>
          <w:color w:val="000000"/>
        </w:rPr>
        <w:t xml:space="preserve">A nemzeti polgári vitacsoport eredményeinek kontextusba hozása érdekében ezeket az utolsó részben röviden összevetik két jelenlegi véleményfelmérés eredményeivel, valamint az Európa jövőjéről szóló konferencia egyéb előkészítő munkáinak közbenső eredményeivel. E jelentés első része a polgároknak az Európa jövőjéről szóló konferenciáról 2020 októberében és novemberében végzett </w:t>
      </w:r>
      <w:hyperlink r:id="rId113">
        <w:r>
          <w:rPr>
            <w:rStyle w:val="LienInternet"/>
            <w:color w:val="0563C1"/>
          </w:rPr>
          <w:t>Eu</w:t>
        </w:r>
      </w:hyperlink>
      <w:hyperlink r:id="rId114">
        <w:r>
          <w:rPr>
            <w:color w:val="000000"/>
          </w:rPr>
          <w:t xml:space="preserve"> </w:t>
        </w:r>
      </w:hyperlink>
      <w:hyperlink r:id="rId115">
        <w:r>
          <w:rPr>
            <w:rStyle w:val="LienInternet"/>
            <w:color w:val="0563C1"/>
          </w:rPr>
          <w:t>r</w:t>
        </w:r>
      </w:hyperlink>
      <w:r>
        <w:rPr>
          <w:color w:val="000000"/>
        </w:rPr>
        <w:t xml:space="preserve">obarométer felmérésére vonatkozik; a második a 2021 nyarán elvégzett legutóbbi </w:t>
      </w:r>
      <w:hyperlink r:id="rId116">
        <w:r>
          <w:rPr>
            <w:rStyle w:val="LienInternet"/>
            <w:color w:val="0563C1"/>
          </w:rPr>
          <w:t>standard Eurobarométer</w:t>
        </w:r>
      </w:hyperlink>
      <w:r>
        <w:rPr>
          <w:color w:val="000000"/>
        </w:rPr>
        <w:t xml:space="preserve"> felmérésről. Amennyiben az e tanulmányokban szereplő kérdések némelyike más politikai témákra és magára a konferenciára vonatkozó polgárok elvárásaira összpontosított, az alábbiakban összehasonlítjuk azokat a kérdéseket, amelyekkel a vitacsoport ténylegesen foglalkozott. Az Európa jövőjéről szóló konferencia előkészítő munkája eredményeinek vizsgálata a RESC által készített előzetes jelentésen alapult, amely a különböző uniós szakpolitikai kérdésekkel kapcsolatos munkában részt vevő polgárok nyilatkozatait is tartalmazta.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0" w:hanging="0"/>
        <w:jc w:val="both"/>
        <w:rPr/>
      </w:pPr>
      <w:r>
        <w:rPr/>
        <w:t xml:space="preserve">Az Eurobarométer felmérések eredményei arra engednek következtetni, hogy a polgári vitacsoport résztvevőinek vitái és szavazatai meglehetősen jól tükrözik a litván társadalomban uralkodó nézeteket. A panel résztvevőinek ajánlásai a közös kül- és migrációs politika megerősítésére az uniós szintű döntésekben való részvétel révén, megfelelnek a szélesebb körű közvélemény-kutatások megállapításainak: </w:t>
      </w:r>
    </w:p>
    <w:p>
      <w:pPr>
        <w:pStyle w:val="P68B1DB1Normal76"/>
        <w:widowControl w:val="false"/>
        <w:spacing w:lineRule="auto" w:line="240"/>
        <w:ind w:left="361" w:right="1" w:hanging="0"/>
        <w:jc w:val="left"/>
        <w:rPr/>
      </w:pPr>
      <w:r>
        <w:rPr>
          <w:rFonts w:ascii="Garamond" w:hAnsi="Garamond"/>
        </w:rPr>
        <w:t>A</w:t>
      </w:r>
      <w:r>
        <w:rPr/>
        <w:t xml:space="preserve"> litván állampolgárok az uniós átlagnál nagyobb mértékben támogatják az EU közös védelmi politikáját (90% vs. 78%); </w:t>
      </w:r>
    </w:p>
    <w:p>
      <w:pPr>
        <w:pStyle w:val="P68B1DB1Normal76"/>
        <w:widowControl w:val="false"/>
        <w:spacing w:lineRule="auto" w:line="240"/>
        <w:ind w:left="361" w:right="3" w:hanging="0"/>
        <w:jc w:val="left"/>
        <w:rPr/>
      </w:pPr>
      <w:r>
        <w:rPr>
          <w:rFonts w:ascii="Garamond" w:hAnsi="Garamond"/>
        </w:rPr>
        <w:t>A</w:t>
      </w:r>
      <w:r>
        <w:rPr/>
        <w:t xml:space="preserve"> litván állampolgárok az uniós átlagnál nagyobb mértékben támogatják az EU közös migrációs politikáját (76% vs. 71%; ez a különbség a hibahatáron belül van); </w:t>
      </w:r>
    </w:p>
    <w:p>
      <w:pPr>
        <w:pStyle w:val="P68B1DB1Normal76"/>
        <w:widowControl w:val="false"/>
        <w:spacing w:lineRule="auto" w:line="240"/>
        <w:ind w:left="360" w:right="2" w:hanging="0"/>
        <w:jc w:val="left"/>
        <w:rPr/>
      </w:pPr>
      <w:r>
        <w:rPr>
          <w:rFonts w:ascii="Garamond" w:hAnsi="Garamond"/>
        </w:rPr>
        <w:t>A</w:t>
      </w:r>
      <w:r>
        <w:rPr/>
        <w:t xml:space="preserve"> litván állampolgárok a migrációt az EU két fő problémájának egyikének tekintik; </w:t>
      </w:r>
    </w:p>
    <w:p>
      <w:pPr>
        <w:pStyle w:val="P68B1DB1Normal76"/>
        <w:widowControl w:val="false"/>
        <w:spacing w:lineRule="auto" w:line="240"/>
        <w:ind w:left="360" w:right="3" w:hanging="0"/>
        <w:jc w:val="left"/>
        <w:rPr/>
      </w:pPr>
      <w:r>
        <w:rPr>
          <w:rFonts w:ascii="Garamond" w:hAnsi="Garamond"/>
        </w:rPr>
        <w:t>A</w:t>
      </w:r>
      <w:r>
        <w:rPr/>
        <w:t xml:space="preserve"> litván polgárok több problémát szeretnének uniós szinten megoldani (49% vs. 42%). </w:t>
      </w:r>
    </w:p>
    <w:p>
      <w:pPr>
        <w:pStyle w:val="P68B1DB1Normal76"/>
        <w:widowControl w:val="false"/>
        <w:spacing w:lineRule="auto" w:line="240" w:before="83" w:after="0"/>
        <w:ind w:left="0" w:right="3" w:hanging="0"/>
        <w:jc w:val="both"/>
        <w:rPr/>
      </w:pPr>
      <w:r>
        <w:rPr/>
        <w:t xml:space="preserve">Az Európa jövőjéről szóló konferencia előkészítő eseményein részt vevő litván állampolgárok szintén hangsúlyozták a védelem területén folytatott együttműködés fontosságát, és hogy az EU közös migrációs politikája és az EU külpolitikája olyan területek, ahol Litvánia számára előnyösebb lenne az erőteljesebb uniós beavatkozás.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1" w:hanging="0"/>
        <w:jc w:val="both"/>
        <w:rPr/>
      </w:pPr>
      <w:r>
        <w:rPr/>
        <w:t xml:space="preserve">Az Eurobarométer adatai rávilágíthatnak a panel résztvevőinek a Kínával való kapcsolatokról és az energiaárakról alkotott nézeteire: A litvánok az uniós átlagnál jobban aggódnak a világ országai közötti kapcsolatok lebomlása és az ebből eredő növekvő geopolitikai feszültségek miatt (33% vs. 18%). A testület következtetései a Kínával szembeni ambiciózusabb politika szükségességéről szintén átfedésben vannak ezekkel az adatokkal, valamint a fent említett, az uniós szintű döntéshozatalt és a közös uniós védelmi politikát támogató állásponttal. Másrészt a panel résztvevőinek az energiaárak csökkentésére vonatkozó különböző döntések miatti aggodalma azzal a ténnyel függ össze, hogy a litvánok sokkal jobban aggódnak, mint az uniós átlag az emelkedő infláció és az emelkedő árak miatt (53% vs. 23%). A növekvő inflációval szembeni érzékenység annak köszönhető, hogy az áremelkedések ellenőrzése fontosabbnak tűnik, mint az általános uniós szakpolitikai döntéshozatal vagy más szakpolitikai célkitűzések.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1" w:hanging="0"/>
        <w:jc w:val="both"/>
        <w:rPr/>
      </w:pPr>
      <w:r>
        <w:rPr/>
        <w:t xml:space="preserve">Az Eurobarométer-felmérés adatai arra is utalnak, hogy a litvánok politikai szempontból is érdekes módon érzékelik a migrációs kérdést. A 2020. évi felmérésben a litvánok a migrációt az EU jövője szempontjából az uniós átlaghoz képest jelentős kihívásként (16% kontra 27%) említették; A 2021. évi felmérésben a litván válaszadók 32%-a tekintette a migrációt az EU egyik fő problémájának (szemben az EU egészének átlagosan 25%-ával). Bár ez a nézetváltozás a kérdés megfogalmazásában mutatkozó különbségeknek tudható be, átfedésben van azzal, amit a panel résztvevői a migrációs kérdésekkel kapcsolatos nézeteik alakulásáról szóló vitákban mondtak.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before="220" w:after="0"/>
        <w:ind w:left="0" w:right="0" w:hanging="0"/>
        <w:jc w:val="both"/>
        <w:rPr/>
      </w:pPr>
      <w:r>
        <w:rPr/>
        <w:t xml:space="preserve">A polgári vitacsoport eredményeinek az Eurobarométer adataival való összehasonlítása továbbá azt mutatja, hogy szakadék van egyrészt a panel résztvevőinek az uniós politikával kapcsolatos viszonylag óvatos véleménye, másrészt a litván polgárok éghajlatváltozással kapcsolatos aggályai között. Bár a panel résztvevői arra ösztönözték, hogy értékeljék, hogy a zöld megállapodás nem túl ambiciózus-e, és nem sértené-e Litvánia érdekeit, a litvánok az Eurobarométer tanulmányai szerint az éghajlatváltozást következetesen az EU előtt álló egyik fő kihívásként határozták meg. A 2020. évi felmérésben a litván válaszadók 47%-a vélte úgy, hogy az éghajlat az egyik legfontosabb kihívás Európa jövője szempontjából (szemben az EU egészében átlagosan 45%-kal); A 2021. évi felmérésben ez volt a helyzet a litván válaszadók 28%-ánál (az EU egészében átlagosan 25%-ról). Meg kell jegyezni, hogy azok a polgárok, akik részt vettek az Európa jövőjéről szóló konferencia egyéb előkészítő eseményein, az éghajlat-politikára is úgy hivatkoztak, mint az egyik olyan területre, ahol Litvánia a legnagyobb érdeke az erőteljesebb uniós beavatkozásnak. Ez az eltérés valószínűleg a panel résztvevői szavazásának motivációjával magyarázható: mindazok, akik a zöld megállapodás intézkedéseinek újraértékelésére vonatkozó ajánlás mellett szavaztak, személyes szempontból fontosnak tartották ezt számukra. Más szóval, a személyes ellenállás nem lenne összeegyeztethetetlen azzal a megállapítással, hogy az éghajlatváltozás az uniós politika egyik legfontosabb kihívása. </w:t>
      </w:r>
    </w:p>
    <w:p>
      <w:pPr>
        <w:pStyle w:val="P68B1DB1Normal97"/>
        <w:widowControl w:val="false"/>
        <w:spacing w:lineRule="auto" w:line="240"/>
        <w:ind w:left="0" w:right="0" w:hanging="0"/>
        <w:jc w:val="left"/>
        <w:rPr>
          <w:rFonts w:ascii="Garamond" w:hAnsi="Garamond"/>
          <w:color w:val="000000"/>
          <w:sz w:val="22"/>
        </w:rPr>
      </w:pPr>
      <w:r>
        <w:rPr/>
        <w:t xml:space="preserve"> </w:t>
      </w:r>
    </w:p>
    <w:p>
      <w:pPr>
        <w:pStyle w:val="Normal"/>
        <w:widowControl w:val="false"/>
        <w:spacing w:lineRule="auto" w:line="240" w:before="89" w:after="0"/>
        <w:ind w:left="0" w:right="0" w:hanging="0"/>
        <w:jc w:val="left"/>
        <w:rPr>
          <w:rFonts w:ascii="Garamond" w:hAnsi="Garamond"/>
          <w:color w:val="000000"/>
          <w:sz w:val="22"/>
        </w:rPr>
      </w:pPr>
      <w:r>
        <w:rPr>
          <w:rFonts w:ascii="Garamond" w:hAnsi="Garamond"/>
          <w:color w:val="000000"/>
          <w:sz w:val="22"/>
        </w:rPr>
      </w:r>
      <w:r>
        <w:br w:type="page"/>
      </w:r>
    </w:p>
    <w:p>
      <w:pPr>
        <w:pStyle w:val="Titre1"/>
        <w:numPr>
          <w:ilvl w:val="0"/>
          <w:numId w:val="2"/>
        </w:numPr>
        <w:rPr/>
      </w:pPr>
      <w:bookmarkStart w:id="235" w:name="__RefHeading___Toc297357_1346298689"/>
      <w:bookmarkEnd w:id="235"/>
      <w:r>
        <w:rPr/>
        <w:t>II. F. Nemzeti panelek: Hollandia</w:t>
      </w:r>
    </w:p>
    <w:p>
      <w:pPr>
        <w:pStyle w:val="Normal"/>
        <w:widowControl w:val="false"/>
        <w:spacing w:lineRule="auto" w:line="240" w:before="0" w:after="0"/>
        <w:ind w:left="0" w:right="0" w:hanging="0"/>
        <w:jc w:val="left"/>
        <w:rPr>
          <w:rFonts w:ascii="Calibri" w:hAnsi="Calibri"/>
          <w:b/>
          <w:b/>
          <w:i/>
          <w:i/>
          <w:color w:val="000000"/>
          <w:sz w:val="48"/>
        </w:rPr>
      </w:pPr>
      <w:r>
        <w:drawing>
          <wp:anchor behindDoc="0" distT="0" distB="0" distL="0" distR="0" simplePos="0" locked="0" layoutInCell="1" allowOverlap="1" relativeHeight="55">
            <wp:simplePos x="0" y="0"/>
            <wp:positionH relativeFrom="column">
              <wp:align>center</wp:align>
            </wp:positionH>
            <wp:positionV relativeFrom="paragraph">
              <wp:posOffset>635</wp:posOffset>
            </wp:positionV>
            <wp:extent cx="3098800" cy="3129280"/>
            <wp:effectExtent l="0" t="0" r="0" b="0"/>
            <wp:wrapTopAndBottom/>
            <wp:docPr id="109" name="Kép4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Kép46" descr=""/>
                    <pic:cNvPicPr>
                      <a:picLocks noChangeAspect="1" noChangeArrowheads="1"/>
                    </pic:cNvPicPr>
                  </pic:nvPicPr>
                  <pic:blipFill>
                    <a:blip r:embed="rId117"/>
                    <a:stretch>
                      <a:fillRect/>
                    </a:stretch>
                  </pic:blipFill>
                  <pic:spPr bwMode="auto">
                    <a:xfrm>
                      <a:off x="0" y="0"/>
                      <a:ext cx="3098800" cy="3129280"/>
                    </a:xfrm>
                    <a:prstGeom prst="rect">
                      <a:avLst/>
                    </a:prstGeom>
                  </pic:spPr>
                </pic:pic>
              </a:graphicData>
            </a:graphic>
          </wp:anchor>
        </w:drawing>
      </w:r>
      <w:r>
        <w:rPr>
          <w:rFonts w:ascii="Calibri" w:hAnsi="Calibri"/>
          <w:b/>
          <w:i/>
          <w:color w:val="000000"/>
          <w:sz w:val="48"/>
        </w:rPr>
        <w:t>J</w:t>
      </w:r>
      <w:r>
        <w:rPr>
          <w:rFonts w:ascii="Calibri" w:hAnsi="Calibri"/>
          <w:b/>
          <w:i/>
          <w:color w:val="000000"/>
          <w:sz w:val="48"/>
        </w:rPr>
        <w:t>övőképünk Európáról</w:t>
      </w:r>
    </w:p>
    <w:p>
      <w:pPr>
        <w:pStyle w:val="P68B1DB1Normal103"/>
        <w:widowControl w:val="false"/>
        <w:spacing w:lineRule="exact" w:line="499" w:before="100" w:after="0"/>
        <w:ind w:left="0" w:right="0" w:hanging="0"/>
        <w:jc w:val="left"/>
        <w:rPr>
          <w:rFonts w:ascii="Calibri" w:hAnsi="Calibri"/>
          <w:i/>
          <w:i/>
          <w:color w:val="000000"/>
          <w:sz w:val="32"/>
        </w:rPr>
      </w:pPr>
      <w:r>
        <w:rPr/>
        <w:t xml:space="preserve">Vélemények, ötletek és ajánlások </w:t>
      </w:r>
    </w:p>
    <w:p>
      <w:pPr>
        <w:pStyle w:val="P68B1DB1Normal104"/>
        <w:widowControl w:val="false"/>
        <w:spacing w:lineRule="exact" w:line="339" w:before="101" w:after="0"/>
        <w:ind w:left="0" w:right="0" w:hanging="0"/>
        <w:jc w:val="left"/>
        <w:rPr>
          <w:rFonts w:ascii="Calibri" w:hAnsi="Calibri"/>
          <w:color w:val="000000"/>
          <w:sz w:val="21"/>
        </w:rPr>
      </w:pPr>
      <w:r>
        <w:rPr/>
        <w:t xml:space="preserve">Témák </w:t>
      </w:r>
    </w:p>
    <w:p>
      <w:pPr>
        <w:pStyle w:val="P68B1DB1Normal105"/>
        <w:widowControl w:val="false"/>
        <w:spacing w:lineRule="exact" w:line="349" w:before="7" w:after="0"/>
        <w:ind w:left="0" w:right="0" w:hanging="0"/>
        <w:jc w:val="left"/>
        <w:rPr/>
      </w:pPr>
      <w:r>
        <w:rPr>
          <w:rFonts w:ascii="Verdana" w:hAnsi="Verdana"/>
        </w:rPr>
        <w:t>•</w:t>
      </w:r>
      <w:r>
        <w:rPr/>
        <w:t xml:space="preserve"> </w:t>
      </w:r>
      <w:r>
        <w:rPr>
          <w:rFonts w:ascii="Calibri" w:hAnsi="Calibri"/>
        </w:rPr>
        <w:t xml:space="preserve">Értékek és jogok, jogállamiság és biztonság </w:t>
      </w:r>
    </w:p>
    <w:p>
      <w:pPr>
        <w:pStyle w:val="P68B1DB1Normal105"/>
        <w:widowControl w:val="false"/>
        <w:spacing w:lineRule="exact" w:line="293" w:before="2" w:after="0"/>
        <w:ind w:left="0" w:right="5110" w:hanging="0"/>
        <w:jc w:val="left"/>
        <w:rPr/>
      </w:pPr>
      <w:r>
        <w:rPr>
          <w:rFonts w:ascii="Verdana" w:hAnsi="Verdana"/>
        </w:rPr>
        <w:t>•</w:t>
      </w:r>
      <w:r>
        <w:rPr/>
        <w:t xml:space="preserve"> </w:t>
      </w:r>
      <w:r>
        <w:rPr>
          <w:rFonts w:ascii="Calibri" w:hAnsi="Calibri"/>
        </w:rPr>
        <w:t xml:space="preserve">Erősebb gazdaság, társadalmi igazságosság és foglalkoztatás </w:t>
      </w:r>
    </w:p>
    <w:p>
      <w:pPr>
        <w:pStyle w:val="P68B1DB1Normal105"/>
        <w:widowControl w:val="false"/>
        <w:spacing w:lineRule="exact" w:line="293" w:before="2" w:after="0"/>
        <w:ind w:left="0" w:right="5110" w:hanging="0"/>
        <w:jc w:val="left"/>
        <w:rPr/>
      </w:pPr>
      <w:r>
        <w:rPr>
          <w:rFonts w:ascii="Verdana" w:hAnsi="Verdana"/>
        </w:rPr>
        <w:t>•</w:t>
      </w:r>
      <w:r>
        <w:rPr/>
        <w:t xml:space="preserve"> </w:t>
      </w:r>
      <w:r>
        <w:rPr>
          <w:rFonts w:ascii="Calibri" w:hAnsi="Calibri"/>
        </w:rPr>
        <w:t xml:space="preserve">Európai demokrácia </w:t>
      </w:r>
    </w:p>
    <w:p>
      <w:pPr>
        <w:pStyle w:val="P68B1DB1Normal105"/>
        <w:widowControl w:val="false"/>
        <w:spacing w:lineRule="exact" w:line="349" w:before="2" w:after="0"/>
        <w:ind w:left="0" w:right="0" w:hanging="0"/>
        <w:jc w:val="left"/>
        <w:rPr/>
      </w:pPr>
      <w:r>
        <w:rPr>
          <w:rFonts w:ascii="Verdana" w:hAnsi="Verdana"/>
        </w:rPr>
        <w:t>•</w:t>
      </w:r>
      <w:r>
        <w:rPr/>
        <w:t xml:space="preserve"> </w:t>
      </w:r>
      <w:r>
        <w:rPr>
          <w:rFonts w:ascii="Calibri" w:hAnsi="Calibri"/>
        </w:rPr>
        <w:t xml:space="preserve">Digitális transzformáció </w:t>
      </w:r>
    </w:p>
    <w:p>
      <w:pPr>
        <w:pStyle w:val="P68B1DB1Normal105"/>
        <w:widowControl w:val="false"/>
        <w:spacing w:lineRule="exact" w:line="349" w:before="2" w:after="0"/>
        <w:ind w:left="0" w:right="0" w:hanging="0"/>
        <w:jc w:val="left"/>
        <w:rPr/>
      </w:pPr>
      <w:r>
        <w:rPr>
          <w:rFonts w:ascii="Verdana" w:hAnsi="Verdana"/>
        </w:rPr>
        <w:t>•</w:t>
      </w:r>
      <w:r>
        <w:rPr/>
        <w:t xml:space="preserve"> </w:t>
      </w:r>
      <w:r>
        <w:rPr>
          <w:rFonts w:ascii="Calibri" w:hAnsi="Calibri"/>
        </w:rPr>
        <w:t xml:space="preserve">Oktatás, kultúra, ifjúság és sport </w:t>
      </w:r>
    </w:p>
    <w:p>
      <w:pPr>
        <w:pStyle w:val="P68B1DB1Normal104"/>
        <w:widowControl w:val="false"/>
        <w:spacing w:lineRule="exact" w:line="339"/>
        <w:ind w:left="0" w:right="0" w:hanging="0"/>
        <w:jc w:val="left"/>
        <w:rPr>
          <w:rFonts w:ascii="Calibri" w:hAnsi="Calibri"/>
          <w:color w:val="000000"/>
          <w:sz w:val="21"/>
        </w:rPr>
      </w:pPr>
      <w:r>
        <w:rPr/>
        <w:t xml:space="preserve"> </w:t>
      </w:r>
    </w:p>
    <w:p>
      <w:pPr>
        <w:pStyle w:val="Titre4"/>
        <w:numPr>
          <w:ilvl w:val="3"/>
          <w:numId w:val="2"/>
        </w:numPr>
        <w:rPr/>
      </w:pPr>
      <w:bookmarkStart w:id="236" w:name="__RefHeading___Toc298384_1346298689"/>
      <w:bookmarkEnd w:id="236"/>
      <w:r>
        <w:rPr/>
        <w:t xml:space="preserve">2021. december 3. </w:t>
      </w:r>
    </w:p>
    <w:p>
      <w:pPr>
        <w:pStyle w:val="Normal"/>
        <w:widowControl w:val="false"/>
        <w:spacing w:lineRule="exact" w:line="282" w:before="1" w:after="0"/>
        <w:ind w:left="0" w:right="37" w:hanging="0"/>
        <w:jc w:val="left"/>
        <w:rPr/>
      </w:pPr>
      <w:r>
        <w:rPr>
          <w:rFonts w:ascii="Calibri" w:hAnsi="Calibri"/>
          <w:color w:val="000000"/>
          <w:sz w:val="21"/>
        </w:rPr>
        <w:t xml:space="preserve">Ez a dokumentum az "Eleven kijk op Europa; Meningen, ideeën en Aanbevelingen„(”Európa jövőképe: vélemények, ötletek és ajánlások”, amely 2021. december 3-án jelent meg holland nyelven a www.kijkopeuropa.nl címen. Ez a fordítás a jelentés egyszerűsített változata, amelyben az eredeti prezentációt (illusztrációk és egyéb grafikai elemek) fordítás céljából módosították. </w:t>
      </w:r>
      <w:r>
        <w:rPr>
          <w:rFonts w:ascii="Times New Roman" w:hAnsi="Times New Roman"/>
          <w:color w:val="000000"/>
          <w:sz w:val="24"/>
        </w:rPr>
        <w:t xml:space="preserve"> </w:t>
      </w:r>
      <w:r>
        <w:br w:type="page"/>
      </w:r>
    </w:p>
    <w:p>
      <w:pPr>
        <w:pStyle w:val="P68B1DB1Normal106"/>
        <w:rPr>
          <w:rFonts w:ascii="Calibri" w:hAnsi="Calibri"/>
          <w:b/>
          <w:b/>
          <w:i/>
          <w:i/>
          <w:color w:val="000000"/>
          <w:sz w:val="36"/>
        </w:rPr>
      </w:pPr>
      <w:r>
        <w:rPr/>
        <w:t xml:space="preserve">A mi víziónk... </w:t>
      </w:r>
    </w:p>
    <w:p>
      <w:pPr>
        <w:pStyle w:val="P68B1DB1Normal107"/>
        <w:widowControl w:val="false"/>
        <w:spacing w:lineRule="exact" w:line="375" w:before="248" w:after="0"/>
        <w:ind w:left="0" w:right="0" w:hanging="0"/>
        <w:jc w:val="left"/>
        <w:rPr>
          <w:rFonts w:ascii="Calibri" w:hAnsi="Calibri"/>
          <w:i/>
          <w:i/>
          <w:color w:val="000000"/>
          <w:sz w:val="24"/>
        </w:rPr>
      </w:pPr>
      <w:r>
        <w:rPr/>
        <w:t xml:space="preserve">A jelentés összefoglalása: az összes ajánlás röviden </w:t>
      </w:r>
    </w:p>
    <w:p>
      <w:pPr>
        <w:pStyle w:val="P68B1DB1Normal104"/>
        <w:widowControl w:val="false"/>
        <w:spacing w:lineRule="exact" w:line="282" w:before="185" w:after="0"/>
        <w:ind w:left="0" w:right="25" w:hanging="0"/>
        <w:jc w:val="left"/>
        <w:rPr/>
      </w:pPr>
      <w:r>
        <w:rPr/>
        <w:t xml:space="preserve">Az „Európa-látogatás” témában szervezett civil párbeszéd keretében összegyűjtöttük a holland polgárok Európa jövőjéről alkotott nézeteit és elképzeléseit. Ez a következő ajánlásokat eredményezte az Európai Unió számára az első öt témára vonatkozóan. </w:t>
      </w:r>
    </w:p>
    <w:p>
      <w:pPr>
        <w:pStyle w:val="P68B1DB1Normal108"/>
        <w:widowControl w:val="false"/>
        <w:spacing w:lineRule="exact" w:line="387" w:before="59" w:after="0"/>
        <w:ind w:left="0" w:right="0" w:hanging="0"/>
        <w:jc w:val="left"/>
        <w:rPr>
          <w:rFonts w:ascii="Calibri" w:hAnsi="Calibri"/>
          <w:b/>
          <w:b/>
          <w:i/>
          <w:i/>
          <w:color w:val="000000"/>
          <w:sz w:val="24"/>
        </w:rPr>
      </w:pPr>
      <w:r>
        <w:rPr/>
        <w:t xml:space="preserve">Értékek és jogok, jogállamiság és biztonság </w:t>
      </w:r>
    </w:p>
    <w:p>
      <w:pPr>
        <w:pStyle w:val="P68B1DB1Normal104"/>
        <w:widowControl w:val="false"/>
        <w:spacing w:lineRule="exact" w:line="282" w:before="178" w:after="0"/>
        <w:ind w:left="0" w:right="105" w:hanging="0"/>
        <w:jc w:val="left"/>
        <w:rPr/>
      </w:pPr>
      <w:r>
        <w:rPr/>
        <w:t xml:space="preserve">Fontos, hogy az EU megvédje a jogállamiságot. Ugyanakkor a hollandok úgy vélik, hogy figyelmet kell fordítani az Európában létező hagyományok és kultúrák sokféleségére. Az EU-n belüli együttműködés számos előnnyel járhat különböző formákban, de hozzáadott értéket kell teremtenie valamennyi érdekelt fél számára. Ez vonatkozik a biztonsági információk megosztására is. Az összes információ megosztása gyorsan hatástalanná teszi az együttműködést. </w:t>
      </w:r>
    </w:p>
    <w:p>
      <w:pPr>
        <w:pStyle w:val="P68B1DB1Normal19"/>
        <w:widowControl w:val="false"/>
        <w:spacing w:lineRule="exact" w:line="388" w:before="47" w:after="0"/>
        <w:ind w:left="0" w:right="0" w:hanging="0"/>
        <w:jc w:val="left"/>
        <w:rPr>
          <w:rFonts w:ascii="Times New Roman" w:hAnsi="Times New Roman"/>
          <w:color w:val="000000"/>
          <w:sz w:val="24"/>
        </w:rPr>
      </w:pPr>
      <w:r>
        <w:rPr/>
        <w:t xml:space="preserve"> </w:t>
      </w:r>
    </w:p>
    <w:p>
      <w:pPr>
        <w:pStyle w:val="P68B1DB1Normal105"/>
        <w:widowControl w:val="false"/>
        <w:spacing w:lineRule="exact" w:line="346" w:before="50" w:after="0"/>
        <w:ind w:left="0" w:right="0" w:hanging="0"/>
        <w:jc w:val="left"/>
        <w:rPr/>
      </w:pPr>
      <w:r>
        <w:rPr>
          <w:rFonts w:ascii="Calibri" w:hAnsi="Calibri"/>
        </w:rPr>
        <w:t>1.</w:t>
      </w:r>
      <w:r>
        <w:rPr/>
        <w:t xml:space="preserve"> </w:t>
      </w:r>
      <w:r>
        <w:rPr>
          <w:rFonts w:ascii="Calibri" w:hAnsi="Calibri"/>
        </w:rPr>
        <w:t>Biztosítsa, hogy mindenki szabadon és biztonságban érezze magát</w:t>
      </w:r>
    </w:p>
    <w:p>
      <w:pPr>
        <w:pStyle w:val="P68B1DB1Normal105"/>
        <w:widowControl w:val="false"/>
        <w:spacing w:lineRule="exact" w:line="346"/>
        <w:ind w:left="0" w:right="0" w:hanging="0"/>
        <w:jc w:val="left"/>
        <w:rPr/>
      </w:pPr>
      <w:r>
        <w:rPr>
          <w:rFonts w:ascii="Calibri" w:hAnsi="Calibri"/>
        </w:rPr>
        <w:t>2.</w:t>
      </w:r>
      <w:r>
        <w:rPr/>
        <w:t xml:space="preserve"> </w:t>
      </w:r>
      <w:r>
        <w:rPr>
          <w:rFonts w:ascii="Calibri" w:hAnsi="Calibri"/>
        </w:rPr>
        <w:t>Csak akkor bővítse az EU-t, ha hozzáadott értéket teremt</w:t>
      </w:r>
    </w:p>
    <w:p>
      <w:pPr>
        <w:pStyle w:val="P68B1DB1Normal105"/>
        <w:widowControl w:val="false"/>
        <w:spacing w:lineRule="exact" w:line="346"/>
        <w:ind w:left="0" w:right="0" w:hanging="0"/>
        <w:jc w:val="left"/>
        <w:rPr/>
      </w:pPr>
      <w:r>
        <w:rPr>
          <w:rFonts w:ascii="Calibri" w:hAnsi="Calibri"/>
        </w:rPr>
        <w:t>3.</w:t>
      </w:r>
      <w:r>
        <w:rPr/>
        <w:t xml:space="preserve"> </w:t>
      </w:r>
      <w:r>
        <w:rPr>
          <w:rFonts w:ascii="Calibri" w:hAnsi="Calibri"/>
        </w:rPr>
        <w:t>Együttműködés elsősorban a nemzetközi bűnözés és a terrorizmus elleni küzdelemben</w:t>
      </w:r>
    </w:p>
    <w:p>
      <w:pPr>
        <w:pStyle w:val="P68B1DB1Normal104"/>
        <w:widowControl w:val="false"/>
        <w:spacing w:lineRule="exact" w:line="339"/>
        <w:ind w:left="283" w:right="0" w:hanging="0"/>
        <w:jc w:val="left"/>
        <w:rPr>
          <w:rFonts w:ascii="Calibri" w:hAnsi="Calibri"/>
          <w:color w:val="000000"/>
          <w:sz w:val="21"/>
        </w:rPr>
      </w:pPr>
      <w:r>
        <w:rPr/>
        <w:t xml:space="preserve"> </w:t>
      </w:r>
    </w:p>
    <w:p>
      <w:pPr>
        <w:pStyle w:val="P68B1DB1Normal108"/>
        <w:widowControl w:val="false"/>
        <w:spacing w:lineRule="exact" w:line="387" w:before="59" w:after="0"/>
        <w:ind w:left="0" w:right="0" w:hanging="0"/>
        <w:jc w:val="left"/>
        <w:rPr>
          <w:rFonts w:ascii="Calibri" w:hAnsi="Calibri"/>
          <w:b/>
          <w:b/>
          <w:i/>
          <w:i/>
          <w:color w:val="000000"/>
          <w:sz w:val="24"/>
        </w:rPr>
      </w:pPr>
      <w:r>
        <w:rPr/>
        <w:t xml:space="preserve">Erősebb gazdaság, társadalmi igazságosság és foglalkoztatás </w:t>
      </w:r>
    </w:p>
    <w:p>
      <w:pPr>
        <w:pStyle w:val="P68B1DB1Normal104"/>
        <w:widowControl w:val="false"/>
        <w:spacing w:lineRule="exact" w:line="282" w:before="178" w:after="0"/>
        <w:ind w:left="0" w:right="18" w:hanging="0"/>
        <w:jc w:val="left"/>
        <w:rPr/>
      </w:pPr>
      <w:r>
        <w:rPr/>
        <w:t xml:space="preserve">A hollandok úgy vélik, hogy számos lehetőség van az európai gazdaság megerősítésére. Az országokat azonban nem mindig lehet összehasonlítani egymással. Az adórendszernek igazságosabbnak és világosabbnak kell lennie. Európában pedig nagyobb hangsúlyt kell fektetnünk erősségeinkre, például a minőségre és a sokszínűségre. Emellett az uniós országok együttműködhetnek az esélyegyenlőség biztosítása érdekében az európai munkaerőpiacon. </w:t>
      </w:r>
    </w:p>
    <w:p>
      <w:pPr>
        <w:pStyle w:val="P68B1DB1Normal104"/>
        <w:widowControl w:val="false"/>
        <w:spacing w:lineRule="exact" w:line="339" w:before="58" w:after="0"/>
        <w:ind w:left="0" w:right="0" w:hanging="0"/>
        <w:jc w:val="left"/>
        <w:rPr>
          <w:rFonts w:ascii="Calibri" w:hAnsi="Calibri"/>
          <w:color w:val="000000"/>
          <w:sz w:val="21"/>
        </w:rPr>
      </w:pPr>
      <w:r>
        <w:rPr/>
        <w:t xml:space="preserve"> </w:t>
      </w:r>
    </w:p>
    <w:p>
      <w:pPr>
        <w:pStyle w:val="P68B1DB1Normal105"/>
        <w:widowControl w:val="false"/>
        <w:spacing w:lineRule="exact" w:line="281" w:before="58" w:after="0"/>
        <w:ind w:left="0" w:right="4851" w:hanging="0"/>
        <w:jc w:val="left"/>
        <w:rPr/>
      </w:pPr>
      <w:r>
        <w:rPr>
          <w:rFonts w:ascii="Calibri" w:hAnsi="Calibri"/>
        </w:rPr>
        <w:t>4.</w:t>
      </w:r>
      <w:r>
        <w:rPr/>
        <w:t xml:space="preserve"> </w:t>
      </w:r>
      <w:r>
        <w:rPr>
          <w:rFonts w:ascii="Calibri" w:hAnsi="Calibri"/>
        </w:rPr>
        <w:t>Figyelembe kell venni a közösségeket és a különbségeket</w:t>
      </w:r>
    </w:p>
    <w:p>
      <w:pPr>
        <w:pStyle w:val="P68B1DB1Normal105"/>
        <w:widowControl w:val="false"/>
        <w:spacing w:lineRule="exact" w:line="281" w:before="58" w:after="0"/>
        <w:ind w:left="0" w:right="4851" w:hanging="0"/>
        <w:jc w:val="left"/>
        <w:rPr/>
      </w:pPr>
      <w:r>
        <w:rPr>
          <w:rFonts w:ascii="Calibri" w:hAnsi="Calibri"/>
        </w:rPr>
        <w:t>5.</w:t>
      </w:r>
      <w:r>
        <w:rPr/>
        <w:t xml:space="preserve"> </w:t>
      </w:r>
      <w:r>
        <w:rPr>
          <w:rFonts w:ascii="Calibri" w:hAnsi="Calibri"/>
        </w:rPr>
        <w:t>Európa erősségeinek nagyobb mértékű kihasználása</w:t>
      </w:r>
    </w:p>
    <w:p>
      <w:pPr>
        <w:pStyle w:val="P68B1DB1Normal105"/>
        <w:widowControl w:val="false"/>
        <w:spacing w:lineRule="exact" w:line="346"/>
        <w:ind w:left="0" w:right="0" w:hanging="0"/>
        <w:jc w:val="left"/>
        <w:rPr/>
      </w:pPr>
      <w:r>
        <w:rPr>
          <w:rFonts w:ascii="Calibri" w:hAnsi="Calibri"/>
        </w:rPr>
        <w:t>6.</w:t>
      </w:r>
      <w:r>
        <w:rPr/>
        <w:t xml:space="preserve"> </w:t>
      </w:r>
      <w:r>
        <w:rPr>
          <w:rFonts w:ascii="Calibri" w:hAnsi="Calibri"/>
        </w:rPr>
        <w:t>Méltányos és egyértelmű adórendszer kialakítása</w:t>
      </w:r>
    </w:p>
    <w:p>
      <w:pPr>
        <w:pStyle w:val="P68B1DB1Normal76"/>
        <w:widowControl w:val="false"/>
        <w:spacing w:lineRule="exact" w:line="374"/>
        <w:ind w:left="0" w:right="5338" w:hanging="0"/>
        <w:jc w:val="left"/>
        <w:rPr/>
      </w:pPr>
      <w:r>
        <w:rPr>
          <w:rFonts w:ascii="Calibri" w:hAnsi="Calibri"/>
          <w:sz w:val="21"/>
        </w:rPr>
        <w:t>7.</w:t>
      </w:r>
      <w:r>
        <w:rPr>
          <w:sz w:val="21"/>
        </w:rPr>
        <w:t xml:space="preserve"> </w:t>
      </w:r>
      <w:r>
        <w:rPr>
          <w:rFonts w:ascii="Calibri" w:hAnsi="Calibri"/>
          <w:sz w:val="21"/>
        </w:rPr>
        <w:t xml:space="preserve">Annak biztosítása, hogy mindenki részt vehessen </w:t>
      </w:r>
      <w:r>
        <w:rPr>
          <w:rFonts w:ascii="Calibri" w:hAnsi="Calibri"/>
          <w:b/>
          <w:i/>
          <w:sz w:val="24"/>
        </w:rPr>
        <w:t xml:space="preserve">az európai demokráciában </w:t>
      </w:r>
    </w:p>
    <w:p>
      <w:pPr>
        <w:pStyle w:val="P68B1DB1Normal104"/>
        <w:widowControl w:val="false"/>
        <w:spacing w:lineRule="exact" w:line="282" w:before="178" w:after="0"/>
        <w:ind w:left="0" w:right="323" w:hanging="0"/>
        <w:jc w:val="both"/>
        <w:rPr/>
      </w:pPr>
      <w:r>
        <w:rPr/>
        <w:t xml:space="preserve">A hollandoknak nem kell mindent tudniuk az Európai Unióról, hanem nagyobb átláthatóságot és több információt akarnak. Más uniós országok véleményének megismerése például hozzájárulhat a jobb áttekintéshez. Emellett a hollandok úgy vélik, hogy az EU-nak gyakrabban és lehetőleg állandó jelleggel kellene együttműködnie a polgárokkal. E tekintetben nemcsak a különböző érdekeket kell figyelembe venni, hanem a jelenleginél gyorsabban kell döntéseket hozni. </w:t>
      </w:r>
    </w:p>
    <w:p>
      <w:pPr>
        <w:pStyle w:val="P68B1DB1Normal105"/>
        <w:widowControl w:val="false"/>
        <w:spacing w:lineRule="exact" w:line="346" w:before="58" w:after="0"/>
        <w:ind w:left="0" w:right="0" w:hanging="0"/>
        <w:jc w:val="left"/>
        <w:rPr/>
      </w:pPr>
      <w:r>
        <w:rPr>
          <w:rFonts w:ascii="Calibri" w:hAnsi="Calibri"/>
        </w:rPr>
        <w:t>1.</w:t>
      </w:r>
      <w:r>
        <w:rPr/>
        <w:t xml:space="preserve"> </w:t>
      </w:r>
      <w:r>
        <w:rPr>
          <w:rFonts w:ascii="Calibri" w:hAnsi="Calibri"/>
        </w:rPr>
        <w:t>Jobb áttekintés Európáról</w:t>
      </w:r>
    </w:p>
    <w:p>
      <w:pPr>
        <w:pStyle w:val="P68B1DB1Normal105"/>
        <w:widowControl w:val="false"/>
        <w:spacing w:lineRule="exact" w:line="346"/>
        <w:ind w:left="0" w:right="0" w:hanging="0"/>
        <w:jc w:val="left"/>
        <w:rPr/>
      </w:pPr>
      <w:r>
        <w:rPr>
          <w:rFonts w:ascii="Calibri" w:hAnsi="Calibri"/>
        </w:rPr>
        <w:t>2.</w:t>
      </w:r>
      <w:r>
        <w:rPr/>
        <w:t xml:space="preserve"> </w:t>
      </w:r>
      <w:r>
        <w:rPr>
          <w:rFonts w:ascii="Calibri" w:hAnsi="Calibri"/>
        </w:rPr>
        <w:t>Új módszerek a polgárok folyamatos figyelésére</w:t>
      </w:r>
    </w:p>
    <w:p>
      <w:pPr>
        <w:pStyle w:val="P68B1DB1Normal105"/>
        <w:widowControl w:val="false"/>
        <w:spacing w:lineRule="exact" w:line="281"/>
        <w:ind w:left="0" w:right="1902" w:hanging="0"/>
        <w:jc w:val="left"/>
        <w:rPr/>
      </w:pPr>
      <w:r>
        <w:rPr>
          <w:rFonts w:ascii="Calibri" w:hAnsi="Calibri"/>
        </w:rPr>
        <w:t>3.</w:t>
      </w:r>
      <w:r>
        <w:rPr/>
        <w:t xml:space="preserve"> </w:t>
      </w:r>
      <w:r>
        <w:rPr>
          <w:rFonts w:ascii="Calibri" w:hAnsi="Calibri"/>
        </w:rPr>
        <w:t>A meghozott határozatok átláthatóságának és egyértelműségének növelése</w:t>
      </w:r>
    </w:p>
    <w:p>
      <w:pPr>
        <w:pStyle w:val="P68B1DB1Normal105"/>
        <w:widowControl w:val="false"/>
        <w:spacing w:lineRule="exact" w:line="281"/>
        <w:ind w:left="0" w:right="1902" w:hanging="0"/>
        <w:jc w:val="left"/>
        <w:rPr/>
      </w:pPr>
      <w:r>
        <w:rPr>
          <w:rFonts w:ascii="Calibri" w:hAnsi="Calibri"/>
        </w:rPr>
        <w:t>4.</w:t>
      </w:r>
      <w:r>
        <w:rPr/>
        <w:t xml:space="preserve"> </w:t>
      </w:r>
      <w:r>
        <w:rPr>
          <w:rFonts w:ascii="Calibri" w:hAnsi="Calibri"/>
        </w:rPr>
        <w:t>Annak biztosítása, hogy a súlyos problémák gyorsabban megoldhatók legyenek</w:t>
      </w:r>
    </w:p>
    <w:p>
      <w:pPr>
        <w:pStyle w:val="P68B1DB1Normal104"/>
        <w:widowControl w:val="false"/>
        <w:spacing w:lineRule="exact" w:line="339" w:before="60" w:after="0"/>
        <w:ind w:left="0" w:right="0" w:hanging="0"/>
        <w:jc w:val="left"/>
        <w:rPr>
          <w:rFonts w:ascii="Calibri" w:hAnsi="Calibri"/>
          <w:color w:val="000000"/>
          <w:sz w:val="21"/>
        </w:rPr>
      </w:pPr>
      <w:r>
        <w:rPr/>
        <w:t xml:space="preserve"> </w:t>
      </w:r>
    </w:p>
    <w:p>
      <w:pPr>
        <w:pStyle w:val="P68B1DB1Normal108"/>
        <w:widowControl w:val="false"/>
        <w:spacing w:lineRule="exact" w:line="387" w:before="59" w:after="0"/>
        <w:ind w:left="0" w:right="0" w:hanging="0"/>
        <w:jc w:val="left"/>
        <w:rPr>
          <w:rFonts w:ascii="Calibri" w:hAnsi="Calibri"/>
          <w:b/>
          <w:b/>
          <w:i/>
          <w:i/>
          <w:color w:val="000000"/>
          <w:sz w:val="24"/>
        </w:rPr>
      </w:pPr>
      <w:r>
        <w:rPr/>
        <w:t xml:space="preserve">Digitális transzformáció </w:t>
      </w:r>
    </w:p>
    <w:p>
      <w:pPr>
        <w:pStyle w:val="P68B1DB1Normal104"/>
        <w:widowControl w:val="false"/>
        <w:spacing w:lineRule="exact" w:line="282" w:before="178" w:after="0"/>
        <w:ind w:left="0" w:right="54" w:hanging="0"/>
        <w:jc w:val="left"/>
        <w:rPr/>
      </w:pPr>
      <w:r>
        <w:rPr/>
        <w:t xml:space="preserve">A társadalom egyre inkább függ az internettől, és a nagy technológiai vállalatok egyre erősebbé válnak. Ez néha nagyon aggasztja a holland népet. Ezért hasznos az EU számára európai (adatvédelmi) szabályok és normák kidolgozása. Fontos azonban, hogy mindenki megértse és alkalmazza ezeket a szabályokat és szabványokat. A hollandok szívesebben kapnak támogatást és tájékoztatást a nemzeti hatóságoktól saját nyelvükön. </w:t>
      </w:r>
    </w:p>
    <w:p>
      <w:pPr>
        <w:pStyle w:val="P68B1DB1Normal104"/>
        <w:widowControl w:val="false"/>
        <w:spacing w:lineRule="exact" w:line="339" w:before="61" w:after="0"/>
        <w:ind w:left="0" w:right="0" w:hanging="0"/>
        <w:jc w:val="left"/>
        <w:rPr>
          <w:rFonts w:ascii="Calibri" w:hAnsi="Calibri"/>
          <w:color w:val="000000"/>
          <w:sz w:val="21"/>
        </w:rPr>
      </w:pPr>
      <w:r>
        <w:rPr/>
        <w:t xml:space="preserve"> </w:t>
      </w:r>
    </w:p>
    <w:p>
      <w:pPr>
        <w:pStyle w:val="P68B1DB1Normal105"/>
        <w:widowControl w:val="false"/>
        <w:spacing w:lineRule="exact" w:line="346"/>
        <w:ind w:left="0" w:right="0" w:hanging="0"/>
        <w:jc w:val="left"/>
        <w:rPr/>
      </w:pPr>
      <w:r>
        <w:rPr>
          <w:rFonts w:ascii="Calibri" w:hAnsi="Calibri"/>
        </w:rPr>
        <w:t>1.</w:t>
      </w:r>
      <w:r>
        <w:rPr/>
        <w:t xml:space="preserve"> </w:t>
      </w:r>
      <w:r>
        <w:rPr>
          <w:rFonts w:ascii="Calibri" w:hAnsi="Calibri"/>
        </w:rPr>
        <w:t>Gyors, biztonságos és stabil internet biztosítása mindenhol</w:t>
      </w:r>
    </w:p>
    <w:p>
      <w:pPr>
        <w:pStyle w:val="P68B1DB1Normal105"/>
        <w:widowControl w:val="false"/>
        <w:spacing w:lineRule="exact" w:line="346"/>
        <w:ind w:left="0" w:right="0" w:hanging="0"/>
        <w:jc w:val="left"/>
        <w:rPr/>
      </w:pPr>
      <w:r>
        <w:rPr>
          <w:rFonts w:ascii="Calibri" w:hAnsi="Calibri"/>
        </w:rPr>
        <w:t>2.</w:t>
      </w:r>
      <w:r>
        <w:rPr/>
        <w:t xml:space="preserve"> </w:t>
      </w:r>
      <w:r>
        <w:rPr>
          <w:rFonts w:ascii="Calibri" w:hAnsi="Calibri"/>
        </w:rPr>
        <w:t>Egyértelmű szabályok és normák meghatározása az internetes vállalkozások számára</w:t>
      </w:r>
    </w:p>
    <w:p>
      <w:pPr>
        <w:pStyle w:val="P68B1DB1Normal105"/>
        <w:widowControl w:val="false"/>
        <w:spacing w:lineRule="exact" w:line="346"/>
        <w:ind w:left="0" w:right="0" w:hanging="0"/>
        <w:jc w:val="left"/>
        <w:rPr/>
      </w:pPr>
      <w:r>
        <w:rPr>
          <w:rFonts w:ascii="Calibri" w:hAnsi="Calibri"/>
        </w:rPr>
        <w:t>3.</w:t>
      </w:r>
      <w:r>
        <w:rPr/>
        <w:t xml:space="preserve"> </w:t>
      </w:r>
      <w:r>
        <w:rPr>
          <w:rFonts w:ascii="Calibri" w:hAnsi="Calibri"/>
        </w:rPr>
        <w:t>Végrehajtási és gyakorlati magyarázatok hozzáadása az adatvédelmi szabályokhoz</w:t>
      </w:r>
    </w:p>
    <w:p>
      <w:pPr>
        <w:pStyle w:val="P68B1DB1Normal19"/>
        <w:widowControl w:val="false"/>
        <w:spacing w:lineRule="exact" w:line="388"/>
        <w:ind w:left="284" w:right="0" w:hanging="0"/>
        <w:jc w:val="left"/>
        <w:rPr>
          <w:rFonts w:ascii="Times New Roman" w:hAnsi="Times New Roman"/>
          <w:color w:val="000000"/>
          <w:sz w:val="24"/>
        </w:rPr>
      </w:pPr>
      <w:r>
        <w:rPr/>
        <w:t xml:space="preserve"> </w:t>
      </w:r>
    </w:p>
    <w:p>
      <w:pPr>
        <w:pStyle w:val="P68B1DB1Normal108"/>
        <w:widowControl w:val="false"/>
        <w:spacing w:lineRule="exact" w:line="387" w:before="30" w:after="0"/>
        <w:ind w:left="0" w:right="0" w:hanging="0"/>
        <w:jc w:val="left"/>
        <w:rPr>
          <w:rFonts w:ascii="Calibri" w:hAnsi="Calibri"/>
          <w:b/>
          <w:b/>
          <w:i/>
          <w:i/>
          <w:color w:val="000000"/>
          <w:sz w:val="24"/>
        </w:rPr>
      </w:pPr>
      <w:r>
        <w:rPr/>
        <w:t xml:space="preserve">Oktatás, kultúra, ifjúság és sport </w:t>
      </w:r>
    </w:p>
    <w:p>
      <w:pPr>
        <w:pStyle w:val="P68B1DB1Normal104"/>
        <w:widowControl w:val="false"/>
        <w:spacing w:lineRule="exact" w:line="282" w:before="178" w:after="0"/>
        <w:ind w:left="0" w:right="166" w:hanging="0"/>
        <w:jc w:val="left"/>
        <w:rPr/>
      </w:pPr>
      <w:r>
        <w:rPr/>
        <w:t>A külföldön tanuló fiatalok számára lehetővé kell tenni, hogy többet tanulhassanak a fogadó országtól, mint</w:t>
      </w:r>
      <w:r>
        <w:rPr/>
        <w:commentReference w:id="21"/>
      </w:r>
      <w:r>
        <w:rPr/>
        <w:t xml:space="preserve"> ma. És az alacsonyabb szintű tudással rendelkező országoknak nem szabad elveszíteniük minden tehetségüket, amelyek külföldre mennek. A hollandok úgy vélik, hogy az olyan témák, mint a kultúra és a sportban való visszaélés olyan kérdések, amelyeknek inkább maguknak a tagállamoknak kellene a felelősséget viselniük. Fontosnak tartják, hogy saját nemzeti nyelvük legyen. Európában általában minden embernek szabadnak kell lennie, és képesnek kell lennie arra, hogy önmaga legyen. </w:t>
      </w:r>
    </w:p>
    <w:p>
      <w:pPr>
        <w:pStyle w:val="P68B1DB1Normal104"/>
        <w:widowControl w:val="false"/>
        <w:spacing w:lineRule="exact" w:line="339" w:before="61" w:after="0"/>
        <w:ind w:left="0" w:right="0" w:hanging="0"/>
        <w:jc w:val="left"/>
        <w:rPr>
          <w:rFonts w:ascii="Calibri" w:hAnsi="Calibri"/>
          <w:color w:val="000000"/>
          <w:sz w:val="21"/>
        </w:rPr>
      </w:pPr>
      <w:r>
        <w:rPr/>
        <w:t xml:space="preserve"> </w:t>
      </w:r>
    </w:p>
    <w:p>
      <w:pPr>
        <w:pStyle w:val="P68B1DB1Normal105"/>
        <w:widowControl w:val="false"/>
        <w:spacing w:lineRule="exact" w:line="346" w:before="55" w:after="0"/>
        <w:ind w:left="0" w:right="0" w:hanging="0"/>
        <w:jc w:val="left"/>
        <w:rPr/>
      </w:pPr>
      <w:r>
        <w:rPr>
          <w:rFonts w:ascii="Calibri" w:hAnsi="Calibri"/>
        </w:rPr>
        <w:t>1.</w:t>
      </w:r>
      <w:r>
        <w:rPr/>
        <w:t xml:space="preserve"> </w:t>
      </w:r>
      <w:r>
        <w:rPr>
          <w:rFonts w:ascii="Calibri" w:hAnsi="Calibri"/>
        </w:rPr>
        <w:t>A diákok ösztönzése arra, hogy intelligensen tanuljanak külföldön</w:t>
      </w:r>
    </w:p>
    <w:p>
      <w:pPr>
        <w:pStyle w:val="P68B1DB1Normal105"/>
        <w:widowControl w:val="false"/>
        <w:spacing w:lineRule="exact" w:line="346"/>
        <w:ind w:left="0" w:right="0" w:hanging="0"/>
        <w:jc w:val="left"/>
        <w:rPr/>
      </w:pPr>
      <w:r>
        <w:rPr>
          <w:rFonts w:ascii="Calibri" w:hAnsi="Calibri"/>
        </w:rPr>
        <w:t>2.</w:t>
      </w:r>
      <w:r>
        <w:rPr/>
        <w:t xml:space="preserve"> </w:t>
      </w:r>
      <w:r>
        <w:rPr>
          <w:rFonts w:ascii="Calibri" w:hAnsi="Calibri"/>
        </w:rPr>
        <w:t>Lehetővé teszi a tagállamok számára, hogy olyan témákra összpontosítsanak, mint a kultúra és a sport</w:t>
      </w:r>
    </w:p>
    <w:p>
      <w:pPr>
        <w:pStyle w:val="Normal"/>
        <w:widowControl w:val="false"/>
        <w:spacing w:lineRule="exact" w:line="346"/>
        <w:ind w:left="1" w:right="0" w:hanging="0"/>
        <w:jc w:val="left"/>
        <w:rPr/>
      </w:pPr>
      <w:r>
        <w:rPr>
          <w:rFonts w:ascii="Calibri" w:hAnsi="Calibri"/>
          <w:color w:val="000000"/>
          <w:sz w:val="21"/>
        </w:rPr>
        <w:t>3.</w:t>
      </w:r>
      <w:r>
        <w:rPr>
          <w:color w:val="000000"/>
          <w:sz w:val="21"/>
        </w:rPr>
        <w:t xml:space="preserve"> </w:t>
      </w:r>
      <w:r>
        <w:rPr>
          <w:rFonts w:ascii="Calibri" w:hAnsi="Calibri"/>
          <w:color w:val="000000"/>
          <w:sz w:val="21"/>
        </w:rPr>
        <w:t>Annak biztosítása, hogy az európaiak jobban megismerjék egymást és tiszteljék egymást</w:t>
      </w:r>
      <w:r>
        <w:rPr>
          <w:color w:val="000000"/>
          <w:sz w:val="21"/>
        </w:rPr>
        <w:t xml:space="preserve"> </w:t>
      </w:r>
      <w:r>
        <w:br w:type="page"/>
      </w:r>
    </w:p>
    <w:p>
      <w:pPr>
        <w:pStyle w:val="P68B1DB1Normal109"/>
        <w:rPr>
          <w:rFonts w:ascii="Calibri" w:hAnsi="Calibri"/>
          <w:b/>
          <w:b/>
          <w:i/>
          <w:i/>
          <w:color w:val="000000"/>
          <w:sz w:val="32"/>
        </w:rPr>
      </w:pPr>
      <w:r>
        <w:rPr/>
        <w:t xml:space="preserve">Bevezetés </w:t>
      </w:r>
    </w:p>
    <w:p>
      <w:pPr>
        <w:pStyle w:val="P68B1DB1Normal110"/>
        <w:widowControl w:val="false"/>
        <w:spacing w:lineRule="exact" w:line="274" w:before="31" w:after="0"/>
        <w:ind w:left="0" w:right="113" w:hanging="0"/>
        <w:jc w:val="left"/>
        <w:rPr/>
      </w:pPr>
      <w:r>
        <w:rPr>
          <w:sz w:val="21"/>
        </w:rPr>
        <w:t xml:space="preserve">A szeptember 1. és november közepe között megrendezett „Európa-látogatás” elnevezésű civil párbeszéd lehetővé tette minden holland számára, hogy kifejtse véleményét és elképzeléseit Európa jövőjéről. Hollandia benyújtja az Európai Unió (EU) számára a párbeszéd alapját képező ajánlásokat, valamint a kifejtett elképzeléseket és nézeteket. Ebben a jelentésben az első öt témára összpontosítunk. A másik négy témával 2022 elején egy soron következő jelentés foglalkozik majd. </w:t>
      </w:r>
      <w:r>
        <w:rPr>
          <w:b/>
          <w:i/>
          <w:sz w:val="24"/>
        </w:rPr>
        <w:t>Európa jövőképéről</w:t>
      </w:r>
    </w:p>
    <w:p>
      <w:pPr>
        <w:pStyle w:val="P68B1DB1Normal104"/>
        <w:widowControl w:val="false"/>
        <w:spacing w:lineRule="exact" w:line="257" w:before="34" w:after="0"/>
        <w:ind w:left="0" w:right="200" w:hanging="0"/>
        <w:jc w:val="left"/>
        <w:rPr/>
      </w:pPr>
      <w:r>
        <w:rPr/>
        <w:t xml:space="preserve">Az Európai Unió azt akarja, hogy polgárai megosszák egymással, mit gondolnak Európáról. Ezért szervezi meg az EU az Európa jövőjéről szóló konferenciát. Ezt követően az Európai Unió polgárainak véleményei és ötletei beépülnek az Európa jövőjére vonatkozó tervekbe. A konferencia részeként Hollandia nemzeti szinten megszervezte az „Európa Látogatása” elnevezésű civil párbeszédet. </w:t>
      </w:r>
    </w:p>
    <w:p>
      <w:pPr>
        <w:pStyle w:val="P68B1DB1Normal104"/>
        <w:widowControl w:val="false"/>
        <w:spacing w:lineRule="exact" w:line="339" w:before="34" w:after="0"/>
        <w:ind w:left="0" w:right="0" w:hanging="0"/>
        <w:jc w:val="left"/>
        <w:rPr>
          <w:rFonts w:ascii="Calibri" w:hAnsi="Calibri"/>
          <w:color w:val="000000"/>
          <w:sz w:val="21"/>
        </w:rPr>
      </w:pPr>
      <w:r>
        <w:rPr/>
        <w:t xml:space="preserve"> </w:t>
      </w:r>
    </w:p>
    <w:p>
      <w:pPr>
        <w:pStyle w:val="P68B1DB1Normal104"/>
        <w:widowControl w:val="false"/>
        <w:spacing w:lineRule="exact" w:line="257" w:before="32" w:after="0"/>
        <w:ind w:left="0" w:right="109" w:hanging="0"/>
        <w:jc w:val="left"/>
        <w:rPr/>
      </w:pPr>
      <w:r>
        <w:rPr/>
        <w:t xml:space="preserve">Az Európa jövőképéről szóló párbeszéd szeptember 1-jén kezdődött a vélemények és ötletek online gyűjtésével egy reprezentatív testület felmérése révén. A panelfelmérés kezdeti eredményeinek elmélyítése és konkrét ajánlások megfogalmazása érdekében tematikus online párbeszédeket szerveztünk. Aki részt akart venni, részt vehetett. Azért is utaztunk az országba, hogy megbeszéléseket tartsunk a fiatalokkal és más csoportokkal (nehéz elérni). </w:t>
      </w:r>
    </w:p>
    <w:p>
      <w:pPr>
        <w:pStyle w:val="P68B1DB1Normal111"/>
        <w:widowControl w:val="false"/>
        <w:spacing w:lineRule="exact" w:line="269" w:before="28" w:after="0"/>
        <w:ind w:left="0" w:right="113" w:hanging="0"/>
        <w:jc w:val="left"/>
        <w:rPr/>
      </w:pPr>
      <w:r>
        <w:rPr/>
        <w:t xml:space="preserve">Iskolásoktól, szakközépiskolai tanulóktól és diákoktól a miniszterig, gazdálkodókig és migránsokig </w:t>
      </w:r>
    </w:p>
    <w:p>
      <w:pPr>
        <w:pStyle w:val="P68B1DB1Normal104"/>
        <w:widowControl w:val="false"/>
        <w:spacing w:lineRule="exact" w:line="257" w:before="26" w:after="0"/>
        <w:ind w:left="0" w:right="44" w:hanging="0"/>
        <w:jc w:val="left"/>
        <w:rPr/>
      </w:pPr>
      <w:r>
        <w:rPr/>
        <w:t xml:space="preserve">Októberben és novemberben összesen nyolc online tematikus párbeszédre került sor, ülésenként átlagosan 30 résztvevővel. Online tematikus párbeszédet és hét helyszíni tematikus párbeszédet is szerveztünk holland állampolgárok különböző csoportjaival. Beszéltünk a török közösséggel Schiedamban, és a Piëzo Alapítvány önkéntesei hívtak meg Zoetermeerbe. Ez utóbbi alkalommal Ben Knapen külügyminiszter is jelen volt a párbeszéd végén. A miniszter megbeszélést folytatott a résztvevőkkel az Európa jövőjéről szóló párbeszédről és véleményről. Végül hat találkozót szerveztünk a fiatalok különböző csoportjaival. Például egy Helmondi középiskolában, egy doetinchemi szakközépiskolában és a Leideni Egyetemen üdvözöltek bennünket. </w:t>
      </w:r>
    </w:p>
    <w:p>
      <w:pPr>
        <w:pStyle w:val="P68B1DB1Normal112"/>
        <w:widowControl w:val="false"/>
        <w:spacing w:lineRule="exact" w:line="260" w:before="31" w:after="0"/>
        <w:ind w:left="0" w:right="0" w:hanging="0"/>
        <w:jc w:val="left"/>
        <w:rPr>
          <w:rFonts w:ascii="Times New Roman" w:hAnsi="Times New Roman"/>
          <w:color w:val="000000"/>
          <w:sz w:val="16"/>
        </w:rPr>
      </w:pPr>
      <w:r>
        <w:rPr/>
        <w:t xml:space="preserve"> </w:t>
      </w:r>
    </w:p>
    <w:p>
      <w:pPr>
        <w:pStyle w:val="P68B1DB1Normal113"/>
        <w:widowControl w:val="false"/>
        <w:spacing w:lineRule="exact" w:line="319" w:before="28" w:after="0"/>
        <w:ind w:left="883" w:right="888" w:hanging="0"/>
        <w:jc w:val="center"/>
        <w:rPr/>
      </w:pPr>
      <w:r>
        <w:rPr/>
        <w:t xml:space="preserve">Mindig szeretem kifejezni a véleményemet a kávéfőző előtt. Ezért gondoltam, hogy részt kell vennem. </w:t>
      </w:r>
    </w:p>
    <w:p>
      <w:pPr>
        <w:pStyle w:val="P68B1DB1Normal110"/>
        <w:widowControl w:val="false"/>
        <w:spacing w:lineRule="exact" w:line="346" w:before="41" w:after="0"/>
        <w:ind w:left="0" w:right="6639" w:hanging="0"/>
        <w:jc w:val="left"/>
        <w:rPr/>
      </w:pPr>
      <w:r>
        <w:rPr>
          <w:sz w:val="21"/>
        </w:rPr>
        <w:t xml:space="preserve">Résztvevő a tematikus </w:t>
      </w:r>
      <w:r>
        <w:rPr>
          <w:b/>
          <w:i/>
          <w:sz w:val="24"/>
        </w:rPr>
        <w:t xml:space="preserve">párbeszédben erről a jelentésről </w:t>
      </w:r>
    </w:p>
    <w:p>
      <w:pPr>
        <w:pStyle w:val="P68B1DB1Normal104"/>
        <w:widowControl w:val="false"/>
        <w:spacing w:lineRule="exact" w:line="257" w:before="178" w:after="0"/>
        <w:ind w:left="0" w:right="56" w:hanging="0"/>
        <w:jc w:val="left"/>
        <w:rPr/>
      </w:pPr>
      <w:r>
        <w:rPr/>
        <w:t xml:space="preserve">Az elmúlt hónapokban összegyűjtött ötletek és vélemények alapján egy sor ajánlást fogalmaztunk meg, amelyeket a holland állampolgárok az Európai Unió számára tesznek. A holland polgárok közötti megbeszélések során érdekes eszmecserékre került sor, és innovatív ötleteket terjesztettek elő. A testületen és a közvélemény-kutatáson keresztül is javaslatokat tettek. Ezek közül néhányat beépítettek ebbe a jelentésbe. Ennek a jelentésnek a tartalma tehát Hollandia véleménye: jövőképünk Európáról. </w:t>
      </w:r>
    </w:p>
    <w:p>
      <w:pPr>
        <w:pStyle w:val="P68B1DB1Normal104"/>
        <w:widowControl w:val="false"/>
        <w:spacing w:lineRule="exact" w:line="339" w:before="34" w:after="0"/>
        <w:ind w:left="0" w:right="0" w:hanging="0"/>
        <w:jc w:val="left"/>
        <w:rPr>
          <w:rFonts w:ascii="Calibri" w:hAnsi="Calibri"/>
          <w:color w:val="000000"/>
          <w:sz w:val="21"/>
        </w:rPr>
      </w:pPr>
      <w:r>
        <w:rPr/>
        <w:t xml:space="preserve"> </w:t>
      </w:r>
    </w:p>
    <w:p>
      <w:pPr>
        <w:pStyle w:val="Normal"/>
        <w:widowControl w:val="false"/>
        <w:spacing w:lineRule="exact" w:line="256" w:before="32" w:after="0"/>
        <w:ind w:left="0" w:right="16" w:hanging="0"/>
        <w:jc w:val="left"/>
        <w:rPr/>
      </w:pPr>
      <w:r>
        <w:rPr>
          <w:rFonts w:ascii="Calibri" w:hAnsi="Calibri"/>
          <w:color w:val="000000"/>
          <w:sz w:val="21"/>
        </w:rPr>
        <w:t xml:space="preserve">Csakúgy, mint az országok és az európai polgárok nézeteltérései, nem mindig értünk egyet egymással Hollandiában. Ezek a nézetkülönbségek pontosan értékesek: ez a demokrácia egyik fontos jellemzője. Az ajánlásokat az Európa jövőképe felmérés résztvevőinek leggyakrabban megfogalmazott ötletei és véleményei alapján fogalmazták meg. Bemutatjuk azokat az aggodalmakat, ötleteket és érzéseket is, amelyek kevésbé elterjedtek, de felkeltették figyelmünket a párbeszédek és az online felmérés során. </w:t>
      </w:r>
      <w:r>
        <w:br w:type="page"/>
      </w:r>
    </w:p>
    <w:p>
      <w:pPr>
        <w:pStyle w:val="P68B1DB1Normal113"/>
        <w:spacing w:lineRule="auto" w:line="240"/>
        <w:rPr/>
      </w:pPr>
      <w:r>
        <w:rPr/>
        <w:t xml:space="preserve">Jó volt kis csoportokban beszélni szurkolókkal és ellenfelekkel. Ez nagyon különbözik attól, ahogy a közösségi médiában általában zajlanak a viták. </w:t>
      </w:r>
    </w:p>
    <w:p>
      <w:pPr>
        <w:pStyle w:val="P68B1DB1Normal76"/>
        <w:widowControl w:val="false"/>
        <w:spacing w:lineRule="auto" w:line="240" w:before="267" w:after="0"/>
        <w:ind w:left="0" w:right="0" w:hanging="0"/>
        <w:jc w:val="left"/>
        <w:rPr/>
      </w:pPr>
      <w:r>
        <w:rPr>
          <w:rFonts w:ascii="Calibri" w:hAnsi="Calibri"/>
          <w:sz w:val="21"/>
        </w:rPr>
        <w:t>Résztvevő a tematikus párbeszédben</w:t>
      </w:r>
      <w:r>
        <w:rPr>
          <w:rFonts w:ascii="Times New Roman" w:hAnsi="Times New Roman"/>
          <w:sz w:val="24"/>
        </w:rPr>
        <w:t xml:space="preserve"> </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P68B1DB1Normal104"/>
        <w:widowControl w:val="false"/>
        <w:spacing w:lineRule="auto" w:line="240"/>
        <w:ind w:left="0" w:right="54" w:hanging="0"/>
        <w:jc w:val="left"/>
        <w:rPr/>
      </w:pPr>
      <w:r>
        <w:rPr/>
        <w:t xml:space="preserve">Az Európa jövőjéről szóló konferencia kilenc témáját jelölte meg. Ezek a témák állnak a holland polgárokkal folytatott, Európa jövőképéről folytatott párbeszéd középpontjában is. Októberben közzétettünk egy időközi jelentést, amely első áttekintést ad az eredményekről és a panelfelmérésen alapuló kiegészítő kérdésekről. Ebben a második jelentésben ismertettük az Európa jövőjéről szóló konferencia decemberi plenáris ülésének első öt témájával kapcsolatos véleményeket, ötleteket és ajánlásokat. A következő jelentést, amely a fennmaradó négy témával foglalkozik, január közepén teszik közzé. </w:t>
      </w:r>
    </w:p>
    <w:p>
      <w:pPr>
        <w:pStyle w:val="Normal"/>
        <w:rPr/>
      </w:pPr>
      <w:r>
        <w:rPr/>
        <w:t xml:space="preserve">Jelenlegi jelentés – 2021. december </w:t>
      </w:r>
    </w:p>
    <w:p>
      <w:pPr>
        <w:pStyle w:val="P68B1DB1Normal105"/>
        <w:widowControl w:val="false"/>
        <w:spacing w:lineRule="auto" w:line="240" w:before="125" w:after="0"/>
        <w:ind w:left="0" w:right="0" w:hanging="0"/>
        <w:jc w:val="left"/>
        <w:rPr/>
      </w:pPr>
      <w:r>
        <w:rPr>
          <w:rFonts w:ascii="Verdana" w:hAnsi="Verdana"/>
        </w:rPr>
        <w:t>•</w:t>
      </w:r>
      <w:r>
        <w:rPr/>
        <w:t xml:space="preserve"> </w:t>
      </w:r>
      <w:r>
        <w:rPr>
          <w:rFonts w:ascii="Calibri" w:hAnsi="Calibri"/>
        </w:rPr>
        <w:t xml:space="preserve">Értékek és jogok, jogállamiság és biztonság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Erősebb gazdaság, társadalmi igazságosság és foglalkoztatás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Európai demokrácia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Digitális transzformáció </w:t>
      </w:r>
    </w:p>
    <w:p>
      <w:pPr>
        <w:pStyle w:val="P68B1DB1Normal105"/>
        <w:widowControl w:val="false"/>
        <w:spacing w:lineRule="auto" w:line="240" w:before="5" w:after="0"/>
        <w:ind w:left="0" w:right="0" w:hanging="0"/>
        <w:jc w:val="left"/>
        <w:rPr/>
      </w:pPr>
      <w:r>
        <w:rPr>
          <w:rFonts w:ascii="Verdana" w:hAnsi="Verdana"/>
        </w:rPr>
        <w:t>•</w:t>
      </w:r>
      <w:r>
        <w:rPr/>
        <w:t xml:space="preserve"> </w:t>
      </w:r>
      <w:r>
        <w:rPr>
          <w:rFonts w:ascii="Calibri" w:hAnsi="Calibri"/>
        </w:rPr>
        <w:t xml:space="preserve">Oktatás, kultúra, ifjúság és sport </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P68B1DB1Normal69"/>
        <w:widowControl w:val="false"/>
        <w:spacing w:lineRule="auto" w:line="240"/>
        <w:ind w:left="0" w:right="0" w:hanging="0"/>
        <w:jc w:val="left"/>
        <w:rPr>
          <w:rFonts w:ascii="Calibri" w:hAnsi="Calibri"/>
          <w:b/>
          <w:b/>
          <w:color w:val="000000"/>
          <w:sz w:val="20"/>
        </w:rPr>
      </w:pPr>
      <w:r>
        <w:rPr/>
        <w:t xml:space="preserve">Következő jelentés – 2022. január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Éghajlatváltozás és környezetvédelem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Migráció </w:t>
      </w:r>
    </w:p>
    <w:p>
      <w:pPr>
        <w:pStyle w:val="P68B1DB1Normal105"/>
        <w:widowControl w:val="false"/>
        <w:spacing w:lineRule="auto" w:line="240" w:before="5" w:after="0"/>
        <w:ind w:left="0" w:right="0" w:hanging="0"/>
        <w:jc w:val="left"/>
        <w:rPr/>
      </w:pPr>
      <w:r>
        <w:rPr>
          <w:rFonts w:ascii="Verdana" w:hAnsi="Verdana"/>
        </w:rPr>
        <w:t>•</w:t>
      </w:r>
      <w:r>
        <w:rPr/>
        <w:t xml:space="preserve"> </w:t>
      </w:r>
      <w:r>
        <w:rPr>
          <w:rFonts w:ascii="Calibri" w:hAnsi="Calibri"/>
        </w:rPr>
        <w:t xml:space="preserve">Egészség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Az EU a világban </w:t>
      </w:r>
    </w:p>
    <w:p>
      <w:pPr>
        <w:pStyle w:val="P68B1DB1Normal108"/>
        <w:widowControl w:val="false"/>
        <w:spacing w:lineRule="auto" w:line="240" w:before="35" w:after="0"/>
        <w:ind w:left="0" w:right="0" w:hanging="0"/>
        <w:jc w:val="left"/>
        <w:rPr>
          <w:rFonts w:ascii="Calibri" w:hAnsi="Calibri"/>
          <w:b/>
          <w:b/>
          <w:i/>
          <w:i/>
          <w:color w:val="000000"/>
          <w:sz w:val="24"/>
        </w:rPr>
      </w:pPr>
      <w:r>
        <w:rPr/>
        <w:t xml:space="preserve">Következő lépések </w:t>
      </w:r>
    </w:p>
    <w:p>
      <w:pPr>
        <w:pStyle w:val="P68B1DB1Normal105"/>
        <w:widowControl w:val="false"/>
        <w:spacing w:lineRule="auto" w:line="240" w:before="125" w:after="0"/>
        <w:ind w:left="0" w:right="0" w:hanging="0"/>
        <w:jc w:val="left"/>
        <w:rPr/>
      </w:pPr>
      <w:r>
        <w:rPr>
          <w:rFonts w:ascii="Verdana" w:hAnsi="Verdana"/>
        </w:rPr>
        <w:t>•</w:t>
      </w:r>
      <w:r>
        <w:rPr/>
        <w:t xml:space="preserve"> </w:t>
      </w:r>
      <w:r>
        <w:rPr>
          <w:rFonts w:ascii="Calibri" w:hAnsi="Calibri"/>
        </w:rPr>
        <w:t xml:space="preserve">Az Európa jövőjéről szóló konferencia összehozza az összes uniós polgár ötleteit, véleményét és ajánlásait. Az ülések nemcsak az összes nemzeti szintű polgári párbeszéd eredményeire, hanem a konferencia keretében indított egyéb kezdeményezések eredményeire is vonatkoznak. Vannak például európai polgárokból álló vitacsoportok is, és minden uniós polgár (beleértve a holland állampolgárokat is) hozzáférhet egy európai digitális platformhoz. </w:t>
      </w:r>
    </w:p>
    <w:p>
      <w:pPr>
        <w:pStyle w:val="P68B1DB1Normal113"/>
        <w:widowControl w:val="false"/>
        <w:spacing w:lineRule="auto" w:line="240" w:before="203" w:after="0"/>
        <w:ind w:left="1080" w:right="1083" w:hanging="0"/>
        <w:jc w:val="center"/>
        <w:rPr/>
      </w:pPr>
      <w:r>
        <w:rPr/>
        <w:t>„</w:t>
      </w:r>
      <w:r>
        <w:rPr/>
        <w:t xml:space="preserve">Jó dolog, hogy az EU vállalja ezt a kezdeményezést. Remélem, hogy az eredményeket valóban figyelembe veszik. </w:t>
      </w:r>
    </w:p>
    <w:p>
      <w:pPr>
        <w:pStyle w:val="P68B1DB1Normal104"/>
        <w:widowControl w:val="false"/>
        <w:spacing w:lineRule="auto" w:line="240" w:before="307" w:after="0"/>
        <w:ind w:left="0" w:right="0" w:hanging="0"/>
        <w:jc w:val="left"/>
        <w:rPr>
          <w:rFonts w:ascii="Calibri" w:hAnsi="Calibri"/>
          <w:color w:val="000000"/>
          <w:sz w:val="21"/>
        </w:rPr>
      </w:pPr>
      <w:r>
        <w:rPr/>
        <w:t xml:space="preserve">Résztvevő a tematikus párbeszédben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A konferencia 2022 tavaszán ér véget. Hollandia ezt követően végleges jelentést készít a civil párbeszédről: a jelentés és a következő jelentés összeállítása (beleértve más témákat is). A konferenciát követően ajánlásokat tesznek a konferencia elnökének: az Európai Parlament, a Miniszterek Tanácsa és az Európai Bizottság elnökei. Elkötelezték magukat amellett, hogy feltárják az ajánlások végrehajtásának módjait és eszközeit. A holland kormány számára az eredmények szintén értékes hozzájárulást jelentenek Hollandia európai politikáinak fejlődéséhez. </w:t>
      </w:r>
    </w:p>
    <w:p>
      <w:pPr>
        <w:pStyle w:val="Normal"/>
        <w:widowControl w:val="false"/>
        <w:spacing w:lineRule="auto" w:line="240"/>
        <w:ind w:left="0" w:right="0" w:hanging="0"/>
        <w:jc w:val="left"/>
        <w:rPr/>
      </w:pPr>
      <w:r>
        <w:rPr>
          <w:rFonts w:ascii="Verdana" w:hAnsi="Verdana"/>
          <w:color w:val="000000"/>
          <w:sz w:val="21"/>
        </w:rPr>
        <w:t>•</w:t>
      </w:r>
      <w:r>
        <w:rPr>
          <w:color w:val="000000"/>
          <w:sz w:val="21"/>
        </w:rPr>
        <w:t xml:space="preserve"> </w:t>
      </w:r>
      <w:r>
        <w:rPr>
          <w:rFonts w:ascii="Calibri" w:hAnsi="Calibri"/>
          <w:color w:val="000000"/>
          <w:sz w:val="21"/>
        </w:rPr>
        <w:t xml:space="preserve">Összefoglalva, a 2022 tavaszáig tartó folyamat a következőképpen szerveződik: </w:t>
      </w:r>
      <w:r>
        <w:br w:type="page"/>
      </w:r>
    </w:p>
    <w:p>
      <w:pPr>
        <w:pStyle w:val="P68B1DB1Normal107"/>
        <w:spacing w:lineRule="auto" w:line="240"/>
        <w:rPr/>
      </w:pPr>
      <w:r>
        <w:rPr/>
        <w:t xml:space="preserve">Kronológia </w:t>
      </w:r>
    </w:p>
    <w:p>
      <w:pPr>
        <w:pStyle w:val="P68B1DB1Normal114"/>
        <w:spacing w:lineRule="auto" w:line="240"/>
        <w:rPr/>
      </w:pPr>
      <w:r>
        <w:rPr/>
        <w:t xml:space="preserve">Európa jövőképe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675"/>
        <w:gridCol w:w="1633"/>
        <w:gridCol w:w="39"/>
        <w:gridCol w:w="840"/>
        <w:gridCol w:w="719"/>
        <w:gridCol w:w="1480"/>
        <w:gridCol w:w="411"/>
        <w:gridCol w:w="410"/>
        <w:gridCol w:w="1286"/>
        <w:gridCol w:w="564"/>
        <w:gridCol w:w="1580"/>
      </w:tblGrid>
      <w:tr>
        <w:trPr>
          <w:trHeight w:val="851"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Az első hét.</w:t>
            </w:r>
          </w:p>
        </w:tc>
        <w:tc>
          <w:tcPr>
            <w:tcW w:w="16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Október 12.</w:t>
            </w:r>
          </w:p>
        </w:tc>
        <w:tc>
          <w:tcPr>
            <w:tcW w:w="87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Október 22–23.</w:t>
            </w:r>
          </w:p>
        </w:tc>
        <w:tc>
          <w:tcPr>
            <w:tcW w:w="7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15 nov.</w:t>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December 17–18.</w:t>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Január 21–22.</w:t>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Április 22–24.</w:t>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r>
      <w:tr>
        <w:trPr>
          <w:trHeight w:val="581" w:hRule="atLeast"/>
        </w:trPr>
        <w:tc>
          <w:tcPr>
            <w:tcW w:w="3906" w:type="dxa"/>
            <w:gridSpan w:val="5"/>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Ötletek gyűjtése online</w:t>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r>
      <w:tr>
        <w:trPr>
          <w:trHeight w:val="56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3231" w:type="dxa"/>
            <w:gridSpan w:val="4"/>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Tematikus párbeszédek</w:t>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r>
      <w:tr>
        <w:trPr>
          <w:trHeight w:val="167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6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87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Időközi eredmények (közbenső jelentés)</w:t>
            </w:r>
          </w:p>
        </w:tc>
        <w:tc>
          <w:tcPr>
            <w:tcW w:w="7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Időközi jelentés a gazdaságról és a demokráciáról</w:t>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Időközi jelentés az „Éghajlat” és „Az EU a világban” című időközi jelentésről</w:t>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w:t>
            </w:r>
            <w:r>
              <w:rPr/>
              <w:t>Európa jövőképe” című zárójelentés</w:t>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r>
      <w:tr>
        <w:trPr>
          <w:trHeight w:val="56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6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87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t xml:space="preserve">≈ </w:t>
            </w:r>
          </w:p>
        </w:tc>
        <w:tc>
          <w:tcPr>
            <w:tcW w:w="7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t xml:space="preserve">≈ </w:t>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t xml:space="preserve">≈ </w:t>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t xml:space="preserve">≈ </w:t>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r>
      <w:tr>
        <w:trPr>
          <w:trHeight w:val="209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6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87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A konferencia ülése</w:t>
            </w:r>
          </w:p>
        </w:tc>
        <w:tc>
          <w:tcPr>
            <w:tcW w:w="7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A konferencia ülése</w:t>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A konferencia ülése</w:t>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A konferencia lezárása</w:t>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t xml:space="preserve">→ → </w:t>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 xml:space="preserve">Ajánlások az elnökök számára </w:t>
              <w:br/>
              <w:t xml:space="preserve">• Európai Parlament </w:t>
              <w:br/>
              <w:t xml:space="preserve">• Európai Bizottság </w:t>
              <w:br/>
              <w:t>• Miniszterek Tanácsa</w:t>
            </w:r>
          </w:p>
        </w:tc>
      </w:tr>
      <w:tr>
        <w:trPr>
          <w:trHeight w:val="56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6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87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7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t xml:space="preserve">↑ </w:t>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t xml:space="preserve">↑ </w:t>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t xml:space="preserve">↑ </w:t>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r>
      <w:tr>
        <w:trPr>
          <w:trHeight w:val="56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8962" w:type="dxa"/>
            <w:gridSpan w:val="10"/>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További vélemények és ötletek Európa jövőjéről:</w:t>
            </w:r>
          </w:p>
        </w:tc>
      </w:tr>
      <w:tr>
        <w:trPr>
          <w:trHeight w:val="851" w:hRule="atLeast"/>
        </w:trPr>
        <w:tc>
          <w:tcPr>
            <w:tcW w:w="234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Párbeszédek a polgárokkal</w:t>
            </w:r>
          </w:p>
        </w:tc>
        <w:tc>
          <w:tcPr>
            <w:tcW w:w="8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2610"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Az európai polgári vitacsoportok</w:t>
            </w:r>
          </w:p>
        </w:tc>
        <w:tc>
          <w:tcPr>
            <w:tcW w:w="3840" w:type="dxa"/>
            <w:gridSpan w:val="4"/>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Európai Digitális Platform (holland állampolgárok számára is)</w:t>
            </w:r>
          </w:p>
        </w:tc>
      </w:tr>
    </w:tbl>
    <w:p>
      <w:pPr>
        <w:pStyle w:val="Normal"/>
        <w:spacing w:lineRule="auto" w:line="240"/>
        <w:rPr/>
      </w:pPr>
      <w:r>
        <w:rPr/>
      </w:r>
    </w:p>
    <w:p>
      <w:pPr>
        <w:pStyle w:val="P68B1DB1Normal107"/>
        <w:spacing w:lineRule="auto" w:line="240"/>
        <w:ind w:left="0" w:right="0" w:hanging="0"/>
        <w:rPr>
          <w:rFonts w:ascii="Calibri" w:hAnsi="Calibri"/>
          <w:i/>
          <w:i/>
          <w:color w:val="000000"/>
          <w:sz w:val="24"/>
        </w:rPr>
      </w:pPr>
      <w:r>
        <w:rPr/>
        <w:t xml:space="preserve">Magyarázatok az olvasás megkönnyítésére </w:t>
      </w:r>
    </w:p>
    <w:p>
      <w:pPr>
        <w:pStyle w:val="P68B1DB1Normal104"/>
        <w:widowControl w:val="false"/>
        <w:spacing w:lineRule="auto" w:line="240" w:before="125" w:after="0"/>
        <w:ind w:left="0" w:right="0" w:hanging="0"/>
        <w:jc w:val="left"/>
        <w:rPr/>
      </w:pPr>
      <w:r>
        <w:rPr/>
        <w:t xml:space="preserve">Ebben a jelentésben öt témát vitattunk meg. Minden egyes témához egymás után beillesztettük: </w:t>
      </w:r>
    </w:p>
    <w:p>
      <w:pPr>
        <w:pStyle w:val="P68B1DB1Normal104"/>
        <w:widowControl w:val="false"/>
        <w:spacing w:lineRule="auto" w:line="240"/>
        <w:ind w:left="0" w:right="0" w:hanging="0"/>
        <w:jc w:val="left"/>
        <w:rPr>
          <w:rFonts w:ascii="Calibri" w:hAnsi="Calibri"/>
          <w:color w:val="000000"/>
          <w:sz w:val="21"/>
        </w:rPr>
      </w:pPr>
      <w:r>
        <w:rPr/>
        <w:t xml:space="preserve">a civil párbeszéd valamennyi aspektusán alapuló ajánlások; </w:t>
      </w:r>
    </w:p>
    <w:p>
      <w:pPr>
        <w:pStyle w:val="P68B1DB1Normal104"/>
        <w:widowControl w:val="false"/>
        <w:spacing w:lineRule="auto" w:line="240" w:before="1" w:after="0"/>
        <w:ind w:left="0" w:right="0" w:hanging="0"/>
        <w:jc w:val="left"/>
        <w:rPr/>
      </w:pPr>
      <w:r>
        <w:rPr/>
        <w:t xml:space="preserve">a tematikus párbeszédek és az online felmérés javaslatai során (online és fizikai jelenléttel) kicserélt vélemények, ötletek és vélemények áttekintése szavakban és képekben.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rFonts w:ascii="Calibri" w:hAnsi="Calibri"/>
          <w:color w:val="000000"/>
          <w:sz w:val="21"/>
        </w:rPr>
      </w:pPr>
      <w:r>
        <w:rPr/>
        <w:t xml:space="preserve">A felmérésben alkalmazott módszertan leírása e jelentés végén található. </w:t>
      </w:r>
    </w:p>
    <w:p>
      <w:pPr>
        <w:pStyle w:val="P68B1DB1Normal19"/>
        <w:widowControl w:val="false"/>
        <w:spacing w:lineRule="exact" w:line="388"/>
        <w:ind w:left="0" w:right="0" w:hanging="0"/>
        <w:jc w:val="left"/>
        <w:rPr>
          <w:rFonts w:ascii="Times New Roman" w:hAnsi="Times New Roman"/>
          <w:color w:val="000000"/>
          <w:sz w:val="24"/>
        </w:rPr>
      </w:pPr>
      <w:r>
        <w:rPr/>
        <w:t xml:space="preserve"> </w:t>
      </w:r>
    </w:p>
    <w:p>
      <w:pPr>
        <w:pStyle w:val="Normal"/>
        <w:spacing w:lineRule="auto" w:line="240"/>
        <w:rPr/>
      </w:pPr>
      <w:r>
        <w:rPr/>
      </w:r>
      <w:r>
        <w:br w:type="page"/>
      </w:r>
    </w:p>
    <w:p>
      <w:pPr>
        <w:pStyle w:val="P68B1DB1Normal117"/>
        <w:spacing w:lineRule="auto" w:line="240"/>
        <w:ind w:left="0" w:right="0" w:hanging="0"/>
        <w:rPr>
          <w:rFonts w:ascii="Calibri" w:hAnsi="Calibri"/>
          <w:b/>
          <w:b/>
          <w:i/>
          <w:i/>
          <w:color w:val="000000"/>
          <w:sz w:val="28"/>
        </w:rPr>
      </w:pPr>
      <w:r>
        <w:rPr/>
        <w:t xml:space="preserve">Értékek és jogok, jogállamiság és biztonság </w:t>
      </w:r>
    </w:p>
    <w:p>
      <w:pPr>
        <w:pStyle w:val="P68B1DB1Normal104"/>
        <w:widowControl w:val="false"/>
        <w:spacing w:lineRule="auto" w:line="240" w:before="36" w:after="0"/>
        <w:ind w:left="0" w:right="0" w:hanging="0"/>
        <w:jc w:val="both"/>
        <w:rPr/>
      </w:pPr>
      <w:r>
        <w:rPr/>
        <w:t xml:space="preserve">Az EU valamennyi uniós országban figyelemmel kíséri a jogállamiságot, és igyekszik csökkenteni az EU-n belüli egyenlőtlenségeket. Az EU minden európai polgárt meg akar védeni a terrorizmustól és a bűnözéstől. Ennek elérése érdekében az EU intézkedéseket és szabályokat vezet be, és az uniós országok intenzíven együttműködnek egymással. </w:t>
      </w:r>
    </w:p>
    <w:p>
      <w:pPr>
        <w:pStyle w:val="P68B1DB1Normal104"/>
        <w:widowControl w:val="false"/>
        <w:spacing w:lineRule="auto" w:line="240" w:before="32" w:after="0"/>
        <w:ind w:left="0" w:right="0" w:hanging="0"/>
        <w:jc w:val="left"/>
        <w:rPr>
          <w:rFonts w:ascii="Calibri" w:hAnsi="Calibri"/>
          <w:color w:val="000000"/>
          <w:sz w:val="21"/>
        </w:rPr>
      </w:pPr>
      <w:r>
        <w:rPr/>
        <w:t xml:space="preserve"> </w:t>
      </w:r>
      <w:r>
        <w:rPr/>
        <w:t xml:space="preserve">Mit gondol erről Hollandia? </w:t>
      </w:r>
    </w:p>
    <w:p>
      <w:pPr>
        <w:pStyle w:val="P68B1DB1Normal19"/>
        <w:widowControl w:val="false"/>
        <w:spacing w:lineRule="auto" w:line="240" w:before="23" w:after="0"/>
        <w:ind w:left="0" w:right="0" w:hanging="0"/>
        <w:jc w:val="left"/>
        <w:rPr>
          <w:rFonts w:ascii="Times New Roman" w:hAnsi="Times New Roman"/>
          <w:color w:val="000000"/>
          <w:sz w:val="24"/>
        </w:rPr>
      </w:pPr>
      <w:r>
        <w:rPr/>
        <w:t xml:space="preserve"> </w:t>
      </w:r>
    </w:p>
    <w:p>
      <w:pPr>
        <w:pStyle w:val="P68B1DB1Normal108"/>
        <w:widowControl w:val="false"/>
        <w:spacing w:lineRule="auto" w:line="240" w:before="18" w:after="0"/>
        <w:ind w:left="0" w:right="0" w:hanging="0"/>
        <w:jc w:val="left"/>
        <w:rPr>
          <w:rFonts w:ascii="Calibri" w:hAnsi="Calibri"/>
          <w:b/>
          <w:b/>
          <w:i/>
          <w:i/>
          <w:color w:val="000000"/>
          <w:sz w:val="24"/>
        </w:rPr>
      </w:pPr>
      <w:r>
        <w:rPr/>
        <w:t xml:space="preserve">Ajánlások – A biztonságról és a jogállamiságról alkotott elképzelésünk </w:t>
      </w:r>
    </w:p>
    <w:p>
      <w:pPr>
        <w:pStyle w:val="P68B1DB1Normal69"/>
        <w:widowControl w:val="false"/>
        <w:spacing w:lineRule="auto" w:line="240" w:before="41" w:after="0"/>
        <w:ind w:left="0" w:right="0" w:hanging="0"/>
        <w:jc w:val="left"/>
        <w:rPr/>
      </w:pPr>
      <w:r>
        <w:rPr/>
        <w:t xml:space="preserve">A hollandok 68%-a úgy véli, hogy a biztonság és a jogállamiság fontos kérdés, és az EU-nak közbe kell lépnie ezen a területen. </w:t>
      </w:r>
    </w:p>
    <w:p>
      <w:pPr>
        <w:pStyle w:val="P68B1DB1Normal111"/>
        <w:widowControl w:val="false"/>
        <w:spacing w:lineRule="auto" w:line="240" w:before="16" w:after="0"/>
        <w:ind w:left="0" w:right="0" w:hanging="0"/>
        <w:jc w:val="left"/>
        <w:rPr>
          <w:rFonts w:ascii="Calibri" w:hAnsi="Calibri"/>
          <w:b/>
          <w:b/>
          <w:color w:val="000000"/>
          <w:sz w:val="22"/>
        </w:rPr>
      </w:pPr>
      <w:r>
        <w:rPr/>
        <w:t xml:space="preserve">1. Biztosítsa, hogy mindenki szabadon és biztonságban érezze magát </w:t>
      </w:r>
    </w:p>
    <w:p>
      <w:pPr>
        <w:pStyle w:val="P68B1DB1Normal104"/>
        <w:widowControl w:val="false"/>
        <w:spacing w:lineRule="auto" w:line="240" w:before="25" w:after="0"/>
        <w:ind w:left="0" w:right="0" w:hanging="0"/>
        <w:jc w:val="left"/>
        <w:rPr/>
      </w:pPr>
      <w:r>
        <w:rPr/>
        <w:t xml:space="preserve">Hollandia 78%-a tartja fontosnak, hogy az EU megvédje a jogállamiságot, valamint alapvető jogainkat és szabadságainkat. Emellett fontosnak tartjuk a fogyasztói jogok védelmét is: a polgárok túlnyomó többsége úgy véli, hogy jó dolog, hogy az EU megköveteli a gyártóktól, hogy minden országban ugyanazokat az információkat tüntessék fel a címkéken. Számos holland azonban úgy véli, hogy az EU-nak figyelmet kell fordítania az Európán belüli (kormányzási) hagyományok és kultúrák közötti különbségekre. És ez többek között azért, mert különben nehéz lenne hatékonyan együttműködni. Különösen fontosnak tartjuk, hogy Európában mindenki szabadnak és biztonságban érezze magát. Ez magában foglalja a tetőt a fejed felett, de az oktatást és a gondozást is. És ez arra is vonatkozik, hogy az európai üzletekben található termékek </w:t>
      </w:r>
    </w:p>
    <w:p>
      <w:pPr>
        <w:pStyle w:val="P68B1DB1Normal104"/>
        <w:widowControl w:val="false"/>
        <w:spacing w:lineRule="auto" w:line="240"/>
        <w:ind w:left="0" w:right="0" w:hanging="0"/>
        <w:jc w:val="left"/>
        <w:rPr>
          <w:rFonts w:ascii="Calibri" w:hAnsi="Calibri"/>
          <w:color w:val="000000"/>
          <w:sz w:val="21"/>
        </w:rPr>
      </w:pPr>
      <w:r>
        <w:rPr/>
        <w:t xml:space="preserve">mindig biztos vagyok benne. </w:t>
      </w:r>
    </w:p>
    <w:p>
      <w:pPr>
        <w:pStyle w:val="P68B1DB1Normal111"/>
        <w:widowControl w:val="false"/>
        <w:spacing w:lineRule="auto" w:line="240" w:before="29" w:after="0"/>
        <w:ind w:left="0" w:right="0" w:hanging="0"/>
        <w:jc w:val="left"/>
        <w:rPr>
          <w:rFonts w:ascii="Calibri" w:hAnsi="Calibri"/>
          <w:b/>
          <w:b/>
          <w:color w:val="000000"/>
          <w:sz w:val="22"/>
        </w:rPr>
      </w:pPr>
      <w:r>
        <w:rPr/>
        <w:t xml:space="preserve">2. Csak akkor bővítse az EU-t, ha hozzáadott értéket teremt </w:t>
      </w:r>
    </w:p>
    <w:p>
      <w:pPr>
        <w:pStyle w:val="P68B1DB1Normal104"/>
        <w:widowControl w:val="false"/>
        <w:spacing w:lineRule="auto" w:line="240" w:before="25" w:after="0"/>
        <w:ind w:left="0" w:right="0" w:hanging="0"/>
        <w:jc w:val="left"/>
        <w:rPr/>
      </w:pPr>
      <w:r>
        <w:rPr/>
        <w:t xml:space="preserve">A hollandok 44%-a nem gondolja úgy, hogy az EU-nak több országra is ki kellene terjednie. Ezzel szemben 25% támogatja a bővítést. Megjegyezzük, hogy a jelenlegi tagállamok között már most is sok vita folyik. Sokan úgy gondolják, hogy először erre a problémára kell koncentrálnunk. És ha új országok csatlakoznak az Unióhoz, akkor valóban képeseknek kell lenniük arra, hogy megfeleljenek a feltételeinknek. Ma és a jövőben is. Sok holland úgy véli, hogy a jelenlegi tagállamoknak is fel kell ismerniük a bővítés hozzáadott értékét. Úgy véljük továbbá, hogy más lehetőségek is vannak arra, hogy országként együttműködjünk a biztonság és a stabilitás érdekében. Például néha aggódunk amiatt, hogy Oroszország befolyást gyakorol az EU keleti határán lévő országokra. Fontos, hogy az EU figyeljen. </w:t>
      </w:r>
    </w:p>
    <w:p>
      <w:pPr>
        <w:pStyle w:val="P68B1DB1Normal19"/>
        <w:widowControl w:val="false"/>
        <w:spacing w:lineRule="auto" w:line="240" w:before="21" w:after="0"/>
        <w:ind w:left="0" w:right="0" w:hanging="0"/>
        <w:jc w:val="left"/>
        <w:rPr>
          <w:rFonts w:ascii="Times New Roman" w:hAnsi="Times New Roman"/>
          <w:color w:val="000000"/>
          <w:sz w:val="24"/>
        </w:rPr>
      </w:pPr>
      <w:r>
        <w:rPr/>
        <w:t xml:space="preserve"> </w:t>
      </w:r>
    </w:p>
    <w:p>
      <w:pPr>
        <w:pStyle w:val="P68B1DB1Normal113"/>
        <w:widowControl w:val="false"/>
        <w:spacing w:lineRule="auto" w:line="240" w:before="28" w:after="0"/>
        <w:ind w:left="0" w:right="0" w:hanging="0"/>
        <w:jc w:val="center"/>
        <w:rPr/>
      </w:pPr>
      <w:r>
        <w:rPr/>
        <w:t>„</w:t>
      </w:r>
      <w:r>
        <w:rPr/>
        <w:t xml:space="preserve">A bővítésnek nem a költségekre és előnyökre, hanem a stabilitás jövőképére kell összpontosítania.” </w:t>
      </w:r>
    </w:p>
    <w:p>
      <w:pPr>
        <w:pStyle w:val="P68B1DB1Normal111"/>
        <w:widowControl w:val="false"/>
        <w:spacing w:lineRule="auto" w:line="240" w:before="40" w:after="0"/>
        <w:ind w:left="0" w:right="0" w:hanging="0"/>
        <w:jc w:val="left"/>
        <w:rPr/>
      </w:pPr>
      <w:r>
        <w:rPr/>
        <w:t xml:space="preserve">3. Együttműködés elsősorban a nemzetközi bűnözés és a terrorizmus elleni küzdelemben </w:t>
      </w:r>
    </w:p>
    <w:p>
      <w:pPr>
        <w:pStyle w:val="P68B1DB1Normal104"/>
        <w:widowControl w:val="false"/>
        <w:spacing w:lineRule="auto" w:line="240" w:before="26" w:after="0"/>
        <w:ind w:left="0" w:right="0" w:hanging="0"/>
        <w:jc w:val="left"/>
        <w:rPr/>
      </w:pPr>
      <w:r>
        <w:rPr/>
        <w:t xml:space="preserve">A hollandok 68%-a gondolja úgy, hogy az EU biztonsági szolgálatainak meg kellene osztaniuk az információikat. Úgy véljük azonban, hogy fontos, hogy az országok továbbra is maguk dönthessék el, hogy milyen információkat kívánnak nyújtani vagy sem. Az összes információ megosztása gyorsan hatástalanná teszi az együttműködést. És az EU ma olyan nagy, hogy továbbra is kritikusan meg kell vizsgálnunk, hogy hol érkeznek vagy valószínűsíthetően megtörténnek az érzékeny információk. Továbbra is bízunk abban, hogy a magánéletünk védett. Úgy véljük, hogy mindenek előtt értelme van együttműködni a súlyos nemzetközi bűnözés, például a számítástechnikai bűnözés, a kábítószer-kereskedelem és a terrorizmus elleni küzdelemben. </w:t>
      </w:r>
    </w:p>
    <w:p>
      <w:pPr>
        <w:pStyle w:val="P68B1DB1Normal113"/>
        <w:widowControl w:val="false"/>
        <w:spacing w:lineRule="auto" w:line="240" w:before="28" w:after="0"/>
        <w:ind w:left="0" w:right="0" w:hanging="0"/>
        <w:jc w:val="center"/>
        <w:rPr/>
      </w:pPr>
      <w:r>
        <w:rPr/>
        <w:t xml:space="preserve">Ha egyszer égsz egy piros lámpát Hollandiában, akkor tényleg nincs ok arra, hogy ezt Spanyolországban ismerjék. </w:t>
      </w:r>
    </w:p>
    <w:p>
      <w:pPr>
        <w:pStyle w:val="P68B1DB1Normal19"/>
        <w:widowControl w:val="false"/>
        <w:spacing w:lineRule="auto" w:line="240" w:before="44" w:after="0"/>
        <w:ind w:left="0" w:right="0" w:hanging="0"/>
        <w:jc w:val="left"/>
        <w:rPr>
          <w:rFonts w:ascii="Times New Roman" w:hAnsi="Times New Roman"/>
          <w:color w:val="000000"/>
          <w:sz w:val="24"/>
        </w:rPr>
      </w:pPr>
      <w:r>
        <w:rPr/>
        <w:t xml:space="preserve"> </w:t>
      </w:r>
    </w:p>
    <w:p>
      <w:pPr>
        <w:pStyle w:val="P68B1DB1Normal108"/>
        <w:spacing w:lineRule="auto" w:line="240"/>
        <w:ind w:left="0" w:right="0" w:hanging="0"/>
        <w:rPr>
          <w:rFonts w:ascii="Calibri" w:hAnsi="Calibri"/>
          <w:b/>
          <w:b/>
          <w:i/>
          <w:i/>
          <w:color w:val="000000"/>
          <w:sz w:val="24"/>
        </w:rPr>
      </w:pPr>
      <w:r>
        <w:rPr/>
        <w:t xml:space="preserve">Online és helyszíni megbeszélések és ötletek </w:t>
      </w:r>
    </w:p>
    <w:p>
      <w:pPr>
        <w:pStyle w:val="P68B1DB1Normal118"/>
        <w:widowControl w:val="false"/>
        <w:spacing w:lineRule="auto" w:line="240" w:before="118" w:after="0"/>
        <w:ind w:left="0" w:right="0" w:hanging="0"/>
        <w:jc w:val="left"/>
        <w:rPr>
          <w:rFonts w:ascii="Calibri" w:hAnsi="Calibri"/>
          <w:i/>
          <w:i/>
          <w:color w:val="000000"/>
          <w:sz w:val="21"/>
        </w:rPr>
      </w:pPr>
      <w:r>
        <w:rPr/>
        <w:t xml:space="preserve">Ha egy olyan országot szankcionálnak, amely nem tartja be a szabályokat, akkor az ország legszegényebb lakosai az első áldozatok. Ezért jobb beszélni, mint szankcionálni. </w:t>
      </w:r>
    </w:p>
    <w:p>
      <w:pPr>
        <w:pStyle w:val="P68B1DB1Normal118"/>
        <w:widowControl w:val="false"/>
        <w:spacing w:lineRule="auto" w:line="240" w:before="87" w:after="0"/>
        <w:ind w:left="0" w:right="0" w:hanging="0"/>
        <w:jc w:val="left"/>
        <w:rPr>
          <w:rFonts w:ascii="Calibri" w:hAnsi="Calibri"/>
          <w:i/>
          <w:i/>
          <w:color w:val="000000"/>
          <w:sz w:val="21"/>
        </w:rPr>
      </w:pPr>
      <w:r>
        <w:rPr/>
        <w:t xml:space="preserve">Először is biztosítani kell a stabilitást a jelenlegi klubban. Aztán csak a bővítésre gondolunk. </w:t>
      </w:r>
    </w:p>
    <w:p>
      <w:pPr>
        <w:pStyle w:val="P68B1DB1Normal118"/>
        <w:widowControl w:val="false"/>
        <w:spacing w:lineRule="auto" w:line="240" w:before="85" w:after="0"/>
        <w:ind w:left="0" w:right="392" w:hanging="0"/>
        <w:jc w:val="left"/>
        <w:rPr/>
      </w:pPr>
      <w:r>
        <w:rPr/>
        <w:t xml:space="preserve">Kritikusan meg kell vizsgálnunk saját jogállamunkat is. Az egyik vagy a másik hibás. </w:t>
      </w:r>
    </w:p>
    <w:p>
      <w:pPr>
        <w:pStyle w:val="P68B1DB1Normal118"/>
        <w:widowControl w:val="false"/>
        <w:spacing w:lineRule="auto" w:line="240" w:before="85" w:after="0"/>
        <w:ind w:left="0" w:right="244" w:hanging="0"/>
        <w:jc w:val="left"/>
        <w:rPr/>
      </w:pPr>
      <w:r>
        <w:rPr/>
        <w:t xml:space="preserve">AZ ÖTLET: „Szigorú feddhetetlenségi szabályokat állapítanak meg Európa-szerte a politikusok számára annak megakadályozása érdekében, hogy túlságosan könnyen befolyásolhassák őket.” </w:t>
      </w:r>
    </w:p>
    <w:p>
      <w:pPr>
        <w:pStyle w:val="P68B1DB1Normal118"/>
        <w:widowControl w:val="false"/>
        <w:spacing w:lineRule="auto" w:line="240" w:before="85" w:after="0"/>
        <w:ind w:left="0" w:right="0" w:hanging="0"/>
        <w:jc w:val="left"/>
        <w:rPr>
          <w:rFonts w:ascii="Calibri" w:hAnsi="Calibri"/>
          <w:i/>
          <w:i/>
          <w:color w:val="000000"/>
          <w:sz w:val="21"/>
        </w:rPr>
      </w:pPr>
      <w:r>
        <w:rPr/>
        <w:t xml:space="preserve">AZ ÖTLET: „A rendőrség és az igazságszolgáltatás közötti együttműködés megerősítése az uniós országokban.” </w:t>
      </w:r>
    </w:p>
    <w:p>
      <w:pPr>
        <w:pStyle w:val="P68B1DB1Normal111"/>
        <w:widowControl w:val="false"/>
        <w:spacing w:lineRule="auto" w:line="240" w:before="84" w:after="0"/>
        <w:ind w:left="0" w:right="67" w:hanging="0"/>
        <w:jc w:val="left"/>
        <w:rPr/>
      </w:pPr>
      <w:r>
        <w:rPr/>
        <w:t xml:space="preserve">Doetinchem Szakközépiskolai hallgatók: Azoknak, akik az EU részévé akarnak válni, tiszteletben kell tartaniuk a szabályokat. </w:t>
      </w:r>
    </w:p>
    <w:p>
      <w:pPr>
        <w:pStyle w:val="P68B1DB1Normal104"/>
        <w:widowControl w:val="false"/>
        <w:spacing w:lineRule="auto" w:line="240" w:before="100" w:after="0"/>
        <w:ind w:left="0" w:right="0" w:hanging="0"/>
        <w:jc w:val="left"/>
        <w:rPr/>
      </w:pPr>
      <w:r>
        <w:rPr/>
        <w:t xml:space="preserve">A doetinchemi Graafschap College-ban mintegy 20 ápoló hallgató vitatta azt a kérdést, hogy véleményük szerint melyek az EU legnagyobb előnyei: a szabad piac, az euró, mint közös valuta, és az a tény, hogy európaiként könnyen letelepedhet és dolgozhat más uniós országokban. És az a tény, hogy az uniós országok támogathatják egymást. Az unió erős" – mondta az egyik jelenlévő diák. A szabályok fontosságát is megvitatták. Ha az országok nem tartják tiszteletben őket, gyakran nehéz keményen megbüntetni őket. A diákok szerint hasznos lehet, ha ez egy kicsit könnyebbé válik. Egyikük említette az elrettentő hatást is. Ha súlyos szankciókat alkalmaz, más országok meglátják, mi történhet, ha nem tartják be a szabályokat. </w:t>
      </w:r>
    </w:p>
    <w:p>
      <w:pPr>
        <w:pStyle w:val="P68B1DB1Normal111"/>
        <w:widowControl w:val="false"/>
        <w:spacing w:lineRule="auto" w:line="240" w:before="88" w:after="0"/>
        <w:ind w:left="0" w:right="0" w:hanging="0"/>
        <w:jc w:val="left"/>
        <w:rPr>
          <w:rFonts w:ascii="Calibri" w:hAnsi="Calibri"/>
          <w:b/>
          <w:b/>
          <w:color w:val="000000"/>
          <w:sz w:val="22"/>
        </w:rPr>
      </w:pPr>
      <w:r>
        <w:rPr/>
        <w:t xml:space="preserve">Hindutanis Suriname-tól Utrechtig: Néha hiányzik a jogállamiságba vetett bizalom </w:t>
      </w:r>
    </w:p>
    <w:p>
      <w:pPr>
        <w:pStyle w:val="Normal"/>
        <w:widowControl w:val="false"/>
        <w:spacing w:lineRule="auto" w:line="240" w:before="97" w:after="0"/>
        <w:ind w:left="0" w:right="34" w:hanging="0"/>
        <w:jc w:val="left"/>
        <w:rPr/>
      </w:pPr>
      <w:r>
        <w:rPr>
          <w:rFonts w:ascii="Calibri" w:hAnsi="Calibri"/>
          <w:color w:val="000000"/>
          <w:sz w:val="21"/>
        </w:rPr>
        <w:t xml:space="preserve">Az Asha Alapítvány Utrecht településen, Suriname-ból származó Hindustanis önkéntesek szervezete. A tematikus párbeszéd résztvevői különösen a polgárok jogainak fontosságát vitatták meg: a fej feletti tetőhöz való jog, de például a megkülönböztetésmentességhez való jog is. A jelen lévő önkéntesek szerint olyan szabályokra van szükség, amelyek védik ezeket a jogokat minden európai polgár számára. Nem mindig ismert, hogy mit szabályoznak jelenleg Hollandiában, és mi az, amit jelenleg európai szinten szabályoznak. Ennek következtében néha nehéz megbízni a hatóságokban. Különösen azért, mert a hatóságokon belül néha előfordulnak működési zavarok. „Lehet azt mondani, hogy a hatóságoknak meg kell védeniük, de néha sikerül evezniük, mint a juttatási ügyben” – mondta az egyik résztvevő. „Az EU-nak biztosítania kell a szabályok tényleges tiszteletben tartását” – mondta egy másik résztvevő. </w:t>
      </w:r>
      <w:r>
        <w:br w:type="page"/>
      </w:r>
    </w:p>
    <w:p>
      <w:pPr>
        <w:pStyle w:val="P68B1DB1Normal117"/>
        <w:spacing w:lineRule="auto" w:line="240"/>
        <w:ind w:left="0" w:right="0" w:hanging="0"/>
        <w:rPr>
          <w:rFonts w:ascii="Calibri" w:hAnsi="Calibri"/>
          <w:b/>
          <w:b/>
          <w:i/>
          <w:i/>
          <w:color w:val="000000"/>
          <w:sz w:val="28"/>
        </w:rPr>
      </w:pPr>
      <w:r>
        <w:rPr/>
        <w:t xml:space="preserve">Erősebb gazdaság, társadalmi igazságosság és foglalkoztatás </w:t>
      </w:r>
    </w:p>
    <w:p>
      <w:pPr>
        <w:pStyle w:val="P68B1DB1Normal104"/>
        <w:widowControl w:val="false"/>
        <w:spacing w:lineRule="auto" w:line="240" w:before="139" w:after="0"/>
        <w:ind w:left="0" w:right="0" w:hanging="0"/>
        <w:jc w:val="left"/>
        <w:rPr/>
      </w:pPr>
      <w:r>
        <w:rPr/>
        <w:t xml:space="preserve">A kis- és középvállalkozások alkotják az európai gazdaság gerincét. Az EU ezért azt szeretné, ha az uniós országok együttműködnének a helyreállítási tervek kidolgozásában, hogy gazdaságilag erősebbek legyenek a Covid19-válságból. Hosszú távon az EU célja, hogy egészségesebbé, környezetbarátabbá és digitálisabbá tegye az európai gazdaságot. Mit gondol erről Hollandia? </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P68B1DB1Normal108"/>
        <w:widowControl w:val="false"/>
        <w:spacing w:lineRule="auto" w:line="240" w:before="18" w:after="0"/>
        <w:ind w:left="0" w:right="0" w:hanging="0"/>
        <w:jc w:val="left"/>
        <w:rPr>
          <w:rFonts w:ascii="Calibri" w:hAnsi="Calibri"/>
          <w:b/>
          <w:b/>
          <w:i/>
          <w:i/>
          <w:color w:val="000000"/>
          <w:sz w:val="24"/>
        </w:rPr>
      </w:pPr>
      <w:r>
        <w:rPr/>
        <w:t xml:space="preserve">Ajánlások – A gazdaságról és a foglalkoztatásról alkotott elképzelésünk </w:t>
      </w:r>
    </w:p>
    <w:p>
      <w:pPr>
        <w:pStyle w:val="P68B1DB1Normal35"/>
        <w:widowControl w:val="false"/>
        <w:spacing w:lineRule="auto" w:line="240" w:before="123" w:after="0"/>
        <w:ind w:left="0" w:right="0" w:hanging="0"/>
        <w:jc w:val="left"/>
        <w:rPr/>
      </w:pPr>
      <w:r>
        <w:rPr>
          <w:rFonts w:ascii="Calibri" w:hAnsi="Calibri"/>
          <w:sz w:val="20"/>
        </w:rPr>
        <w:t>A hollandok 61%-a véli úgy, hogy a gazdaság és a foglalkoztatás fontos téma, és az EU-nak közbe kell lépnie ezen a területen.</w:t>
      </w:r>
      <w:r>
        <w:rPr>
          <w:rFonts w:ascii="Times New Roman" w:hAnsi="Times New Roman"/>
          <w:sz w:val="24"/>
        </w:rPr>
        <w:t xml:space="preserve"> </w:t>
      </w:r>
    </w:p>
    <w:p>
      <w:pPr>
        <w:pStyle w:val="P68B1DB1Normal111"/>
        <w:widowControl w:val="false"/>
        <w:spacing w:lineRule="auto" w:line="240" w:before="6" w:after="0"/>
        <w:ind w:left="0" w:right="0" w:hanging="0"/>
        <w:jc w:val="left"/>
        <w:rPr>
          <w:rFonts w:ascii="Calibri" w:hAnsi="Calibri"/>
          <w:b/>
          <w:b/>
          <w:color w:val="000000"/>
          <w:sz w:val="22"/>
        </w:rPr>
      </w:pPr>
      <w:r>
        <w:rPr/>
        <w:t xml:space="preserve">1. Figyelembe kell venni a közösségeket és a különbségeket </w:t>
      </w:r>
    </w:p>
    <w:p>
      <w:pPr>
        <w:pStyle w:val="P68B1DB1Normal104"/>
        <w:widowControl w:val="false"/>
        <w:spacing w:lineRule="auto" w:line="240" w:before="97" w:after="0"/>
        <w:ind w:left="0" w:right="0" w:hanging="0"/>
        <w:jc w:val="left"/>
        <w:rPr/>
      </w:pPr>
      <w:r>
        <w:rPr/>
        <w:t xml:space="preserve">A hollandok 71%-a úgy véli, hogy az EU-nak biztosítania kell a vállalkozások együttműködését, ezáltal erősítve az európai gazdaságot. Ezen emberek közül azonban csak kis hányaduk gondolja úgy, hogy az EU-nak több pénzt kell fizetnie a vállalkozásoknak. Mindenekelőtt úgy gondoljuk, hogy az együttműködés hatékonyabb lehet. Ma látjuk, hogy különböző vállalatok fektetnek be ugyanabba az új technológiába, néha még közpénzekből is. Ha lenne egy európai elképzelésünk a gazdaságról, hatékonyabban tudnánk használni ezt a pénzt. Ennek során azonban különös figyelmet kell fordítani az országok közötti különbségekre. </w:t>
      </w:r>
    </w:p>
    <w:p>
      <w:pPr>
        <w:pStyle w:val="P68B1DB1Normal113"/>
        <w:widowControl w:val="false"/>
        <w:spacing w:lineRule="auto" w:line="240" w:before="306" w:after="0"/>
        <w:ind w:left="0" w:right="0" w:hanging="0"/>
        <w:jc w:val="center"/>
        <w:rPr/>
      </w:pPr>
      <w:r>
        <w:rPr/>
        <w:t xml:space="preserve">A mezőgazdasági ágazat Hollandiában nagyon modern. Nem mindig lehet összehasonlítani más országokéval. </w:t>
      </w:r>
    </w:p>
    <w:p>
      <w:pPr>
        <w:pStyle w:val="P68B1DB1Normal111"/>
        <w:widowControl w:val="false"/>
        <w:spacing w:lineRule="auto" w:line="240" w:before="297" w:after="0"/>
        <w:ind w:left="0" w:right="0" w:hanging="0"/>
        <w:jc w:val="left"/>
        <w:rPr>
          <w:rFonts w:ascii="Calibri" w:hAnsi="Calibri"/>
          <w:b/>
          <w:b/>
          <w:color w:val="000000"/>
          <w:sz w:val="22"/>
        </w:rPr>
      </w:pPr>
      <w:r>
        <w:rPr/>
        <w:t xml:space="preserve">2. Európa erősségeinek nagyobb mértékű kihasználása </w:t>
      </w:r>
    </w:p>
    <w:p>
      <w:pPr>
        <w:pStyle w:val="P68B1DB1Normal104"/>
        <w:widowControl w:val="false"/>
        <w:spacing w:lineRule="auto" w:line="240" w:before="97" w:after="0"/>
        <w:ind w:left="0" w:right="0" w:hanging="0"/>
        <w:jc w:val="left"/>
        <w:rPr/>
      </w:pPr>
      <w:r>
        <w:rPr/>
        <w:t>A hollandok úgy vélik, hogy számos lehetőség van az európai gazdaság megerősítésére, de döntéseket kell hozni. Ezért hisszük, hogy az EU-nak mindenekelőtt az erősségeire kell összpontosítania. Úgy véljük például, hogy Európa jó</w:t>
      </w:r>
    </w:p>
    <w:p>
      <w:pPr>
        <w:pStyle w:val="P68B1DB1Normal104"/>
        <w:widowControl w:val="false"/>
        <w:spacing w:lineRule="auto" w:line="240"/>
        <w:ind w:left="0" w:right="0" w:hanging="0"/>
        <w:jc w:val="left"/>
        <w:rPr/>
      </w:pPr>
      <w:r>
        <w:rPr/>
        <w:t xml:space="preserve"> </w:t>
      </w:r>
      <w:r>
        <w:rPr/>
        <w:t xml:space="preserve">olyan területek, mint a digitális átállás, a fenntarthatóság és az infrastruktúra. És ami talán még fontosabb: megvédjük a minőséget és a sokszínűséget. Éppen a különböző véleményekkel és eszmékkel rendelkező kontinensünk sokszínűsége az, amit sokkal jobban ki kell használnunk, mint gazdasági előnyt. Ez lehetővé teszi Európa számára, hogy megkülönböztesse magát például a kínai gazdaságtól. </w:t>
      </w:r>
    </w:p>
    <w:p>
      <w:pPr>
        <w:pStyle w:val="P68B1DB1Normal111"/>
        <w:widowControl w:val="false"/>
        <w:spacing w:lineRule="auto" w:line="240" w:before="40" w:after="0"/>
        <w:ind w:left="0" w:right="0" w:hanging="0"/>
        <w:jc w:val="left"/>
        <w:rPr>
          <w:rFonts w:ascii="Calibri" w:hAnsi="Calibri"/>
          <w:b/>
          <w:b/>
          <w:color w:val="000000"/>
          <w:sz w:val="22"/>
        </w:rPr>
      </w:pPr>
      <w:r>
        <w:rPr/>
        <w:t xml:space="preserve">3. Méltányos és egyértelmű adórendszer kialakítása </w:t>
      </w:r>
    </w:p>
    <w:p>
      <w:pPr>
        <w:pStyle w:val="P68B1DB1Normal104"/>
        <w:widowControl w:val="false"/>
        <w:spacing w:lineRule="auto" w:line="240" w:before="95" w:after="0"/>
        <w:ind w:left="0" w:right="0" w:hanging="0"/>
        <w:jc w:val="left"/>
        <w:rPr/>
      </w:pPr>
      <w:r>
        <w:rPr/>
        <w:t xml:space="preserve">A hollandok 82%-a gondolja úgy, hogy az uniós országoknak együttesen biztosítaniuk kell, hogy minden uniós vállalat méltányos adót fizessen. Ez magában foglalja a nagyvállalatokat is. Manapság néha azért telepednek le más országokban, mert kevesebb adót fizetnek. Az EU-nak fel kell lépnie e jelenség ellen, például azáltal, hogy valamennyi országra vonatkozóan minimális adómértéket állapít meg. Másrészt úgy véljük, hogy az adózás olyan országok hatáskörébe tartozik, amelyeknek saját célkitűzéseik és összefüggéseik vannak. Úgy véljük, hogy az adózás általában összetett kérdés. Éppen ezért szeretnénk egy jobb adórendszert, amely mindenki számára tisztességes és világos Európában. </w:t>
      </w:r>
    </w:p>
    <w:p>
      <w:pPr>
        <w:pStyle w:val="P68B1DB1Normal113"/>
        <w:widowControl w:val="false"/>
        <w:spacing w:lineRule="auto" w:line="240" w:before="256" w:after="0"/>
        <w:ind w:left="0" w:right="0" w:hanging="0"/>
        <w:jc w:val="center"/>
        <w:rPr/>
      </w:pPr>
      <w:r>
        <w:rPr/>
        <w:t xml:space="preserve">Az uborkának mindenhol ugyanolyan alakúnak kell lennie, de az adószabályok eltérőek. Őrültség, ugye? </w:t>
      </w:r>
    </w:p>
    <w:p>
      <w:pPr>
        <w:pStyle w:val="P68B1DB1Normal111"/>
        <w:widowControl w:val="false"/>
        <w:spacing w:lineRule="auto" w:line="240" w:before="297" w:after="0"/>
        <w:ind w:left="0" w:right="0" w:hanging="0"/>
        <w:jc w:val="left"/>
        <w:rPr>
          <w:rFonts w:ascii="Calibri" w:hAnsi="Calibri"/>
          <w:b/>
          <w:b/>
          <w:color w:val="000000"/>
          <w:sz w:val="22"/>
        </w:rPr>
      </w:pPr>
      <w:r>
        <w:rPr/>
        <w:t xml:space="preserve">4. Biztosítsa, hogy mindenki részt vehessen </w:t>
      </w:r>
    </w:p>
    <w:p>
      <w:pPr>
        <w:pStyle w:val="P68B1DB1Normal104"/>
        <w:widowControl w:val="false"/>
        <w:spacing w:lineRule="auto" w:line="240" w:before="97" w:after="0"/>
        <w:ind w:left="0" w:right="0" w:hanging="0"/>
        <w:jc w:val="left"/>
        <w:rPr/>
      </w:pPr>
      <w:r>
        <w:rPr/>
        <w:t xml:space="preserve">A hollandok 71%-a úgy véli, hogy az EU-nak elő kell segítenie a foglalkoztatás fellendítését. E tekintetben úgy véljük, hogy különös figyelmet kell fordítani bizonyos csoportokra, például a fiatalokra és a munkaerőpiacról távol lévőkre. Ez történhet a vállalatokra vonatkozó szabályok vagy támogatások révén, de a munkáltatóknak és a munkavállalóknak nyújtott egyedi támogatás révén is. Például figyelemfelkeltő tevékenységekre vagy nagyon gyakorlati kérdésekre gondolunk. Lehetséges, hogy egyes esetekben az ilyen támogatás uniós szinten hatékonyabban szervezhető meg, más esetekben pedig inkább feladat, mint maguknak a tagállamoknak. Az uniós országoknak végső soron együtt kell működniük az esélyegyenlőség biztosítása érdekében az európai munkaerőpiacon. </w:t>
      </w:r>
    </w:p>
    <w:p>
      <w:pPr>
        <w:pStyle w:val="P68B1DB1Normal108"/>
        <w:widowControl w:val="false"/>
        <w:spacing w:lineRule="auto" w:line="240" w:before="40" w:after="0"/>
        <w:ind w:left="0" w:right="0" w:hanging="0"/>
        <w:jc w:val="left"/>
        <w:rPr>
          <w:rFonts w:ascii="Calibri" w:hAnsi="Calibri"/>
          <w:b/>
          <w:b/>
          <w:i/>
          <w:i/>
          <w:color w:val="000000"/>
          <w:sz w:val="24"/>
        </w:rPr>
      </w:pPr>
      <w:r>
        <w:rPr/>
        <w:t xml:space="preserve">Online és helyszíni megbeszélések és ötletek </w:t>
      </w:r>
    </w:p>
    <w:p>
      <w:pPr>
        <w:pStyle w:val="P68B1DB1Normal118"/>
        <w:widowControl w:val="false"/>
        <w:spacing w:lineRule="auto" w:line="240" w:before="115" w:after="0"/>
        <w:ind w:left="0" w:right="0" w:hanging="0"/>
        <w:jc w:val="left"/>
        <w:rPr>
          <w:rFonts w:ascii="Calibri" w:hAnsi="Calibri"/>
          <w:i/>
          <w:i/>
          <w:color w:val="000000"/>
          <w:sz w:val="21"/>
        </w:rPr>
      </w:pPr>
      <w:r>
        <w:rPr/>
        <w:t xml:space="preserve">Gyorsítsa fel az automatizálást Európában, hogy a jelenleg Kínából érkező árukat újra itt gyártsák. </w:t>
      </w:r>
    </w:p>
    <w:p>
      <w:pPr>
        <w:pStyle w:val="P68B1DB1Normal118"/>
        <w:widowControl w:val="false"/>
        <w:spacing w:lineRule="auto" w:line="240" w:before="85" w:after="0"/>
        <w:ind w:left="0" w:right="0" w:hanging="0"/>
        <w:jc w:val="left"/>
        <w:rPr/>
      </w:pPr>
      <w:r>
        <w:rPr/>
        <w:t xml:space="preserve">Vegyük komolyan a bitcoinok és más kriptovaluták forradalmát. Az érdeklődőket adócsalásnak tekintik, míg az ilyen típusú blokklánc technológia a jövő. </w:t>
      </w:r>
    </w:p>
    <w:p>
      <w:pPr>
        <w:pStyle w:val="P68B1DB1Normal118"/>
        <w:widowControl w:val="false"/>
        <w:spacing w:lineRule="auto" w:line="240" w:before="87" w:after="0"/>
        <w:ind w:left="0" w:right="0" w:hanging="0"/>
        <w:jc w:val="left"/>
        <w:rPr/>
      </w:pPr>
      <w:r>
        <w:rPr/>
        <w:t xml:space="preserve">Nem a részvényesek az európai gazdaság egyetlen szereplői. Munkavállalók nélkül semmi sem lehetséges.„”Európának többet kell tennie a fogyatékkal élőkért. Túl nehéz számukra, hogy ma megfelelő munkát találjanak. </w:t>
      </w:r>
    </w:p>
    <w:p>
      <w:pPr>
        <w:pStyle w:val="P68B1DB1Normal118"/>
        <w:widowControl w:val="false"/>
        <w:spacing w:lineRule="auto" w:line="240" w:before="85" w:after="0"/>
        <w:ind w:left="0" w:right="0" w:hanging="0"/>
        <w:jc w:val="left"/>
        <w:rPr/>
      </w:pPr>
      <w:r>
        <w:rPr/>
        <w:t xml:space="preserve">Számos európai szabály összetett és rendszeresen változik. Ezért a vállalatok számára nehéz az innováció. </w:t>
      </w:r>
    </w:p>
    <w:p>
      <w:pPr>
        <w:pStyle w:val="P68B1DB1Normal118"/>
        <w:widowControl w:val="false"/>
        <w:spacing w:lineRule="auto" w:line="240" w:before="85" w:after="0"/>
        <w:ind w:left="0" w:right="0" w:hanging="0"/>
        <w:jc w:val="both"/>
        <w:rPr/>
      </w:pPr>
      <w:r>
        <w:rPr/>
        <w:t xml:space="preserve">A cégemen belüli átalakítási munkák esetén a helyi vállalkozóm már rég elkezdhette volna. De először európai ajánlati felhívást kellett kiadnom. Ez szégyen. </w:t>
      </w:r>
    </w:p>
    <w:p>
      <w:pPr>
        <w:pStyle w:val="P68B1DB1Normal111"/>
        <w:widowControl w:val="false"/>
        <w:spacing w:lineRule="auto" w:line="240" w:before="85" w:after="0"/>
        <w:ind w:left="0" w:right="0" w:hanging="0"/>
        <w:jc w:val="both"/>
        <w:rPr>
          <w:rFonts w:ascii="Calibri" w:hAnsi="Calibri"/>
          <w:b/>
          <w:b/>
          <w:color w:val="000000"/>
          <w:sz w:val="22"/>
        </w:rPr>
      </w:pPr>
      <w:r>
        <w:rPr/>
        <w:t xml:space="preserve">Az online párbeszéd résztvevői: „Együtt gondolkodva a nagyvállalatok kérdéséről” </w:t>
      </w:r>
    </w:p>
    <w:p>
      <w:pPr>
        <w:pStyle w:val="P68B1DB1Normal104"/>
        <w:widowControl w:val="false"/>
        <w:spacing w:lineRule="auto" w:line="240" w:before="97" w:after="0"/>
        <w:ind w:left="0" w:right="0" w:hanging="0"/>
        <w:jc w:val="left"/>
        <w:rPr/>
      </w:pPr>
      <w:r>
        <w:rPr/>
        <w:t>Az egyik online tematikus párbeszéd során vita alakult ki a nagyvállalatok növekvő erejéről. Egyes résztvevők azt szeretnék, ha</w:t>
      </w:r>
      <w:r>
        <w:rPr/>
        <w:commentReference w:id="22"/>
      </w:r>
      <w:r>
        <w:rPr/>
        <w:t xml:space="preserve"> az EU határozottabban lépne fel e tekintetben. Sőt, egyes vállalatok néha jelentős nyereséget termelnek, amely után a kifinomult megoldásoknak köszönhetően kevés adót fizetnek. Más résztvevők azt kérték, hogy a dolgok egészét tekintsék meg: ezek a vállalatok magas szintű foglalkoztatást teremtenek, és a nemzetgazdaság javát szolgálják. Nem kéne üldöznöd őket mondta valaki. Egy másik résztvevő úgy érezte, hogy mindenképpen fontos, hogy az uniós országok közösen gondolkodjanak el erről a kérdésről. A nagyvállalatok jelenleg is versenyezhetnek az országok között. Ezért kell egységesebb uniós frontot mutatnunk. </w:t>
      </w:r>
    </w:p>
    <w:p>
      <w:pPr>
        <w:pStyle w:val="P68B1DB1Normal111"/>
        <w:widowControl w:val="false"/>
        <w:spacing w:lineRule="auto" w:line="240" w:before="97" w:after="0"/>
        <w:ind w:left="0" w:right="0" w:hanging="0"/>
        <w:jc w:val="left"/>
        <w:rPr>
          <w:rFonts w:ascii="Calibri" w:hAnsi="Calibri"/>
          <w:b/>
          <w:b/>
          <w:color w:val="000000"/>
          <w:sz w:val="22"/>
        </w:rPr>
      </w:pPr>
      <w:r>
        <w:rPr/>
        <w:t xml:space="preserve">Azok a mezőgazdasági termelők, akik figyelembe veszik a természetet: „Kvóták helyett célértékek megállapítása” </w:t>
      </w:r>
    </w:p>
    <w:p>
      <w:pPr>
        <w:pStyle w:val="P68B1DB1Normal104"/>
        <w:widowControl w:val="false"/>
        <w:spacing w:lineRule="auto" w:line="240" w:before="95" w:after="0"/>
        <w:ind w:left="0" w:right="0" w:hanging="0"/>
        <w:jc w:val="left"/>
        <w:rPr/>
      </w:pPr>
      <w:r>
        <w:rPr/>
        <w:t xml:space="preserve">A BoerenNatuur mezőgazdasági csoportok szövetsége. A tagok egy kis csoportja megvitatta többek között a mezőgazdasági termelőkre vonatkozó uniós szabályokat. Egyrészt úgy vélik, hogy az EU sok pozitív dolgot hoz, például a más országokba irányuló export megkönnyítését. Másrészt úgy vélik, hogy a politikák gyakran még egyértelműbbek is lehetnek. „De már most is egyre többen dolgoznak ugyanabba az irányba” – mondta valaki. Különösen lehetséges az eljárások javítása: ezek gyakran nagyon adminisztratív és időigényes. Az egyik résztvevő véleménye szerint a szabályok nem lehetnek túl részletesek. Az egyértelmű célokat részesíti előnyben, például a tiszta vizet. Ezután dönthetünk úgy, hogy az árok szélessége miatt döntünk. </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Normal"/>
        <w:widowControl w:val="false"/>
        <w:spacing w:lineRule="auto" w:line="240"/>
        <w:ind w:left="0" w:right="0" w:hanging="0"/>
        <w:jc w:val="left"/>
        <w:rPr>
          <w:rFonts w:ascii="Times New Roman" w:hAnsi="Times New Roman"/>
          <w:color w:val="000000"/>
          <w:sz w:val="24"/>
        </w:rPr>
      </w:pPr>
      <w:r>
        <w:rPr>
          <w:rFonts w:ascii="Times New Roman" w:hAnsi="Times New Roman"/>
          <w:color w:val="000000"/>
          <w:sz w:val="24"/>
        </w:rPr>
      </w:r>
      <w:r>
        <w:br w:type="page"/>
      </w:r>
    </w:p>
    <w:p>
      <w:pPr>
        <w:pStyle w:val="P68B1DB1Normal117"/>
        <w:widowControl w:val="false"/>
        <w:spacing w:lineRule="auto" w:line="240"/>
        <w:ind w:left="0" w:right="0" w:hanging="0"/>
        <w:jc w:val="left"/>
        <w:rPr>
          <w:rFonts w:ascii="Calibri" w:hAnsi="Calibri"/>
          <w:b/>
          <w:b/>
          <w:i/>
          <w:i/>
          <w:color w:val="000000"/>
          <w:sz w:val="28"/>
        </w:rPr>
      </w:pPr>
      <w:r>
        <w:rPr/>
        <w:t xml:space="preserve">Európai demokrácia </w:t>
      </w:r>
    </w:p>
    <w:p>
      <w:pPr>
        <w:pStyle w:val="P68B1DB1Normal104"/>
        <w:widowControl w:val="false"/>
        <w:spacing w:lineRule="auto" w:line="240"/>
        <w:ind w:left="0" w:right="0" w:hanging="0"/>
        <w:jc w:val="left"/>
        <w:rPr/>
      </w:pPr>
      <w:r>
        <w:rPr/>
        <w:t xml:space="preserve">Az EU arra ösztönzi az európaiakat, hogy szavazzanak, és be kívánja vonni őket az európai döntéshozatalba és politikákba a választási időszakon kívül. Az EU kezdeményezéseket is tesz a demokrácia megerősítésére, például a szabad és tisztességes választásokra és a sajtószabadságra összpontosító cselekvési terv kidolgozásával. Mit gondol erről Hollandia? </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P68B1DB1Normal108"/>
        <w:widowControl w:val="false"/>
        <w:spacing w:lineRule="auto" w:line="240" w:before="15" w:after="0"/>
        <w:ind w:left="0" w:right="0" w:hanging="0"/>
        <w:jc w:val="left"/>
        <w:rPr>
          <w:rFonts w:ascii="Calibri" w:hAnsi="Calibri"/>
          <w:b/>
          <w:b/>
          <w:i/>
          <w:i/>
          <w:color w:val="000000"/>
          <w:sz w:val="24"/>
        </w:rPr>
      </w:pPr>
      <w:r>
        <w:rPr/>
        <w:t xml:space="preserve">Ajánlások – jövőképünk az európai demokráciáról </w:t>
      </w:r>
    </w:p>
    <w:p>
      <w:pPr>
        <w:pStyle w:val="P68B1DB1Normal69"/>
        <w:widowControl w:val="false"/>
        <w:spacing w:lineRule="auto" w:line="240"/>
        <w:ind w:left="0" w:right="0" w:hanging="0"/>
        <w:jc w:val="left"/>
        <w:rPr/>
      </w:pPr>
      <w:r>
        <w:rPr/>
        <w:t xml:space="preserve">A hollandok 60%-a úgy véli, hogy az európai demokrácia fontos kérdés, és az EU-nak közbe kell lépnie ezen a területen. </w:t>
      </w:r>
    </w:p>
    <w:p>
      <w:pPr>
        <w:pStyle w:val="P68B1DB1Normal111"/>
        <w:widowControl w:val="false"/>
        <w:spacing w:lineRule="auto" w:line="240" w:before="13" w:after="0"/>
        <w:ind w:left="0" w:right="0" w:hanging="0"/>
        <w:jc w:val="left"/>
        <w:rPr>
          <w:rFonts w:ascii="Calibri" w:hAnsi="Calibri"/>
          <w:b/>
          <w:b/>
          <w:color w:val="000000"/>
          <w:sz w:val="22"/>
        </w:rPr>
      </w:pPr>
      <w:r>
        <w:rPr/>
        <w:t xml:space="preserve">1. Jobb áttekintés Európáról </w:t>
      </w:r>
    </w:p>
    <w:p>
      <w:pPr>
        <w:pStyle w:val="P68B1DB1Normal104"/>
        <w:widowControl w:val="false"/>
        <w:spacing w:lineRule="auto" w:line="240"/>
        <w:ind w:left="0" w:right="0" w:hanging="0"/>
        <w:jc w:val="left"/>
        <w:rPr/>
      </w:pPr>
      <w:r>
        <w:rPr/>
        <w:t xml:space="preserve">A hollandok rámutatnak arra, hogy Európa gyakran válság esetén jelenik meg a médiában. Ugyanakkor kevés információnk van a napi döntésekről. Polgárként nem kell mindent tudnunk, de ahhoz, hogy jó véleményt alkossunk, jó lenne jobb áttekintést adni. Érdekes lenne például gyakrabban hallani más országok véleményét az EU-ról. A média és az oktatás fontos szerepet játszhat e tekintetben. A médiának továbbra is képesnek kell lennie arra, hogy saját döntéseket hozzon. Mert a hollandok úgy vélik, hogy a sajtószabadság nagyon fontos a demokráciánkban. </w:t>
      </w:r>
    </w:p>
    <w:p>
      <w:pPr>
        <w:pStyle w:val="P68B1DB1Normal113"/>
        <w:widowControl w:val="false"/>
        <w:spacing w:lineRule="auto" w:line="240" w:before="184" w:after="0"/>
        <w:ind w:left="0" w:right="0" w:hanging="0"/>
        <w:jc w:val="center"/>
        <w:rPr/>
      </w:pPr>
      <w:r>
        <w:rPr/>
        <w:t>„</w:t>
      </w:r>
      <w:r>
        <w:rPr/>
        <w:t xml:space="preserve">Az esetek többségében csak válság esetén hallunk az EU-ról. Ez az oka annak, hogy az Európával kapcsolatos érzelmek továbbra is negatívak. </w:t>
      </w:r>
    </w:p>
    <w:p>
      <w:pPr>
        <w:pStyle w:val="P68B1DB1Normal111"/>
        <w:widowControl w:val="false"/>
        <w:spacing w:lineRule="auto" w:line="240" w:before="153" w:after="0"/>
        <w:ind w:left="0" w:right="0" w:hanging="0"/>
        <w:jc w:val="left"/>
        <w:rPr>
          <w:rFonts w:ascii="Calibri" w:hAnsi="Calibri"/>
          <w:b/>
          <w:b/>
          <w:color w:val="000000"/>
          <w:sz w:val="22"/>
        </w:rPr>
      </w:pPr>
      <w:r>
        <w:rPr/>
        <w:t xml:space="preserve">2. Új módszerek a polgárok folyamatos figyelésére </w:t>
      </w:r>
    </w:p>
    <w:p>
      <w:pPr>
        <w:pStyle w:val="P68B1DB1Normal104"/>
        <w:widowControl w:val="false"/>
        <w:spacing w:lineRule="auto" w:line="240"/>
        <w:ind w:left="0" w:right="0" w:hanging="0"/>
        <w:jc w:val="left"/>
        <w:rPr/>
      </w:pPr>
      <w:r>
        <w:rPr/>
        <w:t xml:space="preserve">A hollandok 51%-a úgy véli, hogy az EU nincs kellően tisztában azzal, hogy mi történik a társadalomban. E helyzet javítása érdekében az EU-nak gyakrabban – lehetőleg állandó jelleggel – párbeszédet kell folytatnia a polgárokkal. Sok holland ezért úgy véli, hogy az Európa jövőjéről szóló konferencia jó kezdeményezés. A népszavazások is értékes eszköznek bizonyulhatnak, de a hollandoknak eltérő véleményük van erről. Bizonyos témákban néha speciális ismeretekre is szükség van. Mindenesetre a polgárokkal való beszélgetés nem lehet pusztán formalitás. Fontosnak tartjuk, hogy komolyan vegyenek minket. </w:t>
      </w:r>
    </w:p>
    <w:p>
      <w:pPr>
        <w:pStyle w:val="P68B1DB1Normal111"/>
        <w:widowControl w:val="false"/>
        <w:spacing w:lineRule="auto" w:line="240" w:before="21" w:after="0"/>
        <w:ind w:left="0" w:right="0" w:hanging="0"/>
        <w:jc w:val="left"/>
        <w:rPr>
          <w:rFonts w:ascii="Calibri" w:hAnsi="Calibri"/>
          <w:b/>
          <w:b/>
          <w:color w:val="000000"/>
          <w:sz w:val="22"/>
        </w:rPr>
      </w:pPr>
      <w:r>
        <w:rPr/>
        <w:t xml:space="preserve">3. A meghozott határozatok átláthatóságának és egyértelműségének növelése </w:t>
      </w:r>
    </w:p>
    <w:p>
      <w:pPr>
        <w:pStyle w:val="P68B1DB1Normal104"/>
        <w:widowControl w:val="false"/>
        <w:spacing w:lineRule="auto" w:line="240"/>
        <w:ind w:left="0" w:right="0" w:hanging="0"/>
        <w:jc w:val="left"/>
        <w:rPr/>
      </w:pPr>
      <w:r>
        <w:rPr/>
        <w:t xml:space="preserve">A hollandok néha elég bonyolultnak találják Európát. Nem mindenki rendelkezik azonos szintű alapismerettel. Az EU-nak ezt jobban figyelembe kell vennie. Azt akarjuk, hogy az EU átláthatóbbá váljon, és megkönnyítse a naprakészen tartást. E tekintetben a holland hatóságoknak is szerepet kell játszaniuk. Sok holland érdeklődik az európai döntések iránt, de úgy érzi, hogy a hivatalos csatornákat túl nehéz megtalálni vagy túl bonyolult. Ráadásul mindenkinek különböző érdekei és igényei vannak. Ezért szükséges lenne, hogy megválaszthassuk azokat a témákat, amelyekről többet szeretnénk megtudni. A fiatalok gyakran érdeklődnek Európa iránt, de például a közösségi hálóikon kevés információt látnak róla. </w:t>
      </w:r>
    </w:p>
    <w:p>
      <w:pPr>
        <w:pStyle w:val="P68B1DB1Normal113"/>
        <w:widowControl w:val="false"/>
        <w:spacing w:lineRule="auto" w:line="240" w:before="184" w:after="0"/>
        <w:ind w:left="0" w:right="0" w:hanging="0"/>
        <w:jc w:val="center"/>
        <w:rPr/>
      </w:pPr>
      <w:r>
        <w:rPr/>
        <w:t xml:space="preserve">Amikor nyaraltam Magyarországon, láttam egy nagy táblát egy új erdőültetvény közelében, amely így szólt: „Ez az ültetvény az EU-nak köszönhetően lehetséges volt.” Bár szkeptikus vagyok Európával kapcsolatban, még mindig büszke voltam rá. </w:t>
      </w:r>
    </w:p>
    <w:p>
      <w:pPr>
        <w:pStyle w:val="P68B1DB1Normal19"/>
        <w:widowControl w:val="false"/>
        <w:spacing w:lineRule="auto" w:line="240" w:before="155" w:after="0"/>
        <w:ind w:left="0" w:right="0" w:hanging="0"/>
        <w:jc w:val="left"/>
        <w:rPr>
          <w:rFonts w:ascii="Times New Roman" w:hAnsi="Times New Roman"/>
          <w:color w:val="000000"/>
          <w:sz w:val="24"/>
        </w:rPr>
      </w:pPr>
      <w:r>
        <w:rPr/>
        <w:t xml:space="preserve"> </w:t>
      </w:r>
    </w:p>
    <w:p>
      <w:pPr>
        <w:pStyle w:val="P68B1DB1Normal111"/>
        <w:widowControl w:val="false"/>
        <w:spacing w:lineRule="auto" w:line="240" w:before="172" w:after="0"/>
        <w:ind w:left="0" w:right="0" w:hanging="0"/>
        <w:jc w:val="left"/>
        <w:rPr>
          <w:rFonts w:ascii="Calibri" w:hAnsi="Calibri"/>
          <w:b/>
          <w:b/>
          <w:color w:val="000000"/>
          <w:sz w:val="22"/>
        </w:rPr>
      </w:pPr>
      <w:r>
        <w:rPr/>
        <w:t xml:space="preserve">4. Annak biztosítása, hogy a súlyos problémák gyorsabban megoldhatók legyenek </w:t>
      </w:r>
    </w:p>
    <w:p>
      <w:pPr>
        <w:pStyle w:val="P68B1DB1Normal104"/>
        <w:widowControl w:val="false"/>
        <w:spacing w:lineRule="auto" w:line="240"/>
        <w:ind w:left="0" w:right="0" w:hanging="0"/>
        <w:jc w:val="left"/>
        <w:rPr/>
      </w:pPr>
      <w:r>
        <w:rPr/>
        <w:t>A hollandok nehezen értik meg, hogyan működik az európai demokrácia, de számukra úgy tűnik, hogy az EU-ban a döntéshozatal gyakran nagyon lassú. Az európai választásokon mindenekelőtt a</w:t>
      </w:r>
      <w:r>
        <w:rPr/>
        <w:commentReference w:id="23"/>
      </w:r>
      <w:r>
        <w:rPr/>
        <w:t xml:space="preserve"> nemzeti pártok közötti szövetségeket látjuk. Az európai érdekek kezelésének más módjai is lehetnek. A hollandok egyharmada úgy véli, hogy az európai parlamenti választásokon lehetővé kell tenni, hogy külföldi jelöltekre szavazzanak. Nagyjából ugyanennyi polgár gondolja úgy, hogy ez nem lehetséges. A legfontosabb az, hogy a szóban forgó különböző érdekeket megfelelően figyelembe vegyék. Ugyanakkor a nehéz kérdéseket gyorsabban lehet megoldani, mint ma. </w:t>
      </w:r>
    </w:p>
    <w:p>
      <w:pPr>
        <w:pStyle w:val="P68B1DB1Normal113"/>
        <w:widowControl w:val="false"/>
        <w:spacing w:lineRule="auto" w:line="240" w:before="201" w:after="0"/>
        <w:ind w:left="0" w:right="0" w:hanging="0"/>
        <w:jc w:val="center"/>
        <w:rPr/>
      </w:pPr>
      <w:r>
        <w:rPr/>
        <w:t xml:space="preserve">A választásokon azt kívánom, bárcsak azonosulnék valakivel, és tudnám, mit véd. Nem feltétlenül kell honfitársnak lenni. </w:t>
      </w:r>
    </w:p>
    <w:p>
      <w:pPr>
        <w:pStyle w:val="P68B1DB1Normal108"/>
        <w:widowControl w:val="false"/>
        <w:spacing w:lineRule="auto" w:line="240" w:before="171" w:after="0"/>
        <w:ind w:left="0" w:right="0" w:hanging="0"/>
        <w:jc w:val="left"/>
        <w:rPr>
          <w:rFonts w:ascii="Calibri" w:hAnsi="Calibri"/>
          <w:b/>
          <w:b/>
          <w:i/>
          <w:i/>
          <w:color w:val="000000"/>
          <w:sz w:val="24"/>
        </w:rPr>
      </w:pPr>
      <w:r>
        <w:rPr/>
        <w:t xml:space="preserve">Online és helyszíni megbeszélések és ötletek </w:t>
      </w:r>
    </w:p>
    <w:p>
      <w:pPr>
        <w:pStyle w:val="P68B1DB1Normal118"/>
        <w:widowControl w:val="false"/>
        <w:spacing w:lineRule="auto" w:line="240" w:before="3" w:after="0"/>
        <w:ind w:left="0" w:right="0" w:hanging="0"/>
        <w:jc w:val="left"/>
        <w:rPr>
          <w:rFonts w:ascii="Calibri" w:hAnsi="Calibri"/>
          <w:i/>
          <w:i/>
          <w:color w:val="000000"/>
          <w:sz w:val="21"/>
        </w:rPr>
      </w:pPr>
      <w:r>
        <w:rPr/>
        <w:t xml:space="preserve">Meg kell szüntetni az országok vétójogát. A többségnek döntenie kell. </w:t>
      </w:r>
    </w:p>
    <w:p>
      <w:pPr>
        <w:pStyle w:val="Normal"/>
        <w:widowControl w:val="false"/>
        <w:spacing w:lineRule="auto" w:line="240" w:before="85" w:after="0"/>
        <w:ind w:left="0" w:right="0" w:hanging="0"/>
        <w:jc w:val="left"/>
        <w:rPr/>
      </w:pPr>
      <w:r>
        <w:rPr>
          <w:rFonts w:ascii="Calibri" w:hAnsi="Calibri"/>
          <w:i/>
          <w:color w:val="000000"/>
          <w:sz w:val="21"/>
        </w:rPr>
        <w:t xml:space="preserve">A fontos döntésekhez hozzanak létre vitacsoportokat, </w:t>
      </w:r>
      <w:r>
        <w:rPr>
          <w:rFonts w:ascii="Calibri" w:hAnsi="Calibri"/>
          <w:i/>
          <w:color w:val="000000"/>
          <w:sz w:val="21"/>
        </w:rPr>
        <w:commentReference w:id="24"/>
      </w:r>
      <w:r>
        <w:rPr>
          <w:rFonts w:ascii="Calibri" w:hAnsi="Calibri"/>
          <w:i/>
          <w:color w:val="000000"/>
          <w:sz w:val="21"/>
        </w:rPr>
        <w:t>amelyek a polgárokból állnak, esetleg (félig) kötelező alapon, mint az egyesült államokbeli zsűrik esetében.</w:t>
      </w:r>
    </w:p>
    <w:p>
      <w:pPr>
        <w:pStyle w:val="P68B1DB1Normal118"/>
        <w:widowControl w:val="false"/>
        <w:spacing w:lineRule="auto" w:line="240" w:before="85" w:after="0"/>
        <w:ind w:left="0" w:right="0" w:hanging="0"/>
        <w:jc w:val="left"/>
        <w:rPr/>
      </w:pPr>
      <w:r>
        <w:rPr/>
        <w:t>„</w:t>
      </w:r>
      <w:r>
        <w:rPr/>
        <w:t xml:space="preserve">Biztosítani kell, hogy az uniós politikusok és tisztviselők rendszeresen látogassák meg a hátországot”, és ne maradjanak teljesen a brüsszeli buborékban. </w:t>
      </w:r>
    </w:p>
    <w:p>
      <w:pPr>
        <w:pStyle w:val="P68B1DB1Normal118"/>
        <w:widowControl w:val="false"/>
        <w:spacing w:lineRule="auto" w:line="240" w:before="85" w:after="0"/>
        <w:ind w:left="0" w:right="0" w:hanging="0"/>
        <w:jc w:val="left"/>
        <w:rPr/>
      </w:pPr>
      <w:r>
        <w:rPr/>
        <w:t xml:space="preserve">AZ ÖTLET: Valójában a televíziós híreknek néhány percet kellene szentelniük Európának minden egyes kiadásában. Vagy közzétehetnénk egy napi vagy hetilapot, amely Európáról szól. </w:t>
      </w:r>
    </w:p>
    <w:p>
      <w:pPr>
        <w:pStyle w:val="P68B1DB1Normal118"/>
        <w:widowControl w:val="false"/>
        <w:spacing w:lineRule="auto" w:line="240" w:before="85" w:after="0"/>
        <w:ind w:left="0" w:right="0" w:hanging="0"/>
        <w:jc w:val="left"/>
        <w:rPr/>
      </w:pPr>
      <w:r>
        <w:rPr/>
        <w:t xml:space="preserve">AZ ÖTLET: Talán az európai politikusoknak gyakrabban kellene részt venniük a televíziós műsorokban. </w:t>
      </w:r>
    </w:p>
    <w:p>
      <w:pPr>
        <w:pStyle w:val="P68B1DB1Normal118"/>
        <w:widowControl w:val="false"/>
        <w:spacing w:lineRule="auto" w:line="240" w:before="85" w:after="0"/>
        <w:ind w:left="0" w:right="0" w:hanging="0"/>
        <w:jc w:val="left"/>
        <w:rPr/>
      </w:pPr>
      <w:r>
        <w:rPr/>
        <w:t xml:space="preserve">Fiatalként szinte soha nem olvastam Európáról. Azonban kíváncsi vagyok, hogy többet tud, de anélkül, hogy túl sok erőfeszítést, hogy információt szerezzen. </w:t>
      </w:r>
    </w:p>
    <w:p>
      <w:pPr>
        <w:pStyle w:val="P68B1DB1Normal111"/>
        <w:widowControl w:val="false"/>
        <w:spacing w:lineRule="auto" w:line="240" w:before="84" w:after="0"/>
        <w:ind w:left="0" w:right="0" w:hanging="0"/>
        <w:jc w:val="left"/>
        <w:rPr>
          <w:rFonts w:ascii="Calibri" w:hAnsi="Calibri"/>
          <w:b/>
          <w:b/>
          <w:color w:val="000000"/>
          <w:sz w:val="22"/>
        </w:rPr>
      </w:pPr>
      <w:r>
        <w:rPr/>
        <w:t xml:space="preserve">Az utrechti Coalitie-Y fiatal tagjai: vita a népszavazások használatáról </w:t>
      </w:r>
    </w:p>
    <w:p>
      <w:pPr>
        <w:pStyle w:val="P68B1DB1Normal104"/>
        <w:widowControl w:val="false"/>
        <w:spacing w:lineRule="auto" w:line="240"/>
        <w:ind w:left="0" w:right="0" w:hanging="0"/>
        <w:jc w:val="left"/>
        <w:rPr/>
      </w:pPr>
      <w:r>
        <w:rPr/>
        <w:t xml:space="preserve">A Coalitie-Y tagjai – a különböző ifjúsági szervezetek együttműködése – élénk vitát folytattak a népszavazások használatáról. Az ellenfelek megemlítették annak a kockázatát, hogy vitákat folytatnak, ahol minden fekete vagy fehér, míg a témák gyakran sokkal összetettebbek. Az egyik résztvevő kijelentette továbbá: Szavazhatunk az EU-ra, és indulhatunk jelöltként. A népszavazások valójában aláássák ezt az elvet." A népszavazás támogatói azt mondták, hasznosnak tartják a politikai döntéshozók számára, hogy tudják, mit gondolnak a polgárok egy adott témáról: ez segíthet útmutatást adni. A népszavazások segíthetnek felhívni a közvélemény figyelmét az EU egészére: milyen témák szerepelnek a napirenden, és milyen döntéseket kell hozni? </w:t>
      </w:r>
    </w:p>
    <w:p>
      <w:pPr>
        <w:pStyle w:val="P68B1DB1Normal111"/>
        <w:widowControl w:val="false"/>
        <w:spacing w:lineRule="auto" w:line="240" w:before="38" w:after="0"/>
        <w:ind w:left="0" w:right="0" w:hanging="0"/>
        <w:jc w:val="left"/>
        <w:rPr>
          <w:rFonts w:ascii="Calibri" w:hAnsi="Calibri"/>
          <w:b/>
          <w:b/>
          <w:color w:val="000000"/>
          <w:sz w:val="22"/>
        </w:rPr>
      </w:pPr>
      <w:r>
        <w:rPr/>
        <w:t xml:space="preserve">Szociális önkéntesek: Jobb kölcsönös megértésre van szükség az országok között. </w:t>
      </w:r>
    </w:p>
    <w:p>
      <w:pPr>
        <w:pStyle w:val="Normal"/>
        <w:widowControl w:val="false"/>
        <w:spacing w:lineRule="auto" w:line="240"/>
        <w:ind w:left="0" w:right="0" w:hanging="0"/>
        <w:jc w:val="left"/>
        <w:rPr/>
      </w:pPr>
      <w:r>
        <w:rPr>
          <w:rFonts w:ascii="Calibri" w:hAnsi="Calibri"/>
          <w:color w:val="000000"/>
          <w:sz w:val="21"/>
        </w:rPr>
        <w:t xml:space="preserve">A Zoetermeer-i Piëzo Alapítvány önkéntesekből áll, akik különböző módokon tevékenykednek a társadalmi részvétel területén. A tematikus párbeszéd résztvevői aggodalmuknak adtak hangot a növekvő európai szakadék miatt. Ezek például az országok nézetei az LMBTIQ-közösségről. Ha az országok nem értik nézeteiket, nehéz együttműködni. „Ezért elengedhetetlen, hogy jobban megismerjük egymást” – mondta az egyik résztvevő. Ma már nem tudjuk, mit gondolnak az emberek más országokban. Nem értjük eléggé országaink kultúráját és kontextusát. Ez elengedhetetlen, ha együtt akarunk jó döntéseket hozni. </w:t>
      </w:r>
      <w:r>
        <w:br w:type="page"/>
      </w:r>
    </w:p>
    <w:p>
      <w:pPr>
        <w:pStyle w:val="P68B1DB1Normal117"/>
        <w:spacing w:lineRule="auto" w:line="240"/>
        <w:ind w:left="0" w:right="0" w:hanging="0"/>
        <w:rPr>
          <w:rFonts w:ascii="Calibri" w:hAnsi="Calibri"/>
          <w:b/>
          <w:b/>
          <w:i/>
          <w:i/>
          <w:color w:val="000000"/>
          <w:sz w:val="28"/>
        </w:rPr>
      </w:pPr>
      <w:r>
        <w:rPr/>
        <w:t xml:space="preserve">Digitális transzformáció </w:t>
      </w:r>
    </w:p>
    <w:p>
      <w:pPr>
        <w:pStyle w:val="P68B1DB1Normal104"/>
        <w:widowControl w:val="false"/>
        <w:spacing w:lineRule="auto" w:line="240" w:before="62" w:after="0"/>
        <w:ind w:left="0" w:right="0" w:hanging="0"/>
        <w:jc w:val="left"/>
        <w:rPr/>
      </w:pPr>
      <w:r>
        <w:rPr/>
        <w:t xml:space="preserve">A virtuális világban növekszik az internetkapcsolatra, a biztonságra és a magánélet védelmére vonatkozó követelmények. Az EU felelősnek érzi magát e tekintetben, és elkötelezett annak biztosítása mellett, hogy senki ne maradjon le a digitális társadalomban. Emellett az EU beruház a társadalmi kihívások digitális megoldásába. Mit gondol erről Hollandia? </w:t>
      </w:r>
    </w:p>
    <w:p>
      <w:pPr>
        <w:pStyle w:val="P68B1DB1Normal108"/>
        <w:widowControl w:val="false"/>
        <w:spacing w:lineRule="auto" w:line="240" w:before="57" w:after="0"/>
        <w:ind w:left="0" w:right="0" w:hanging="0"/>
        <w:jc w:val="left"/>
        <w:rPr>
          <w:rFonts w:ascii="Calibri" w:hAnsi="Calibri"/>
          <w:b/>
          <w:b/>
          <w:i/>
          <w:i/>
          <w:color w:val="000000"/>
          <w:sz w:val="24"/>
        </w:rPr>
      </w:pPr>
      <w:r>
        <w:rPr/>
        <w:t xml:space="preserve">Ajánlások – Virtuális világnézetünk </w:t>
      </w:r>
    </w:p>
    <w:p>
      <w:pPr>
        <w:pStyle w:val="P68B1DB1Normal69"/>
        <w:widowControl w:val="false"/>
        <w:spacing w:lineRule="auto" w:line="240" w:before="65" w:after="0"/>
        <w:ind w:left="0" w:right="0" w:hanging="0"/>
        <w:jc w:val="left"/>
        <w:rPr/>
      </w:pPr>
      <w:r>
        <w:rPr/>
        <w:t xml:space="preserve">A hollandok 45%-a véli úgy, hogy a virtuális világ fontos téma, és az EU-nak közbe kell lépnie ezen a területen. </w:t>
      </w:r>
    </w:p>
    <w:p>
      <w:pPr>
        <w:pStyle w:val="P68B1DB1Normal111"/>
        <w:widowControl w:val="false"/>
        <w:spacing w:lineRule="auto" w:line="240" w:before="47" w:after="0"/>
        <w:ind w:left="0" w:right="0" w:hanging="0"/>
        <w:jc w:val="left"/>
        <w:rPr>
          <w:rFonts w:ascii="Calibri" w:hAnsi="Calibri"/>
          <w:b/>
          <w:b/>
          <w:color w:val="000000"/>
          <w:sz w:val="22"/>
        </w:rPr>
      </w:pPr>
      <w:r>
        <w:rPr/>
        <w:t xml:space="preserve">1. Gyors, biztonságos és stabil internet biztosítása mindenhol </w:t>
      </w:r>
    </w:p>
    <w:p>
      <w:pPr>
        <w:pStyle w:val="P68B1DB1Normal104"/>
        <w:widowControl w:val="false"/>
        <w:spacing w:lineRule="auto" w:line="240" w:before="49" w:after="0"/>
        <w:ind w:left="0" w:right="0" w:hanging="0"/>
        <w:jc w:val="left"/>
        <w:rPr/>
      </w:pPr>
      <w:r>
        <w:rPr/>
        <w:t xml:space="preserve">A hollandok 61%-a gondolja úgy, hogy az EU-nak biztosítania kell, hogy Európában mindenki hozzáférjen a gyors és stabil internethez. Mindannyian látjuk, hogy az internet egyre fontosabb szerepet játszik az életünkben. Gyermekeink digitális oktatásban nőnek fel. A kommunikáció egyre inkább terjed az interneten, mind nemzeti, mind nemzetközi szinten. Néha aggódunk az internettől való nagyfokú függőség miatt. Sok holland ezért úgy véli, hogy az EU a legalkalmasabb arra, hogy forrásokat fordítson rá, feltéve, hogy azokat hatékonyan használják fel. Véleményünk szerint az online bűnözés elleni védelem a legfontosabb, amelyet európai szinten kell kezelni. Ugyanakkor figyelmet kell fordítani az internetes bűnözés elleni nemzeti szintű küzdelemre is. </w:t>
      </w:r>
    </w:p>
    <w:p>
      <w:pPr>
        <w:pStyle w:val="P68B1DB1Normal113"/>
        <w:widowControl w:val="false"/>
        <w:spacing w:lineRule="auto" w:line="240" w:before="54" w:after="0"/>
        <w:ind w:left="0" w:right="0" w:hanging="0"/>
        <w:jc w:val="center"/>
        <w:rPr/>
      </w:pPr>
      <w:r>
        <w:rPr/>
        <w:t xml:space="preserve">A vízvédelmi rendszerünk elleni kibertámadás gondolata sebezhetővé tesz. </w:t>
      </w:r>
    </w:p>
    <w:p>
      <w:pPr>
        <w:pStyle w:val="P68B1DB1Normal111"/>
        <w:widowControl w:val="false"/>
        <w:spacing w:lineRule="auto" w:line="240" w:before="71" w:after="0"/>
        <w:ind w:left="0" w:right="0" w:hanging="0"/>
        <w:jc w:val="left"/>
        <w:rPr>
          <w:rFonts w:ascii="Calibri" w:hAnsi="Calibri"/>
          <w:b/>
          <w:b/>
          <w:color w:val="000000"/>
          <w:sz w:val="22"/>
        </w:rPr>
      </w:pPr>
      <w:r>
        <w:rPr/>
        <w:t xml:space="preserve">2. Egyértelmű szabályok és normák meghatározása az internetes vállalkozások számára </w:t>
      </w:r>
    </w:p>
    <w:p>
      <w:pPr>
        <w:pStyle w:val="P68B1DB1Normal104"/>
        <w:widowControl w:val="false"/>
        <w:spacing w:lineRule="auto" w:line="240" w:before="49" w:after="0"/>
        <w:ind w:left="0" w:right="0" w:hanging="0"/>
        <w:jc w:val="left"/>
        <w:rPr/>
      </w:pPr>
      <w:r>
        <w:rPr/>
        <w:t xml:space="preserve">A hollandok 75%-a úgy véli, hogy az EU-nak biztosítania kell, hogy az online vásárlások minden uniós országban azonos szintű biztonság mellett történjenek. Egyre többet vásárolunk külföldön, és így osztjuk meg az érzékeny személyes adatokat. Ez néha veszélyesnek tűnik. Nehéz meghatározni, hogy mely weboldalak megbízhatóak. Jó, hogy az EU olyan európai adatvédelmi szabályokat és normákat dolgoz ki, amelyeket mindenki megérthet. A nagy internetes cégek ereje is rendszeres aggodalomra ad okot. Úgy véljük, hogy a mi felelősségünk, hogy körültekintően használjuk fel adatainkat. Úgy véljük azonban, hogy az EU szerepet játszhat e tekintetben. Az uniós országoknak együtt kell működniük annak érdekében, hogy az olyan vállalatok, mint a Google és a Facebook, ne legyenek túl nagy hatalommal. </w:t>
      </w:r>
    </w:p>
    <w:p>
      <w:pPr>
        <w:pStyle w:val="P68B1DB1Normal113"/>
        <w:widowControl w:val="false"/>
        <w:spacing w:lineRule="auto" w:line="240" w:before="54" w:after="0"/>
        <w:ind w:left="0" w:right="0" w:hanging="0"/>
        <w:jc w:val="center"/>
        <w:rPr/>
      </w:pPr>
      <w:r>
        <w:rPr/>
        <w:t xml:space="preserve">Egy olyan globális szereplővel szemben, mint a Facebook, viszonylag szegények vagyunk, mint egy kis ország. </w:t>
      </w:r>
    </w:p>
    <w:p>
      <w:pPr>
        <w:pStyle w:val="P68B1DB1Normal111"/>
        <w:widowControl w:val="false"/>
        <w:spacing w:lineRule="auto" w:line="240" w:before="71" w:after="0"/>
        <w:ind w:left="0" w:right="0" w:hanging="0"/>
        <w:jc w:val="left"/>
        <w:rPr/>
      </w:pPr>
      <w:r>
        <w:rPr/>
        <w:t xml:space="preserve">3. Végrehajtási és gyakorlati magyarázatok hozzáadása az adatvédelmi szabályokhoz </w:t>
      </w:r>
    </w:p>
    <w:p>
      <w:pPr>
        <w:pStyle w:val="Normal"/>
        <w:widowControl w:val="false"/>
        <w:spacing w:lineRule="auto" w:line="240" w:before="49" w:after="0"/>
        <w:ind w:left="0" w:right="0" w:hanging="0"/>
        <w:jc w:val="left"/>
        <w:rPr/>
      </w:pPr>
      <w:r>
        <w:rPr>
          <w:rFonts w:ascii="Calibri" w:hAnsi="Calibri"/>
          <w:color w:val="000000"/>
          <w:sz w:val="21"/>
        </w:rPr>
        <w:t xml:space="preserve">Az általános adatvédelmi rendelet (GDPR) bevezetésével a hollandok tudják, hogy minden országnak ugyanazokat az adatvédelmi törvényeket és rendeleteket kell betartania. Úgy gondoljuk, hogy jó, hogy számíthatunk erre, mert a magánélet fontos kérdés. Néhány holland azonban úgy véli, hogy az adatvédelmi szabályok néha túlzóak vagy logikátlanok. Emellett ez a jogszabály sok munkát eredményezhet a vállalkozók számára. Ezért úgy véljük, hogy nagyobb figyelmet kell fordítani az adatvédelmi jogszabályok gyakorlati végrehajtására: támogatás és tájékoztatás mind a polgárok, mind a vállalkozások számára. Különösen úgy véljük, hogy a tagállamoknak szerepet kell játszaniuk. Az adatvédelmi kérdéseket vagy kérdéseket a nemzeti hatóságok a legjobban a saját nyelvünkön kezelik. </w:t>
      </w:r>
      <w:r>
        <w:br w:type="page"/>
      </w:r>
    </w:p>
    <w:p>
      <w:pPr>
        <w:pStyle w:val="P68B1DB1Normal108"/>
        <w:spacing w:lineRule="auto" w:line="240"/>
        <w:ind w:left="0" w:right="0" w:hanging="0"/>
        <w:rPr>
          <w:rFonts w:ascii="Calibri" w:hAnsi="Calibri"/>
          <w:b/>
          <w:b/>
          <w:i/>
          <w:i/>
          <w:color w:val="000000"/>
          <w:sz w:val="24"/>
        </w:rPr>
      </w:pPr>
      <w:r>
        <w:rPr/>
        <w:t xml:space="preserve">Online és helyszíni megbeszélések és ötletek </w:t>
      </w:r>
    </w:p>
    <w:p>
      <w:pPr>
        <w:pStyle w:val="P68B1DB1Normal118"/>
        <w:widowControl w:val="false"/>
        <w:spacing w:lineRule="auto" w:line="240" w:before="120" w:after="0"/>
        <w:ind w:left="0" w:right="889" w:hanging="0"/>
        <w:jc w:val="left"/>
        <w:rPr/>
      </w:pPr>
      <w:r>
        <w:rPr/>
        <w:t xml:space="preserve">AZ ÖTLET: Szigorúbb kritériumok meghatározása a programozók és a vállalkozások számára a veszélyes programozási nyelvek betiltásával. </w:t>
      </w:r>
    </w:p>
    <w:p>
      <w:pPr>
        <w:pStyle w:val="P68B1DB1Normal118"/>
        <w:widowControl w:val="false"/>
        <w:spacing w:lineRule="auto" w:line="240" w:before="87" w:after="0"/>
        <w:ind w:left="0" w:right="0" w:hanging="0"/>
        <w:jc w:val="left"/>
        <w:rPr>
          <w:rFonts w:ascii="Calibri" w:hAnsi="Calibri"/>
          <w:i/>
          <w:i/>
          <w:color w:val="000000"/>
          <w:sz w:val="21"/>
        </w:rPr>
      </w:pPr>
      <w:r>
        <w:rPr/>
        <w:t xml:space="preserve">Javaslatot tesz egy ingyenes európai víruskereső szoftver létrehozására egy európai tűzfal létrehozására. </w:t>
      </w:r>
    </w:p>
    <w:p>
      <w:pPr>
        <w:pStyle w:val="P68B1DB1Normal118"/>
        <w:widowControl w:val="false"/>
        <w:spacing w:lineRule="auto" w:line="240" w:before="85" w:after="0"/>
        <w:ind w:left="0" w:right="42" w:hanging="0"/>
        <w:jc w:val="left"/>
        <w:rPr/>
      </w:pPr>
      <w:r>
        <w:rPr/>
        <w:t xml:space="preserve">Amikor átlépem a határt Németországba, hirtelen már nincs hálózatom a mobiltelefonomon. Nem kellene többé megtörténnie, ugye? </w:t>
      </w:r>
    </w:p>
    <w:p>
      <w:pPr>
        <w:pStyle w:val="P68B1DB1Normal118"/>
        <w:widowControl w:val="false"/>
        <w:spacing w:lineRule="auto" w:line="240" w:before="85" w:after="0"/>
        <w:ind w:left="0" w:right="959" w:hanging="0"/>
        <w:jc w:val="left"/>
        <w:rPr/>
      </w:pPr>
      <w:r>
        <w:rPr/>
        <w:t xml:space="preserve">IPhone készülékeinkkel minden utazásunkat nyomon követhetjük. Nekünk is megvan a részünk a felelősségből. </w:t>
      </w:r>
    </w:p>
    <w:p>
      <w:pPr>
        <w:pStyle w:val="P68B1DB1Normal118"/>
        <w:widowControl w:val="false"/>
        <w:spacing w:lineRule="auto" w:line="240" w:before="83" w:after="0"/>
        <w:ind w:left="0" w:right="0" w:hanging="0"/>
        <w:jc w:val="left"/>
        <w:rPr/>
      </w:pPr>
      <w:r>
        <w:rPr/>
        <w:t xml:space="preserve">Nem kényelmes, hogy minden országban más típusú adatvédelmi űrlapot kell kitöltenie. </w:t>
      </w:r>
    </w:p>
    <w:p>
      <w:pPr>
        <w:pStyle w:val="P68B1DB1Normal118"/>
        <w:widowControl w:val="false"/>
        <w:spacing w:lineRule="auto" w:line="240" w:before="87" w:after="0"/>
        <w:ind w:left="0" w:right="0" w:hanging="0"/>
        <w:jc w:val="left"/>
        <w:rPr>
          <w:rFonts w:ascii="Calibri" w:hAnsi="Calibri"/>
          <w:i/>
          <w:i/>
          <w:color w:val="000000"/>
          <w:sz w:val="21"/>
        </w:rPr>
      </w:pPr>
      <w:r>
        <w:rPr/>
        <w:t xml:space="preserve">AZ ÖTLET: Létre kell hoznunk egy európai kiberrendőrséget. Ez nyilvánvalóan valami az EU számára. </w:t>
      </w:r>
    </w:p>
    <w:p>
      <w:pPr>
        <w:pStyle w:val="P68B1DB1Normal111"/>
        <w:widowControl w:val="false"/>
        <w:spacing w:lineRule="auto" w:line="240" w:before="84" w:after="0"/>
        <w:ind w:left="0" w:right="823" w:hanging="0"/>
        <w:jc w:val="left"/>
        <w:rPr/>
      </w:pPr>
      <w:r>
        <w:rPr/>
        <w:t xml:space="preserve">Az online párbeszéd résztvevői: A minőségi internet-hozzáférés mindenhol a saját érdekünk. </w:t>
      </w:r>
    </w:p>
    <w:p>
      <w:pPr>
        <w:pStyle w:val="P68B1DB1Normal104"/>
        <w:widowControl w:val="false"/>
        <w:spacing w:lineRule="auto" w:line="240" w:before="97" w:after="0"/>
        <w:ind w:left="0" w:right="236" w:hanging="0"/>
        <w:jc w:val="left"/>
        <w:rPr/>
      </w:pPr>
      <w:r>
        <w:rPr/>
        <w:t xml:space="preserve">Az egyik online tematikus párbeszéd során érdekes vita alakult ki az EU virtuális világban betöltött szerepéről. Valamennyi résztvevő egyetértett abban, hogy jó és fontos, hogy Európa-szerte jó legyen az internetkapcsolat. De az EU-n múlik, hogy foglalkozzon vele? Több résztvevő jelezte, hogy ez elsősorban az egyes tagállamok feladata. Egy másik résztvevő hangsúlyozta, hogy a stabil és minőségi külföldi internet szintén előnyt jelent Hollandia számára: Dollármilliárdokat keresünk más uniós országokkal folytatott kereskedelemből. Ezért érdekünk, hogy ezek az országok jól működjenek. </w:t>
      </w:r>
    </w:p>
    <w:p>
      <w:pPr>
        <w:pStyle w:val="P68B1DB1Normal111"/>
        <w:widowControl w:val="false"/>
        <w:spacing w:lineRule="auto" w:line="240" w:before="40" w:after="0"/>
        <w:ind w:left="0" w:right="0" w:hanging="0"/>
        <w:jc w:val="left"/>
        <w:rPr>
          <w:rFonts w:ascii="Calibri" w:hAnsi="Calibri"/>
          <w:b/>
          <w:b/>
          <w:color w:val="000000"/>
          <w:sz w:val="22"/>
        </w:rPr>
      </w:pPr>
      <w:r>
        <w:rPr/>
        <w:t xml:space="preserve">Diákok Helmondban: Azonos szabályok és szankciók a kiberbűnözőkre </w:t>
      </w:r>
    </w:p>
    <w:p>
      <w:pPr>
        <w:pStyle w:val="Normal"/>
        <w:widowControl w:val="false"/>
        <w:spacing w:lineRule="auto" w:line="240" w:before="95" w:after="0"/>
        <w:ind w:left="0" w:right="32" w:hanging="0"/>
        <w:jc w:val="left"/>
        <w:rPr/>
      </w:pPr>
      <w:r>
        <w:rPr>
          <w:rFonts w:ascii="Calibri" w:hAnsi="Calibri"/>
          <w:color w:val="000000"/>
          <w:sz w:val="21"/>
        </w:rPr>
        <w:t xml:space="preserve">A Helmond-i Dr. Knippenberg Főiskolán a 15–16 éves diákok megvitatták az internetes bűnözés problémáját. Rendszeresen hallják a híreket. Például, ha egy vállalatnál adatszivárgás történt. Vagy amikor egy olyan ország, mint Oroszország vagy Kína megpróbálja ellopni az adatokat. Mivel a számítógépes bűnözők gyakran határokon átnyúlóan működnek, logikusnak tartják, hogy az európai országok együttműködjenek. Ebben az összefüggésben a szabályok kidolgozását, de a szankciók meghatározását is figyelembe veszik. Ha az orosz kiberkalózok megpróbálnak betörni otthonainkba, az EU-nak határozott lépéseket kell tennie ezek megelőzése érdekében. </w:t>
      </w:r>
      <w:r>
        <w:br w:type="page"/>
      </w:r>
    </w:p>
    <w:p>
      <w:pPr>
        <w:pStyle w:val="P68B1DB1Normal117"/>
        <w:spacing w:lineRule="auto" w:line="240"/>
        <w:ind w:left="0" w:right="0" w:hanging="0"/>
        <w:rPr>
          <w:rFonts w:ascii="Calibri" w:hAnsi="Calibri"/>
          <w:b/>
          <w:b/>
          <w:i/>
          <w:i/>
          <w:color w:val="000000"/>
          <w:sz w:val="28"/>
        </w:rPr>
      </w:pPr>
      <w:r>
        <w:rPr/>
        <w:t xml:space="preserve">Oktatás, kultúra, ifjúság és sport </w:t>
      </w:r>
    </w:p>
    <w:p>
      <w:pPr>
        <w:pStyle w:val="P68B1DB1Normal104"/>
        <w:widowControl w:val="false"/>
        <w:spacing w:lineRule="auto" w:line="240" w:before="93" w:after="0"/>
        <w:ind w:left="0" w:right="0" w:hanging="0"/>
        <w:jc w:val="left"/>
        <w:rPr/>
      </w:pPr>
      <w:r>
        <w:rPr/>
        <w:t xml:space="preserve">Az uniós országok közvetlenül felelősek az oktatásért, a kultúráért, az ifjúságért és a sportért. Az EU képes és kíván is segíteni ebben a tekintetben, például a minőségi oktatás, a többnyelvűség, a kulturális örökség védelme, valamint a kulturális és sportágazat támogatása révén. Mit gondol erről Hollandia? </w:t>
      </w:r>
    </w:p>
    <w:p>
      <w:pPr>
        <w:pStyle w:val="P68B1DB1Normal108"/>
        <w:widowControl w:val="false"/>
        <w:spacing w:lineRule="auto" w:line="240" w:before="90" w:after="0"/>
        <w:ind w:left="0" w:right="0" w:hanging="0"/>
        <w:jc w:val="left"/>
        <w:rPr>
          <w:rFonts w:ascii="Calibri" w:hAnsi="Calibri"/>
          <w:b/>
          <w:b/>
          <w:i/>
          <w:i/>
          <w:color w:val="000000"/>
          <w:sz w:val="24"/>
        </w:rPr>
      </w:pPr>
      <w:r>
        <w:rPr/>
        <w:t xml:space="preserve">Ajánlások – Az oktatásról, a kultúráról, az ifjúságról és a sportról alkotott elképzeléseink </w:t>
      </w:r>
    </w:p>
    <w:p>
      <w:pPr>
        <w:pStyle w:val="P68B1DB1Normal69"/>
        <w:widowControl w:val="false"/>
        <w:spacing w:lineRule="auto" w:line="240" w:before="123" w:after="0"/>
        <w:ind w:left="0" w:right="0" w:hanging="0"/>
        <w:jc w:val="left"/>
        <w:rPr/>
      </w:pPr>
      <w:r>
        <w:rPr/>
        <w:t xml:space="preserve">A hollandok 45%-a úgy véli, hogy az oktatás fontos kérdés, és az EU-nak közbe kell lépnie ezen a területen. A fiatalok, a kultúra és a sport esetében ez az arány 39%, 23%, illetve 19%. </w:t>
      </w:r>
    </w:p>
    <w:p>
      <w:pPr>
        <w:pStyle w:val="P68B1DB1Normal69"/>
        <w:widowControl w:val="false"/>
        <w:spacing w:lineRule="auto" w:line="240"/>
        <w:ind w:left="0" w:right="0" w:hanging="0"/>
        <w:jc w:val="left"/>
        <w:rPr>
          <w:rFonts w:ascii="Calibri" w:hAnsi="Calibri"/>
          <w:b/>
          <w:b/>
          <w:color w:val="000000"/>
          <w:sz w:val="20"/>
        </w:rPr>
      </w:pPr>
      <w:r>
        <w:rPr/>
        <w:t xml:space="preserve"> </w:t>
      </w:r>
    </w:p>
    <w:p>
      <w:pPr>
        <w:pStyle w:val="P68B1DB1Normal111"/>
        <w:widowControl w:val="false"/>
        <w:spacing w:lineRule="auto" w:line="240" w:before="28" w:after="0"/>
        <w:ind w:left="0" w:right="0" w:hanging="0"/>
        <w:jc w:val="left"/>
        <w:rPr>
          <w:rFonts w:ascii="Calibri" w:hAnsi="Calibri"/>
          <w:b/>
          <w:b/>
          <w:color w:val="000000"/>
          <w:sz w:val="22"/>
        </w:rPr>
      </w:pPr>
      <w:r>
        <w:rPr/>
        <w:t xml:space="preserve">1. A diákok ösztönzése arra, hogy intelligensen tanuljanak külföldön </w:t>
      </w:r>
    </w:p>
    <w:p>
      <w:pPr>
        <w:pStyle w:val="P68B1DB1Normal104"/>
        <w:widowControl w:val="false"/>
        <w:spacing w:lineRule="auto" w:line="240"/>
        <w:ind w:left="0" w:right="0" w:hanging="0"/>
        <w:jc w:val="left"/>
        <w:rPr/>
      </w:pPr>
      <w:r>
        <w:rPr/>
        <w:t xml:space="preserve">Sok holland úgy véli, hogy a külföldi tanulás pozitív hatással van a fiatalokra. Ez hozzájárul a személyes fejlődéshez. Emellett a külföldi tanulmányok segíthetnek az európaiaknak abban, hogy jobban megértsék egymást. Hozzájárulhat a jobb integrációhoz is. Sok holland ezért pozitívnak találja, hogy létezik egy Erasmus program, amely ösztönzi a külföldi tanulmányokat. Úgy véljük azonban, hogy az EU-nak továbbra is kritikusan kell foglalkoznia ezzel a kérdéssel. A gyakorlatban például úgy tűnik, hogy a nemzetközi diákok többnyire egymással maradnak, és nem mindig tanulnak sokat az országról, ahol vannak. Az EU-nak azt is meg kell akadályoznia, hogy az alacsonyabb szintű tudással rendelkező országok „üresedjenek”, mert minden tehetség külföldön fog tanulni. </w:t>
      </w:r>
    </w:p>
    <w:p>
      <w:pPr>
        <w:pStyle w:val="P68B1DB1Normal113"/>
        <w:widowControl w:val="false"/>
        <w:spacing w:lineRule="auto" w:line="240" w:before="167" w:after="0"/>
        <w:ind w:left="0" w:right="0" w:hanging="0"/>
        <w:jc w:val="center"/>
        <w:rPr/>
      </w:pPr>
      <w:r>
        <w:rPr/>
        <w:t>„</w:t>
      </w:r>
      <w:r>
        <w:rPr/>
        <w:t xml:space="preserve">A középfokú szakképzés szintjén is fejlesszenek csereprogramokat.” </w:t>
      </w:r>
    </w:p>
    <w:p>
      <w:pPr>
        <w:pStyle w:val="Normal"/>
        <w:widowControl w:val="false"/>
        <w:spacing w:lineRule="auto" w:line="240" w:before="136" w:after="0"/>
        <w:ind w:left="0" w:right="0" w:hanging="0"/>
        <w:jc w:val="left"/>
        <w:rPr/>
      </w:pPr>
      <w:r>
        <w:rPr>
          <w:rFonts w:ascii="Calibri" w:hAnsi="Calibri"/>
          <w:b/>
          <w:color w:val="000000"/>
        </w:rPr>
        <w:t>2. Lehetővé teszi a tagállamok számára, hogy olyan témákra összpontosítsanak, mint a kultúra és a sport</w:t>
      </w:r>
      <w:r>
        <w:rPr>
          <w:rFonts w:ascii="Cambria" w:hAnsi="Cambria"/>
          <w:color w:val="243F60"/>
          <w:sz w:val="24"/>
        </w:rPr>
        <w:t xml:space="preserve"> </w:t>
      </w:r>
    </w:p>
    <w:p>
      <w:pPr>
        <w:pStyle w:val="P68B1DB1Normal104"/>
        <w:widowControl w:val="false"/>
        <w:spacing w:lineRule="auto" w:line="240"/>
        <w:ind w:left="0" w:right="0" w:hanging="0"/>
        <w:jc w:val="left"/>
        <w:rPr/>
      </w:pPr>
      <w:r>
        <w:rPr/>
        <w:t xml:space="preserve">A hollandok 58%-a gondolja úgy, hogy az EU-nak jobban meg kellene védenie a kulturális örökséget Európában. Gondoljunk például a görögországi templomokra. Másrészt azt látjuk, hogy a helyi kultúra elsősorban maguk az országok felelőssége. Ugyanez vonatkozik például a sportban elkövetett visszaélésekre is. Úgy véljük, hogy ez fontos kérdés, de nem egy fő uniós misszió. Európának szükségszerűen prioritásokat kell meghatároznia, és más kérdésekhez jelentős pénzügyi forrásokra van szükség. Néha pénzügyi hozzájárulást is tehetünk, de néha más módon is együttműködhetünk, például tudás és ötletek cseréje révén. </w:t>
      </w:r>
    </w:p>
    <w:p>
      <w:pPr>
        <w:pStyle w:val="P68B1DB1Normal113"/>
        <w:widowControl w:val="false"/>
        <w:spacing w:lineRule="auto" w:line="240" w:before="167" w:after="0"/>
        <w:ind w:left="0" w:right="0" w:hanging="0"/>
        <w:jc w:val="center"/>
        <w:rPr/>
      </w:pPr>
      <w:r>
        <w:rPr/>
        <w:t xml:space="preserve">A kultúra védelme az országoké. De ha a világörökséget elhanyagolják, akkor az EU-nak közbe kell lépnie. </w:t>
      </w:r>
    </w:p>
    <w:p>
      <w:pPr>
        <w:pStyle w:val="P68B1DB1Normal111"/>
        <w:widowControl w:val="false"/>
        <w:spacing w:lineRule="auto" w:line="240" w:before="136" w:after="0"/>
        <w:ind w:left="0" w:right="0" w:hanging="0"/>
        <w:jc w:val="left"/>
        <w:rPr>
          <w:rFonts w:ascii="Calibri" w:hAnsi="Calibri"/>
          <w:b/>
          <w:b/>
          <w:color w:val="000000"/>
          <w:sz w:val="22"/>
        </w:rPr>
      </w:pPr>
      <w:r>
        <w:rPr/>
        <w:t xml:space="preserve">3. Annak biztosítása, hogy az európaiak jobban megismerjék egymást és tiszteljék egymást </w:t>
      </w:r>
    </w:p>
    <w:p>
      <w:pPr>
        <w:pStyle w:val="P68B1DB1Normal104"/>
        <w:widowControl w:val="false"/>
        <w:spacing w:lineRule="auto" w:line="240"/>
        <w:ind w:left="0" w:right="0" w:hanging="0"/>
        <w:jc w:val="left"/>
        <w:rPr/>
      </w:pPr>
      <w:r>
        <w:rPr/>
        <w:t xml:space="preserve">A hollandok nagyra értékelik, ha más európaiak jól beszélnek angolul. Ez leegyszerűsíti a dolgokat, amikor külföldön vagyunk. És amikor például hollandiai migráns munkavállalókkal akarunk kommunikálni. Ugyanakkor sok holland nagyon fontosnak tartja, hogy továbbra is beszéljük és értékeljük a saját nyelvünket. Ezért azt is szeretnénk, ha Európán belül más különbségeket is tiszteletben tartanának. Legyen szó kultúráról, oktatásról vagy sportról, mindenkinek szabadnak kell lennie, és képesnek kell lennie arra, hogy önmaga legyen. A különbségek néha feszültséget okozhatnak, de gazdagabbá teszik az európai kontinenst is. Sok holland úgy gondolja, hogy az országoknak időt kell adni arra, hogy megismerjék saját szokásaikat és elképzeléseiket. </w:t>
      </w:r>
    </w:p>
    <w:p>
      <w:pPr>
        <w:pStyle w:val="P68B1DB1Normal113"/>
        <w:widowControl w:val="false"/>
        <w:spacing w:lineRule="auto" w:line="240" w:before="167" w:after="0"/>
        <w:ind w:left="0" w:right="0" w:hanging="0"/>
        <w:jc w:val="center"/>
        <w:rPr/>
      </w:pPr>
      <w:r>
        <w:rPr/>
        <w:t xml:space="preserve">Számomra az EU olyan, mint egy baráti társaság. Tiszteletben tartjuk a nézeteltéréseinket, és segítséget kérhetek, ha szükségem van rájuk. </w:t>
      </w:r>
    </w:p>
    <w:p>
      <w:pPr>
        <w:pStyle w:val="P68B1DB1Normal108"/>
        <w:widowControl w:val="false"/>
        <w:spacing w:lineRule="auto" w:line="240" w:before="135" w:after="0"/>
        <w:ind w:left="0" w:right="0" w:hanging="0"/>
        <w:jc w:val="left"/>
        <w:rPr>
          <w:rFonts w:ascii="Calibri" w:hAnsi="Calibri"/>
          <w:b/>
          <w:b/>
          <w:i/>
          <w:i/>
          <w:color w:val="000000"/>
          <w:sz w:val="24"/>
        </w:rPr>
      </w:pPr>
      <w:r>
        <w:rPr/>
        <w:t xml:space="preserve">Online és helyszíni megbeszélések és ötletek </w:t>
      </w:r>
    </w:p>
    <w:p>
      <w:pPr>
        <w:pStyle w:val="P68B1DB1Normal118"/>
        <w:widowControl w:val="false"/>
        <w:spacing w:lineRule="auto" w:line="240" w:before="120" w:after="0"/>
        <w:ind w:left="0" w:right="0" w:hanging="0"/>
        <w:jc w:val="left"/>
        <w:rPr/>
      </w:pPr>
      <w:r>
        <w:rPr/>
        <w:t xml:space="preserve">AZ ÖTLET: A helyi tanterv mellett közös európai tantervet is be kell vezetni az oktatás minden szintjén. </w:t>
      </w:r>
    </w:p>
    <w:p>
      <w:pPr>
        <w:pStyle w:val="P68B1DB1Normal118"/>
        <w:widowControl w:val="false"/>
        <w:spacing w:lineRule="auto" w:line="240" w:before="254" w:after="0"/>
        <w:ind w:left="0" w:right="0" w:hanging="0"/>
        <w:jc w:val="left"/>
        <w:rPr>
          <w:rFonts w:ascii="Calibri" w:hAnsi="Calibri"/>
          <w:i/>
          <w:i/>
          <w:color w:val="000000"/>
          <w:sz w:val="21"/>
        </w:rPr>
      </w:pPr>
      <w:r>
        <w:rPr/>
        <w:t xml:space="preserve">AZ ÖTLET: A kultúra fővárosa mellett minden évben ki kell választania egy fővárost (vagy országot) az oktatás, az ifjúság és a sport területén. </w:t>
      </w:r>
    </w:p>
    <w:p>
      <w:pPr>
        <w:pStyle w:val="P68B1DB1Normal118"/>
        <w:widowControl w:val="false"/>
        <w:spacing w:lineRule="auto" w:line="240" w:before="85" w:after="0"/>
        <w:ind w:left="0" w:right="0" w:hanging="0"/>
        <w:jc w:val="left"/>
        <w:rPr/>
      </w:pPr>
      <w:r>
        <w:rPr/>
        <w:t xml:space="preserve">Ami összeköt bennünket az EU-ban az a tény, hogy mindannyiunknak megvan a saját nemzeti kultúrája. Ezért nem lehet egyetlen kultúra zászlaja alatt összegyűlni. </w:t>
      </w:r>
    </w:p>
    <w:p>
      <w:pPr>
        <w:pStyle w:val="P68B1DB1Normal118"/>
        <w:widowControl w:val="false"/>
        <w:spacing w:lineRule="auto" w:line="240" w:before="87" w:after="0"/>
        <w:ind w:left="0" w:right="0" w:hanging="0"/>
        <w:jc w:val="left"/>
        <w:rPr>
          <w:rFonts w:ascii="Calibri" w:hAnsi="Calibri"/>
          <w:i/>
          <w:i/>
          <w:color w:val="000000"/>
          <w:sz w:val="21"/>
        </w:rPr>
      </w:pPr>
      <w:r>
        <w:rPr/>
        <w:t xml:space="preserve">Ahelyett, hogy kiemelnénk a negatív dolgokat, jobb, ha megpróbáljuk népszerűsíteni a sportot. </w:t>
      </w:r>
    </w:p>
    <w:p>
      <w:pPr>
        <w:pStyle w:val="P68B1DB1Normal118"/>
        <w:widowControl w:val="false"/>
        <w:spacing w:lineRule="auto" w:line="240" w:before="85" w:after="0"/>
        <w:ind w:left="0" w:right="0" w:hanging="0"/>
        <w:jc w:val="left"/>
        <w:rPr/>
      </w:pPr>
      <w:r>
        <w:rPr/>
        <w:t xml:space="preserve">Beilleszkedtem ide, adót fizetek, de latin-amerikai vagyok és maradok. Szeretem a nyelvemet, a zenémet és az ételeimet. Nem Európáról van szó. </w:t>
      </w:r>
    </w:p>
    <w:p>
      <w:pPr>
        <w:pStyle w:val="P68B1DB1Normal118"/>
        <w:widowControl w:val="false"/>
        <w:spacing w:lineRule="auto" w:line="240" w:before="87" w:after="0"/>
        <w:ind w:left="0" w:right="0" w:hanging="0"/>
        <w:jc w:val="left"/>
        <w:rPr>
          <w:rFonts w:ascii="Calibri" w:hAnsi="Calibri"/>
          <w:i/>
          <w:i/>
          <w:color w:val="000000"/>
          <w:sz w:val="21"/>
        </w:rPr>
      </w:pPr>
      <w:r>
        <w:rPr/>
        <w:t xml:space="preserve">Túl sokat beszélünk az európai gazdaságról. És túl kevés a jólét. </w:t>
      </w:r>
    </w:p>
    <w:p>
      <w:pPr>
        <w:pStyle w:val="P68B1DB1Normal111"/>
        <w:widowControl w:val="false"/>
        <w:spacing w:lineRule="auto" w:line="240" w:before="84" w:after="0"/>
        <w:ind w:left="0" w:right="0" w:hanging="0"/>
        <w:jc w:val="left"/>
        <w:rPr>
          <w:rFonts w:ascii="Calibri" w:hAnsi="Calibri"/>
          <w:b/>
          <w:b/>
          <w:color w:val="000000"/>
          <w:sz w:val="22"/>
        </w:rPr>
      </w:pPr>
      <w:r>
        <w:rPr/>
        <w:t xml:space="preserve">A Leideni Egyetem hallgatói: A nyelv fontos, de szabad választásnak kell maradnia </w:t>
      </w:r>
    </w:p>
    <w:p>
      <w:pPr>
        <w:pStyle w:val="P68B1DB1Normal104"/>
        <w:widowControl w:val="false"/>
        <w:spacing w:lineRule="auto" w:line="240" w:before="100" w:after="0"/>
        <w:ind w:left="0" w:right="0" w:hanging="0"/>
        <w:jc w:val="left"/>
        <w:rPr/>
      </w:pPr>
      <w:r>
        <w:rPr/>
        <w:t xml:space="preserve">A Leiden Egyetemen a történelemhallgatók beszélgettek egymással. Fontosnak tartják, hogy az emberek több nyelvet is beszéljenek. Úgy vélik, hogy számos nyelv elsajátítása nagyszerű a személyes fejlődéséhez, és jót tesz az EU-n belüli kereskedelmi és politikai kapcsolatoknak. Úgy vélik azonban, hogy a nyelveket az iskolában kell felajánlani, és nem szabad kötelezővé tenni. Úgy vélik továbbá, hogy a második nyelvnek nem feltétlenül kell európai nyelvnek lennie. „Ha Kelet-Európában élsz, és úgy döntesz, hogy oroszul tanulsz, akkor jogod van” – mondta az egyik résztvevő. </w:t>
      </w:r>
    </w:p>
    <w:p>
      <w:pPr>
        <w:pStyle w:val="P68B1DB1Normal110"/>
        <w:widowControl w:val="false"/>
        <w:spacing w:lineRule="auto" w:line="240" w:before="223" w:after="0"/>
        <w:ind w:left="0" w:right="0" w:hanging="0"/>
        <w:jc w:val="left"/>
        <w:rPr/>
      </w:pPr>
      <w:r>
        <w:rPr>
          <w:b/>
        </w:rPr>
        <w:t xml:space="preserve">Schiedam török közössége: </w:t>
      </w:r>
      <w:r>
        <w:rPr>
          <w:sz w:val="21"/>
        </w:rPr>
        <w:t xml:space="preserve">A Schiedam-i Hakder Alapítványban a helyi török közösség megvitatta a mindenki számára elérhető tisztességes foglalkoztatási lehetőségek fontosságát. Valamennyi résztvevő egyetértett abban, hogy az EU-nak köteleznie kell a vállalkozásokat arra, hogy gyakornoki vagy álláslehetőségeket kínáljanak a korlátozott kilátásokkal rendelkező fiataloknak. Jelezték, hogy különösen a fiatal migránsok nehezen találnak szakmai gyakorlatot vagy munkát. Néha nem is mernek elmenni a GP-re, mert félnek, hogy maguknak kell fizetniük a látogatásért. Nem is beszélve arról, hogy merek jelentkezni egy szakmai gyakorlatra vagy egy állásra" – mondta az egyik résztvevő. „A vállalkozásoknak nagyobb figyelmet kell fordítaniuk, és az EU erre ösztönözheti őket.” </w:t>
      </w:r>
    </w:p>
    <w:p>
      <w:pPr>
        <w:pStyle w:val="Normal"/>
        <w:spacing w:lineRule="auto" w:line="240"/>
        <w:ind w:left="0" w:right="0" w:hanging="0"/>
        <w:rPr/>
      </w:pPr>
      <w:r>
        <w:rPr/>
      </w:r>
    </w:p>
    <w:p>
      <w:pPr>
        <w:pStyle w:val="Normal"/>
        <w:spacing w:lineRule="auto" w:line="240"/>
        <w:ind w:left="0" w:right="0" w:hanging="0"/>
        <w:rPr/>
      </w:pPr>
      <w:r>
        <w:rPr/>
      </w:r>
      <w:r>
        <w:br w:type="page"/>
      </w:r>
    </w:p>
    <w:p>
      <w:pPr>
        <w:pStyle w:val="P68B1DB1Normal18"/>
        <w:spacing w:lineRule="auto" w:line="240"/>
        <w:ind w:left="0" w:right="0" w:hanging="0"/>
        <w:rPr/>
      </w:pPr>
      <w:r>
        <w:rPr>
          <w:b/>
          <w:i/>
          <w:color w:val="000000"/>
        </w:rPr>
        <w:t>A felmérés során alkalmazott módszertan leírása</w:t>
      </w:r>
      <w:r>
        <w:rPr>
          <w:color w:val="365F91"/>
        </w:rPr>
        <w:t xml:space="preserve"> </w:t>
      </w:r>
    </w:p>
    <w:p>
      <w:pPr>
        <w:pStyle w:val="P68B1DB1Normal104"/>
        <w:widowControl w:val="false"/>
        <w:spacing w:lineRule="auto" w:line="240" w:before="137" w:after="0"/>
        <w:ind w:left="0" w:right="0" w:hanging="0"/>
        <w:jc w:val="left"/>
        <w:rPr/>
      </w:pPr>
      <w:r>
        <w:rPr/>
        <w:t xml:space="preserve">Az „Európa-látogatás” című felmérés a kapcsolódó párbeszéd különböző formáiból áll, hogy összegyűjtse a holland polgárok Európa és az EU jövőjéről alkotott nézeteit és elképzeléseit. Ez a fejezet azt a módszertant ismerteti, amelyet annak biztosítására használnak, hogy a párbeszéd kapcsolódó formái összhangban legyenek az Európa jövőjéről szóló konferencia keretében a nemzeti polgári munkacsoportoknak szóló iránymutatásokkal. </w:t>
      </w:r>
    </w:p>
    <w:p>
      <w:pPr>
        <w:pStyle w:val="P68B1DB1Normal110"/>
        <w:widowControl w:val="false"/>
        <w:spacing w:lineRule="auto" w:line="240" w:before="236" w:after="0"/>
        <w:ind w:left="0" w:right="0" w:hanging="0"/>
        <w:jc w:val="both"/>
        <w:rPr/>
      </w:pPr>
      <w:r>
        <w:rPr>
          <w:sz w:val="21"/>
        </w:rPr>
        <w:t>A párbeszéd</w:t>
      </w:r>
      <w:r>
        <w:rPr>
          <w:b/>
          <w:i/>
          <w:sz w:val="24"/>
        </w:rPr>
        <w:t xml:space="preserve">kapcsolódó formáinak kialakítása A párbeszéd </w:t>
      </w:r>
      <w:r>
        <w:rPr>
          <w:sz w:val="21"/>
        </w:rPr>
        <w:t xml:space="preserve">alábbi formáit használják: </w:t>
      </w:r>
    </w:p>
    <w:p>
      <w:pPr>
        <w:pStyle w:val="P68B1DB1Normal119"/>
        <w:widowControl w:val="false"/>
        <w:spacing w:lineRule="auto" w:line="240" w:before="236" w:after="0"/>
        <w:ind w:left="0" w:right="0" w:hanging="0"/>
        <w:jc w:val="both"/>
        <w:rPr/>
      </w:pPr>
      <w:r>
        <w:rPr>
          <w:rFonts w:ascii="Calibri" w:hAnsi="Calibri"/>
        </w:rPr>
        <w:t>4.</w:t>
      </w:r>
      <w:r>
        <w:rPr/>
        <w:t xml:space="preserve"> </w:t>
      </w:r>
      <w:r>
        <w:rPr>
          <w:rFonts w:ascii="Calibri" w:hAnsi="Calibri"/>
        </w:rPr>
        <w:t>Felmérés egy panelen</w:t>
      </w:r>
    </w:p>
    <w:p>
      <w:pPr>
        <w:pStyle w:val="P68B1DB1Normal104"/>
        <w:widowControl w:val="false"/>
        <w:spacing w:lineRule="auto" w:line="240"/>
        <w:ind w:left="0" w:right="0" w:hanging="0"/>
        <w:jc w:val="left"/>
        <w:rPr>
          <w:rFonts w:ascii="Calibri" w:hAnsi="Calibri"/>
          <w:color w:val="000000"/>
          <w:sz w:val="21"/>
        </w:rPr>
      </w:pPr>
      <w:r>
        <w:rPr/>
        <w:t xml:space="preserve">A holland népesség reprezentatív mintájának felmérése. </w:t>
      </w:r>
    </w:p>
    <w:p>
      <w:pPr>
        <w:pStyle w:val="P68B1DB1Normal119"/>
        <w:widowControl w:val="false"/>
        <w:spacing w:lineRule="auto" w:line="240"/>
        <w:ind w:left="0" w:right="0" w:hanging="0"/>
        <w:jc w:val="left"/>
        <w:rPr/>
      </w:pPr>
      <w:r>
        <w:rPr>
          <w:rFonts w:ascii="Calibri" w:hAnsi="Calibri"/>
        </w:rPr>
        <w:t>5.</w:t>
      </w:r>
      <w:r>
        <w:rPr/>
        <w:t xml:space="preserve"> </w:t>
      </w:r>
      <w:r>
        <w:rPr>
          <w:rFonts w:ascii="Calibri" w:hAnsi="Calibri"/>
        </w:rPr>
        <w:t>Online tematikus párbeszédek az elmélyülés érdekében</w:t>
      </w:r>
    </w:p>
    <w:p>
      <w:pPr>
        <w:pStyle w:val="P68B1DB1Normal104"/>
        <w:widowControl w:val="false"/>
        <w:spacing w:lineRule="auto" w:line="240"/>
        <w:ind w:left="0" w:right="0" w:hanging="0"/>
        <w:jc w:val="left"/>
        <w:rPr/>
      </w:pPr>
      <w:r>
        <w:rPr/>
        <w:t xml:space="preserve">Minden alkalommal párbeszédeket szerveztek egy holland csoporttal azzal a céllal, hogy elmélyítsék az „Európa jövőképe” című első időközi jelentés következtetéseit (2021. október 8.), amely első áttekintést nyújt az eredményekről és a kiegészítő kérdésekről. </w:t>
      </w:r>
    </w:p>
    <w:p>
      <w:pPr>
        <w:pStyle w:val="P68B1DB1Normal119"/>
        <w:widowControl w:val="false"/>
        <w:spacing w:lineRule="auto" w:line="240"/>
        <w:ind w:left="0" w:right="0" w:hanging="0"/>
        <w:jc w:val="left"/>
        <w:rPr/>
      </w:pPr>
      <w:r>
        <w:rPr>
          <w:rFonts w:ascii="Calibri" w:hAnsi="Calibri"/>
        </w:rPr>
        <w:t>6.</w:t>
      </w:r>
      <w:r>
        <w:rPr/>
        <w:t xml:space="preserve"> </w:t>
      </w:r>
      <w:r>
        <w:rPr>
          <w:rFonts w:ascii="Calibri" w:hAnsi="Calibri"/>
        </w:rPr>
        <w:t>Párbeszédek meghatározott csoportokkal</w:t>
      </w:r>
    </w:p>
    <w:p>
      <w:pPr>
        <w:pStyle w:val="P68B1DB1Normal104"/>
        <w:widowControl w:val="false"/>
        <w:spacing w:lineRule="auto" w:line="240"/>
        <w:ind w:left="0" w:right="0" w:hanging="0"/>
        <w:jc w:val="left"/>
        <w:rPr>
          <w:rFonts w:ascii="Calibri" w:hAnsi="Calibri"/>
          <w:color w:val="000000"/>
          <w:sz w:val="21"/>
        </w:rPr>
      </w:pPr>
      <w:r>
        <w:rPr/>
        <w:t xml:space="preserve">Találkozók hollandokkal, akik nem szoktak részt venni felmérésekben és paneleken (online). </w:t>
      </w:r>
    </w:p>
    <w:p>
      <w:pPr>
        <w:pStyle w:val="P68B1DB1Normal119"/>
        <w:widowControl w:val="false"/>
        <w:spacing w:lineRule="auto" w:line="240"/>
        <w:ind w:left="0" w:right="0" w:hanging="0"/>
        <w:jc w:val="left"/>
        <w:rPr/>
      </w:pPr>
      <w:r>
        <w:rPr>
          <w:rFonts w:ascii="Calibri" w:hAnsi="Calibri"/>
        </w:rPr>
        <w:t>7.</w:t>
      </w:r>
      <w:r>
        <w:rPr/>
        <w:t xml:space="preserve"> </w:t>
      </w:r>
      <w:r>
        <w:rPr>
          <w:rFonts w:ascii="Calibri" w:hAnsi="Calibri"/>
        </w:rPr>
        <w:t>Párbeszéd a fiatalokkal</w:t>
      </w:r>
    </w:p>
    <w:p>
      <w:pPr>
        <w:pStyle w:val="P68B1DB1Normal104"/>
        <w:widowControl w:val="false"/>
        <w:spacing w:lineRule="auto" w:line="240"/>
        <w:ind w:left="0" w:right="0" w:hanging="0"/>
        <w:jc w:val="left"/>
        <w:rPr>
          <w:rFonts w:ascii="Calibri" w:hAnsi="Calibri"/>
          <w:color w:val="000000"/>
          <w:sz w:val="21"/>
        </w:rPr>
      </w:pPr>
      <w:r>
        <w:rPr/>
        <w:t xml:space="preserve">A fiatalok számára legrelevánsabb európai témákkal foglalkozó ülések. </w:t>
      </w:r>
    </w:p>
    <w:p>
      <w:pPr>
        <w:pStyle w:val="Normal"/>
        <w:widowControl w:val="false"/>
        <w:spacing w:lineRule="auto" w:line="240"/>
        <w:ind w:left="0" w:right="0" w:hanging="0"/>
        <w:jc w:val="left"/>
        <w:rPr/>
      </w:pPr>
      <w:r>
        <w:rPr>
          <w:rFonts w:ascii="Calibri" w:hAnsi="Calibri"/>
          <w:b/>
          <w:color w:val="000000"/>
          <w:sz w:val="21"/>
        </w:rPr>
        <w:t>8.</w:t>
      </w:r>
      <w:r>
        <w:rPr>
          <w:b/>
          <w:color w:val="000000"/>
          <w:sz w:val="21"/>
        </w:rPr>
        <w:t xml:space="preserve"> </w:t>
      </w:r>
      <w:r>
        <w:rPr>
          <w:rFonts w:ascii="Calibri" w:hAnsi="Calibri"/>
          <w:b/>
          <w:color w:val="000000"/>
          <w:sz w:val="21"/>
        </w:rPr>
        <w:t>Online nyilvános felmérés: Kérdőív és „Swipen naar de toekomst”</w:t>
      </w:r>
      <w:commentRangeStart w:id="25"/>
      <w:r>
        <w:rPr>
          <w:rFonts w:ascii="Calibri" w:hAnsi="Calibri"/>
          <w:b/>
          <w:color w:val="000000"/>
          <w:sz w:val="21"/>
        </w:rPr>
        <w:t xml:space="preserve">( </w:t>
      </w:r>
      <w:r>
        <w:rPr>
          <w:rFonts w:ascii="Calibri" w:hAnsi="Calibri"/>
          <w:b/>
          <w:color w:val="000000"/>
          <w:sz w:val="21"/>
        </w:rPr>
      </w:r>
      <w:commentRangeEnd w:id="25"/>
      <w:r>
        <w:commentReference w:id="25"/>
      </w:r>
      <w:r>
        <w:rPr>
          <w:rFonts w:ascii="Calibri" w:hAnsi="Calibri"/>
          <w:b/>
          <w:color w:val="000000"/>
          <w:sz w:val="21"/>
        </w:rPr>
        <w:t xml:space="preserve">Út a jövőbe) </w:t>
      </w:r>
    </w:p>
    <w:p>
      <w:pPr>
        <w:pStyle w:val="P68B1DB1Normal104"/>
        <w:widowControl w:val="false"/>
        <w:spacing w:lineRule="auto" w:line="240"/>
        <w:ind w:left="0" w:right="0" w:hanging="0"/>
        <w:jc w:val="left"/>
        <w:rPr/>
      </w:pPr>
      <w:r>
        <w:rPr/>
        <w:t xml:space="preserve">A kérdőívet minden holland, köztük a külföldön tartózkodók is kitölthetik. Ez a kérdőív 2021. szeptember 1-jétől 2021. november 14-ig állt rendelkezésre. Ezenkívül ugyanebben az időszakban minden holland részt vehetett a „Swipen naar de toekomst” (Swiper to toekomst) (Swiper to the future) akcióban, amely 20 állítást tartalmaz. </w:t>
      </w:r>
    </w:p>
    <w:p>
      <w:pPr>
        <w:pStyle w:val="P68B1DB1Normal108"/>
        <w:widowControl w:val="false"/>
        <w:spacing w:lineRule="auto" w:line="240" w:before="229" w:after="0"/>
        <w:ind w:left="0" w:right="0" w:hanging="0"/>
        <w:jc w:val="left"/>
        <w:rPr>
          <w:rFonts w:ascii="Calibri" w:hAnsi="Calibri"/>
          <w:b/>
          <w:b/>
          <w:i/>
          <w:i/>
          <w:color w:val="000000"/>
          <w:sz w:val="24"/>
        </w:rPr>
      </w:pPr>
      <w:r>
        <w:rPr/>
        <w:t xml:space="preserve">1. Felmérés egy panelen </w:t>
      </w:r>
    </w:p>
    <w:p>
      <w:pPr>
        <w:pStyle w:val="P68B1DB1Normal104"/>
        <w:widowControl w:val="false"/>
        <w:spacing w:lineRule="auto" w:line="240" w:before="118" w:after="0"/>
        <w:ind w:left="0" w:right="0" w:hanging="0"/>
        <w:jc w:val="left"/>
        <w:rPr/>
      </w:pPr>
      <w:r>
        <w:rPr/>
        <w:t xml:space="preserve">A holland civil párbeszéd „Európa látogatása” szeptember 1-jén kezdődött egy panelfelméréssel. A felmérés módszertanának ezen leírásában röviden bemutatjuk a felmérés tervezését és végrehajtását egy testületnek. </w:t>
      </w:r>
    </w:p>
    <w:p>
      <w:pPr>
        <w:pStyle w:val="P68B1DB1Normal107"/>
        <w:widowControl w:val="false"/>
        <w:spacing w:lineRule="auto" w:line="240" w:before="43" w:after="0"/>
        <w:ind w:left="0" w:right="0" w:hanging="0"/>
        <w:jc w:val="left"/>
        <w:rPr>
          <w:rFonts w:ascii="Calibri" w:hAnsi="Calibri"/>
          <w:i/>
          <w:i/>
          <w:color w:val="000000"/>
          <w:sz w:val="24"/>
        </w:rPr>
      </w:pPr>
      <w:r>
        <w:rPr/>
        <w:t xml:space="preserve">Célcsoport és célpopuláció </w:t>
      </w:r>
    </w:p>
    <w:p>
      <w:pPr>
        <w:pStyle w:val="Normal"/>
        <w:widowControl w:val="false"/>
        <w:spacing w:lineRule="auto" w:line="240" w:before="123" w:after="0"/>
        <w:ind w:left="0" w:right="0" w:hanging="0"/>
        <w:jc w:val="left"/>
        <w:rPr/>
      </w:pPr>
      <w:r>
        <w:rPr>
          <w:rFonts w:ascii="Calibri" w:hAnsi="Calibri"/>
          <w:color w:val="000000"/>
          <w:sz w:val="21"/>
        </w:rPr>
        <w:t>A „Vision of Europe” (Vision of Europe) című felmérés egy online kérdőívvel kezdődött, amely arról szólt, hogy a hollandok hogyan látják Európa jövőjét. Ezt a kérdőívet egy reprezentatív testülethez nyújtották be, és minden holland számára nyitva áll (beleértve a külföldön lakóhellyel rendelkezőket is). Ezenkívül mindenki részt vehetett a „Swipen naar de toekomst” akcióban</w:t>
      </w:r>
      <w:commentRangeStart w:id="26"/>
      <w:r>
        <w:rPr>
          <w:rFonts w:ascii="Calibri" w:hAnsi="Calibri"/>
          <w:color w:val="000000"/>
          <w:sz w:val="21"/>
        </w:rPr>
        <w:t>(Swiper to</w:t>
      </w:r>
      <w:r>
        <w:rPr>
          <w:rFonts w:ascii="Calibri" w:hAnsi="Calibri"/>
          <w:color w:val="000000"/>
          <w:sz w:val="21"/>
        </w:rPr>
      </w:r>
      <w:commentRangeEnd w:id="26"/>
      <w:r>
        <w:commentReference w:id="26"/>
      </w:r>
      <w:r>
        <w:rPr>
          <w:rFonts w:ascii="Calibri" w:hAnsi="Calibri"/>
          <w:color w:val="000000"/>
          <w:sz w:val="21"/>
        </w:rPr>
        <w:t xml:space="preserve"> the future), egy 20 állítást bemutató online eszközben. A panelfelmérés eredményei több tematikus párbeszédhez is hozzájárultak, amelyeket az „Európa-látogatás” elnevezésű polgári párbeszéd folyamatának nyomon követéseként szerveztek.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pPr>
      <w:r>
        <w:rPr/>
        <w:t xml:space="preserve">A panelkutatás célcsoportja magában foglalja az összes 18 éves vagy annál idősebb holland embert, akik a terepmunka megkezdésekor a népesség-nyilvántartásban regisztráltak voltak. A Holland Nemzeti Statisztikai Hivatal (Centraal Bureau voor de Statistiek – CBS) szerint ez a célcsoport 2021. január 1-jén 14 190 874 fővel rendelkezett. A 18 éves alsó határ megfelel a választói többségnek. Ezt hívjuk a közvélemény-kutatás lakosságának. </w:t>
      </w:r>
    </w:p>
    <w:p>
      <w:pPr>
        <w:pStyle w:val="Normal"/>
        <w:widowControl w:val="false"/>
        <w:spacing w:lineRule="auto" w:line="240" w:before="1" w:after="0"/>
        <w:ind w:left="0" w:right="0" w:hanging="0"/>
        <w:jc w:val="left"/>
        <w:rPr>
          <w:rFonts w:ascii="Calibri" w:hAnsi="Calibri"/>
          <w:color w:val="000000"/>
          <w:sz w:val="21"/>
        </w:rPr>
      </w:pPr>
      <w:r>
        <w:rPr>
          <w:rFonts w:ascii="Calibri" w:hAnsi="Calibri"/>
          <w:color w:val="000000"/>
          <w:sz w:val="21"/>
        </w:rPr>
      </w:r>
      <w:r>
        <w:br w:type="page"/>
      </w:r>
    </w:p>
    <w:p>
      <w:pPr>
        <w:pStyle w:val="P68B1DB1Normal107"/>
        <w:spacing w:lineRule="auto" w:line="240"/>
        <w:ind w:left="0" w:right="0" w:hanging="0"/>
        <w:rPr>
          <w:rFonts w:ascii="Calibri" w:hAnsi="Calibri"/>
          <w:i/>
          <w:i/>
          <w:color w:val="000000"/>
          <w:sz w:val="24"/>
        </w:rPr>
      </w:pPr>
      <w:r>
        <w:rPr/>
        <w:t xml:space="preserve">Terepmunka </w:t>
      </w:r>
    </w:p>
    <w:p>
      <w:pPr>
        <w:pStyle w:val="P68B1DB1Normal104"/>
        <w:widowControl w:val="false"/>
        <w:spacing w:lineRule="auto" w:line="240" w:before="127" w:after="0"/>
        <w:ind w:left="0" w:right="0" w:hanging="0"/>
        <w:jc w:val="left"/>
        <w:rPr/>
      </w:pPr>
      <w:r>
        <w:rPr/>
        <w:t xml:space="preserve">Az ország minden tájáról több mint 100 000 résztvevőből álló panelt (ISO minősített, Research Keurmerk groep, Nederlandse marktonderzoek Associatie) használtak a „közepes holland” digitális képének megszerzésére. Ezek a résztvevők azért iratkoztak be a felmérési testületbe, hogy rendszeresen kifejtsék nézeteiket a témák széles köréről. Amellett, hogy belső motivációjuk van a hozzájárulásra, fizetnek a kérdőívek megválaszolásáért is. Számos tudományos tanulmány kimutatta, hogy azok a válaszadók, akik kompenzációban részesülnek a kérdőív kitöltéséért, nem adnak jelentősen eltérő válaszokat (forrás: A felmérési ösztönzők használata rontja az adatminőséget?Cole, J. S., Sarraf, S.A., Wang, X., 2015).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pPr>
      <w:r>
        <w:rPr/>
        <w:t xml:space="preserve">A terepmunka 2021. augusztus 11-én kezdődött és 2021. szeptember 19-én ért véget. A megvalósításhoz csak egy adatgyűjtési módszert használtak, azaz az internetes felmérést. A felmérési panel tagjai e-mailt kaptak az online kérdőívre mutató személyes hivatkozással. Két hét után a résztvevők emlékeztetőt kaptak. A részvételi meghívókat tételekben küldték el és rétegezték (az alcsoportok egyenlő elosztásának biztosításával), amíg el nem érték a szükséges számú válaszadót. </w:t>
      </w:r>
    </w:p>
    <w:p>
      <w:pPr>
        <w:pStyle w:val="P68B1DB1Normal107"/>
        <w:widowControl w:val="false"/>
        <w:spacing w:lineRule="auto" w:line="240" w:before="42" w:after="0"/>
        <w:ind w:left="0" w:right="0" w:hanging="0"/>
        <w:jc w:val="left"/>
        <w:rPr>
          <w:rFonts w:ascii="Calibri" w:hAnsi="Calibri"/>
          <w:i/>
          <w:i/>
          <w:color w:val="000000"/>
          <w:sz w:val="24"/>
        </w:rPr>
      </w:pPr>
      <w:r>
        <w:rPr/>
        <w:t xml:space="preserve">Mintavétel és elosztás </w:t>
      </w:r>
    </w:p>
    <w:p>
      <w:pPr>
        <w:pStyle w:val="P68B1DB1Normal104"/>
        <w:widowControl w:val="false"/>
        <w:spacing w:lineRule="auto" w:line="240" w:before="123" w:after="0"/>
        <w:ind w:left="0" w:right="0" w:hanging="0"/>
        <w:jc w:val="left"/>
        <w:rPr/>
      </w:pPr>
      <w:r>
        <w:rPr/>
        <w:t xml:space="preserve">A felmérés kialakítása azon az elven alapul, hogy a jó statisztikai megbízhatóság érdekében legalább 3600 válaszadónak kell részt vennie a felmérésben. Ezenkívül ez a szám lehetővé teszi a lakosság különböző általános jellemzői közötti jó eloszlást. A hollandoknak nem csak egy fajtája van. Ezért előre gondoskodtunk arról, hogy a minta több jellemző között is jól eloszlik. Hollandia viszonylag kis ország, de a vélemények régiónként eltérőek lehetnek. A témák pozicionálását és fontosságát (részben) az adott régió határozza meg. Például a vidéki területeken élő emberek másképpen érthetnek meg egy olyan témát, mint például a biztonság, mint a városi területeken. A holland Szociális és Kulturális Tervezési Hivatal kutatása azt is kimutatta, hogy a magasabb szintű tanulmányokkal rendelkezők gyakrabban támogatják az EU-t, mint az alacsonyabb tanulmányi szinttel rendelkezők, és hogy a fiatalok jobban támogatják az EU-t, mint az idősek (forrás: Wat willen Nederlanders van de Europese Unie?Dutch Social and Cultural Office, Hága, 2019).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pPr>
      <w:r>
        <w:rPr/>
        <w:t xml:space="preserve">Ezért a minta reprezentativitásának biztosítása érdekében korábban a következő három jellemzőt osztottuk fel arányosan: (1) a COROP régiókon keresztüli tartózkodás, (2) életkor és (3) iskolai végzettség. A minta eloszlását a következő általános jellemzők szerint is bemutatták: nem, származás, fő foglalkozás, politikai orientáció. </w:t>
      </w:r>
    </w:p>
    <w:p>
      <w:pPr>
        <w:pStyle w:val="P68B1DB1Normal104"/>
        <w:widowControl w:val="false"/>
        <w:spacing w:lineRule="auto" w:line="240" w:before="1" w:after="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A COROP régiókat a nodális elv alapján fejlesztették ki (egy „szív”, amelynek vonzáskörzete vagy regionális funkciója van), az ingázó emberek áramlása alapján. A nodális elv néhány megsértését elfogadták annak érdekében, hogy a régiók tartományi határokat kövessenek. Az önkormányzatok COROP-határokon túli átszervezését követően az elosztást kiigazították (forrás: Holland Nemzeti Statisztikai Hivatal). A COROP régiókon belül biztosítottuk a korcsoportok közötti jó megoszlást, a következő bontásban: 18–34 évesek, 35–54 évesek, 55–75 évesek és 75 év felettiek.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pPr>
      <w:r>
        <w:rPr/>
        <w:t xml:space="preserve">Végül biztosítottuk az oktatási szintek reprezentativitását. A mintában a válaszadók megoszlása a legmagasabb szintű oktatás nemzeti szinten történő elosztásának felel meg, amely a következő: </w:t>
      </w:r>
    </w:p>
    <w:p>
      <w:pPr>
        <w:pStyle w:val="Normal"/>
        <w:widowControl w:val="false"/>
        <w:spacing w:lineRule="auto" w:line="240" w:before="1" w:after="0"/>
        <w:ind w:left="0" w:right="0" w:hanging="0"/>
        <w:jc w:val="left"/>
        <w:rPr>
          <w:rFonts w:ascii="Calibri" w:hAnsi="Calibri"/>
          <w:color w:val="000000"/>
          <w:sz w:val="21"/>
        </w:rPr>
      </w:pPr>
      <w:r>
        <w:rPr>
          <w:rFonts w:ascii="Calibri" w:hAnsi="Calibri"/>
          <w:color w:val="000000"/>
          <w:sz w:val="21"/>
        </w:rPr>
      </w:r>
      <w:r>
        <w:br w:type="page"/>
      </w:r>
    </w:p>
    <w:p>
      <w:pPr>
        <w:pStyle w:val="P68B1DB1Normal120"/>
        <w:spacing w:lineRule="auto" w:line="240"/>
        <w:ind w:left="0" w:right="0" w:hanging="0"/>
        <w:rPr>
          <w:rFonts w:ascii="Calibri" w:hAnsi="Calibri"/>
          <w:b/>
          <w:b/>
          <w:color w:val="000000"/>
          <w:sz w:val="21"/>
        </w:rPr>
      </w:pPr>
      <w:r>
        <w:rPr/>
        <w:t xml:space="preserve">Legmagasabb szintű oktatás </w:t>
      </w:r>
    </w:p>
    <w:tbl>
      <w:tblPr>
        <w:tblW w:w="9180"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7649"/>
        <w:gridCol w:w="1530"/>
      </w:tblGrid>
      <w:tr>
        <w:trPr>
          <w:trHeight w:val="1031" w:hRule="atLeast"/>
        </w:trPr>
        <w:tc>
          <w:tcPr>
            <w:tcW w:w="76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Alacsonyan: alapfokú oktatás, előkészítő szakoktatás, általános felső középfokú oktatás első-harmadik osztálya/egyetem előtti oktatás, középfokú szakképzés 1. szint</w:t>
            </w:r>
          </w:p>
        </w:tc>
        <w:tc>
          <w:tcPr>
            <w:tcW w:w="153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32,1%</w:t>
            </w:r>
          </w:p>
        </w:tc>
      </w:tr>
      <w:tr>
        <w:trPr>
          <w:trHeight w:val="1031" w:hRule="atLeast"/>
        </w:trPr>
        <w:tc>
          <w:tcPr>
            <w:tcW w:w="76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Közbülső: általános felső középfokú oktatás/egyetem előtti oktatás, középfokú szakképzés 2–4. szint</w:t>
            </w:r>
          </w:p>
        </w:tc>
        <w:tc>
          <w:tcPr>
            <w:tcW w:w="153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44,6%</w:t>
            </w:r>
          </w:p>
        </w:tc>
      </w:tr>
      <w:tr>
        <w:trPr>
          <w:trHeight w:val="551" w:hRule="atLeast"/>
        </w:trPr>
        <w:tc>
          <w:tcPr>
            <w:tcW w:w="76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Magas: felsőfokú szakképzés vagy egyetemi oktatás</w:t>
            </w:r>
          </w:p>
        </w:tc>
        <w:tc>
          <w:tcPr>
            <w:tcW w:w="153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22,9%</w:t>
            </w:r>
          </w:p>
        </w:tc>
      </w:tr>
      <w:tr>
        <w:trPr>
          <w:trHeight w:val="536" w:hRule="atLeast"/>
        </w:trPr>
        <w:tc>
          <w:tcPr>
            <w:tcW w:w="76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Ismeretlen</w:t>
            </w:r>
          </w:p>
        </w:tc>
        <w:tc>
          <w:tcPr>
            <w:tcW w:w="153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0,4%</w:t>
            </w:r>
          </w:p>
        </w:tc>
      </w:tr>
    </w:tbl>
    <w:p>
      <w:pPr>
        <w:pStyle w:val="Normal"/>
        <w:spacing w:lineRule="auto" w:line="240"/>
        <w:ind w:left="0" w:right="0" w:hanging="0"/>
        <w:rPr/>
      </w:pPr>
      <w:r>
        <w:rPr/>
      </w:r>
    </w:p>
    <w:p>
      <w:pPr>
        <w:pStyle w:val="P68B1DB1Normal107"/>
        <w:spacing w:lineRule="auto" w:line="240"/>
        <w:ind w:left="0" w:right="0" w:hanging="0"/>
        <w:rPr>
          <w:rFonts w:ascii="Calibri" w:hAnsi="Calibri"/>
          <w:i/>
          <w:i/>
          <w:color w:val="000000"/>
          <w:sz w:val="24"/>
        </w:rPr>
      </w:pPr>
      <w:r>
        <w:rPr/>
        <w:t xml:space="preserve">Válaszadási arány </w:t>
      </w:r>
    </w:p>
    <w:p>
      <w:pPr>
        <w:pStyle w:val="P68B1DB1Normal104"/>
        <w:widowControl w:val="false"/>
        <w:spacing w:lineRule="exact" w:line="283" w:before="87" w:after="0"/>
        <w:ind w:left="0" w:right="368" w:hanging="0"/>
        <w:jc w:val="left"/>
        <w:rPr/>
      </w:pPr>
      <w:r>
        <w:rPr/>
        <w:t xml:space="preserve">Panelenként összesen 4086 ember vett részt a felmérésben. Ezért teljesül a 3 600 teljesen kitöltött kérdőívre vonatkozó célkitűzés. </w:t>
      </w:r>
    </w:p>
    <w:tbl>
      <w:tblPr>
        <w:tblW w:w="9638" w:type="dxa"/>
        <w:jc w:val="left"/>
        <w:tblInd w:w="0" w:type="dxa"/>
        <w:tblBorders/>
        <w:tblCellMar>
          <w:top w:w="28" w:type="dxa"/>
          <w:left w:w="28" w:type="dxa"/>
          <w:bottom w:w="28" w:type="dxa"/>
          <w:right w:w="28" w:type="dxa"/>
        </w:tblCellMar>
      </w:tblPr>
      <w:tblGrid>
        <w:gridCol w:w="4016"/>
        <w:gridCol w:w="1348"/>
        <w:gridCol w:w="1348"/>
        <w:gridCol w:w="1574"/>
        <w:gridCol w:w="1352"/>
      </w:tblGrid>
      <w:tr>
        <w:trPr>
          <w:trHeight w:val="356" w:hRule="atLeast"/>
        </w:trPr>
        <w:tc>
          <w:tcPr>
            <w:tcW w:w="4016" w:type="dxa"/>
            <w:tcBorders/>
            <w:shd w:fill="auto" w:val="clear"/>
            <w:vAlign w:val="bottom"/>
          </w:tcPr>
          <w:p>
            <w:pPr>
              <w:pStyle w:val="P68B1DB1Contenudetableau122"/>
              <w:spacing w:before="57" w:after="57"/>
              <w:jc w:val="left"/>
              <w:rPr>
                <w:b/>
                <w:b/>
                <w:color w:val="000000"/>
              </w:rPr>
            </w:pPr>
            <w:r>
              <w:rPr/>
              <w:t>A COROP régióinak és életkorának válaszai</w:t>
            </w:r>
          </w:p>
        </w:tc>
        <w:tc>
          <w:tcPr>
            <w:tcW w:w="1348" w:type="dxa"/>
            <w:tcBorders/>
            <w:shd w:fill="auto" w:val="clear"/>
            <w:vAlign w:val="bottom"/>
          </w:tcPr>
          <w:p>
            <w:pPr>
              <w:pStyle w:val="P68B1DB1Contenudetableau122"/>
              <w:spacing w:before="57" w:after="57"/>
              <w:jc w:val="left"/>
              <w:rPr>
                <w:b/>
                <w:b/>
                <w:color w:val="000000"/>
              </w:rPr>
            </w:pPr>
            <w:r>
              <w:rPr/>
              <w:t>18–34 éves korig</w:t>
            </w:r>
          </w:p>
        </w:tc>
        <w:tc>
          <w:tcPr>
            <w:tcW w:w="1348" w:type="dxa"/>
            <w:tcBorders/>
            <w:shd w:fill="auto" w:val="clear"/>
            <w:vAlign w:val="bottom"/>
          </w:tcPr>
          <w:p>
            <w:pPr>
              <w:pStyle w:val="P68B1DB1Contenudetableau122"/>
              <w:spacing w:before="57" w:after="57"/>
              <w:jc w:val="left"/>
              <w:rPr>
                <w:b/>
                <w:b/>
                <w:color w:val="000000"/>
              </w:rPr>
            </w:pPr>
            <w:r>
              <w:rPr/>
              <w:t>35–54 éves korig</w:t>
            </w:r>
          </w:p>
        </w:tc>
        <w:tc>
          <w:tcPr>
            <w:tcW w:w="1574" w:type="dxa"/>
            <w:tcBorders/>
            <w:shd w:fill="auto" w:val="clear"/>
            <w:vAlign w:val="bottom"/>
          </w:tcPr>
          <w:p>
            <w:pPr>
              <w:pStyle w:val="P68B1DB1Contenudetableau122"/>
              <w:spacing w:before="57" w:after="57"/>
              <w:jc w:val="left"/>
              <w:rPr>
                <w:b/>
                <w:b/>
                <w:color w:val="000000"/>
              </w:rPr>
            </w:pPr>
            <w:r>
              <w:rPr/>
              <w:t>55–75 éves korig</w:t>
            </w:r>
          </w:p>
        </w:tc>
        <w:tc>
          <w:tcPr>
            <w:tcW w:w="1352" w:type="dxa"/>
            <w:tcBorders/>
            <w:shd w:fill="auto" w:val="clear"/>
            <w:vAlign w:val="bottom"/>
          </w:tcPr>
          <w:p>
            <w:pPr>
              <w:pStyle w:val="P68B1DB1Contenudetableau122"/>
              <w:spacing w:before="57" w:after="57"/>
              <w:jc w:val="left"/>
              <w:rPr>
                <w:b/>
                <w:b/>
                <w:color w:val="000000"/>
              </w:rPr>
            </w:pPr>
            <w:r>
              <w:rPr/>
              <w:t xml:space="preserve"> </w:t>
            </w:r>
            <w:r>
              <w:rPr/>
              <w:t>több mint 75 éves</w:t>
            </w:r>
          </w:p>
        </w:tc>
      </w:tr>
      <w:tr>
        <w:trPr>
          <w:trHeight w:val="536"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Észak-Drenthe</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Drenthe-től délkeletre</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Drenthe-től délnyugatra</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Flevoland</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29</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33</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28</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Észak-Frízföld</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20</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25</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Frieslandtól dél-keletre</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Frieslandtól délnyugatra</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Achterhoek</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27</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34</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Arnhem/Nijmegen</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52</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53</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55</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15</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Veluwe</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44</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48</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51</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Gelderland délnyugati része</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16</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18</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20</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Hotelek a(z) Grand Delfzijl közelében</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Keleti Groningen</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Groningen többi része</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36</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26</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28</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Limburg központja</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21</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Észak-Limburg</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20</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23</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Dél-Limburg </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38</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40</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52</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w:t>
            </w:r>
          </w:p>
        </w:tc>
      </w:tr>
      <w:tr>
        <w:trPr>
          <w:trHeight w:val="506"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Észak-Brabant központja</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34</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35</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35</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r>
    </w:tbl>
    <w:p>
      <w:pPr>
        <w:pStyle w:val="Normal"/>
        <w:spacing w:lineRule="auto" w:line="240"/>
        <w:ind w:left="0" w:right="0" w:hanging="0"/>
        <w:rPr/>
      </w:pPr>
      <w:r>
        <w:rPr/>
      </w:r>
    </w:p>
    <w:tbl>
      <w:tblPr>
        <w:tblW w:w="9638" w:type="dxa"/>
        <w:jc w:val="left"/>
        <w:tblInd w:w="0" w:type="dxa"/>
        <w:tblBorders/>
        <w:tblCellMar>
          <w:top w:w="28" w:type="dxa"/>
          <w:left w:w="28" w:type="dxa"/>
          <w:bottom w:w="28" w:type="dxa"/>
          <w:right w:w="28" w:type="dxa"/>
        </w:tblCellMar>
      </w:tblPr>
      <w:tblGrid>
        <w:gridCol w:w="4106"/>
        <w:gridCol w:w="1393"/>
        <w:gridCol w:w="1393"/>
        <w:gridCol w:w="1370"/>
        <w:gridCol w:w="1376"/>
      </w:tblGrid>
      <w:tr>
        <w:trPr>
          <w:trHeight w:val="356" w:hRule="atLeast"/>
        </w:trPr>
        <w:tc>
          <w:tcPr>
            <w:tcW w:w="4106" w:type="dxa"/>
            <w:tcBorders/>
            <w:shd w:fill="auto" w:val="clear"/>
            <w:vAlign w:val="bottom"/>
          </w:tcPr>
          <w:p>
            <w:pPr>
              <w:pStyle w:val="P68B1DB1Contenudetableau122"/>
              <w:spacing w:before="57" w:after="57"/>
              <w:jc w:val="left"/>
              <w:rPr>
                <w:b/>
                <w:b/>
                <w:color w:val="000000"/>
              </w:rPr>
            </w:pPr>
            <w:r>
              <w:rPr/>
              <w:t xml:space="preserve">A COROP régióinak és életkorának válaszai </w:t>
            </w:r>
          </w:p>
        </w:tc>
        <w:tc>
          <w:tcPr>
            <w:tcW w:w="1393" w:type="dxa"/>
            <w:tcBorders/>
            <w:shd w:fill="auto" w:val="clear"/>
            <w:vAlign w:val="bottom"/>
          </w:tcPr>
          <w:p>
            <w:pPr>
              <w:pStyle w:val="P68B1DB1Contenudetableau122"/>
              <w:spacing w:before="57" w:after="57"/>
              <w:jc w:val="left"/>
              <w:rPr>
                <w:b/>
                <w:b/>
                <w:color w:val="000000"/>
              </w:rPr>
            </w:pPr>
            <w:r>
              <w:rPr/>
              <w:t>18–34 éves korig</w:t>
            </w:r>
          </w:p>
        </w:tc>
        <w:tc>
          <w:tcPr>
            <w:tcW w:w="1393" w:type="dxa"/>
            <w:tcBorders/>
            <w:shd w:fill="auto" w:val="clear"/>
            <w:vAlign w:val="bottom"/>
          </w:tcPr>
          <w:p>
            <w:pPr>
              <w:pStyle w:val="P68B1DB1Contenudetableau122"/>
              <w:spacing w:before="57" w:after="57"/>
              <w:jc w:val="left"/>
              <w:rPr>
                <w:b/>
                <w:b/>
                <w:color w:val="000000"/>
              </w:rPr>
            </w:pPr>
            <w:r>
              <w:rPr/>
              <w:t>35–54 éves korig</w:t>
            </w:r>
          </w:p>
        </w:tc>
        <w:tc>
          <w:tcPr>
            <w:tcW w:w="1370" w:type="dxa"/>
            <w:tcBorders/>
            <w:shd w:fill="auto" w:val="clear"/>
            <w:vAlign w:val="bottom"/>
          </w:tcPr>
          <w:p>
            <w:pPr>
              <w:pStyle w:val="P68B1DB1Contenudetableau122"/>
              <w:spacing w:before="57" w:after="57"/>
              <w:jc w:val="left"/>
              <w:rPr>
                <w:b/>
                <w:b/>
                <w:color w:val="000000"/>
              </w:rPr>
            </w:pPr>
            <w:r>
              <w:rPr/>
              <w:t>55–75 éves korig</w:t>
            </w:r>
          </w:p>
        </w:tc>
        <w:tc>
          <w:tcPr>
            <w:tcW w:w="1376" w:type="dxa"/>
            <w:tcBorders/>
            <w:shd w:fill="auto" w:val="clear"/>
            <w:vAlign w:val="bottom"/>
          </w:tcPr>
          <w:p>
            <w:pPr>
              <w:pStyle w:val="P68B1DB1Contenudetableau122"/>
              <w:spacing w:before="57" w:after="57"/>
              <w:jc w:val="left"/>
              <w:rPr>
                <w:b/>
                <w:b/>
                <w:color w:val="000000"/>
              </w:rPr>
            </w:pPr>
            <w:r>
              <w:rPr/>
              <w:t>több mint 75 éves</w:t>
            </w:r>
          </w:p>
        </w:tc>
      </w:tr>
      <w:tr>
        <w:trPr>
          <w:trHeight w:val="536"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Észak-Brabanttól északkeletre</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41</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43</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51</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Észak-Brabanttól nyugatra</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40</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47</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15</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Észak-Brabanttól dél-keletre</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55</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56</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58</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18</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Haarlem agglomeráció</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18</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18</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Alkmaar és környéke</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19</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Nagy Amszterdam</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116</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104</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88</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23</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Gooi és Vechtstreek</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21</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IJmond</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15</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Észak-Hollandia hegye</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27</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30</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9</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Zaan régió</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Északi Overijssel</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25</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28</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25</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Twente</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41</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44</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46</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Overijsseltől délnyugatra</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Hotelek a(z) Utrecht közelében</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96</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100</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27</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Zeeland többi része</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16</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21</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23</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Zeeland Flandria</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Leiden agglomerációja és az izzók régiója</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30</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31</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31</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Hága agglomerációja</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63</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70</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57</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18</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Delft és Westland</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19</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15</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15</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Hotelek a(z) Grand Rijnmond közelében</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103</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107</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99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31</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Dél-Hollandia keleti része</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24</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25</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r>
      <w:tr>
        <w:trPr>
          <w:trHeight w:val="506"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Dél-Hollandiától dél-keletre</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24</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26</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26</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9</w:t>
            </w:r>
          </w:p>
        </w:tc>
      </w:tr>
    </w:tbl>
    <w:p>
      <w:pPr>
        <w:pStyle w:val="Normal"/>
        <w:spacing w:lineRule="auto" w:line="240"/>
        <w:ind w:left="0" w:right="0" w:hanging="0"/>
        <w:rPr/>
      </w:pPr>
      <w:r>
        <w:rPr/>
      </w:r>
    </w:p>
    <w:p>
      <w:pPr>
        <w:pStyle w:val="P68B1DB1Normal120"/>
        <w:spacing w:lineRule="auto" w:line="240"/>
        <w:ind w:left="0" w:right="0" w:hanging="0"/>
        <w:rPr>
          <w:rFonts w:ascii="Calibri" w:hAnsi="Calibri"/>
          <w:b/>
          <w:b/>
          <w:color w:val="000000"/>
          <w:sz w:val="21"/>
        </w:rPr>
      </w:pPr>
      <w:r>
        <w:rPr/>
        <w:t xml:space="preserve">Válaszok oktatási szint szerint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5937"/>
        <w:gridCol w:w="1863"/>
        <w:gridCol w:w="1838"/>
      </w:tblGrid>
      <w:tr>
        <w:trPr>
          <w:trHeight w:val="551" w:hRule="atLeast"/>
        </w:trPr>
        <w:tc>
          <w:tcPr>
            <w:tcW w:w="593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Alacsony</w:t>
            </w:r>
          </w:p>
        </w:tc>
        <w:tc>
          <w:tcPr>
            <w:tcW w:w="18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1382</w:t>
            </w:r>
          </w:p>
        </w:tc>
        <w:tc>
          <w:tcPr>
            <w:tcW w:w="183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34%</w:t>
            </w:r>
          </w:p>
        </w:tc>
      </w:tr>
      <w:tr>
        <w:trPr>
          <w:trHeight w:val="551" w:hRule="atLeast"/>
        </w:trPr>
        <w:tc>
          <w:tcPr>
            <w:tcW w:w="593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Közvetítő</w:t>
            </w:r>
          </w:p>
        </w:tc>
        <w:tc>
          <w:tcPr>
            <w:tcW w:w="18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1747</w:t>
            </w:r>
          </w:p>
        </w:tc>
        <w:tc>
          <w:tcPr>
            <w:tcW w:w="183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43%</w:t>
            </w:r>
          </w:p>
        </w:tc>
      </w:tr>
      <w:tr>
        <w:trPr>
          <w:trHeight w:val="551" w:hRule="atLeast"/>
        </w:trPr>
        <w:tc>
          <w:tcPr>
            <w:tcW w:w="593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Magas</w:t>
            </w:r>
          </w:p>
        </w:tc>
        <w:tc>
          <w:tcPr>
            <w:tcW w:w="18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915</w:t>
            </w:r>
          </w:p>
        </w:tc>
        <w:tc>
          <w:tcPr>
            <w:tcW w:w="183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w:t>
            </w:r>
          </w:p>
        </w:tc>
      </w:tr>
      <w:tr>
        <w:trPr>
          <w:trHeight w:val="536" w:hRule="atLeast"/>
        </w:trPr>
        <w:tc>
          <w:tcPr>
            <w:tcW w:w="593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Ismeretlen</w:t>
            </w:r>
          </w:p>
        </w:tc>
        <w:tc>
          <w:tcPr>
            <w:tcW w:w="18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42</w:t>
            </w:r>
          </w:p>
        </w:tc>
        <w:tc>
          <w:tcPr>
            <w:tcW w:w="183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w:t>
            </w:r>
          </w:p>
        </w:tc>
      </w:tr>
    </w:tbl>
    <w:p>
      <w:pPr>
        <w:pStyle w:val="Normal"/>
        <w:spacing w:lineRule="auto" w:line="240"/>
        <w:ind w:left="0" w:right="0" w:hanging="0"/>
        <w:rPr/>
      </w:pPr>
      <w:r>
        <w:rPr/>
      </w:r>
    </w:p>
    <w:p>
      <w:pPr>
        <w:pStyle w:val="P68B1DB1Normal107"/>
        <w:spacing w:lineRule="auto" w:line="240"/>
        <w:ind w:left="0" w:right="0" w:hanging="0"/>
        <w:rPr>
          <w:rFonts w:ascii="Calibri" w:hAnsi="Calibri"/>
          <w:i/>
          <w:i/>
          <w:color w:val="000000"/>
          <w:sz w:val="24"/>
        </w:rPr>
      </w:pPr>
      <w:r>
        <w:rPr/>
        <w:t xml:space="preserve">Megbízhatóság és reprezentativitás </w:t>
      </w:r>
    </w:p>
    <w:p>
      <w:pPr>
        <w:pStyle w:val="P68B1DB1Normal104"/>
        <w:widowControl w:val="false"/>
        <w:spacing w:lineRule="auto" w:line="240" w:before="87" w:after="0"/>
        <w:ind w:left="0" w:right="0" w:hanging="0"/>
        <w:jc w:val="left"/>
        <w:rPr/>
      </w:pPr>
      <w:r>
        <w:rPr/>
        <w:t xml:space="preserve">A 4086 fős válaszadók száma 95%-os konfidenciaszinttel és 1,53%-os hibahatárral teszi lehetővé a lakosság egészére vonatkozó megfigyelések készítését. Az eredmények konfidenciaszintjét és hibahatárát a minta mérete határozza meg. Minél nagyobb a minta, annál megbízhatóbb és pontosabb az eredmények extrapolálhatók a teljes populációra.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A konfidenciaszint 1 (100%) mínusz a jelentés szintje. Gyakori, hogy 5%-os jelentési szinten alapul. 95%-os megbízhatósági szintről beszélünk. Más szóval, ha a felmérést ugyanolyan módon és azonos feltételek mellett ismételnék meg, az esetek 95%-ában az eredmények azonosak lennének. </w:t>
      </w:r>
    </w:p>
    <w:p>
      <w:pPr>
        <w:pStyle w:val="P68B1DB1Normal104"/>
        <w:widowControl w:val="false"/>
        <w:spacing w:lineRule="auto" w:line="240"/>
        <w:ind w:left="0" w:right="0" w:hanging="0"/>
        <w:jc w:val="left"/>
        <w:rPr/>
      </w:pPr>
      <w:r>
        <w:rPr/>
        <w:t xml:space="preserve">A pontosság (hibahatárral kifejezve) azt az értéktartományt jelöli, amelyen belül a sokaság tényleges értéke található. Más szóval: mi lenne a legnagyobb különbség a minta eredményei és a sokaság egészéből nyert eredmények között? Az 1,53%-os hibahatár azt jelenti, hogy a teljes sokaságon belüli tényleges érték 1,53%-kal magasabb vagy alacsonyabb lehet a mintaértéknél. Például, ha egy mintán végzett felmérés azt mutatja, hogy a válaszadók 50%-a fontosnak tart egy adott témát, a tényleges százalék 1,53%-kal magasabb vagy alacsonyabb, mint az 50%, azaz 48,47 és 51,53% között. A maximális 5%-os hibahatár gyakori és általánosan elfogadott a kvantitatív vizsgálatokban (statisztikák). </w:t>
      </w:r>
    </w:p>
    <w:p>
      <w:pPr>
        <w:pStyle w:val="P68B1DB1Normal104"/>
        <w:widowControl w:val="false"/>
        <w:spacing w:lineRule="auto" w:line="240"/>
        <w:ind w:left="0" w:right="0" w:hanging="0"/>
        <w:jc w:val="left"/>
        <w:rPr/>
      </w:pPr>
      <w:r>
        <w:rPr/>
        <w:t xml:space="preserve">A megbízhatóság mellett fontos a minta reprezentativitása is. Mivel a részvételi felhívásokat tételekben küldték el és rétegezték, az eredmények a COROP régió jellemzőit és a COROP régió korcsoportjait tekintve reprezentatívak. A válaszok az oktatás szintje szempontjából is reprezentatívak a nemzeti szinten elért legmagasabb szinthez képest. </w:t>
      </w:r>
    </w:p>
    <w:p>
      <w:pPr>
        <w:pStyle w:val="P68B1DB1Normal107"/>
        <w:widowControl w:val="false"/>
        <w:spacing w:lineRule="auto" w:line="240"/>
        <w:ind w:left="0" w:right="0" w:hanging="0"/>
        <w:jc w:val="left"/>
        <w:rPr>
          <w:rFonts w:ascii="Calibri" w:hAnsi="Calibri"/>
          <w:i/>
          <w:i/>
          <w:color w:val="000000"/>
          <w:sz w:val="24"/>
        </w:rPr>
      </w:pPr>
      <w:r>
        <w:rPr/>
        <w:t xml:space="preserve">Egyéb általános jellemzők </w:t>
      </w:r>
    </w:p>
    <w:p>
      <w:pPr>
        <w:pStyle w:val="P68B1DB1Normal104"/>
        <w:widowControl w:val="false"/>
        <w:spacing w:lineRule="auto" w:line="240" w:before="5" w:after="0"/>
        <w:ind w:left="0" w:right="0" w:hanging="0"/>
        <w:jc w:val="left"/>
        <w:rPr/>
      </w:pPr>
      <w:r>
        <w:rPr/>
        <w:t xml:space="preserve">Számos további kontextuális kérdést tettek fel a résztvevőknek panelenkénti felmérésére. Ezek közé tartozik a nemek közötti egyenlőség, az uniós pozicionálás, a származás, a fő foglalkozás és az a politikai párt, amelyre a személy választás esetén szavazna. </w:t>
      </w:r>
    </w:p>
    <w:p>
      <w:pPr>
        <w:pStyle w:val="P68B1DB1Normal104"/>
        <w:widowControl w:val="false"/>
        <w:spacing w:lineRule="auto" w:line="240"/>
        <w:ind w:left="0" w:right="0" w:hanging="0"/>
        <w:jc w:val="left"/>
        <w:rPr/>
      </w:pPr>
      <w:r>
        <w:rPr/>
        <w:t xml:space="preserve">A válaszadók 49%-a férfi, 50%-a nő, és 1% inkább nem válaszol erre a kérdésre. </w:t>
      </w:r>
    </w:p>
    <w:p>
      <w:pPr>
        <w:pStyle w:val="Normal"/>
        <w:widowControl w:val="false"/>
        <w:spacing w:lineRule="auto" w:line="240"/>
        <w:ind w:left="0" w:right="0" w:hanging="0"/>
        <w:jc w:val="left"/>
        <w:rPr/>
      </w:pPr>
      <w:r>
        <w:rPr>
          <w:rFonts w:ascii="Calibri" w:hAnsi="Calibri"/>
          <w:color w:val="000000"/>
          <w:sz w:val="21"/>
        </w:rPr>
        <w:t xml:space="preserve">A válaszadók 51%-a gondolja úgy, hogy jó, ha Hollandia tagja az EU-nak, 13 százalékuk szerint rossz dolog, 36%-uk pedig semleges, vagy nincs véleménye. </w:t>
      </w:r>
      <w:r>
        <w:br w:type="page"/>
      </w:r>
    </w:p>
    <w:p>
      <w:pPr>
        <w:pStyle w:val="P68B1DB1Normal104"/>
        <w:spacing w:lineRule="auto" w:line="240"/>
        <w:ind w:left="0" w:right="0" w:hanging="0"/>
        <w:rPr/>
      </w:pPr>
      <w:r>
        <w:rPr/>
        <w:t xml:space="preserve">A válaszadók 95%-a Hollandiában született. A válaszadók 89%-a jelezte, hogy mindkét szülő Hollandiában született. 5% született olyan szülőtől, aki külföldön született. </w:t>
      </w:r>
    </w:p>
    <w:p>
      <w:pPr>
        <w:pStyle w:val="P68B1DB1Normal104"/>
        <w:widowControl w:val="false"/>
        <w:spacing w:lineRule="exact" w:line="339"/>
        <w:ind w:left="0" w:right="0" w:hanging="0"/>
        <w:jc w:val="left"/>
        <w:rPr>
          <w:rFonts w:ascii="Calibri" w:hAnsi="Calibri"/>
          <w:color w:val="000000"/>
          <w:sz w:val="21"/>
        </w:rPr>
      </w:pPr>
      <w:r>
        <w:rPr/>
        <w:t xml:space="preserve"> </w:t>
      </w:r>
    </w:p>
    <w:p>
      <w:pPr>
        <w:pStyle w:val="P68B1DB1Normal107"/>
        <w:widowControl w:val="false"/>
        <w:spacing w:lineRule="exact" w:line="375" w:before="33" w:after="0"/>
        <w:ind w:left="1" w:right="0" w:hanging="0"/>
        <w:jc w:val="left"/>
        <w:rPr>
          <w:rFonts w:ascii="Calibri" w:hAnsi="Calibri"/>
          <w:i/>
          <w:i/>
          <w:color w:val="000000"/>
          <w:sz w:val="24"/>
        </w:rPr>
      </w:pPr>
      <w:r>
        <w:rPr/>
        <w:t xml:space="preserve">A válaszadók jelenlegi politikai orientációja </w:t>
      </w:r>
    </w:p>
    <w:p>
      <w:pPr>
        <w:pStyle w:val="P68B1DB1Normal120"/>
        <w:widowControl w:val="false"/>
        <w:spacing w:lineRule="exact" w:line="352" w:before="34" w:after="0"/>
        <w:ind w:left="63" w:right="0" w:hanging="0"/>
        <w:jc w:val="left"/>
        <w:rPr>
          <w:rFonts w:ascii="Calibri" w:hAnsi="Calibri"/>
          <w:b/>
          <w:b/>
          <w:color w:val="000000"/>
          <w:sz w:val="21"/>
        </w:rPr>
      </w:pPr>
      <w:r>
        <w:rPr/>
        <w:t xml:space="preserve">Buli </w:t>
        <w:tab/>
        <w:tab/>
        <w:tab/>
        <w:tab/>
        <w:tab/>
        <w:tab/>
        <w:tab/>
        <w:tab/>
        <w:tab/>
        <w:tab/>
        <w:t>%</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6149"/>
        <w:gridCol w:w="3488"/>
      </w:tblGrid>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VVD (Emberi Párt a Szabadságért és Demokráciáért)</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PVV (Party for Freedom)[szerkesztés]</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SP (szocialista párt)</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D66 (Demokraták 66)</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CDA (Kereszténydemokrata felhívás)</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PvdA (Munkapárt)</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Partij voor de Dieren (Állatpárt)</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GroenLinks (Zöld Baloldal)</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ChristenUnie (Keresztény Unió)</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JA21</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BoerBurgerBeweging (Farmer-állami Mozgalom)</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Demokrata Fórum (Fórum a Demokráciáért)</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GSP (reformált politikai párt)</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Volt</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DENK</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Groep Van Haga értékelései</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BIJ1</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Fractie Den Haan – Videó letöltés mp3-ban</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0%</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Egyéb</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Fehér voksolás</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Inkább nem válaszolok.</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w:t>
            </w:r>
          </w:p>
        </w:tc>
      </w:tr>
      <w:tr>
        <w:trPr>
          <w:trHeight w:val="566"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Nem szavazok</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w:t>
            </w:r>
          </w:p>
        </w:tc>
      </w:tr>
    </w:tbl>
    <w:p>
      <w:pPr>
        <w:pStyle w:val="P68B1DB1Normal107"/>
        <w:spacing w:lineRule="auto" w:line="240"/>
        <w:ind w:left="0" w:right="0" w:hanging="0"/>
        <w:rPr>
          <w:rFonts w:ascii="Calibri" w:hAnsi="Calibri"/>
          <w:i/>
          <w:i/>
          <w:color w:val="000000"/>
          <w:sz w:val="24"/>
        </w:rPr>
      </w:pPr>
      <w:r>
        <w:rPr/>
        <w:t xml:space="preserve">Jelenleg mi a fő foglalkozásod? </w:t>
      </w:r>
    </w:p>
    <w:p>
      <w:pPr>
        <w:pStyle w:val="Normal"/>
        <w:spacing w:lineRule="auto" w:line="240"/>
        <w:ind w:left="0" w:right="0" w:hanging="0"/>
        <w:rPr/>
      </w:pPr>
      <w:r>
        <w:rPr/>
      </w:r>
    </w:p>
    <w:tbl>
      <w:tblPr>
        <w:tblW w:w="9638" w:type="dxa"/>
        <w:jc w:val="left"/>
        <w:tblInd w:w="0" w:type="dxa"/>
        <w:tblBorders/>
        <w:tblCellMar>
          <w:top w:w="28" w:type="dxa"/>
          <w:left w:w="28" w:type="dxa"/>
          <w:bottom w:w="28" w:type="dxa"/>
          <w:right w:w="28" w:type="dxa"/>
        </w:tblCellMar>
      </w:tblPr>
      <w:tblGrid>
        <w:gridCol w:w="6123"/>
        <w:gridCol w:w="3514"/>
      </w:tblGrid>
      <w:tr>
        <w:trPr>
          <w:trHeight w:val="356" w:hRule="atLeast"/>
        </w:trPr>
        <w:tc>
          <w:tcPr>
            <w:tcW w:w="6123" w:type="dxa"/>
            <w:tcBorders/>
            <w:shd w:fill="auto" w:val="clear"/>
            <w:vAlign w:val="bottom"/>
          </w:tcPr>
          <w:p>
            <w:pPr>
              <w:pStyle w:val="P68B1DB1Contenudetableau122"/>
              <w:spacing w:before="57" w:after="57"/>
              <w:jc w:val="left"/>
              <w:rPr>
                <w:b/>
                <w:b/>
                <w:color w:val="000000"/>
              </w:rPr>
            </w:pPr>
            <w:r>
              <w:rPr/>
              <w:t xml:space="preserve">Foglalkozás </w:t>
            </w:r>
          </w:p>
        </w:tc>
        <w:tc>
          <w:tcPr>
            <w:tcW w:w="3514" w:type="dxa"/>
            <w:tcBorders/>
            <w:shd w:fill="auto" w:val="clear"/>
            <w:vAlign w:val="bottom"/>
          </w:tcPr>
          <w:p>
            <w:pPr>
              <w:pStyle w:val="P68B1DB1Contenudetableau122"/>
              <w:spacing w:before="57" w:after="57"/>
              <w:jc w:val="left"/>
              <w:rPr>
                <w:b/>
                <w:b/>
                <w:color w:val="000000"/>
              </w:rPr>
            </w:pPr>
            <w:r>
              <w:rPr/>
              <w:t>%</w:t>
            </w:r>
          </w:p>
        </w:tc>
      </w:tr>
      <w:tr>
        <w:trPr>
          <w:trHeight w:val="536"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Diák/diák</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Részmunkaidős alkalmazott</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16%</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Teljes munkaidős alkalmazott</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31%</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Független vállalkozó</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Személy otthon</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Álláskereső</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Önkéntes</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Munkaképtelenség</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Nyugdíjas</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27%</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Egyéb</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w:t>
            </w:r>
          </w:p>
        </w:tc>
      </w:tr>
      <w:tr>
        <w:trPr>
          <w:trHeight w:val="506"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Inkább nem válaszolok.</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w:t>
            </w:r>
          </w:p>
        </w:tc>
      </w:tr>
    </w:tbl>
    <w:p>
      <w:pPr>
        <w:pStyle w:val="Normal"/>
        <w:spacing w:lineRule="auto" w:line="240"/>
        <w:ind w:left="0" w:right="0" w:hanging="0"/>
        <w:rPr/>
      </w:pPr>
      <w:r>
        <w:rPr/>
      </w:r>
    </w:p>
    <w:p>
      <w:pPr>
        <w:pStyle w:val="P68B1DB1Normal34"/>
        <w:spacing w:lineRule="auto" w:line="240"/>
        <w:ind w:left="0" w:right="0" w:hanging="0"/>
        <w:rPr/>
      </w:pPr>
      <w:r>
        <w:rPr>
          <w:rFonts w:ascii="Calibri" w:hAnsi="Calibri"/>
          <w:i/>
        </w:rPr>
        <w:t>Kérdőív</w:t>
      </w:r>
      <w:r>
        <w:rPr>
          <w:rFonts w:ascii="Times New Roman" w:hAnsi="Times New Roman"/>
        </w:rPr>
        <w:t xml:space="preserve"> </w:t>
      </w:r>
    </w:p>
    <w:p>
      <w:pPr>
        <w:pStyle w:val="P68B1DB1Normal104"/>
        <w:widowControl w:val="false"/>
        <w:spacing w:lineRule="auto" w:line="240" w:before="79" w:after="0"/>
        <w:ind w:left="0" w:right="0" w:hanging="0"/>
        <w:jc w:val="left"/>
        <w:rPr/>
      </w:pPr>
      <w:r>
        <w:rPr/>
        <w:t xml:space="preserve">A kérdőívet és a jelentést a Külügyminisztérium kérésére egy független külső szervezet készítette. A kérdőív moduláris struktúrát mutat be, és az Európa jövőjéről szóló konferencia témáival összhangban a következő kérdéseket tartalmazza: Fontos témák és Európa szerepe </w:t>
      </w:r>
    </w:p>
    <w:p>
      <w:pPr>
        <w:pStyle w:val="P68B1DB1Normal104"/>
        <w:widowControl w:val="false"/>
        <w:spacing w:lineRule="auto" w:line="240" w:before="1" w:after="0"/>
        <w:ind w:left="0" w:right="0" w:hanging="0"/>
        <w:jc w:val="left"/>
        <w:rPr>
          <w:rFonts w:ascii="Calibri" w:hAnsi="Calibri"/>
          <w:color w:val="000000"/>
          <w:sz w:val="21"/>
        </w:rPr>
      </w:pPr>
      <w:r>
        <w:rPr/>
        <w:t xml:space="preserve">Éghajlatváltozás és környezetvédelem </w:t>
      </w:r>
    </w:p>
    <w:p>
      <w:pPr>
        <w:pStyle w:val="P68B1DB1Normal104"/>
        <w:widowControl w:val="false"/>
        <w:spacing w:lineRule="auto" w:line="240"/>
        <w:ind w:left="0" w:right="0" w:hanging="0"/>
        <w:jc w:val="left"/>
        <w:rPr>
          <w:rFonts w:ascii="Calibri" w:hAnsi="Calibri"/>
          <w:color w:val="000000"/>
          <w:sz w:val="21"/>
        </w:rPr>
      </w:pPr>
      <w:r>
        <w:rPr/>
        <w:t xml:space="preserve">Egészség </w:t>
      </w:r>
    </w:p>
    <w:p>
      <w:pPr>
        <w:pStyle w:val="P68B1DB1Normal104"/>
        <w:widowControl w:val="false"/>
        <w:spacing w:lineRule="auto" w:line="240" w:before="1" w:after="0"/>
        <w:ind w:left="0" w:right="0" w:hanging="0"/>
        <w:jc w:val="left"/>
        <w:rPr>
          <w:rFonts w:ascii="Calibri" w:hAnsi="Calibri"/>
          <w:color w:val="000000"/>
          <w:sz w:val="21"/>
        </w:rPr>
      </w:pPr>
      <w:r>
        <w:rPr/>
        <w:t xml:space="preserve">Gazdaság és foglalkoztatás </w:t>
      </w:r>
    </w:p>
    <w:p>
      <w:pPr>
        <w:pStyle w:val="P68B1DB1Normal104"/>
        <w:widowControl w:val="false"/>
        <w:spacing w:lineRule="auto" w:line="240"/>
        <w:ind w:left="0" w:right="0" w:hanging="0"/>
        <w:jc w:val="left"/>
        <w:rPr>
          <w:rFonts w:ascii="Calibri" w:hAnsi="Calibri"/>
          <w:color w:val="000000"/>
          <w:sz w:val="21"/>
        </w:rPr>
      </w:pPr>
      <w:r>
        <w:rPr/>
        <w:t xml:space="preserve">Az Európai Unió szerepe a világban </w:t>
      </w:r>
    </w:p>
    <w:p>
      <w:pPr>
        <w:pStyle w:val="P68B1DB1Normal104"/>
        <w:widowControl w:val="false"/>
        <w:spacing w:lineRule="auto" w:line="240" w:before="1" w:after="0"/>
        <w:ind w:left="0" w:right="0" w:hanging="0"/>
        <w:jc w:val="left"/>
        <w:rPr>
          <w:rFonts w:ascii="Calibri" w:hAnsi="Calibri"/>
          <w:color w:val="000000"/>
          <w:sz w:val="21"/>
        </w:rPr>
      </w:pPr>
      <w:r>
        <w:rPr/>
        <w:t xml:space="preserve">Biztonság és jogállamiság </w:t>
      </w:r>
    </w:p>
    <w:p>
      <w:pPr>
        <w:pStyle w:val="P68B1DB1Normal104"/>
        <w:widowControl w:val="false"/>
        <w:spacing w:lineRule="auto" w:line="240"/>
        <w:ind w:left="0" w:right="0" w:hanging="0"/>
        <w:jc w:val="left"/>
        <w:rPr>
          <w:rFonts w:ascii="Calibri" w:hAnsi="Calibri"/>
          <w:color w:val="000000"/>
          <w:sz w:val="21"/>
        </w:rPr>
      </w:pPr>
      <w:r>
        <w:rPr/>
        <w:t xml:space="preserve">A virtuális világ </w:t>
      </w:r>
    </w:p>
    <w:p>
      <w:pPr>
        <w:pStyle w:val="P68B1DB1Normal104"/>
        <w:widowControl w:val="false"/>
        <w:spacing w:lineRule="auto" w:line="240" w:before="1" w:after="0"/>
        <w:ind w:left="0" w:right="0" w:hanging="0"/>
        <w:jc w:val="left"/>
        <w:rPr>
          <w:rFonts w:ascii="Calibri" w:hAnsi="Calibri"/>
          <w:color w:val="000000"/>
          <w:sz w:val="21"/>
        </w:rPr>
      </w:pPr>
      <w:r>
        <w:rPr/>
        <w:t xml:space="preserve">Európai demokrácia </w:t>
      </w:r>
    </w:p>
    <w:p>
      <w:pPr>
        <w:pStyle w:val="P68B1DB1Normal104"/>
        <w:widowControl w:val="false"/>
        <w:spacing w:lineRule="auto" w:line="240"/>
        <w:ind w:left="0" w:right="0" w:hanging="0"/>
        <w:jc w:val="left"/>
        <w:rPr>
          <w:rFonts w:ascii="Calibri" w:hAnsi="Calibri"/>
          <w:color w:val="000000"/>
          <w:sz w:val="21"/>
        </w:rPr>
      </w:pPr>
      <w:r>
        <w:rPr/>
        <w:t xml:space="preserve">Migráció és menekültek </w:t>
      </w:r>
    </w:p>
    <w:p>
      <w:pPr>
        <w:pStyle w:val="P68B1DB1Normal104"/>
        <w:widowControl w:val="false"/>
        <w:spacing w:lineRule="auto" w:line="240" w:before="1" w:after="0"/>
        <w:ind w:left="0" w:right="0" w:hanging="0"/>
        <w:jc w:val="left"/>
        <w:rPr>
          <w:rFonts w:ascii="Calibri" w:hAnsi="Calibri"/>
          <w:color w:val="000000"/>
          <w:sz w:val="21"/>
        </w:rPr>
      </w:pPr>
      <w:r>
        <w:rPr/>
        <w:t xml:space="preserve">Oktatás/kultúra/ifjúság/sport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pPr>
      <w:r>
        <w:rPr/>
        <w:t xml:space="preserve">A kérdőív elkészítése során nagy figyelmet fordítottak a kérdések minőségére, megbízhatóságára és érvényességére. Ezért a kérdések, állítások és válaszlehetőségek semleges, nem irányított megfogalmazását keresték, és ellenőrizték, hogy a kérdéseket érthető nyelven fogalmazták-e meg (B1 szint).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before="1" w:after="0"/>
        <w:ind w:left="0" w:right="0" w:hanging="0"/>
        <w:jc w:val="left"/>
        <w:rPr/>
      </w:pPr>
      <w:r>
        <w:rPr>
          <w:rFonts w:ascii="Calibri" w:hAnsi="Calibri"/>
          <w:color w:val="000000"/>
          <w:sz w:val="21"/>
        </w:rPr>
        <w:t xml:space="preserve">A kérdőívet a célcsoporthoz tartozó tesztrésztvevőkkel folytatott személyes interjúk során minőségteszteknek vetették alá. Ez lehetővé tette számunkra, hogy tanulmányozzuk, hogyan értelmezik a kérdéseket a különböző típusú válaszadók. Ha egy kérdés úgy tűnt, hogy túl nagy (túl összetett) kognitív terhelést jelent, akkor helyénvaló volt. </w:t>
      </w:r>
      <w:r>
        <w:br w:type="page"/>
      </w:r>
    </w:p>
    <w:p>
      <w:pPr>
        <w:pStyle w:val="P68B1DB1Normal107"/>
        <w:spacing w:lineRule="auto" w:line="240"/>
        <w:ind w:left="0" w:right="0" w:hanging="0"/>
        <w:rPr>
          <w:rFonts w:ascii="Calibri" w:hAnsi="Calibri"/>
          <w:i/>
          <w:i/>
          <w:color w:val="000000"/>
          <w:sz w:val="24"/>
        </w:rPr>
      </w:pPr>
      <w:r>
        <w:rPr/>
        <w:t xml:space="preserve">Elemzési módszerek </w:t>
      </w:r>
    </w:p>
    <w:p>
      <w:pPr>
        <w:pStyle w:val="P68B1DB1Normal104"/>
        <w:widowControl w:val="false"/>
        <w:spacing w:lineRule="auto" w:line="240" w:before="127" w:after="0"/>
        <w:ind w:left="0" w:right="0" w:hanging="0"/>
        <w:jc w:val="left"/>
        <w:rPr>
          <w:rFonts w:ascii="Calibri" w:hAnsi="Calibri"/>
          <w:color w:val="000000"/>
          <w:sz w:val="21"/>
        </w:rPr>
      </w:pPr>
      <w:r>
        <w:rPr/>
        <w:t xml:space="preserve">Ebben a felmérésben két elemzési módszert alkalmaztak: </w:t>
      </w:r>
    </w:p>
    <w:p>
      <w:pPr>
        <w:pStyle w:val="P68B1DB1Normal111"/>
        <w:widowControl w:val="false"/>
        <w:spacing w:lineRule="auto" w:line="240" w:before="38" w:after="0"/>
        <w:ind w:left="0" w:right="0" w:hanging="0"/>
        <w:jc w:val="left"/>
        <w:rPr>
          <w:rFonts w:ascii="Calibri" w:hAnsi="Calibri"/>
          <w:b/>
          <w:b/>
          <w:color w:val="000000"/>
          <w:sz w:val="22"/>
        </w:rPr>
      </w:pPr>
      <w:r>
        <w:rPr/>
        <w:t xml:space="preserve">Univariate elemzések </w:t>
      </w:r>
    </w:p>
    <w:p>
      <w:pPr>
        <w:pStyle w:val="P68B1DB1Normal104"/>
        <w:widowControl w:val="false"/>
        <w:spacing w:lineRule="auto" w:line="240" w:before="97" w:after="0"/>
        <w:ind w:left="0" w:right="0" w:hanging="0"/>
        <w:jc w:val="left"/>
        <w:rPr/>
      </w:pPr>
      <w:r>
        <w:rPr/>
        <w:t xml:space="preserve">Leíró statisztikákat használnak a felmérés változóinak leírására. Ebben a felmérésben gyakoriságokat és átlagokat használnak. </w:t>
      </w:r>
    </w:p>
    <w:p>
      <w:pPr>
        <w:pStyle w:val="P68B1DB1Normal111"/>
        <w:widowControl w:val="false"/>
        <w:spacing w:lineRule="auto" w:line="240" w:before="41" w:after="0"/>
        <w:ind w:left="0" w:right="0" w:hanging="0"/>
        <w:jc w:val="left"/>
        <w:rPr>
          <w:rFonts w:ascii="Calibri" w:hAnsi="Calibri"/>
          <w:b/>
          <w:b/>
          <w:color w:val="000000"/>
          <w:sz w:val="22"/>
        </w:rPr>
      </w:pPr>
      <w:r>
        <w:rPr/>
        <w:t xml:space="preserve">Kétváltozós elemzések </w:t>
      </w:r>
    </w:p>
    <w:p>
      <w:pPr>
        <w:pStyle w:val="P68B1DB1Normal104"/>
        <w:widowControl w:val="false"/>
        <w:spacing w:lineRule="auto" w:line="240" w:before="95" w:after="0"/>
        <w:ind w:left="0" w:right="0" w:hanging="0"/>
        <w:jc w:val="left"/>
        <w:rPr/>
      </w:pPr>
      <w:r>
        <w:rPr/>
        <w:t xml:space="preserve">A kétváltozós elemzések lehetővé teszik a két változó közötti kapcsolat vizsgálatát, ebben az esetben a különböző témák jelentősége és az EU beavatkozásának kérdése és az életkor általános jellemzője közötti összefüggést. Felülvizsgálatot végeztek annak megállapítására, hogy a különböző korcsoportok eltérő jelentőséget tulajdonítanak-e egy adott témának, és hogy vannak-e eltérő vélemények arról, hogy ezek a kérdések milyen mértékben kellene az EU-t bevonni. </w:t>
      </w:r>
    </w:p>
    <w:p>
      <w:pPr>
        <w:pStyle w:val="P68B1DB1Normal107"/>
        <w:widowControl w:val="false"/>
        <w:spacing w:lineRule="auto" w:line="240" w:before="43" w:after="0"/>
        <w:ind w:left="0" w:right="0" w:hanging="0"/>
        <w:jc w:val="left"/>
        <w:rPr>
          <w:rFonts w:ascii="Calibri" w:hAnsi="Calibri"/>
          <w:i/>
          <w:i/>
          <w:color w:val="000000"/>
          <w:sz w:val="24"/>
        </w:rPr>
      </w:pPr>
      <w:r>
        <w:rPr/>
        <w:t xml:space="preserve">Az információk közzététele és teljessége </w:t>
      </w:r>
    </w:p>
    <w:p>
      <w:pPr>
        <w:pStyle w:val="P68B1DB1Normal104"/>
        <w:widowControl w:val="false"/>
        <w:spacing w:lineRule="auto" w:line="240" w:before="123" w:after="0"/>
        <w:ind w:left="0" w:right="0" w:hanging="0"/>
        <w:jc w:val="left"/>
        <w:rPr/>
      </w:pPr>
      <w:r>
        <w:rPr/>
        <w:t xml:space="preserve">Ez a jelentés (vizuális) reprezentálja a felmérési panel válaszadóinak feltett kérdések eredményeit. Néhány kérdés esetében a válaszadó lehetőséget kapott arra, hogy „nyitott” (azaz nem előre meghatározott) válaszokat adjon. A nyílt válaszokat ezután kategorizálták és belefoglalták a kiadványba. A válaszadók által az ingyenes észrevételekben megosztott ötleteket felhasználják az „Európa-látogatás” civil párbeszéd folyamatának nyomon követéseként szervezett különböző tematikus párbeszédek során. </w:t>
      </w:r>
    </w:p>
    <w:p>
      <w:pPr>
        <w:pStyle w:val="P68B1DB1Normal108"/>
        <w:widowControl w:val="false"/>
        <w:spacing w:lineRule="auto" w:line="240" w:before="35" w:after="0"/>
        <w:ind w:left="0" w:right="0" w:hanging="0"/>
        <w:jc w:val="left"/>
        <w:rPr>
          <w:rFonts w:ascii="Calibri" w:hAnsi="Calibri"/>
          <w:b/>
          <w:b/>
          <w:i/>
          <w:i/>
          <w:color w:val="000000"/>
          <w:sz w:val="24"/>
        </w:rPr>
      </w:pPr>
      <w:r>
        <w:rPr/>
        <w:t xml:space="preserve">2. Online tematikus párbeszédek az elmélyülés érdekében </w:t>
      </w:r>
    </w:p>
    <w:p>
      <w:pPr>
        <w:pStyle w:val="P68B1DB1Normal104"/>
        <w:widowControl w:val="false"/>
        <w:spacing w:lineRule="auto" w:line="240" w:before="17" w:after="0"/>
        <w:ind w:left="0" w:right="0" w:hanging="0"/>
        <w:jc w:val="left"/>
        <w:rPr/>
      </w:pPr>
      <w:r>
        <w:rPr/>
        <w:t xml:space="preserve">Az Európa jövőjéről szóló konferencia középpontjában álló témákat nyolc online tematikus párbeszéd elmélyítette. Ezeknek a párbeszédeknek az volt a célja, hogy feltárják a kifejtett vélemények okait, valamint a mögöttük álló motivációkat és érzéseket. Mik az észlelt aggodalmak és lehetőségek? A vitaülések lehetővé tették a résztvevők számára, hogy javaslatokat és ötleteket fogalmazzanak meg ezekre a témákra, valamint olyan kérdéseket is felvetjenek, amelyek nem részei a konferenciának, de továbbra is fontosak számukra. </w:t>
      </w:r>
    </w:p>
    <w:p>
      <w:pPr>
        <w:pStyle w:val="P68B1DB1Normal24"/>
        <w:widowControl w:val="false"/>
        <w:spacing w:lineRule="auto" w:line="240" w:before="2" w:after="0"/>
        <w:ind w:left="0" w:right="0" w:hanging="0"/>
        <w:jc w:val="left"/>
        <w:rPr>
          <w:rFonts w:ascii="Times New Roman" w:hAnsi="Times New Roman"/>
          <w:color w:val="000000"/>
          <w:sz w:val="22"/>
        </w:rPr>
      </w:pPr>
      <w:r>
        <w:rPr/>
        <w:t xml:space="preserve"> </w:t>
      </w:r>
    </w:p>
    <w:p>
      <w:pPr>
        <w:pStyle w:val="P68B1DB1Normal104"/>
        <w:widowControl w:val="false"/>
        <w:spacing w:lineRule="auto" w:line="240" w:before="8" w:after="0"/>
        <w:ind w:left="0" w:right="0" w:hanging="0"/>
        <w:jc w:val="left"/>
        <w:rPr/>
      </w:pPr>
      <w:r>
        <w:rPr/>
        <w:t xml:space="preserve">A tematikus párbeszédekre október 12–14-én és november 9–11-én került sor. Októberben négy online tematikus párbeszédre került sor a „Gazdaság” és a „demokrácia” témájában. Novemberben négy online tematikus párbeszédre került sor az „Éghajlat” és „Az EU a világban” témában. Átlagosan 29 ember vett részt minden megbeszélésen (összesen 231). A résztvevőket a panel tagjai közül (lásd az 1. pontot) és a közösségi médián keresztül vették fel. </w:t>
      </w:r>
    </w:p>
    <w:p>
      <w:pPr>
        <w:pStyle w:val="P68B1DB1Normal19"/>
        <w:widowControl w:val="false"/>
        <w:spacing w:lineRule="auto" w:line="240" w:before="1" w:after="0"/>
        <w:ind w:left="0" w:right="0" w:hanging="0"/>
        <w:jc w:val="left"/>
        <w:rPr>
          <w:rFonts w:ascii="Times New Roman" w:hAnsi="Times New Roman"/>
          <w:color w:val="000000"/>
          <w:sz w:val="24"/>
        </w:rPr>
      </w:pPr>
      <w:r>
        <w:rPr/>
        <w:t xml:space="preserve"> </w:t>
      </w:r>
    </w:p>
    <w:p>
      <w:pPr>
        <w:pStyle w:val="P68B1DB1Normal108"/>
        <w:widowControl w:val="false"/>
        <w:spacing w:lineRule="auto" w:line="240" w:before="3" w:after="0"/>
        <w:ind w:left="0" w:right="0" w:hanging="0"/>
        <w:jc w:val="left"/>
        <w:rPr>
          <w:rFonts w:ascii="Calibri" w:hAnsi="Calibri"/>
          <w:b/>
          <w:b/>
          <w:i/>
          <w:i/>
          <w:color w:val="000000"/>
          <w:sz w:val="24"/>
        </w:rPr>
      </w:pPr>
      <w:r>
        <w:rPr/>
        <w:t xml:space="preserve">3. Párbeszédek meghatározott csoportokkal </w:t>
      </w:r>
    </w:p>
    <w:p>
      <w:pPr>
        <w:pStyle w:val="P68B1DB1Normal104"/>
        <w:widowControl w:val="false"/>
        <w:spacing w:lineRule="auto" w:line="240" w:before="12" w:after="0"/>
        <w:ind w:left="0" w:right="0" w:hanging="0"/>
        <w:jc w:val="left"/>
        <w:rPr/>
      </w:pPr>
      <w:r>
        <w:rPr/>
        <w:t xml:space="preserve">Egyes holland csoportokról ismert, hogy kevésbé hozzászoktak a felmérésekben és paneleken való részvételhez (online). Annak érdekében, hogy „Hollandia hangja” reprezentatív képet kapjon, fontos volt, hogy ezek a polgárok is kifejthessék elképzeléseiket és véleményüket. Ezért is szerveztünk számos helyszíni párbeszédet az „Európa-látogatás” felméréshez. Az általunk összegyűjtött véleményeket és ötleteket (többek között) alapul vettük az ajánlások megfogalmazásához. </w:t>
      </w:r>
    </w:p>
    <w:p>
      <w:pPr>
        <w:pStyle w:val="P68B1DB1Normal24"/>
        <w:widowControl w:val="false"/>
        <w:spacing w:lineRule="auto" w:line="240" w:before="4" w:after="0"/>
        <w:ind w:left="0" w:right="0" w:hanging="0"/>
        <w:jc w:val="left"/>
        <w:rPr>
          <w:rFonts w:ascii="Times New Roman" w:hAnsi="Times New Roman"/>
          <w:color w:val="000000"/>
          <w:sz w:val="22"/>
        </w:rPr>
      </w:pPr>
      <w:r>
        <w:rPr/>
        <w:t xml:space="preserve"> </w:t>
      </w:r>
    </w:p>
    <w:p>
      <w:pPr>
        <w:pStyle w:val="Normal"/>
        <w:spacing w:lineRule="auto" w:line="240"/>
        <w:ind w:left="0" w:right="0" w:hanging="0"/>
        <w:rPr/>
      </w:pPr>
      <w:r>
        <w:rPr/>
      </w:r>
      <w:r>
        <w:br w:type="page"/>
      </w:r>
    </w:p>
    <w:p>
      <w:pPr>
        <w:pStyle w:val="P68B1DB1Normal107"/>
        <w:spacing w:lineRule="auto" w:line="240"/>
        <w:ind w:left="0" w:right="0" w:hanging="0"/>
        <w:rPr>
          <w:rFonts w:ascii="Calibri" w:hAnsi="Calibri"/>
          <w:i/>
          <w:i/>
          <w:color w:val="000000"/>
          <w:sz w:val="24"/>
        </w:rPr>
      </w:pPr>
      <w:r>
        <w:rPr/>
        <w:t xml:space="preserve">Célcsoportok </w:t>
      </w:r>
    </w:p>
    <w:p>
      <w:pPr>
        <w:pStyle w:val="P68B1DB1Normal110"/>
        <w:widowControl w:val="false"/>
        <w:spacing w:lineRule="auto" w:line="240" w:before="22" w:after="0"/>
        <w:ind w:left="0" w:right="0" w:hanging="0"/>
        <w:jc w:val="left"/>
        <w:rPr/>
      </w:pPr>
      <w:r>
        <w:rPr>
          <w:sz w:val="21"/>
        </w:rPr>
        <w:t xml:space="preserve">A nehezen elérhető célcsoportok nem határozhatók meg egyértelműen. Tanulmányok és tapasztalatok lehetővé teszik számunkra, hogy tudjuk, hogy a </w:t>
      </w:r>
      <w:r>
        <w:rPr>
          <w:b/>
          <w:sz w:val="21"/>
        </w:rPr>
        <w:t>nem nyugati származású</w:t>
      </w:r>
      <w:r>
        <w:rPr>
          <w:sz w:val="21"/>
        </w:rPr>
        <w:t>holland emberek lényegesen kevésbé vesznek részt magukban a vizsgálatokban és a vitákban. Mivel ez nagy csoportot képvisel (a holland</w:t>
      </w:r>
      <w:r>
        <w:rPr>
          <w:position w:val="6"/>
          <w:sz w:val="14"/>
        </w:rPr>
        <w:t>1</w:t>
      </w:r>
      <w:r>
        <w:rPr>
          <w:sz w:val="21"/>
        </w:rPr>
        <w:t xml:space="preserve">-ek 14%-a), kiválasztották őket az Európa jövőképéről szóló párbeszédben való részvételre. Ugyanezt az érvelést követték a </w:t>
      </w:r>
      <w:r>
        <w:rPr>
          <w:b/>
          <w:sz w:val="21"/>
        </w:rPr>
        <w:t>kevéssé képzett személyek esetében is</w:t>
      </w:r>
      <w:r>
        <w:rPr>
          <w:sz w:val="21"/>
        </w:rPr>
        <w:t>. Szintén nagy csoportról van szó (2,5 millió holland</w:t>
      </w:r>
      <w:r>
        <w:rPr>
          <w:position w:val="6"/>
          <w:sz w:val="14"/>
        </w:rPr>
        <w:t>2</w:t>
      </w:r>
      <w:r>
        <w:rPr>
          <w:sz w:val="21"/>
        </w:rPr>
        <w:t xml:space="preserve">), amely részben átfedésben van a migráns csoporttal (39%). Végül párbeszédre került sor olyan emberek egy csoportjával, akiket ritkán találnak felmérésekben és vitákban, </w:t>
      </w:r>
      <w:r>
        <w:rPr>
          <w:b/>
          <w:sz w:val="21"/>
        </w:rPr>
        <w:t>akik kritikusak Európával szemben, de akik számára Európa fontos szerepet játszik a szakmai szférában.</w:t>
      </w:r>
      <w:r>
        <w:rPr>
          <w:sz w:val="21"/>
        </w:rPr>
        <w:t xml:space="preserve"> A mezőgazdasági ágazat vállalkozóit választották ki. </w:t>
      </w:r>
    </w:p>
    <w:p>
      <w:pPr>
        <w:pStyle w:val="P68B1DB1Normal104"/>
        <w:widowControl w:val="false"/>
        <w:spacing w:lineRule="auto" w:line="240" w:before="13" w:after="0"/>
        <w:ind w:left="0" w:right="0" w:hanging="0"/>
        <w:jc w:val="left"/>
        <w:rPr>
          <w:rFonts w:ascii="Calibri" w:hAnsi="Calibri"/>
          <w:color w:val="000000"/>
          <w:sz w:val="21"/>
        </w:rPr>
      </w:pPr>
      <w:r>
        <w:rPr/>
        <w:t xml:space="preserve"> </w:t>
      </w:r>
    </w:p>
    <w:p>
      <w:pPr>
        <w:pStyle w:val="P68B1DB1Normal104"/>
        <w:widowControl w:val="false"/>
        <w:spacing w:lineRule="auto" w:line="240" w:before="15" w:after="0"/>
        <w:ind w:left="0" w:right="0" w:hanging="0"/>
        <w:jc w:val="left"/>
        <w:rPr/>
      </w:pPr>
      <w:r>
        <w:rPr/>
        <w:t xml:space="preserve">A fent említett csoportokat olyan szervezeteken keresztül keresték fel, amelyeknek tagjai, például migráns szervezetek, érdekképviseleti egyesületek és szakmai szervezetek. Mivel a párbeszédek számát nyolcra korlátoztuk, nem lehettünk teljesen „teljesek”. Ez némileg önkényessé teszi a résztvevők kiválasztását. Annak érdekében, hogy ezt a döntést, figyelembe vettük a lelkesedést, hogy részt vegyenek, és segít mozgósítani bázisukat, valamint a gyakorlati kérdések, mint a rendelkezésre állás szerint dátum és helyszín. </w:t>
      </w:r>
    </w:p>
    <w:p>
      <w:pPr>
        <w:pStyle w:val="P68B1DB1Normal104"/>
        <w:widowControl w:val="false"/>
        <w:spacing w:lineRule="auto" w:line="240" w:before="13" w:after="0"/>
        <w:ind w:left="0" w:right="0" w:hanging="0"/>
        <w:jc w:val="left"/>
        <w:rPr>
          <w:rFonts w:ascii="Calibri" w:hAnsi="Calibri"/>
          <w:color w:val="000000"/>
          <w:sz w:val="21"/>
        </w:rPr>
      </w:pPr>
      <w:r>
        <w:rPr/>
        <w:t xml:space="preserve"> </w:t>
      </w:r>
    </w:p>
    <w:p>
      <w:pPr>
        <w:pStyle w:val="P68B1DB1Normal104"/>
        <w:widowControl w:val="false"/>
        <w:spacing w:lineRule="auto" w:line="240" w:before="15" w:after="0"/>
        <w:ind w:left="0" w:right="0" w:hanging="0"/>
        <w:jc w:val="left"/>
        <w:rPr>
          <w:rFonts w:ascii="Calibri" w:hAnsi="Calibri"/>
          <w:color w:val="000000"/>
          <w:sz w:val="21"/>
        </w:rPr>
      </w:pPr>
      <w:r>
        <w:rPr/>
        <w:t xml:space="preserve">Helyszíni párbeszédre került sor a következő szervezetek tagjaival: </w:t>
      </w:r>
    </w:p>
    <w:p>
      <w:pPr>
        <w:pStyle w:val="P68B1DB1Normal105"/>
        <w:widowControl w:val="false"/>
        <w:spacing w:lineRule="auto" w:line="240" w:before="19" w:after="0"/>
        <w:ind w:left="0" w:right="0" w:hanging="0"/>
        <w:jc w:val="left"/>
        <w:rPr/>
      </w:pPr>
      <w:r>
        <w:rPr>
          <w:rFonts w:ascii="Verdana" w:hAnsi="Verdana"/>
        </w:rPr>
        <w:t>•</w:t>
      </w:r>
      <w:r>
        <w:rPr/>
        <w:t xml:space="preserve"> </w:t>
      </w:r>
      <w:r>
        <w:rPr>
          <w:rFonts w:ascii="Calibri" w:hAnsi="Calibri"/>
        </w:rPr>
        <w:t xml:space="preserve">Hakder Alapítvány, Alevi közösség, Schiedam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Asha Alapítvány, hindu közösség, Utrecht (két beszélgetés)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Piëzo, civil szervezet, Zoetermeer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Taal doet Meer, az alacsonyan képzett emberek szervezete, Utrecht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BoerenNatuur, mezőgazdasági csoportok társulása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Marokkanen Dialoog Overvecht, marokkói közösség, Utrecht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Nők a szabadságért, a migráns hátterű nők érdekképviseleti szervezete, Hága </w:t>
      </w:r>
    </w:p>
    <w:p>
      <w:pPr>
        <w:pStyle w:val="P68B1DB1Normal104"/>
        <w:widowControl w:val="false"/>
        <w:spacing w:lineRule="auto" w:line="240" w:before="12" w:after="0"/>
        <w:ind w:left="0" w:right="0" w:hanging="0"/>
        <w:jc w:val="left"/>
        <w:rPr>
          <w:rFonts w:ascii="Calibri" w:hAnsi="Calibri"/>
          <w:color w:val="000000"/>
          <w:sz w:val="21"/>
        </w:rPr>
      </w:pPr>
      <w:r>
        <w:rPr/>
        <w:t xml:space="preserve"> </w:t>
      </w:r>
    </w:p>
    <w:p>
      <w:pPr>
        <w:pStyle w:val="P68B1DB1Normal104"/>
        <w:widowControl w:val="false"/>
        <w:spacing w:lineRule="auto" w:line="240" w:before="101" w:after="0"/>
        <w:ind w:left="0" w:right="0" w:hanging="0"/>
        <w:jc w:val="left"/>
        <w:rPr>
          <w:rFonts w:ascii="Calibri" w:hAnsi="Calibri"/>
          <w:color w:val="000000"/>
          <w:sz w:val="21"/>
        </w:rPr>
      </w:pPr>
      <w:r>
        <w:rPr/>
        <w:t xml:space="preserve">Összesen 110 ember vett részt ezeken a megbeszéléseken. </w:t>
      </w:r>
    </w:p>
    <w:p>
      <w:pPr>
        <w:pStyle w:val="P68B1DB1Normal19"/>
        <w:widowControl w:val="false"/>
        <w:spacing w:lineRule="auto" w:line="240" w:before="90" w:after="0"/>
        <w:ind w:left="0" w:right="0" w:hanging="0"/>
        <w:jc w:val="left"/>
        <w:rPr>
          <w:rFonts w:ascii="Times New Roman" w:hAnsi="Times New Roman"/>
          <w:color w:val="000000"/>
          <w:sz w:val="24"/>
        </w:rPr>
      </w:pPr>
      <w:r>
        <w:rPr/>
        <w:t xml:space="preserve"> </w:t>
      </w:r>
    </w:p>
    <w:p>
      <w:pPr>
        <w:pStyle w:val="P68B1DB1Normal108"/>
        <w:widowControl w:val="false"/>
        <w:spacing w:lineRule="auto" w:line="240" w:before="339" w:after="0"/>
        <w:ind w:left="0" w:right="0" w:hanging="0"/>
        <w:jc w:val="left"/>
        <w:rPr>
          <w:rFonts w:ascii="Calibri" w:hAnsi="Calibri"/>
          <w:b/>
          <w:b/>
          <w:i/>
          <w:i/>
          <w:color w:val="000000"/>
          <w:sz w:val="24"/>
        </w:rPr>
      </w:pPr>
      <w:r>
        <w:rPr/>
        <w:t xml:space="preserve">4. Párbeszéd a fiatalokkal </w:t>
      </w:r>
    </w:p>
    <w:p>
      <w:pPr>
        <w:pStyle w:val="P68B1DB1Normal104"/>
        <w:widowControl w:val="false"/>
        <w:spacing w:lineRule="auto" w:line="240" w:before="118" w:after="0"/>
        <w:ind w:left="0" w:right="0" w:hanging="0"/>
        <w:jc w:val="both"/>
        <w:rPr/>
      </w:pPr>
      <w:r>
        <w:rPr/>
        <w:t xml:space="preserve">A fiatalok az Európa jövőjéről szóló konferencia kiemelt célcsoportjai. Annak érdekében, hogy aktívan ösztönözzék részvételüket az „Európa Látogatása” elnevezésű civil párbeszédben, és hogy e csoport véleményei és ötletei jól hallhatók legyenek, öt, kifejezetten a fiatalok számára szervezett fizikai vitaülésre került sor. A koronavírussal kapcsolatos korlátozó intézkedések miatt hatodik tervezett találkozóra nem kerülhetett sor a fiatalokkal. </w:t>
      </w:r>
    </w:p>
    <w:p>
      <w:pPr>
        <w:pStyle w:val="P68B1DB1Normal104"/>
        <w:widowControl w:val="false"/>
        <w:spacing w:lineRule="auto" w:line="240" w:before="1" w:after="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both"/>
        <w:rPr>
          <w:rFonts w:ascii="Calibri" w:hAnsi="Calibri"/>
          <w:color w:val="000000"/>
          <w:sz w:val="21"/>
        </w:rPr>
      </w:pPr>
      <w:r>
        <w:rPr/>
        <w:t xml:space="preserve">Az ülésekre a következő intézményekben került sor: </w:t>
      </w:r>
    </w:p>
    <w:p>
      <w:pPr>
        <w:pStyle w:val="P68B1DB1Normal104"/>
        <w:widowControl w:val="false"/>
        <w:spacing w:lineRule="auto" w:line="240"/>
        <w:ind w:left="0" w:right="0" w:hanging="0"/>
        <w:jc w:val="both"/>
        <w:rPr>
          <w:rFonts w:ascii="Calibri" w:hAnsi="Calibri"/>
          <w:color w:val="000000"/>
          <w:sz w:val="21"/>
        </w:rPr>
      </w:pPr>
      <w:r>
        <w:rPr/>
        <w:t xml:space="preserve">Történeti Diákok Egyesülete, Leideni Egyetem </w:t>
      </w:r>
    </w:p>
    <w:p>
      <w:pPr>
        <w:pStyle w:val="P68B1DB1Normal104"/>
        <w:widowControl w:val="false"/>
        <w:spacing w:lineRule="auto" w:line="240"/>
        <w:ind w:left="0" w:right="0" w:hanging="0"/>
        <w:jc w:val="both"/>
        <w:rPr>
          <w:rFonts w:ascii="Calibri" w:hAnsi="Calibri"/>
          <w:color w:val="000000"/>
          <w:sz w:val="21"/>
        </w:rPr>
      </w:pPr>
      <w:r>
        <w:rPr/>
        <w:t xml:space="preserve">Dr. Knippenberg Főiskola, High School, Helmond </w:t>
      </w:r>
    </w:p>
    <w:p>
      <w:pPr>
        <w:pStyle w:val="P68B1DB1Normal104"/>
        <w:widowControl w:val="false"/>
        <w:spacing w:lineRule="auto" w:line="240" w:before="1" w:after="0"/>
        <w:ind w:left="0" w:right="0" w:hanging="0"/>
        <w:jc w:val="left"/>
        <w:rPr>
          <w:rFonts w:ascii="Calibri" w:hAnsi="Calibri"/>
          <w:color w:val="000000"/>
          <w:sz w:val="21"/>
        </w:rPr>
      </w:pPr>
      <w:r>
        <w:rPr/>
        <w:t xml:space="preserve">Coalitie-Y, Gazdasági és Szociális Tanács Ifjúsági Platform </w:t>
      </w:r>
    </w:p>
    <w:p>
      <w:pPr>
        <w:pStyle w:val="P68B1DB1Normal104"/>
        <w:widowControl w:val="false"/>
        <w:spacing w:lineRule="auto" w:line="240"/>
        <w:ind w:left="0" w:right="0" w:hanging="0"/>
        <w:jc w:val="left"/>
        <w:rPr>
          <w:rFonts w:ascii="Calibri" w:hAnsi="Calibri"/>
          <w:color w:val="000000"/>
          <w:sz w:val="21"/>
        </w:rPr>
      </w:pPr>
      <w:r>
        <w:rPr/>
        <w:t xml:space="preserve">Graafschap Főiskola, Szakközépiskola, Doetinchem </w:t>
      </w:r>
    </w:p>
    <w:p>
      <w:pPr>
        <w:pStyle w:val="P68B1DB1Normal104"/>
        <w:widowControl w:val="false"/>
        <w:spacing w:lineRule="auto" w:line="240" w:before="1" w:after="0"/>
        <w:ind w:left="0" w:right="0" w:hanging="0"/>
        <w:jc w:val="left"/>
        <w:rPr>
          <w:rFonts w:ascii="Calibri" w:hAnsi="Calibri"/>
          <w:color w:val="000000"/>
          <w:sz w:val="21"/>
        </w:rPr>
      </w:pPr>
      <w:r>
        <w:rPr/>
        <w:t xml:space="preserve">CSG Jan Arentsz, technológiai témákra összpontosító középfokú oktatás, Alkmaar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before="1" w:after="0"/>
        <w:ind w:left="0" w:right="0" w:hanging="0"/>
        <w:jc w:val="left"/>
        <w:rPr>
          <w:rFonts w:ascii="Calibri" w:hAnsi="Calibri"/>
          <w:color w:val="000000"/>
          <w:sz w:val="21"/>
        </w:rPr>
      </w:pPr>
      <w:r>
        <w:rPr>
          <w:rFonts w:ascii="Calibri" w:hAnsi="Calibri"/>
          <w:color w:val="000000"/>
          <w:sz w:val="21"/>
        </w:rPr>
        <w:t xml:space="preserve">Összesen 95 fiatal vett részt a megbeszéléseken. </w:t>
      </w:r>
      <w:r>
        <w:br w:type="page"/>
      </w:r>
    </w:p>
    <w:p>
      <w:pPr>
        <w:pStyle w:val="P68B1DB1Normal107"/>
        <w:spacing w:lineRule="auto" w:line="240"/>
        <w:ind w:left="0" w:right="0" w:hanging="0"/>
        <w:rPr>
          <w:rFonts w:ascii="Calibri" w:hAnsi="Calibri"/>
          <w:i/>
          <w:i/>
          <w:color w:val="000000"/>
          <w:sz w:val="24"/>
        </w:rPr>
      </w:pPr>
      <w:r>
        <w:rPr/>
        <w:t xml:space="preserve">Alkalmazott karbantartási technikák </w:t>
      </w:r>
    </w:p>
    <w:p>
      <w:pPr>
        <w:pStyle w:val="P68B1DB1Normal104"/>
        <w:widowControl w:val="false"/>
        <w:spacing w:lineRule="auto" w:line="240" w:before="10" w:after="0"/>
        <w:ind w:left="0" w:right="0" w:hanging="0"/>
        <w:jc w:val="left"/>
        <w:rPr/>
      </w:pPr>
      <w:r>
        <w:rPr/>
        <w:t xml:space="preserve">Az online tematikus párbeszédek, a konkrét csoportokkal folytatott párbeszédek és a fiatalokkal folytatott párbeszédek az úgynevezett „szokratikus” interjúmódszer alkalmazásával zajlottak. Ezt a módszert évek óta alkalmazzák a Párbeszéd Napján, ahol Hollandiában az emberek kölcsönhatásba lépnek az őket érintő kérdésekben. A Szókratikus karbantartási módszerrel összefüggésben a moderátornak a következő elveket kell figyelembe vennie: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5"/>
        <w:widowControl w:val="false"/>
        <w:spacing w:lineRule="auto" w:line="240" w:before="7" w:after="0"/>
        <w:ind w:left="0" w:right="0" w:hanging="0"/>
        <w:jc w:val="left"/>
        <w:rPr/>
      </w:pPr>
      <w:r>
        <w:rPr>
          <w:rFonts w:ascii="Verdana" w:hAnsi="Verdana"/>
        </w:rPr>
        <w:t>•</w:t>
      </w:r>
      <w:r>
        <w:rPr/>
        <w:t xml:space="preserve"> </w:t>
      </w:r>
      <w:r>
        <w:rPr/>
        <w:t xml:space="preserve">Hadd mesélje el a másik a történetüket </w:t>
      </w:r>
      <w:r>
        <w:rPr>
          <w:rFonts w:ascii="Calibri" w:hAnsi="Calibri"/>
        </w:rPr>
        <w:t xml:space="preserve"> </w:t>
      </w:r>
    </w:p>
    <w:p>
      <w:pPr>
        <w:pStyle w:val="P68B1DB1Normal105"/>
        <w:widowControl w:val="false"/>
        <w:spacing w:lineRule="auto" w:line="240" w:before="2" w:after="0"/>
        <w:ind w:left="0" w:right="0" w:hanging="0"/>
        <w:jc w:val="left"/>
        <w:rPr/>
      </w:pPr>
      <w:r>
        <w:rPr>
          <w:rFonts w:ascii="Verdana" w:hAnsi="Verdana"/>
        </w:rPr>
        <w:t>Ne</w:t>
      </w:r>
      <w:r>
        <w:rPr/>
        <w:t xml:space="preserve"> </w:t>
      </w:r>
      <w:r>
        <w:rPr>
          <w:rFonts w:ascii="Calibri" w:hAnsi="Calibri"/>
        </w:rPr>
        <w:t xml:space="preserve">válaszolj rá azonnal egy másik történettel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Kényeztesse magát tisztelettel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Beszéljünk a saját nézőpontjáról („Megtalálom” ahelyett, hogy „mondják”)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További magyarázat kérése, ha a kifejtett nézetek általánosságokra korlátozódnak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Kerülje az ítéleteket és elemezze azokat </w:t>
      </w:r>
    </w:p>
    <w:p>
      <w:pPr>
        <w:pStyle w:val="P68B1DB1Normal105"/>
        <w:widowControl w:val="false"/>
        <w:spacing w:lineRule="auto" w:line="240" w:before="5" w:after="0"/>
        <w:ind w:left="0" w:right="0" w:hanging="0"/>
        <w:jc w:val="left"/>
        <w:rPr/>
      </w:pPr>
      <w:r>
        <w:rPr>
          <w:rFonts w:ascii="Verdana" w:hAnsi="Verdana"/>
        </w:rPr>
        <w:t>•</w:t>
      </w:r>
      <w:r>
        <w:rPr/>
        <w:t xml:space="preserve"> </w:t>
      </w:r>
      <w:r>
        <w:rPr>
          <w:rFonts w:ascii="Calibri" w:hAnsi="Calibri"/>
        </w:rPr>
        <w:t xml:space="preserve">Adja meg a csend pillanatait, ha az embereknek gondolkodniuk kell egy pillanatra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A párbeszédek során a következő ritmust kell használni: divergencia – konvergencia – divergencia. Az alapelv az, hogy először el kell különülnie (közvetlenül kifejeznie az egyéni érzéseket és véleményeket), mielőtt konvergálhat (lehetséges utakon beszél), majd végül újra el kell térnie (például gyűjtsön egyéni ajánlásokat). A tapasztalat és az elmélet azt mutatja, hogy ez a ritmus biztosítja a párbeszéd optimális áramlását. </w:t>
      </w:r>
    </w:p>
    <w:p>
      <w:pPr>
        <w:pStyle w:val="P68B1DB1Normal104"/>
        <w:widowControl w:val="false"/>
        <w:spacing w:lineRule="auto" w:line="240" w:before="1" w:after="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rFonts w:ascii="Calibri" w:hAnsi="Calibri"/>
          <w:color w:val="000000"/>
          <w:sz w:val="21"/>
        </w:rPr>
      </w:pPr>
      <w:r>
        <w:rPr/>
        <w:t xml:space="preserve">A párbeszédeket szakmai facilitátorok folytatták. </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P68B1DB1Normal108"/>
        <w:widowControl w:val="false"/>
        <w:spacing w:lineRule="auto" w:line="240" w:before="229" w:after="0"/>
        <w:ind w:left="0" w:right="0" w:hanging="0"/>
        <w:jc w:val="both"/>
        <w:rPr/>
      </w:pPr>
      <w:r>
        <w:rPr/>
        <w:t>5. Online nyilvános felmérés: Kérdőív és „Swipen naar de toekomst” (Swiper to the future)</w:t>
      </w:r>
    </w:p>
    <w:p>
      <w:pPr>
        <w:pStyle w:val="P68B1DB1Normal104"/>
        <w:widowControl w:val="false"/>
        <w:spacing w:lineRule="auto" w:line="240" w:before="229" w:after="0"/>
        <w:ind w:left="0" w:right="0" w:hanging="0"/>
        <w:jc w:val="both"/>
        <w:rPr/>
      </w:pPr>
      <w:r>
        <w:rPr/>
        <w:t xml:space="preserve">A kérdőív minden holland számára nyitva állt, beleértve a külföldön tartózkodókat is. Ez a kérdőív 2021. szeptember 1-jétől 2021. november 14-ig állt rendelkezésre. Ezenkívül ugyanebben az időszakban minden holland részt vehetett a „Swipen naar de toekomst” (Swiper to toekomst) (Swiper to the future) akcióban, amely 20 állítást tartalmaz. </w:t>
      </w:r>
    </w:p>
    <w:p>
      <w:pPr>
        <w:pStyle w:val="P68B1DB1Normal107"/>
        <w:widowControl w:val="false"/>
        <w:spacing w:lineRule="auto" w:line="240" w:before="41" w:after="0"/>
        <w:ind w:left="0" w:right="0" w:hanging="0"/>
        <w:jc w:val="left"/>
        <w:rPr>
          <w:rFonts w:ascii="Calibri" w:hAnsi="Calibri"/>
          <w:i/>
          <w:i/>
          <w:color w:val="000000"/>
          <w:sz w:val="24"/>
        </w:rPr>
      </w:pPr>
      <w:r>
        <w:rPr/>
        <w:t xml:space="preserve">Válaszok és használat </w:t>
      </w:r>
    </w:p>
    <w:p>
      <w:pPr>
        <w:pStyle w:val="P68B1DB1Normal104"/>
        <w:widowControl w:val="false"/>
        <w:spacing w:lineRule="auto" w:line="240" w:before="7" w:after="0"/>
        <w:ind w:left="0" w:right="0" w:hanging="0"/>
        <w:jc w:val="left"/>
        <w:rPr/>
      </w:pPr>
      <w:r>
        <w:rPr/>
        <w:t xml:space="preserve">Összesen 1967 résztvevő töltötte ki a kérdőívet, és 6968 került a képernyőszkennelő eszköz végére. Mind a kérdőív, mind a képernyőszkenner mindenki számára nyitva volt: a részvételhez nem voltak előfeltételek vagy kiválasztási kritériumok. A kérdőívben a válaszadási arány maximalizálása érdekében kérdéseket lehetett átadni (nem voltak kötelező kérdések). A résztvevők úgy döntöttek, hogy „nem válaszolok” sokkal gyakrabban, mint a reprezentatív panel felmérésben. </w:t>
      </w:r>
    </w:p>
    <w:p>
      <w:pPr>
        <w:pStyle w:val="P68B1DB1Normal104"/>
        <w:widowControl w:val="false"/>
        <w:spacing w:lineRule="auto" w:line="240"/>
        <w:ind w:left="0" w:right="0" w:hanging="0"/>
        <w:jc w:val="left"/>
        <w:rPr/>
      </w:pPr>
      <w:r>
        <w:rPr/>
        <w:t xml:space="preserve">A nyílt kérdőívben és a képernyőszkennelő eszközben a résztvevők általános jellemzői több szempontból is eltérnek a reprezentatív testület résztvevőinek jellemzőitől. A paneles felméréstől eltérően a nyitott kérdőív és a szkennelő eszköz eredményei nem reprezentatívak. Az online nyílt felmérés eredményeit a panelfelmérés kiegészítéseként használták fel. Áttekintést adnak a Hollandiában keringő érzésekről és eszmékről. A beviteli mezőkben említett javítási javaslatokat a „Viták és ötletek online és a helyszínen” című szakaszban használták fel. A szkennelő eszközt arra használták, hogy jobban megértsék a Hollandiában keringő érzéseket. Ezeket az eredményeket figyelembe vették az ajánlások kidolgozása során. A reprezentativitás követelménye miatt ebben a jelentésben korlátozott mértékben vették figyelembe az interneten indított vizsgálat eredményeit. </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Normal"/>
        <w:widowControl w:val="false"/>
        <w:spacing w:lineRule="auto" w:line="240"/>
        <w:ind w:left="0" w:right="0" w:hanging="0"/>
        <w:jc w:val="left"/>
        <w:rPr/>
      </w:pPr>
      <w:r>
        <w:rPr>
          <w:rFonts w:ascii="Calibri" w:hAnsi="Calibri"/>
          <w:color w:val="000000"/>
          <w:sz w:val="21"/>
        </w:rPr>
        <w:t xml:space="preserve">Ezt a jelentést a Külügyminisztérium teszi közzé. </w:t>
      </w:r>
      <w:hyperlink r:id="rId118">
        <w:r>
          <w:rPr>
            <w:rStyle w:val="LienInternet"/>
          </w:rPr>
          <w:t>www.kijkopeuropa.nl</w:t>
        </w:r>
      </w:hyperlink>
      <w:r>
        <w:rPr>
          <w:rFonts w:ascii="Calibri" w:hAnsi="Calibri"/>
          <w:color w:val="000000"/>
          <w:sz w:val="21"/>
        </w:rPr>
        <w:t xml:space="preserve"> </w:t>
      </w:r>
      <w:r>
        <w:rPr/>
        <w:t xml:space="preserve"> </w:t>
      </w:r>
      <w:r>
        <w:br w:type="page"/>
      </w:r>
    </w:p>
    <w:p>
      <w:pPr>
        <w:pStyle w:val="Normal"/>
        <w:spacing w:lineRule="auto" w:line="240"/>
        <w:ind w:left="0" w:right="0" w:hanging="0"/>
        <w:rPr/>
      </w:pPr>
      <w:r>
        <w:rPr/>
        <w:drawing>
          <wp:anchor behindDoc="0" distT="0" distB="0" distL="0" distR="0" simplePos="0" locked="0" layoutInCell="1" allowOverlap="1" relativeHeight="49">
            <wp:simplePos x="0" y="0"/>
            <wp:positionH relativeFrom="column">
              <wp:align>center</wp:align>
            </wp:positionH>
            <wp:positionV relativeFrom="paragraph">
              <wp:posOffset>635</wp:posOffset>
            </wp:positionV>
            <wp:extent cx="3114040" cy="2009775"/>
            <wp:effectExtent l="0" t="0" r="0" b="0"/>
            <wp:wrapTopAndBottom/>
            <wp:docPr id="110" name="Kép4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Kép47" descr=""/>
                    <pic:cNvPicPr>
                      <a:picLocks noChangeAspect="1" noChangeArrowheads="1"/>
                    </pic:cNvPicPr>
                  </pic:nvPicPr>
                  <pic:blipFill>
                    <a:blip r:embed="rId119"/>
                    <a:stretch>
                      <a:fillRect/>
                    </a:stretch>
                  </pic:blipFill>
                  <pic:spPr bwMode="auto">
                    <a:xfrm>
                      <a:off x="0" y="0"/>
                      <a:ext cx="3114040" cy="2009775"/>
                    </a:xfrm>
                    <a:prstGeom prst="rect">
                      <a:avLst/>
                    </a:prstGeom>
                  </pic:spPr>
                </pic:pic>
              </a:graphicData>
            </a:graphic>
          </wp:anchor>
        </w:drawing>
      </w:r>
    </w:p>
    <w:p>
      <w:pPr>
        <w:pStyle w:val="P68B1DB1Normal123"/>
        <w:spacing w:lineRule="auto" w:line="240"/>
        <w:ind w:left="0" w:right="0" w:hanging="0"/>
        <w:rPr>
          <w:rFonts w:ascii="Calibri" w:hAnsi="Calibri"/>
          <w:color w:val="000000"/>
          <w:sz w:val="32"/>
        </w:rPr>
      </w:pPr>
      <w:r>
        <w:rPr/>
        <w:t xml:space="preserve">Hollandia nemzeti kormánya </w:t>
      </w:r>
    </w:p>
    <w:p>
      <w:pPr>
        <w:pStyle w:val="P68B1DB1Normal124"/>
        <w:widowControl w:val="false"/>
        <w:spacing w:lineRule="exact" w:line="1199" w:before="278" w:after="0"/>
        <w:ind w:left="0" w:right="0" w:hanging="0"/>
        <w:jc w:val="left"/>
        <w:rPr>
          <w:rFonts w:ascii="Calibri" w:hAnsi="Calibri"/>
          <w:b/>
          <w:b/>
          <w:color w:val="0070C0"/>
          <w:sz w:val="72"/>
        </w:rPr>
      </w:pPr>
      <w:r>
        <w:rPr/>
        <w:t xml:space="preserve">Jövőképünk Európáról </w:t>
      </w:r>
    </w:p>
    <w:p>
      <w:pPr>
        <w:pStyle w:val="Titre4"/>
        <w:numPr>
          <w:ilvl w:val="3"/>
          <w:numId w:val="2"/>
        </w:numPr>
        <w:rPr/>
      </w:pPr>
      <w:bookmarkStart w:id="237" w:name="__RefHeading___Toc298386_1346298689"/>
      <w:bookmarkEnd w:id="237"/>
      <w:r>
        <w:rPr/>
        <w:t>2022. januári jelentés</w:t>
      </w:r>
    </w:p>
    <w:p>
      <w:pPr>
        <w:pStyle w:val="P68B1DB1Normal20"/>
        <w:widowControl w:val="false"/>
        <w:spacing w:lineRule="auto" w:line="240" w:before="105" w:after="0"/>
        <w:ind w:left="0" w:right="0" w:hanging="0"/>
        <w:jc w:val="left"/>
        <w:rPr>
          <w:rFonts w:ascii="Calibri" w:hAnsi="Calibri"/>
          <w:color w:val="000000"/>
          <w:sz w:val="24"/>
        </w:rPr>
      </w:pPr>
      <w:r>
        <w:rPr/>
        <w:t xml:space="preserve">Vélemények, ötletek és ajánlások </w:t>
      </w:r>
    </w:p>
    <w:p>
      <w:pPr>
        <w:pStyle w:val="P68B1DB1Normal104"/>
        <w:widowControl w:val="false"/>
        <w:spacing w:lineRule="auto" w:line="240" w:before="116" w:after="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rFonts w:ascii="Calibri" w:hAnsi="Calibri"/>
          <w:color w:val="000000"/>
          <w:sz w:val="21"/>
        </w:rPr>
      </w:pPr>
      <w:r>
        <w:rPr/>
        <w:t xml:space="preserve"> </w:t>
      </w:r>
    </w:p>
    <w:p>
      <w:pPr>
        <w:pStyle w:val="P68B1DB1Normal120"/>
        <w:widowControl w:val="false"/>
        <w:spacing w:lineRule="auto" w:line="240"/>
        <w:ind w:left="0" w:right="0" w:hanging="0"/>
        <w:jc w:val="left"/>
        <w:rPr>
          <w:rFonts w:ascii="Calibri" w:hAnsi="Calibri"/>
          <w:b/>
          <w:b/>
          <w:color w:val="000000"/>
          <w:sz w:val="21"/>
        </w:rPr>
      </w:pPr>
      <w:r>
        <w:rPr/>
        <w:t xml:space="preserve">Témák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Éghajlatváltozás és környezetvédelem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Migráció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Egészség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Az EU a világban </w:t>
      </w:r>
    </w:p>
    <w:p>
      <w:pPr>
        <w:pStyle w:val="P68B1DB1Normal105"/>
        <w:widowControl w:val="false"/>
        <w:spacing w:lineRule="auto" w:line="240" w:before="7" w:after="0"/>
        <w:ind w:left="0" w:right="0" w:hanging="0"/>
        <w:jc w:val="left"/>
        <w:rPr/>
      </w:pPr>
      <w:r>
        <w:rPr>
          <w:rFonts w:ascii="Verdana" w:hAnsi="Verdana"/>
        </w:rPr>
        <w:t>•</w:t>
      </w:r>
      <w:r>
        <w:rPr/>
        <w:t xml:space="preserve">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2022. január 14. </w:t>
      </w:r>
    </w:p>
    <w:p>
      <w:pPr>
        <w:pStyle w:val="P68B1DB1Normal105"/>
        <w:widowControl w:val="false"/>
        <w:spacing w:lineRule="auto" w:line="240" w:before="5" w:after="0"/>
        <w:ind w:left="0" w:right="0" w:hanging="0"/>
        <w:jc w:val="left"/>
        <w:rPr/>
      </w:pPr>
      <w:r>
        <w:rPr>
          <w:rFonts w:ascii="Verdana" w:hAnsi="Verdana"/>
        </w:rPr>
        <w:t>•</w:t>
      </w:r>
      <w:r>
        <w:rPr/>
        <w:t xml:space="preserve">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Ez a dokumentum az „Elze kijk op Europa” című jelentés fordítása; Meningen, ideeën en Aanbevelingen„(”Európa jövőképe: vélemények, ötletek és ajánlások”, amely 2022. január 14-én jelent meg holland nyelven a www.kijkopeuropa.nl címen. Ez a fordítás a jelentés egyszerűsített változata, amelyben az eredeti prezentációt (illusztrációk és egyéb grafikai elemek) fordítás céljából módosították. </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Normal"/>
        <w:spacing w:lineRule="auto" w:line="240"/>
        <w:ind w:left="0" w:right="0" w:hanging="0"/>
        <w:rPr/>
      </w:pPr>
      <w:r>
        <w:rPr/>
      </w:r>
      <w:r>
        <w:br w:type="page"/>
      </w:r>
    </w:p>
    <w:p>
      <w:pPr>
        <w:pStyle w:val="P68B1DB1Normal125"/>
        <w:spacing w:lineRule="auto" w:line="240"/>
        <w:ind w:left="0" w:right="0" w:hanging="0"/>
        <w:rPr>
          <w:rFonts w:ascii="Calibri" w:hAnsi="Calibri"/>
          <w:b/>
          <w:b/>
          <w:color w:val="0070C0"/>
          <w:sz w:val="32"/>
        </w:rPr>
      </w:pPr>
      <w:r>
        <w:rPr/>
        <w:t xml:space="preserve">A mi víziónk... </w:t>
      </w:r>
    </w:p>
    <w:p>
      <w:pPr>
        <w:pStyle w:val="P68B1DB1Normal126"/>
        <w:widowControl w:val="false"/>
        <w:spacing w:lineRule="auto" w:line="240" w:before="101" w:after="0"/>
        <w:ind w:left="0" w:right="0" w:hanging="0"/>
        <w:jc w:val="left"/>
        <w:rPr>
          <w:rFonts w:ascii="Calibri" w:hAnsi="Calibri"/>
          <w:color w:val="0070C0"/>
          <w:sz w:val="24"/>
        </w:rPr>
      </w:pPr>
      <w:r>
        <w:rPr/>
        <w:t xml:space="preserve">A jelentés összefoglalása: az összes ajánlás röviden </w:t>
      </w:r>
    </w:p>
    <w:p>
      <w:pPr>
        <w:pStyle w:val="P68B1DB1Normal104"/>
        <w:widowControl w:val="false"/>
        <w:spacing w:lineRule="auto" w:line="240" w:before="109" w:after="0"/>
        <w:ind w:left="0" w:right="0" w:hanging="0"/>
        <w:jc w:val="both"/>
        <w:rPr/>
      </w:pPr>
      <w:r>
        <w:rPr/>
        <w:t xml:space="preserve">Az „Európa-látogatás” témában szervezett civil párbeszéd keretében összegyűjtöttük a holland polgárok Európa jövőjéről alkotott nézeteit és elképzeléseit. Ez a következő ajánlásokat eredményezte az Európai Unió számára az utolsó négy témára vonatkozóan (az összesen kilenc téma közül). </w:t>
      </w:r>
    </w:p>
    <w:p>
      <w:pPr>
        <w:pStyle w:val="P68B1DB1Normal126"/>
        <w:widowControl w:val="false"/>
        <w:spacing w:lineRule="auto" w:line="240" w:before="108" w:after="0"/>
        <w:ind w:left="0" w:right="0" w:hanging="0"/>
        <w:jc w:val="left"/>
        <w:rPr>
          <w:rFonts w:ascii="Calibri" w:hAnsi="Calibri"/>
          <w:color w:val="0070C0"/>
          <w:sz w:val="24"/>
        </w:rPr>
      </w:pPr>
      <w:r>
        <w:rPr/>
        <w:t xml:space="preserve">Éghajlatváltozás és környezetvédelem </w:t>
      </w:r>
    </w:p>
    <w:p>
      <w:pPr>
        <w:pStyle w:val="P68B1DB1Normal119"/>
        <w:widowControl w:val="false"/>
        <w:spacing w:lineRule="auto" w:line="240" w:before="103" w:after="0"/>
        <w:ind w:left="0" w:right="0" w:hanging="0"/>
        <w:jc w:val="left"/>
        <w:rPr/>
      </w:pPr>
      <w:r>
        <w:rPr>
          <w:rFonts w:ascii="Calibri" w:hAnsi="Calibri"/>
        </w:rPr>
        <w:t>1.</w:t>
      </w:r>
      <w:r>
        <w:rPr/>
        <w:t xml:space="preserve"> </w:t>
      </w:r>
      <w:r>
        <w:rPr>
          <w:rFonts w:ascii="Calibri" w:hAnsi="Calibri"/>
        </w:rPr>
        <w:t>Válasszon egyértelmű irányt az éghajlatváltozás európai megközelítéséhez</w:t>
      </w:r>
    </w:p>
    <w:p>
      <w:pPr>
        <w:pStyle w:val="P68B1DB1Normal119"/>
        <w:widowControl w:val="false"/>
        <w:spacing w:lineRule="auto" w:line="240"/>
        <w:ind w:left="0" w:right="0" w:hanging="0"/>
        <w:jc w:val="left"/>
        <w:rPr/>
      </w:pPr>
      <w:r>
        <w:rPr>
          <w:rFonts w:ascii="Calibri" w:hAnsi="Calibri"/>
        </w:rPr>
        <w:t>2.</w:t>
      </w:r>
      <w:r>
        <w:rPr/>
        <w:t xml:space="preserve"> </w:t>
      </w:r>
      <w:r>
        <w:rPr>
          <w:rFonts w:ascii="Calibri" w:hAnsi="Calibri"/>
        </w:rPr>
        <w:t>Biztosítsa, hogy az országok és a vállalkozások szorosabban együttműködjenek a célzott megoldások megtalálása érdekében 3.</w:t>
      </w:r>
      <w:r>
        <w:rPr/>
        <w:t xml:space="preserve"> </w:t>
      </w:r>
      <w:r>
        <w:rPr>
          <w:rFonts w:ascii="Calibri" w:hAnsi="Calibri"/>
        </w:rPr>
        <w:t>Olyan szén-dioxid-rendszer létrehozása, amely a gyakorlatban méltányos és megvalósítható</w:t>
      </w:r>
    </w:p>
    <w:p>
      <w:pPr>
        <w:pStyle w:val="P68B1DB1Normal119"/>
        <w:widowControl w:val="false"/>
        <w:spacing w:lineRule="auto" w:line="240"/>
        <w:ind w:left="0" w:right="0" w:hanging="0"/>
        <w:jc w:val="left"/>
        <w:rPr/>
      </w:pPr>
      <w:r>
        <w:rPr>
          <w:rFonts w:ascii="Calibri" w:hAnsi="Calibri"/>
        </w:rPr>
        <w:t>4.</w:t>
      </w:r>
      <w:r>
        <w:rPr/>
        <w:t xml:space="preserve"> </w:t>
      </w:r>
      <w:r>
        <w:rPr>
          <w:rFonts w:ascii="Calibri" w:hAnsi="Calibri"/>
        </w:rPr>
        <w:t>Világosabban és pozitívabban kommunikáljon az éghajlat-politikai megközelítésről</w:t>
      </w:r>
    </w:p>
    <w:p>
      <w:pPr>
        <w:pStyle w:val="P68B1DB1Normal104"/>
        <w:widowControl w:val="false"/>
        <w:spacing w:lineRule="auto" w:line="240" w:before="93" w:after="0"/>
        <w:ind w:left="0" w:right="0" w:hanging="0"/>
        <w:jc w:val="left"/>
        <w:rPr/>
      </w:pPr>
      <w:r>
        <w:rPr/>
        <w:t xml:space="preserve">A hollandok úgy vélik, hogy az EU-nak vezető szerepet kell játszania az éghajlatváltozás elleni küzdelemben. A tagállamoknak képesnek kell lenniük arra, hogy maguk döntsenek, de ennek ellenére együtt kell működniük ugyanazon célok elérése érdekében. Ahelyett, hogy egymásra mutatnának, az uniós országoknak több energiát kellene fordítaniuk az ismeretek cseréjére és a közös megoldások megtalálására. A CO2-kibocsátás megadóztatására szolgáló rendszer hatékony lehet, de méltányosnak, gyakorlatiasnak és egyértelműnek is kell lennie. Általános szabályként a hollandok úgy vélik, hogy az EU-nak hatékonyabban és pozitívabban kellene kommunikálnia az éghajlattal kapcsolatos kérdésekről. </w:t>
      </w:r>
    </w:p>
    <w:p>
      <w:pPr>
        <w:pStyle w:val="P68B1DB1Normal126"/>
        <w:widowControl w:val="false"/>
        <w:spacing w:lineRule="auto" w:line="240" w:before="108" w:after="0"/>
        <w:ind w:left="0" w:right="0" w:hanging="0"/>
        <w:jc w:val="left"/>
        <w:rPr>
          <w:rFonts w:ascii="Calibri" w:hAnsi="Calibri"/>
          <w:color w:val="0070C0"/>
          <w:sz w:val="24"/>
        </w:rPr>
      </w:pPr>
      <w:r>
        <w:rPr/>
        <w:t xml:space="preserve">Migráció </w:t>
      </w:r>
    </w:p>
    <w:p>
      <w:pPr>
        <w:pStyle w:val="P68B1DB1Normal119"/>
        <w:widowControl w:val="false"/>
        <w:spacing w:lineRule="auto" w:line="240" w:before="105" w:after="0"/>
        <w:ind w:left="0" w:right="0" w:hanging="0"/>
        <w:jc w:val="left"/>
        <w:rPr/>
      </w:pPr>
      <w:r>
        <w:rPr>
          <w:rFonts w:ascii="Calibri" w:hAnsi="Calibri"/>
        </w:rPr>
        <w:t>1.</w:t>
      </w:r>
      <w:r>
        <w:rPr/>
        <w:t xml:space="preserve"> </w:t>
      </w:r>
      <w:r>
        <w:rPr>
          <w:rFonts w:ascii="Calibri" w:hAnsi="Calibri"/>
        </w:rPr>
        <w:t>Annak megakadályozása, hogy a menekültkérdéssel kapcsolatos viták kevésbé árnyalódjanak</w:t>
      </w:r>
    </w:p>
    <w:p>
      <w:pPr>
        <w:pStyle w:val="P68B1DB1Normal119"/>
        <w:widowControl w:val="false"/>
        <w:spacing w:lineRule="auto" w:line="240"/>
        <w:ind w:left="0" w:right="0" w:hanging="0"/>
        <w:jc w:val="left"/>
        <w:rPr/>
      </w:pPr>
      <w:r>
        <w:rPr>
          <w:rFonts w:ascii="Calibri" w:hAnsi="Calibri"/>
        </w:rPr>
        <w:t>2.</w:t>
      </w:r>
      <w:r>
        <w:rPr/>
        <w:t xml:space="preserve"> </w:t>
      </w:r>
      <w:r>
        <w:rPr>
          <w:rFonts w:ascii="Calibri" w:hAnsi="Calibri"/>
        </w:rPr>
        <w:t>A menekültek igazságos és gyakorlati elosztásának meghatározása</w:t>
      </w:r>
    </w:p>
    <w:p>
      <w:pPr>
        <w:pStyle w:val="P68B1DB1Normal119"/>
        <w:widowControl w:val="false"/>
        <w:spacing w:lineRule="auto" w:line="240"/>
        <w:ind w:left="0" w:right="0" w:hanging="0"/>
        <w:jc w:val="left"/>
        <w:rPr/>
      </w:pPr>
      <w:r>
        <w:rPr>
          <w:rFonts w:ascii="Calibri" w:hAnsi="Calibri"/>
        </w:rPr>
        <w:t>3.</w:t>
      </w:r>
      <w:r>
        <w:rPr/>
        <w:t xml:space="preserve"> </w:t>
      </w:r>
      <w:r>
        <w:rPr>
          <w:rFonts w:ascii="Calibri" w:hAnsi="Calibri"/>
        </w:rPr>
        <w:t>A megszerzett ismeretek és tapasztalatok kiaknázása azoknak a régióknak a megsegítésére, ahonnan a menekültek érkeznek</w:t>
      </w:r>
    </w:p>
    <w:p>
      <w:pPr>
        <w:pStyle w:val="P68B1DB1Normal104"/>
        <w:widowControl w:val="false"/>
        <w:spacing w:lineRule="auto" w:line="240"/>
        <w:ind w:left="0" w:right="0" w:hanging="0"/>
        <w:jc w:val="left"/>
        <w:rPr/>
      </w:pPr>
      <w:r>
        <w:rPr/>
        <w:t xml:space="preserve">A hollandok szerint különbséget kell tenni a veszélyes területekről menekülők és a gazdasági menekültek között. A migrációról és az integrációról szóló viták gyakran hiányosak. Ahhoz, hogy Európában a menekültek igazságos elosztása megvalósuljon, az EU-n belül meg kell állapodni olyan egyértelmű kritériumokról, amelyek figyelembe veszik mind a tagállamokat, mind a menekülteket. Végül a hollandok azt javasolják, hogy az EU támogassa azokat a régiókat, amelyekből a menekültek nemcsak pénzügyileg, hanem tudás révén is érkeznek. </w:t>
      </w:r>
    </w:p>
    <w:p>
      <w:pPr>
        <w:pStyle w:val="P68B1DB1Normal126"/>
        <w:widowControl w:val="false"/>
        <w:spacing w:lineRule="auto" w:line="240" w:before="108" w:after="0"/>
        <w:ind w:left="0" w:right="0" w:hanging="0"/>
        <w:jc w:val="left"/>
        <w:rPr>
          <w:rFonts w:ascii="Calibri" w:hAnsi="Calibri"/>
          <w:color w:val="0070C0"/>
          <w:sz w:val="24"/>
        </w:rPr>
      </w:pPr>
      <w:r>
        <w:rPr/>
        <w:t xml:space="preserve">Egészség </w:t>
      </w:r>
    </w:p>
    <w:p>
      <w:pPr>
        <w:pStyle w:val="P68B1DB1Normal119"/>
        <w:widowControl w:val="false"/>
        <w:spacing w:lineRule="auto" w:line="240" w:before="103" w:after="0"/>
        <w:ind w:left="0" w:right="0" w:hanging="0"/>
        <w:jc w:val="left"/>
        <w:rPr/>
      </w:pPr>
      <w:r>
        <w:rPr>
          <w:rFonts w:ascii="Calibri" w:hAnsi="Calibri"/>
        </w:rPr>
        <w:t>1.</w:t>
      </w:r>
      <w:r>
        <w:rPr/>
        <w:t xml:space="preserve"> </w:t>
      </w:r>
      <w:r>
        <w:rPr>
          <w:rFonts w:ascii="Calibri" w:hAnsi="Calibri"/>
        </w:rPr>
        <w:t>Jobban ellenőrizzék a világjárvány kezelését</w:t>
      </w:r>
    </w:p>
    <w:p>
      <w:pPr>
        <w:pStyle w:val="P68B1DB1Normal119"/>
        <w:widowControl w:val="false"/>
        <w:spacing w:lineRule="auto" w:line="240"/>
        <w:ind w:left="0" w:right="0" w:hanging="0"/>
        <w:jc w:val="left"/>
        <w:rPr/>
      </w:pPr>
      <w:r>
        <w:rPr>
          <w:rFonts w:ascii="Calibri" w:hAnsi="Calibri"/>
        </w:rPr>
        <w:t>2.</w:t>
      </w:r>
      <w:r>
        <w:rPr/>
        <w:t xml:space="preserve"> </w:t>
      </w:r>
      <w:r>
        <w:rPr>
          <w:rFonts w:ascii="Calibri" w:hAnsi="Calibri"/>
        </w:rPr>
        <w:t>Biztosítsa a megfizethető és megbízható gyógyszerek elérhetőségét mindenki számára</w:t>
      </w:r>
    </w:p>
    <w:p>
      <w:pPr>
        <w:pStyle w:val="P68B1DB1Normal119"/>
        <w:widowControl w:val="false"/>
        <w:spacing w:lineRule="auto" w:line="240"/>
        <w:ind w:left="0" w:right="0" w:hanging="0"/>
        <w:jc w:val="left"/>
        <w:rPr/>
      </w:pPr>
      <w:r>
        <w:rPr>
          <w:rFonts w:ascii="Calibri" w:hAnsi="Calibri"/>
        </w:rPr>
        <w:t>3.</w:t>
      </w:r>
      <w:r>
        <w:rPr/>
        <w:t xml:space="preserve"> </w:t>
      </w:r>
      <w:r>
        <w:rPr>
          <w:rFonts w:ascii="Calibri" w:hAnsi="Calibri"/>
        </w:rPr>
        <w:t>Az országoknak arra kell összpontosítaniuk, hogy javítsák egészségügyi rendszereiket és méltányosabbá tegyék azt</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Normal"/>
        <w:widowControl w:val="false"/>
        <w:spacing w:lineRule="auto" w:line="240"/>
        <w:ind w:left="0" w:right="0" w:hanging="0"/>
        <w:jc w:val="both"/>
        <w:rPr/>
      </w:pPr>
      <w:r>
        <w:rPr>
          <w:rFonts w:ascii="Calibri" w:hAnsi="Calibri"/>
          <w:color w:val="000000"/>
          <w:sz w:val="21"/>
        </w:rPr>
        <w:t xml:space="preserve">A hollandok úgy vélik, hogy az uniós országoknak jobban együtt kell működniük a világjárvány elleni küzdelemben. A koronavírus-válság kezelésének módja néha zavart okoz. A szabályoknak összhangban kell lenniük egymással, anélkül, hogy mindenhol azonosnak kellene lenniük. Ami az oltóanyagokat vagy gyógyszereket illeti, a hollandok azt akarják, hogy az árak a lehető legalacsonyabbak maradjanak, de a minőségre és a felelős termelésre akarnak támaszkodni. Fontosnak tartjuk továbbá, hogy a nagyvállalatok ne éljenek vissza erejükkel, és hiszünk abban, hogy az egészségügynek továbbra is nemzeti szinten kell maradnia. </w:t>
      </w:r>
      <w:r>
        <w:br w:type="page"/>
      </w:r>
    </w:p>
    <w:p>
      <w:pPr>
        <w:pStyle w:val="P68B1DB1Normal126"/>
        <w:widowControl w:val="false"/>
        <w:spacing w:lineRule="auto" w:line="240"/>
        <w:ind w:left="0" w:right="0" w:hanging="0"/>
        <w:jc w:val="left"/>
        <w:rPr>
          <w:rFonts w:ascii="Calibri" w:hAnsi="Calibri"/>
          <w:color w:val="0070C0"/>
          <w:sz w:val="24"/>
        </w:rPr>
      </w:pPr>
      <w:r>
        <w:rPr/>
        <w:t xml:space="preserve">Az EU szerepe a világban </w:t>
      </w:r>
    </w:p>
    <w:p>
      <w:pPr>
        <w:pStyle w:val="P68B1DB1Normal119"/>
        <w:widowControl w:val="false"/>
        <w:spacing w:lineRule="auto" w:line="240" w:before="112" w:after="0"/>
        <w:ind w:left="0" w:right="0" w:hanging="0"/>
        <w:jc w:val="left"/>
        <w:rPr/>
      </w:pPr>
      <w:r>
        <w:rPr>
          <w:rFonts w:ascii="Calibri" w:hAnsi="Calibri"/>
        </w:rPr>
        <w:t>1.</w:t>
      </w:r>
      <w:r>
        <w:rPr/>
        <w:t xml:space="preserve"> </w:t>
      </w:r>
      <w:r>
        <w:rPr>
          <w:rFonts w:ascii="Calibri" w:hAnsi="Calibri"/>
        </w:rPr>
        <w:t>Az EU erejének kiaknázása a kulcsfontosságú nemzetközi témákban, főként</w:t>
      </w:r>
    </w:p>
    <w:p>
      <w:pPr>
        <w:pStyle w:val="P68B1DB1Normal119"/>
        <w:widowControl w:val="false"/>
        <w:spacing w:lineRule="auto" w:line="240" w:before="112" w:after="0"/>
        <w:ind w:left="0" w:right="0" w:hanging="0"/>
        <w:jc w:val="left"/>
        <w:rPr/>
      </w:pPr>
      <w:r>
        <w:rPr>
          <w:rFonts w:ascii="Calibri" w:hAnsi="Calibri"/>
        </w:rPr>
        <w:t>2.</w:t>
      </w:r>
      <w:r>
        <w:rPr/>
        <w:t xml:space="preserve"> </w:t>
      </w:r>
      <w:r>
        <w:rPr>
          <w:rFonts w:ascii="Calibri" w:hAnsi="Calibri"/>
        </w:rPr>
        <w:t>Európán belül és kívül, inkább az együttműködést válasszuk, mint a harcot</w:t>
      </w:r>
    </w:p>
    <w:p>
      <w:pPr>
        <w:pStyle w:val="P68B1DB1Normal119"/>
        <w:widowControl w:val="false"/>
        <w:spacing w:lineRule="auto" w:line="240" w:before="112" w:after="0"/>
        <w:ind w:left="0" w:right="0" w:hanging="0"/>
        <w:jc w:val="left"/>
        <w:rPr/>
      </w:pPr>
      <w:r>
        <w:rPr>
          <w:rFonts w:ascii="Calibri" w:hAnsi="Calibri"/>
        </w:rPr>
        <w:t>3.</w:t>
      </w:r>
      <w:r>
        <w:rPr/>
        <w:t xml:space="preserve"> </w:t>
      </w:r>
      <w:r>
        <w:rPr>
          <w:rFonts w:ascii="Calibri" w:hAnsi="Calibri"/>
        </w:rPr>
        <w:t>Felajánlás, átgondolt módon, segít abban az esetben, ha egy konfliktus</w:t>
      </w:r>
    </w:p>
    <w:p>
      <w:pPr>
        <w:pStyle w:val="P68B1DB1Normal104"/>
        <w:widowControl w:val="false"/>
        <w:spacing w:lineRule="auto" w:line="240" w:before="84" w:after="0"/>
        <w:ind w:left="0" w:right="0" w:hanging="0"/>
        <w:jc w:val="left"/>
        <w:rPr/>
      </w:pPr>
      <w:r>
        <w:rPr/>
        <w:t xml:space="preserve">A hollandok úgy vélik, hogy az európai együttműködésnek elsősorban a fő közös érdekekre kell összpontosítania. Ennek a megközelítésnek a harmadik országokkal folytatott uniós együttműködésnek is részét kell képeznie. Az éghajlatváltozás és a koronavírus-világjárvány mellett ezek közé tartozik például a nemzetközi biztonság és az európai gazdaság tisztességtelen kereskedelmi gyakorlatokkal szembeni védelme. Európán belül és kívül a hollandok inkább az együttműködést részesítik előnyben, mint a harcot. Ami a konfliktusokkal kapcsolatos megközelítést illeti, mindig jobb, ha erőszak nélkül oldjuk meg őket. </w:t>
      </w:r>
    </w:p>
    <w:p>
      <w:pPr>
        <w:pStyle w:val="P68B1DB1Normal125"/>
        <w:widowControl w:val="false"/>
        <w:spacing w:lineRule="auto" w:line="240" w:before="96" w:after="0"/>
        <w:ind w:left="0" w:right="0" w:hanging="0"/>
        <w:jc w:val="left"/>
        <w:rPr>
          <w:rFonts w:ascii="Calibri" w:hAnsi="Calibri"/>
          <w:b/>
          <w:b/>
          <w:color w:val="0070C0"/>
          <w:sz w:val="32"/>
        </w:rPr>
      </w:pPr>
      <w:r>
        <w:rPr/>
        <w:t xml:space="preserve">Bevezetés </w:t>
      </w:r>
    </w:p>
    <w:p>
      <w:pPr>
        <w:pStyle w:val="P68B1DB1Normal104"/>
        <w:widowControl w:val="false"/>
        <w:spacing w:lineRule="auto" w:line="240" w:before="183" w:after="0"/>
        <w:ind w:left="0" w:right="0" w:hanging="0"/>
        <w:jc w:val="left"/>
        <w:rPr/>
      </w:pPr>
      <w:r>
        <w:rPr/>
        <w:t xml:space="preserve">A szeptember 1. és november közepe között megrendezett „Európa-látogatás” elnevezésű civil párbeszéd lehetővé tette minden holland számára, hogy kifejtse véleményét és elképzeléseit Európa jövőjéről. Hollandia benyújtja az Európai Unió (EU) számára a párbeszéd alapját képező ajánlásokat, valamint a kifejtett elképzeléseket és nézeteket. Ebben a jelentésben az utolsó négy témával foglalkozunk (az összesen kilenc téma közül). Az első öt témával már foglalkozott a 2021. december 3-án közzétett jelentés. </w:t>
      </w:r>
    </w:p>
    <w:p>
      <w:pPr>
        <w:pStyle w:val="P68B1DB1Normal126"/>
        <w:widowControl w:val="false"/>
        <w:spacing w:lineRule="auto" w:line="240" w:before="79" w:after="0"/>
        <w:ind w:left="0" w:right="0" w:hanging="0"/>
        <w:jc w:val="left"/>
        <w:rPr>
          <w:rFonts w:ascii="Calibri" w:hAnsi="Calibri"/>
          <w:color w:val="0070C0"/>
          <w:sz w:val="24"/>
        </w:rPr>
      </w:pPr>
      <w:r>
        <w:rPr/>
        <w:t xml:space="preserve">Európa jövőképéről </w:t>
      </w:r>
    </w:p>
    <w:p>
      <w:pPr>
        <w:pStyle w:val="P68B1DB1Normal104"/>
        <w:widowControl w:val="false"/>
        <w:spacing w:lineRule="auto" w:line="240" w:before="78" w:after="0"/>
        <w:ind w:left="0" w:right="0" w:hanging="0"/>
        <w:jc w:val="left"/>
        <w:rPr/>
      </w:pPr>
      <w:r>
        <w:rPr/>
        <w:t xml:space="preserve">Az Európai Unió azt akarja, hogy polgárai megosszák egymással, mit gondolnak Európáról. Ezért szervezi meg az EU az Európa jövőjéről szóló konferenciát. Ezt követően az Európai Unió polgárainak véleményei és ötletei beépülnek az Európa jövőjére vonatkozó tervekbe. A konferencia részeként Hollandia nemzeti szinten megszervezte az „Európa Látogatása” elnevezésű civil párbeszédet. </w:t>
      </w:r>
    </w:p>
    <w:p>
      <w:pPr>
        <w:pStyle w:val="P68B1DB1Normal104"/>
        <w:widowControl w:val="false"/>
        <w:spacing w:lineRule="auto" w:line="240"/>
        <w:ind w:left="0" w:right="0" w:hanging="0"/>
        <w:jc w:val="left"/>
        <w:rPr/>
      </w:pPr>
      <w:r>
        <w:rPr/>
        <w:t xml:space="preserve">Az Európa jövőképéről szóló párbeszéd szeptember 1-jén kezdődött a vélemények és ötletek online gyűjtésével egy reprezentatív testület felmérése révén. A panelfelmérés első eredményeinek elmélyítése és konkrét ajánlások megfogalmazása érdekében online tematikus párbeszédeket szerveztünk. Aki részt akart venni, részt vehetett. Azért is utaztunk az országba, hogy megbeszéléseket tartsunk a fiatalokkal és más csoportokkal (nehéz elérni).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1"/>
        <w:widowControl w:val="false"/>
        <w:spacing w:lineRule="auto" w:line="240"/>
        <w:ind w:left="0" w:right="0" w:hanging="0"/>
        <w:jc w:val="left"/>
        <w:rPr/>
      </w:pPr>
      <w:r>
        <w:rPr/>
        <w:t xml:space="preserve">Iskolásoktól, szakközépiskolai tanulóktól és diákoktól a miniszterig, gazdálkodókig és migránsokig </w:t>
      </w:r>
    </w:p>
    <w:p>
      <w:pPr>
        <w:pStyle w:val="P68B1DB1Normal104"/>
        <w:widowControl w:val="false"/>
        <w:spacing w:lineRule="auto" w:line="240" w:before="91" w:after="0"/>
        <w:ind w:left="0" w:right="0" w:hanging="0"/>
        <w:jc w:val="both"/>
        <w:rPr/>
      </w:pPr>
      <w:r>
        <w:rPr/>
        <w:t xml:space="preserve">Októberben és novemberben összesen nyolc online tematikus párbeszédre került sor, ülésenként átlagosan 30 résztvevővel. Online tematikus párbeszédet és hét helyszíni tematikus párbeszédet is szerveztünk holland állampolgárok különböző csoportjaival. Beszéltünk a török közösséggel Schiedamban, és a Piëzo Alapítvány önkéntesei hívtak meg Zoetermeerbe. Ez utóbbi alkalommal Ben Knapen külügyminiszter is jelen volt a párbeszéd végén. A miniszter megbeszélést folytatott a résztvevőkkel az Európa jövőjéről szóló párbeszédről és véleményről. Végül hat találkozót szerveztünk a fiatalok különböző csoportjaival. Például egy Helmondi középiskolában, egy doetinchemi szakközépiskolában és a Leideni Egyetemen üdvözöltek bennünket. </w:t>
      </w:r>
    </w:p>
    <w:p>
      <w:pPr>
        <w:pStyle w:val="P68B1DB1Normal113"/>
        <w:widowControl w:val="false"/>
        <w:spacing w:lineRule="auto" w:line="240" w:before="160" w:after="0"/>
        <w:ind w:left="0" w:right="0" w:hanging="0"/>
        <w:jc w:val="center"/>
        <w:rPr/>
      </w:pPr>
      <w:r>
        <w:rPr/>
        <w:t xml:space="preserve">Ez a gyermekeink jövője. Ezért tartom fontosnak a részvételt. </w:t>
      </w:r>
    </w:p>
    <w:p>
      <w:pPr>
        <w:pStyle w:val="P68B1DB1Normal104"/>
        <w:widowControl w:val="false"/>
        <w:spacing w:lineRule="auto" w:line="240" w:before="127" w:after="0"/>
        <w:ind w:left="0" w:right="0" w:hanging="0"/>
        <w:jc w:val="left"/>
        <w:rPr>
          <w:rFonts w:ascii="Calibri" w:hAnsi="Calibri"/>
          <w:color w:val="000000"/>
          <w:sz w:val="21"/>
        </w:rPr>
      </w:pPr>
      <w:r>
        <w:rPr/>
        <w:t xml:space="preserve">Résztvevő a tematikus párbeszédben </w:t>
      </w:r>
    </w:p>
    <w:p>
      <w:pPr>
        <w:pStyle w:val="Normal"/>
        <w:widowControl w:val="false"/>
        <w:spacing w:lineRule="auto" w:line="240" w:before="92" w:after="0"/>
        <w:ind w:left="0" w:right="0" w:hanging="0"/>
        <w:jc w:val="left"/>
        <w:rPr>
          <w:rFonts w:ascii="Times New Roman" w:hAnsi="Times New Roman"/>
          <w:color w:val="000000"/>
          <w:sz w:val="24"/>
        </w:rPr>
      </w:pPr>
      <w:r>
        <w:rPr>
          <w:rFonts w:ascii="Times New Roman" w:hAnsi="Times New Roman"/>
          <w:color w:val="000000"/>
          <w:sz w:val="24"/>
        </w:rPr>
      </w:r>
      <w:r>
        <w:br w:type="page"/>
      </w:r>
    </w:p>
    <w:p>
      <w:pPr>
        <w:pStyle w:val="P68B1DB1Normal126"/>
        <w:widowControl w:val="false"/>
        <w:spacing w:lineRule="auto" w:line="240"/>
        <w:ind w:left="0" w:right="0" w:hanging="0"/>
        <w:jc w:val="left"/>
        <w:rPr>
          <w:rFonts w:ascii="Calibri" w:hAnsi="Calibri"/>
          <w:color w:val="0070C0"/>
          <w:sz w:val="24"/>
        </w:rPr>
      </w:pPr>
      <w:r>
        <w:rPr/>
        <w:t xml:space="preserve">Erről a jelentésről </w:t>
      </w:r>
    </w:p>
    <w:p>
      <w:pPr>
        <w:pStyle w:val="P68B1DB1Normal104"/>
        <w:widowControl w:val="false"/>
        <w:spacing w:lineRule="auto" w:line="240" w:before="88" w:after="0"/>
        <w:ind w:left="0" w:right="0" w:hanging="0"/>
        <w:jc w:val="left"/>
        <w:rPr/>
      </w:pPr>
      <w:r>
        <w:rPr/>
        <w:t xml:space="preserve">Az elmúlt hónapokban összegyűjtött ötletek és vélemények alapján egy sor ajánlást fogalmaztunk meg, amelyeket a holland állampolgárok az Európai Unió számára tesznek. A holland polgárok közötti megbeszélések során érdekes eszmecserékre került sor, és innovatív ötleteket és javaslatokat tettek. Ezen ötletek és javaslatok egy részét beépítették ebbe a jelentésbe. Ennek a jelentésnek a tartalma tehát Hollandia véleménye: jövőképünk Európáról. </w:t>
      </w:r>
    </w:p>
    <w:p>
      <w:pPr>
        <w:pStyle w:val="P68B1DB1Normal104"/>
        <w:widowControl w:val="false"/>
        <w:spacing w:lineRule="auto" w:line="240" w:before="1" w:after="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Csakúgy, mint az országok és az európai polgárok nézeteltérései, nem mindig értünk egyet egymással Hollandiában. Ezek a nézetkülönbségek pontosan értékesek: ez a demokrácia egyik fontos jellemzője. Az ajánlásokat az Európa jövőképe felmérés résztvevőinek leggyakrabban megfogalmazott ötletei és véleményei alapján fogalmazták meg. Bemutatjuk azokat az aggodalmakat, ötleteket és érzéseket is, amelyek kevésbé elterjedtek, de felkeltették figyelmünket a párbeszédek és az online felmérés során. </w:t>
      </w:r>
    </w:p>
    <w:p>
      <w:pPr>
        <w:pStyle w:val="P68B1DB1Normal113"/>
        <w:widowControl w:val="false"/>
        <w:spacing w:lineRule="auto" w:line="240" w:before="181" w:after="0"/>
        <w:ind w:left="0" w:right="0" w:hanging="0"/>
        <w:jc w:val="center"/>
        <w:rPr/>
      </w:pPr>
      <w:r>
        <w:rPr/>
        <w:t xml:space="preserve">Élveztem, hogy elmondhattam a véleményemet azokról a témákról, amelyek szerintem fontosak. És az az érzésem volt, hogy meghallgatták. </w:t>
      </w:r>
    </w:p>
    <w:p>
      <w:pPr>
        <w:pStyle w:val="P68B1DB1Normal104"/>
        <w:widowControl w:val="false"/>
        <w:spacing w:lineRule="auto" w:line="240" w:before="300" w:after="0"/>
        <w:ind w:left="0" w:right="0" w:hanging="0"/>
        <w:jc w:val="left"/>
        <w:rPr>
          <w:rFonts w:ascii="Calibri" w:hAnsi="Calibri"/>
          <w:color w:val="000000"/>
          <w:sz w:val="21"/>
        </w:rPr>
      </w:pPr>
      <w:r>
        <w:rPr/>
        <w:t xml:space="preserve">Résztvevő a tematikus párbeszédben </w:t>
      </w:r>
    </w:p>
    <w:p>
      <w:pPr>
        <w:pStyle w:val="P68B1DB1Normal104"/>
        <w:widowControl w:val="false"/>
        <w:spacing w:lineRule="auto" w:line="240"/>
        <w:ind w:left="0" w:right="0" w:hanging="0"/>
        <w:jc w:val="left"/>
        <w:rPr/>
      </w:pPr>
      <w:r>
        <w:rPr/>
        <w:t xml:space="preserve">Az Európa jövőjéről szóló konferencia kilenc témáját jelölte meg. Ezek a témák állnak a holland polgárokkal folytatott, Európa jövőképéről folytatott párbeszéd középpontjában is. Októberben közzétettünk egy időközi jelentést, amely első áttekintést ad az eredményekről és a panelfelmérésen alapuló kiegészítő kérdésekről. December elején új jelentést tettek közzé, amely az első öt témára vonatkozó véleményeket, ötleteket és ajánlásokat tartalmaz. Ez a jelentés a fennmaradó négy témával foglalkozik.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1"/>
        <w:widowControl w:val="false"/>
        <w:spacing w:lineRule="auto" w:line="240"/>
        <w:ind w:left="0" w:right="0" w:hanging="0"/>
        <w:jc w:val="left"/>
        <w:rPr>
          <w:rFonts w:ascii="Calibri" w:hAnsi="Calibri"/>
          <w:b/>
          <w:b/>
          <w:color w:val="000000"/>
          <w:sz w:val="22"/>
        </w:rPr>
      </w:pPr>
      <w:r>
        <w:rPr/>
        <w:t xml:space="preserve">Előző jelentés – 2021. december </w:t>
      </w:r>
    </w:p>
    <w:p>
      <w:pPr>
        <w:pStyle w:val="P68B1DB1Normal104"/>
        <w:widowControl w:val="false"/>
        <w:spacing w:lineRule="auto" w:line="240"/>
        <w:ind w:left="0" w:right="0" w:hanging="0"/>
        <w:jc w:val="left"/>
        <w:rPr>
          <w:rFonts w:ascii="Calibri" w:hAnsi="Calibri"/>
          <w:color w:val="000000"/>
          <w:sz w:val="21"/>
        </w:rPr>
      </w:pPr>
      <w:r>
        <w:rPr/>
        <w:t xml:space="preserve">Értékek és jogok, jogállamiság és biztonság </w:t>
      </w:r>
    </w:p>
    <w:p>
      <w:pPr>
        <w:pStyle w:val="P68B1DB1Normal104"/>
        <w:widowControl w:val="false"/>
        <w:spacing w:lineRule="auto" w:line="240"/>
        <w:ind w:left="0" w:right="0" w:hanging="0"/>
        <w:jc w:val="left"/>
        <w:rPr/>
      </w:pPr>
      <w:r>
        <w:rPr/>
        <w:t xml:space="preserve">Erősebb gazdaság, társadalmi igazságosság és foglalkoztatás Európai demokrácia </w:t>
      </w:r>
    </w:p>
    <w:p>
      <w:pPr>
        <w:pStyle w:val="P68B1DB1Normal104"/>
        <w:widowControl w:val="false"/>
        <w:spacing w:lineRule="auto" w:line="240"/>
        <w:ind w:left="0" w:right="0" w:hanging="0"/>
        <w:jc w:val="left"/>
        <w:rPr>
          <w:rFonts w:ascii="Calibri" w:hAnsi="Calibri"/>
          <w:color w:val="000000"/>
          <w:sz w:val="21"/>
        </w:rPr>
      </w:pPr>
      <w:r>
        <w:rPr/>
        <w:t xml:space="preserve">Digitális transzformáció </w:t>
      </w:r>
    </w:p>
    <w:p>
      <w:pPr>
        <w:pStyle w:val="P68B1DB1Normal104"/>
        <w:widowControl w:val="false"/>
        <w:spacing w:lineRule="auto" w:line="240"/>
        <w:ind w:left="0" w:right="0" w:hanging="0"/>
        <w:jc w:val="left"/>
        <w:rPr>
          <w:rFonts w:ascii="Calibri" w:hAnsi="Calibri"/>
          <w:color w:val="000000"/>
          <w:sz w:val="21"/>
        </w:rPr>
      </w:pPr>
      <w:r>
        <w:rPr/>
        <w:t xml:space="preserve">Oktatás, kultúra, ifjúság és sport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1"/>
        <w:widowControl w:val="false"/>
        <w:spacing w:lineRule="auto" w:line="240"/>
        <w:ind w:left="0" w:right="0" w:hanging="0"/>
        <w:jc w:val="left"/>
        <w:rPr/>
      </w:pPr>
      <w:r>
        <w:rPr/>
        <w:t>Jelenlegi jelentés – 2022. január</w:t>
      </w:r>
    </w:p>
    <w:p>
      <w:pPr>
        <w:pStyle w:val="P68B1DB1Normal104"/>
        <w:widowControl w:val="false"/>
        <w:spacing w:lineRule="auto" w:line="240"/>
        <w:ind w:left="0" w:right="0" w:hanging="0"/>
        <w:jc w:val="left"/>
        <w:rPr/>
      </w:pPr>
      <w:r>
        <w:rPr/>
        <w:t xml:space="preserve">Éghajlatváltozás és környezetvédelem </w:t>
      </w:r>
    </w:p>
    <w:p>
      <w:pPr>
        <w:pStyle w:val="P68B1DB1Normal104"/>
        <w:widowControl w:val="false"/>
        <w:spacing w:lineRule="auto" w:line="240"/>
        <w:ind w:left="0" w:right="0" w:hanging="0"/>
        <w:jc w:val="left"/>
        <w:rPr>
          <w:rFonts w:ascii="Calibri" w:hAnsi="Calibri"/>
          <w:color w:val="000000"/>
          <w:sz w:val="21"/>
        </w:rPr>
      </w:pPr>
      <w:r>
        <w:rPr/>
        <w:t xml:space="preserve">Migráció </w:t>
      </w:r>
    </w:p>
    <w:p>
      <w:pPr>
        <w:pStyle w:val="P68B1DB1Normal104"/>
        <w:widowControl w:val="false"/>
        <w:spacing w:lineRule="auto" w:line="240"/>
        <w:ind w:left="0" w:right="0" w:hanging="0"/>
        <w:jc w:val="left"/>
        <w:rPr>
          <w:rFonts w:ascii="Calibri" w:hAnsi="Calibri"/>
          <w:color w:val="000000"/>
          <w:sz w:val="21"/>
        </w:rPr>
      </w:pPr>
      <w:r>
        <w:rPr/>
        <w:t xml:space="preserve">Egészség </w:t>
      </w:r>
    </w:p>
    <w:p>
      <w:pPr>
        <w:pStyle w:val="P68B1DB1Normal104"/>
        <w:widowControl w:val="false"/>
        <w:spacing w:lineRule="auto" w:line="240"/>
        <w:ind w:left="0" w:right="0" w:hanging="0"/>
        <w:jc w:val="left"/>
        <w:rPr>
          <w:rFonts w:ascii="Calibri" w:hAnsi="Calibri"/>
          <w:color w:val="000000"/>
          <w:sz w:val="21"/>
        </w:rPr>
      </w:pPr>
      <w:r>
        <w:rPr/>
        <w:t xml:space="preserve">Az EU a világban </w:t>
      </w:r>
    </w:p>
    <w:p>
      <w:pPr>
        <w:pStyle w:val="P68B1DB1Normal126"/>
        <w:widowControl w:val="false"/>
        <w:spacing w:lineRule="auto" w:line="240" w:before="105" w:after="0"/>
        <w:ind w:left="0" w:right="0" w:hanging="0"/>
        <w:jc w:val="left"/>
        <w:rPr>
          <w:rFonts w:ascii="Calibri" w:hAnsi="Calibri"/>
          <w:color w:val="0070C0"/>
          <w:sz w:val="24"/>
        </w:rPr>
      </w:pPr>
      <w:r>
        <w:rPr/>
        <w:t xml:space="preserve">Következő lépések </w:t>
      </w:r>
    </w:p>
    <w:p>
      <w:pPr>
        <w:pStyle w:val="Normal"/>
        <w:widowControl w:val="false"/>
        <w:spacing w:lineRule="auto" w:line="240" w:before="107" w:after="0"/>
        <w:ind w:left="0" w:right="0" w:hanging="0"/>
        <w:jc w:val="left"/>
        <w:rPr/>
      </w:pPr>
      <w:r>
        <w:rPr>
          <w:rFonts w:ascii="Calibri" w:hAnsi="Calibri"/>
          <w:color w:val="000000"/>
          <w:sz w:val="21"/>
        </w:rPr>
        <w:t xml:space="preserve">Az Európa jövőjéről szóló konferencia összehozza az összes uniós polgár ötleteit, véleményét és ajánlásait. Az ülések nemcsak az összes nemzeti szintű polgári párbeszéd eredményeire, hanem a konferencia keretében indított egyéb kezdeményezések eredményeire is vonatkoznak. Vannak például európai polgárokból álló vitacsoportok is, és minden uniós polgár (beleértve a holland állampolgárokat is) hozzáférhet egy európai digitális platformhoz. </w:t>
      </w:r>
      <w:r>
        <w:br w:type="page"/>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P68B1DB1Normal113"/>
        <w:widowControl w:val="false"/>
        <w:spacing w:lineRule="auto" w:line="240"/>
        <w:ind w:left="0" w:right="0" w:hanging="0"/>
        <w:jc w:val="center"/>
        <w:rPr/>
      </w:pPr>
      <w:r>
        <w:rPr/>
        <w:t>„</w:t>
      </w:r>
      <w:r>
        <w:rPr/>
        <w:t xml:space="preserve">Remélem, hogy az uniós vezetők figyelembe veszik álláspontomat. És ez segít nekik a helyes döntések meghozatalában. </w:t>
      </w:r>
    </w:p>
    <w:p>
      <w:pPr>
        <w:pStyle w:val="P68B1DB1Normal104"/>
        <w:widowControl w:val="false"/>
        <w:spacing w:lineRule="auto" w:line="240" w:before="300" w:after="0"/>
        <w:ind w:left="0" w:right="0" w:hanging="0"/>
        <w:jc w:val="left"/>
        <w:rPr>
          <w:rFonts w:ascii="Calibri" w:hAnsi="Calibri"/>
          <w:color w:val="000000"/>
          <w:sz w:val="21"/>
        </w:rPr>
      </w:pPr>
      <w:r>
        <w:rPr/>
        <w:t xml:space="preserve">Résztvevő a tematikus párbeszédben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A konferencia 2022 tavaszán ér véget. Hollandia ezt követően végleges jelentést készít a civil párbeszédről: e jelentés és az előző jelentés összeállítása, beleértve mind a kilenc témára vonatkozó ajánlásokat. A konferenciát követően ajánlásokat tesznek a konferencia elnökének: az Európai Parlament, a Miniszterek Tanácsa és az Európai Bizottság elnökei. Elkötelezték magukat amellett, hogy feltárják az ajánlások végrehajtásának módjait és eszközeit. A holland kormány számára az eredmények szintén értékes hozzájárulást jelentenek Hollandia európai politikáinak fejlődéséhez.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ind w:left="0" w:right="0" w:hanging="0"/>
        <w:jc w:val="left"/>
        <w:rPr>
          <w:rFonts w:ascii="Calibri" w:hAnsi="Calibri"/>
          <w:color w:val="000000"/>
          <w:sz w:val="21"/>
        </w:rPr>
      </w:pPr>
      <w:r>
        <w:rPr>
          <w:rFonts w:ascii="Calibri" w:hAnsi="Calibri"/>
          <w:color w:val="000000"/>
          <w:sz w:val="21"/>
        </w:rPr>
        <w:t xml:space="preserve">Összefoglalva, a 2022 tavaszáig tartó folyamat a következőképpen szerveződik: </w:t>
      </w:r>
      <w:r>
        <w:br w:type="page"/>
      </w:r>
    </w:p>
    <w:p>
      <w:pPr>
        <w:pStyle w:val="P68B1DB1Normal127"/>
        <w:widowControl w:val="false"/>
        <w:spacing w:lineRule="auto" w:line="240" w:before="0" w:after="0"/>
        <w:ind w:left="0" w:right="0" w:hanging="0"/>
        <w:jc w:val="left"/>
        <w:rPr/>
      </w:pPr>
      <w:r>
        <w:rPr>
          <w:color w:val="0070C0"/>
          <w:sz w:val="24"/>
        </w:rPr>
        <w:t>Kronológia</w:t>
      </w:r>
      <w:r>
        <w:rPr>
          <w:color w:val="365F91"/>
          <w:sz w:val="28"/>
        </w:rPr>
        <w:t xml:space="preserve"> </w:t>
      </w:r>
    </w:p>
    <w:p>
      <w:pPr>
        <w:pStyle w:val="P68B1DB1Normal35"/>
        <w:widowControl w:val="false"/>
        <w:spacing w:lineRule="auto" w:line="240" w:before="0" w:after="0"/>
        <w:ind w:left="24" w:right="0" w:hanging="0"/>
        <w:jc w:val="left"/>
        <w:rPr/>
      </w:pPr>
      <w:r>
        <w:rPr>
          <w:rFonts w:ascii="Times New Roman" w:hAnsi="Times New Roman"/>
          <w:sz w:val="24"/>
        </w:rPr>
        <w:t xml:space="preserve"> </w:t>
      </w:r>
      <w:r>
        <w:rPr>
          <w:rFonts w:ascii="Calibri" w:hAnsi="Calibri"/>
          <w:position w:val="2"/>
          <w:sz w:val="21"/>
        </w:rPr>
        <w:t>Európa jövőképe</w:t>
      </w:r>
    </w:p>
    <w:tbl>
      <w:tblPr>
        <w:tblW w:w="9645"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146"/>
        <w:gridCol w:w="355"/>
        <w:gridCol w:w="416"/>
        <w:gridCol w:w="915"/>
        <w:gridCol w:w="41"/>
        <w:gridCol w:w="512"/>
        <w:gridCol w:w="292"/>
        <w:gridCol w:w="443"/>
        <w:gridCol w:w="657"/>
        <w:gridCol w:w="854"/>
        <w:gridCol w:w="1"/>
        <w:gridCol w:w="706"/>
        <w:gridCol w:w="1"/>
        <w:gridCol w:w="853"/>
        <w:gridCol w:w="1"/>
        <w:gridCol w:w="852"/>
        <w:gridCol w:w="913"/>
        <w:gridCol w:w="340"/>
        <w:gridCol w:w="1346"/>
      </w:tblGrid>
      <w:tr>
        <w:trPr>
          <w:trHeight w:val="1151"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Szeptember 1.</w:t>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Október 12.</w:t>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Október 22–23.</w:t>
            </w:r>
          </w:p>
        </w:tc>
        <w:tc>
          <w:tcPr>
            <w:tcW w:w="5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November 15.</w:t>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December 3.</w:t>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Január 14.</w:t>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Január 21–22.</w:t>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Február</w:t>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Február 18–19.</w:t>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Március 11–12.</w:t>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Április 22–24.</w:t>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r>
      <w:tr>
        <w:trPr>
          <w:trHeight w:val="521" w:hRule="atLeast"/>
        </w:trPr>
        <w:tc>
          <w:tcPr>
            <w:tcW w:w="2385" w:type="dxa"/>
            <w:gridSpan w:val="6"/>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Ötletek gyűjtése online</w:t>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r>
      <w:tr>
        <w:trPr>
          <w:trHeight w:val="506"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884" w:type="dxa"/>
            <w:gridSpan w:val="4"/>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Tematikus párbeszédek</w:t>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r>
      <w:tr>
        <w:trPr>
          <w:trHeight w:val="1902"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Időközi eredmények (közbenső jelentés)</w:t>
            </w:r>
          </w:p>
        </w:tc>
        <w:tc>
          <w:tcPr>
            <w:tcW w:w="5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Időközi jelentés a gazdaságról és a demokráciáról</w:t>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Időközi jelentés az „Éghajlat” és „Az EU a világban” című időközi jelentésről</w:t>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w:t>
            </w:r>
            <w:r>
              <w:rPr/>
              <w:t>Európa jövőképe” című zárójelentés</w:t>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r>
      <w:tr>
        <w:trPr>
          <w:trHeight w:val="506"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 </w:t>
            </w:r>
          </w:p>
        </w:tc>
        <w:tc>
          <w:tcPr>
            <w:tcW w:w="5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 </w:t>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 </w:t>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 </w:t>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 </w:t>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r>
      <w:tr>
        <w:trPr>
          <w:trHeight w:val="1879"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A konferencia ülése</w:t>
            </w:r>
          </w:p>
        </w:tc>
        <w:tc>
          <w:tcPr>
            <w:tcW w:w="5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A konferencia ülése</w:t>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 xml:space="preserve">Találkozó </w:t>
              <w:br/>
              <w:t>a konferencia</w:t>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(esetleg) a konferencia ülése</w:t>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A konferencia zárórendezvénye</w:t>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 → </w:t>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 xml:space="preserve">Ajánlások az elnökök számára </w:t>
            </w:r>
          </w:p>
          <w:p>
            <w:pPr>
              <w:pStyle w:val="P68B1DB1Contenudetableau128"/>
              <w:spacing w:before="57" w:after="57"/>
              <w:jc w:val="left"/>
              <w:rPr>
                <w:color w:val="000000"/>
                <w:sz w:val="14"/>
              </w:rPr>
            </w:pPr>
            <w:r>
              <w:rPr/>
              <w:t xml:space="preserve">• </w:t>
            </w:r>
            <w:r>
              <w:rPr/>
              <w:t xml:space="preserve">Európai Parlament </w:t>
              <w:br/>
              <w:t xml:space="preserve">• Európai Bizottság </w:t>
              <w:br/>
              <w:t>• Miniszterek Tanácsa</w:t>
            </w:r>
          </w:p>
        </w:tc>
      </w:tr>
      <w:tr>
        <w:trPr>
          <w:trHeight w:val="491"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5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 </w:t>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 </w:t>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 </w:t>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r>
      <w:tr>
        <w:trPr>
          <w:trHeight w:val="506" w:hRule="atLeast"/>
        </w:trPr>
        <w:tc>
          <w:tcPr>
            <w:tcW w:w="1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35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0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6967" w:type="dxa"/>
            <w:gridSpan w:val="1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További vélemények és ötletek Európa jövőjéről:</w:t>
            </w:r>
          </w:p>
        </w:tc>
      </w:tr>
      <w:tr>
        <w:trPr>
          <w:trHeight w:val="941" w:hRule="atLeast"/>
        </w:trPr>
        <w:tc>
          <w:tcPr>
            <w:tcW w:w="91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Párbeszédek a polgárokkal</w:t>
            </w:r>
          </w:p>
        </w:tc>
        <w:tc>
          <w:tcPr>
            <w:tcW w:w="91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5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512"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Az európai polgári vitacsoportok</w:t>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3451" w:type="dxa"/>
            <w:gridSpan w:val="4"/>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Európai Digitális Platform (holland állampolgárok számára is)</w:t>
            </w:r>
          </w:p>
        </w:tc>
      </w:tr>
    </w:tbl>
    <w:p>
      <w:pPr>
        <w:pStyle w:val="Normal"/>
        <w:widowControl w:val="false"/>
        <w:spacing w:lineRule="auto" w:line="240"/>
        <w:ind w:left="0" w:right="0" w:hanging="0"/>
        <w:jc w:val="left"/>
        <w:rPr>
          <w:rFonts w:ascii="Times New Roman" w:hAnsi="Times New Roman"/>
          <w:color w:val="000000"/>
          <w:sz w:val="24"/>
        </w:rPr>
      </w:pPr>
      <w:r>
        <w:rPr>
          <w:rFonts w:ascii="Times New Roman" w:hAnsi="Times New Roman"/>
          <w:color w:val="000000"/>
          <w:sz w:val="24"/>
        </w:rPr>
      </w:r>
    </w:p>
    <w:p>
      <w:pPr>
        <w:pStyle w:val="P68B1DB1Normal126"/>
        <w:widowControl w:val="false"/>
        <w:spacing w:lineRule="auto" w:line="240"/>
        <w:ind w:left="0" w:right="0" w:hanging="0"/>
        <w:jc w:val="left"/>
        <w:rPr>
          <w:rFonts w:ascii="Calibri" w:hAnsi="Calibri"/>
          <w:color w:val="0070C0"/>
          <w:sz w:val="24"/>
        </w:rPr>
      </w:pPr>
      <w:r>
        <w:rPr/>
        <w:t xml:space="preserve">Magyarázatok az olvasás megkönnyítésére </w:t>
      </w:r>
    </w:p>
    <w:p>
      <w:pPr>
        <w:pStyle w:val="P68B1DB1Normal104"/>
        <w:widowControl w:val="false"/>
        <w:spacing w:lineRule="exact" w:line="281" w:before="116" w:after="0"/>
        <w:ind w:left="0" w:right="772" w:hanging="0"/>
        <w:jc w:val="left"/>
        <w:rPr/>
      </w:pPr>
      <w:r>
        <w:rPr/>
        <w:t xml:space="preserve">Ebben a jelentésben négy témát vitattunk meg. Minden egyes témához egymás után beillesztettük: </w:t>
      </w:r>
    </w:p>
    <w:p>
      <w:pPr>
        <w:pStyle w:val="P68B1DB1Normal104"/>
        <w:widowControl w:val="false"/>
        <w:spacing w:lineRule="exact" w:line="339" w:before="1" w:after="0"/>
        <w:ind w:left="0" w:right="0" w:hanging="0"/>
        <w:jc w:val="left"/>
        <w:rPr>
          <w:rFonts w:ascii="Calibri" w:hAnsi="Calibri"/>
          <w:color w:val="000000"/>
          <w:sz w:val="21"/>
        </w:rPr>
      </w:pPr>
      <w:r>
        <w:rPr/>
        <w:t xml:space="preserve">a civil párbeszéd valamennyi aspektusán alapuló ajánlások; </w:t>
      </w:r>
    </w:p>
    <w:p>
      <w:pPr>
        <w:pStyle w:val="P68B1DB1Normal104"/>
        <w:widowControl w:val="false"/>
        <w:spacing w:lineRule="exact" w:line="283"/>
        <w:ind w:left="0" w:right="137" w:hanging="0"/>
        <w:jc w:val="left"/>
        <w:rPr/>
      </w:pPr>
      <w:r>
        <w:rPr/>
        <w:t xml:space="preserve">online és helyszíni megbeszélések és ötletek: a tematikus párbeszédek során (online és fizikai jelenléttel) megosztott vélemények, ötletek és vélemények áttekintése. </w:t>
      </w:r>
    </w:p>
    <w:p>
      <w:pPr>
        <w:pStyle w:val="P68B1DB1Normal104"/>
        <w:widowControl w:val="false"/>
        <w:spacing w:lineRule="exact" w:line="339"/>
        <w:ind w:left="0" w:right="0" w:hanging="0"/>
        <w:jc w:val="left"/>
        <w:rPr>
          <w:rFonts w:ascii="Calibri" w:hAnsi="Calibri"/>
          <w:color w:val="000000"/>
          <w:sz w:val="21"/>
        </w:rPr>
      </w:pPr>
      <w:r>
        <w:rPr/>
        <w:t xml:space="preserve"> </w:t>
      </w:r>
    </w:p>
    <w:p>
      <w:pPr>
        <w:pStyle w:val="Normal"/>
        <w:widowControl w:val="false"/>
        <w:spacing w:lineRule="exact" w:line="339" w:before="1" w:after="0"/>
        <w:ind w:left="0" w:right="0" w:hanging="0"/>
        <w:jc w:val="left"/>
        <w:rPr>
          <w:rFonts w:ascii="Calibri" w:hAnsi="Calibri"/>
          <w:color w:val="000000"/>
          <w:sz w:val="21"/>
        </w:rPr>
      </w:pPr>
      <w:r>
        <w:rPr>
          <w:rFonts w:ascii="Calibri" w:hAnsi="Calibri"/>
          <w:color w:val="000000"/>
          <w:sz w:val="21"/>
        </w:rPr>
        <w:t xml:space="preserve">A felmérésben alkalmazott módszertan leírása e jelentés végén található. </w:t>
      </w:r>
      <w:r>
        <w:br w:type="page"/>
      </w:r>
    </w:p>
    <w:p>
      <w:pPr>
        <w:pStyle w:val="P68B1DB1Normal125"/>
        <w:widowControl w:val="false"/>
        <w:spacing w:lineRule="auto" w:line="240"/>
        <w:ind w:left="0" w:right="0" w:hanging="0"/>
        <w:jc w:val="left"/>
        <w:rPr>
          <w:rFonts w:ascii="Calibri" w:hAnsi="Calibri"/>
          <w:b/>
          <w:b/>
          <w:color w:val="0070C0"/>
          <w:sz w:val="32"/>
        </w:rPr>
      </w:pPr>
      <w:r>
        <w:rPr/>
        <w:t xml:space="preserve">Éghajlatváltozás és környezetvédelem </w:t>
      </w:r>
    </w:p>
    <w:p>
      <w:pPr>
        <w:pStyle w:val="P68B1DB1Normal126"/>
        <w:widowControl w:val="false"/>
        <w:spacing w:lineRule="auto" w:line="240" w:before="48" w:after="0"/>
        <w:ind w:left="0" w:right="0" w:hanging="0"/>
        <w:jc w:val="left"/>
        <w:rPr>
          <w:rFonts w:ascii="Calibri" w:hAnsi="Calibri"/>
          <w:color w:val="0070C0"/>
          <w:sz w:val="24"/>
        </w:rPr>
      </w:pPr>
      <w:r>
        <w:rPr/>
        <w:t xml:space="preserve">Ajánlások – jövőképünk az éghajlatváltozásról és a környezetről </w:t>
      </w:r>
    </w:p>
    <w:p>
      <w:pPr>
        <w:pStyle w:val="P68B1DB1Normal120"/>
        <w:widowControl w:val="false"/>
        <w:spacing w:lineRule="auto" w:line="240" w:before="61" w:after="0"/>
        <w:ind w:left="0" w:right="0" w:hanging="0"/>
        <w:jc w:val="left"/>
        <w:rPr/>
      </w:pPr>
      <w:r>
        <w:rPr/>
        <w:t xml:space="preserve">A hollandok 71%-a úgy véli, hogy az éghajlatváltozás és a környezet fontos kérdés, és az EU-nak közbe kell lépnie ezen a területen. </w:t>
      </w:r>
    </w:p>
    <w:p>
      <w:pPr>
        <w:pStyle w:val="P68B1DB1Normal110"/>
        <w:widowControl w:val="false"/>
        <w:spacing w:lineRule="auto" w:line="240" w:before="57" w:after="0"/>
        <w:ind w:left="0" w:right="0" w:hanging="0"/>
        <w:jc w:val="left"/>
        <w:rPr/>
      </w:pPr>
      <w:r>
        <w:rPr>
          <w:b/>
        </w:rPr>
        <w:t xml:space="preserve">1. A hollandok </w:t>
      </w:r>
      <w:r>
        <w:rPr>
          <w:sz w:val="21"/>
        </w:rPr>
        <w:t xml:space="preserve">68%-a úgy véli, hogy az EU-nak vezető szerepet kell játszania az éghajlatváltozás elleni küzdelemben. A globális felmelegedés problémát jelent, és egyetlen ország sem tudja egyedül megoldani. Még ha a hollandok nem is értenek egyet az éghajlatváltozásban, úgy gondoljuk, hogy az EU-nak mindenképpen világosabb jövőképpel kell rendelkeznie a jövőről. A zöld megállapodás ellenére jelenleg azt látjuk, hogy a tagállamok gyakran nincsenek összehangolva. Bár az országoknak képesnek kell lenniük arra, hogy továbbra is maguk döntsenek, mégis együtt kell működniük ugyanazon célok elérése érdekében. Hiszünk abban is, hogy polgárként saját felelősségünk is van, például fogyasztási szokásaink kiigazítása tekintetében. </w:t>
      </w:r>
    </w:p>
    <w:p>
      <w:pPr>
        <w:pStyle w:val="P68B1DB1Normal113"/>
        <w:widowControl w:val="false"/>
        <w:spacing w:lineRule="auto" w:line="240" w:before="135" w:after="0"/>
        <w:ind w:left="0" w:right="0" w:hanging="0"/>
        <w:jc w:val="center"/>
        <w:rPr/>
      </w:pPr>
      <w:r>
        <w:rPr/>
        <w:t xml:space="preserve">Hollandia fel akarja hagyni a földgázt, míg Németországban pontosan arra ösztönzik, hogy használja. Néha azt jelenti, hogy nem értesz semmit. </w:t>
      </w:r>
    </w:p>
    <w:p>
      <w:pPr>
        <w:pStyle w:val="P68B1DB1Normal111"/>
        <w:widowControl w:val="false"/>
        <w:spacing w:lineRule="auto" w:line="240" w:before="109" w:after="0"/>
        <w:ind w:left="0" w:right="0" w:hanging="0"/>
        <w:jc w:val="left"/>
        <w:rPr/>
      </w:pPr>
      <w:r>
        <w:rPr/>
        <w:t xml:space="preserve">2. Annak biztosítása, hogy az országok és a vállalkozások szorosabban együttműködjenek a célzott megoldások megtalálása érdekében </w:t>
      </w:r>
    </w:p>
    <w:p>
      <w:pPr>
        <w:pStyle w:val="P68B1DB1Normal104"/>
        <w:widowControl w:val="false"/>
        <w:spacing w:lineRule="auto" w:line="240"/>
        <w:ind w:left="0" w:right="0" w:hanging="0"/>
        <w:jc w:val="left"/>
        <w:rPr/>
      </w:pPr>
      <w:r>
        <w:rPr/>
        <w:t xml:space="preserve">Amikor az éghajlatváltozásról és a környezetről van szó, a hollandok azt találják, hogy az országok gyakran ujjal mutogatnak. A hangsúly gyakran a különbségeken van, például az EU szegény és gazdag országai között. Vagy erősen iparosodott vagy gyengén iparosodott országok között. Inkább megpróbálnánk megállapodásra jutni. Például a különböző országokban működő hasonló vállalatok megoszthatják egymással tudásukat, és közösen gondolkodhatnak a megoldásokról. Ha ez megvalósulna, a szegényebb országokat jobban be lehetne vonni az éghajlatváltozással kapcsolatos megközelítésbe. Részt vehetnek a gondolkodásban, és a közös megoldások előnyeit is kihasználhatják. </w:t>
      </w:r>
    </w:p>
    <w:p>
      <w:pPr>
        <w:pStyle w:val="P68B1DB1Normal113"/>
        <w:widowControl w:val="false"/>
        <w:spacing w:lineRule="auto" w:line="240" w:before="143" w:after="0"/>
        <w:ind w:left="0" w:right="0" w:hanging="0"/>
        <w:jc w:val="center"/>
        <w:rPr/>
      </w:pPr>
      <w:r>
        <w:rPr/>
        <w:t xml:space="preserve">Az éghajlatváltozással kapcsolatos megközelítésnek nem versenynek, hanem együttműködésnek kell lennie. </w:t>
      </w:r>
    </w:p>
    <w:p>
      <w:pPr>
        <w:pStyle w:val="P68B1DB1Normal111"/>
        <w:widowControl w:val="false"/>
        <w:spacing w:lineRule="auto" w:line="240" w:before="107" w:after="0"/>
        <w:ind w:left="0" w:right="0" w:hanging="0"/>
        <w:jc w:val="left"/>
        <w:rPr>
          <w:rFonts w:ascii="Calibri" w:hAnsi="Calibri"/>
          <w:b/>
          <w:b/>
          <w:color w:val="000000"/>
          <w:sz w:val="22"/>
        </w:rPr>
      </w:pPr>
      <w:r>
        <w:rPr/>
        <w:t xml:space="preserve">3. Olyan szén-dioxid-rendszer létrehozása, amely a gyakorlatban méltányos és megvalósítható </w:t>
      </w:r>
    </w:p>
    <w:p>
      <w:pPr>
        <w:pStyle w:val="P68B1DB1Normal104"/>
        <w:widowControl w:val="false"/>
        <w:spacing w:lineRule="auto" w:line="240"/>
        <w:ind w:left="0" w:right="0" w:hanging="0"/>
        <w:jc w:val="left"/>
        <w:rPr/>
      </w:pPr>
      <w:r>
        <w:rPr/>
        <w:t xml:space="preserve">Az EU éghajlatváltozással kapcsolatos megközelítése nagy figyelmet fordít a szén-dioxid-kibocsátás csökkentésére. A hollandok úgy vélik, hogy e célból jobb rendszerre van szükség, amely lehetővé tenné mind a termelők, mind a fogyasztók méltányos adóztatását. A hollandok megosztottak abban a kérdésben, hogy a legtöbb lakossal rendelkező országoknak joguk van-e több szén-dioxid kibocsátására. Egyes országok például nagyon szennyező iparággal rendelkeznek. Más országoknak viszont számos lehetőségük van a zöld energia előállítására. Ezeket a különbségeket figyelembe kell venni. Anélkül, hogy ez túl bonyolulttá válna, mert a rendszernek mindenki számára érthetőnek kell lennie. </w:t>
      </w:r>
    </w:p>
    <w:p>
      <w:pPr>
        <w:pStyle w:val="P68B1DB1Normal129"/>
        <w:widowControl w:val="false"/>
        <w:spacing w:lineRule="auto" w:line="240" w:before="135" w:after="0"/>
        <w:ind w:left="0" w:right="0" w:hanging="0"/>
        <w:jc w:val="center"/>
        <w:rPr/>
      </w:pPr>
      <w:r>
        <w:rPr>
          <w:sz w:val="26"/>
        </w:rPr>
        <w:t>Az iparosodott országok sokat exportálnak. Ezért</w:t>
      </w:r>
      <w:r>
        <w:rPr>
          <w:position w:val="0"/>
          <w:sz w:val="17"/>
        </w:rPr>
        <w:t>egyedül</w:t>
      </w:r>
      <w:r>
        <w:rPr>
          <w:sz w:val="26"/>
        </w:rPr>
        <w:t xml:space="preserve"> nekik kell viselniük a szén-dioxid-adót? Véleményem szerint a fogyasztónak is fizetnie kell. </w:t>
      </w:r>
    </w:p>
    <w:p>
      <w:pPr>
        <w:pStyle w:val="P68B1DB1Normal120"/>
        <w:widowControl w:val="false"/>
        <w:spacing w:lineRule="auto" w:line="240" w:before="107" w:after="0"/>
        <w:ind w:left="0" w:right="0" w:hanging="0"/>
        <w:jc w:val="left"/>
        <w:rPr>
          <w:rFonts w:ascii="Calibri" w:hAnsi="Calibri"/>
          <w:b/>
          <w:b/>
          <w:color w:val="000000"/>
          <w:sz w:val="21"/>
        </w:rPr>
      </w:pPr>
      <w:r>
        <w:rPr/>
        <w:t xml:space="preserve"> </w:t>
      </w:r>
    </w:p>
    <w:p>
      <w:pPr>
        <w:pStyle w:val="P68B1DB1Normal110"/>
        <w:widowControl w:val="false"/>
        <w:spacing w:lineRule="auto" w:line="240"/>
        <w:ind w:left="0" w:right="0" w:hanging="0"/>
        <w:jc w:val="both"/>
        <w:rPr/>
      </w:pPr>
      <w:r>
        <w:rPr>
          <w:b/>
        </w:rPr>
        <w:t xml:space="preserve">4. Világosabban és pozitívabban kommunikáljon a klímamegközelítésről </w:t>
      </w:r>
      <w:r>
        <w:rPr>
          <w:sz w:val="21"/>
        </w:rPr>
        <w:t xml:space="preserve">A hollandok sokat hallanak az éghajlatváltozásról, és sokat olvasnak róla. Ez azonban sok ember számára absztrakt és összetett téma marad. Gyakran úgy vélik, hogy ez sok pénzbe kerül, miközben az éghajlatváltozás megközelítése lehetőségeket is teremt. Gondolkodunk például a helyi élelmiszertermelés ösztönzésén és az új és fenntartható technológiák kifejlesztésén. Az EU gyakrabban és hatékonyabban fedhetné fel ezt a szempontot. Úgy véljük továbbá, hogy a tagállamok kormányfői maguk is jobb példát mutathatnának. A kevesebb utazás – például Brüsszel és Strasbourg között – és az online találkozók például hozzájárulhatnak a fenntarthatóság támogatásához. </w:t>
      </w:r>
    </w:p>
    <w:p>
      <w:pPr>
        <w:pStyle w:val="P68B1DB1Normal113"/>
        <w:widowControl w:val="false"/>
        <w:spacing w:lineRule="auto" w:line="240" w:before="61" w:after="0"/>
        <w:ind w:left="0" w:right="0" w:hanging="0"/>
        <w:jc w:val="center"/>
        <w:rPr/>
      </w:pPr>
      <w:r>
        <w:rPr/>
        <w:t xml:space="preserve">A fenntarthatóságot még mindig túl gyakran költségnek tekintik. Ezt lehetőségnek és nem fenyegetésnek kell tekinteni. </w:t>
      </w:r>
    </w:p>
    <w:p>
      <w:pPr>
        <w:pStyle w:val="P68B1DB1Normal126"/>
        <w:widowControl w:val="false"/>
        <w:spacing w:lineRule="auto" w:line="240" w:before="129" w:after="0"/>
        <w:ind w:left="0" w:right="0" w:hanging="0"/>
        <w:jc w:val="left"/>
        <w:rPr>
          <w:rFonts w:ascii="Calibri" w:hAnsi="Calibri"/>
          <w:color w:val="0070C0"/>
          <w:sz w:val="24"/>
        </w:rPr>
      </w:pPr>
      <w:r>
        <w:rPr/>
        <w:t xml:space="preserve">Online és helyszíni megbeszélések és ötletek </w:t>
      </w:r>
    </w:p>
    <w:p>
      <w:pPr>
        <w:pStyle w:val="P68B1DB1Normal129"/>
        <w:widowControl w:val="false"/>
        <w:spacing w:lineRule="auto" w:line="240" w:before="78" w:after="0"/>
        <w:ind w:left="0" w:right="0" w:hanging="0"/>
        <w:jc w:val="left"/>
        <w:rPr/>
      </w:pPr>
      <w:r>
        <w:rPr>
          <w:sz w:val="21"/>
        </w:rPr>
        <w:t>A CO2-kibocsátást nem jognak</w:t>
      </w:r>
      <w:r>
        <w:rPr>
          <w:position w:val="0"/>
          <w:sz w:val="14"/>
        </w:rPr>
        <w:t>,</w:t>
      </w:r>
      <w:r>
        <w:rPr>
          <w:sz w:val="21"/>
        </w:rPr>
        <w:t xml:space="preserve"> hanem kínos következménynek kell tekintenünk. </w:t>
      </w:r>
    </w:p>
    <w:p>
      <w:pPr>
        <w:pStyle w:val="P68B1DB1Normal104"/>
        <w:widowControl w:val="false"/>
        <w:spacing w:lineRule="auto" w:line="240" w:before="87" w:after="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pPr>
      <w:r>
        <w:rPr/>
        <w:t xml:space="preserve">Az a benyomásom, hogy Európában több időt töltünk az éghajlatváltozásról, mint hogy valódi lépéseket tegyünk ellene.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pPr>
      <w:r>
        <w:rPr/>
        <w:t xml:space="preserve">A szigorúbb éghajlat-változási szabályok végső soron hasznosak lehetnek számunkra. Mint a kereskedelemben részt vevő kontinens, meg kell próbálnunk látni a lehetőségeket.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rFonts w:ascii="Calibri" w:hAnsi="Calibri"/>
          <w:i/>
          <w:i/>
          <w:color w:val="000000"/>
          <w:sz w:val="21"/>
        </w:rPr>
      </w:pPr>
      <w:r>
        <w:rPr/>
        <w:t xml:space="preserve">Nem várhatunk más kontinensekre. Nincs időnk várni.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AZ ÖTLET:</w:t>
      </w:r>
      <w:r>
        <w:rPr>
          <w:i/>
        </w:rPr>
        <w:t xml:space="preserve"> Jutalmazzák az országokat pénzügyileg, ha bizonyítják, hogy természetük és biológiai sokféleségük növekszik. </w:t>
      </w:r>
    </w:p>
    <w:p>
      <w:pPr>
        <w:pStyle w:val="P68B1DB1Normal118"/>
        <w:widowControl w:val="false"/>
        <w:spacing w:lineRule="auto" w:line="240"/>
        <w:ind w:left="0" w:right="0" w:hanging="0"/>
        <w:jc w:val="left"/>
        <w:rPr>
          <w:rFonts w:ascii="Calibri" w:hAnsi="Calibri"/>
          <w:i/>
          <w:i/>
          <w:color w:val="000000"/>
          <w:sz w:val="21"/>
        </w:rPr>
      </w:pPr>
      <w:r>
        <w:rPr/>
        <w:t xml:space="preserve"> </w:t>
      </w:r>
    </w:p>
    <w:p>
      <w:pPr>
        <w:pStyle w:val="P68B1DB1Normal104"/>
        <w:widowControl w:val="false"/>
        <w:spacing w:lineRule="auto" w:line="240"/>
        <w:ind w:left="0" w:right="0" w:hanging="0"/>
        <w:jc w:val="left"/>
        <w:rPr/>
      </w:pPr>
      <w:r>
        <w:rPr/>
        <w:t>AZ ÖTLET:</w:t>
      </w:r>
      <w:r>
        <w:rPr>
          <w:i/>
        </w:rPr>
        <w:t xml:space="preserve"> „A természetbarát turizmus ösztönzése az EU szegény régióiban.”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pPr>
      <w:r>
        <w:rPr/>
        <w:t xml:space="preserve">Doetinchem Szakközépiskolai hallgatók: A távoli utaknak mindenki számára hozzáférhetőnek kell lenniük.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Azt a tézist, hogy az EU-n belüli járatoknak drágábbnak kell lenniük, a doetinchemi Graafschap College hallgatóinak nyújtották be. Néhány diák egyetértett abban, hogy a drágább jegyek arra ösztönzik az embereket, hogy olcsóbb alternatívákat keressenek. Hangsúlyozták továbbá, hogy az EU-nak ezután környezetbarátabb lehetőségeket kell biztosítania, például jobb vasúti összeköttetéseket. Más résztvevők jelezték, hogy nem támogatják a magasabb repülőjegy-árakat. „A gazdag emberek azok, akik ma a legtöbbet utaznak, és könnyen meg tudják fizetni” – mondta az egyik résztvevő. A magas árak nem akadályozzák meg őket az utazásban. Míg a távoli ünnepek lehetetlenné válnak a „szokásos” polgárok számára. </w:t>
      </w:r>
    </w:p>
    <w:p>
      <w:pPr>
        <w:pStyle w:val="P68B1DB1Normal118"/>
        <w:widowControl w:val="false"/>
        <w:spacing w:lineRule="auto" w:line="240"/>
        <w:ind w:left="0" w:right="0" w:hanging="0"/>
        <w:jc w:val="left"/>
        <w:rPr/>
      </w:pPr>
      <w:r>
        <w:rPr/>
        <w:t xml:space="preserve">Természetbarát gazdálkodók: „Az EU hozzájárulhatna a fenntartható megoldásokra vonatkozó ismeretek terjesztéséhez.”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rFonts w:ascii="Calibri" w:hAnsi="Calibri"/>
          <w:color w:val="000000"/>
          <w:sz w:val="21"/>
        </w:rPr>
      </w:pPr>
      <w:r>
        <w:rPr/>
        <w:t xml:space="preserve">A BoerenNatuur gazdálkodói csoportok szövetsége. A tematikus párbeszéd során a beszélgetés középpontjában az éghajlatváltozás és a környezet állt. </w:t>
      </w:r>
    </w:p>
    <w:p>
      <w:pPr>
        <w:pStyle w:val="Normal"/>
        <w:widowControl w:val="false"/>
        <w:spacing w:lineRule="auto" w:line="240"/>
        <w:ind w:left="0" w:right="0" w:hanging="0"/>
        <w:jc w:val="left"/>
        <w:rPr/>
      </w:pPr>
      <w:r>
        <w:rPr>
          <w:rFonts w:ascii="Calibri" w:hAnsi="Calibri"/>
          <w:color w:val="000000"/>
          <w:sz w:val="21"/>
        </w:rPr>
        <w:t>Ami a résztvevők szerint valószínűleg javulni fog, az az uniós jogszabályok és rendeletek különböző országok általi alkalmazása. A nitrogéndokumentációra példaként hivatkoztak. „Az uniós jogszabályok csak azt írják elő, hogy egy természeti terület „nem romolhat”. De Dél-Európában ezt a fogalmat másképpen értelmezik, mint Hollandiában." A jelenlévők többsége egyetért abban, hogy Európának vezető szerepet kell játszania az éghajlatváltozás elleni küzdelemben. Nem szabad megelégednünk a beszéddel, hanem eredményeket kell elérnünk. Különösen az ismeretek cseréje révén a gazdálkodók hisznek. Az agrárszektorban olyan megoldásokon dolgozunk, amelyek</w:t>
      </w:r>
      <w:r>
        <w:rPr>
          <w:rFonts w:ascii="Calibri" w:hAnsi="Calibri"/>
          <w:color w:val="000000"/>
          <w:sz w:val="21"/>
        </w:rPr>
        <w:commentReference w:id="27"/>
      </w:r>
      <w:r>
        <w:rPr>
          <w:rFonts w:ascii="Calibri" w:hAnsi="Calibri"/>
          <w:color w:val="000000"/>
          <w:sz w:val="21"/>
        </w:rPr>
        <w:t xml:space="preserve"> révén tisztább mezőgazdaság érhető el. Az EU-nak segítenie kell a tudás gyors terjesztését ezen a területen.” </w:t>
      </w:r>
      <w:r>
        <w:br w:type="page"/>
      </w:r>
    </w:p>
    <w:p>
      <w:pPr>
        <w:pStyle w:val="P68B1DB1Normal127"/>
        <w:widowControl w:val="false"/>
        <w:spacing w:lineRule="auto" w:line="240"/>
        <w:ind w:left="0" w:right="0" w:hanging="0"/>
        <w:jc w:val="left"/>
        <w:rPr/>
      </w:pPr>
      <w:r>
        <w:rPr>
          <w:b/>
          <w:color w:val="0070C0"/>
          <w:sz w:val="32"/>
        </w:rPr>
        <w:t>Migráció</w:t>
      </w:r>
      <w:r>
        <w:rPr>
          <w:color w:val="365F91"/>
          <w:sz w:val="28"/>
        </w:rPr>
        <w:t xml:space="preserve"> </w:t>
      </w:r>
      <w:r>
        <w:rPr>
          <w:color w:val="0070C0"/>
          <w:sz w:val="21"/>
        </w:rPr>
        <w:t xml:space="preserve">(migráció és menekültek) </w:t>
      </w:r>
    </w:p>
    <w:p>
      <w:pPr>
        <w:pStyle w:val="P68B1DB1Normal20"/>
        <w:widowControl w:val="false"/>
        <w:spacing w:lineRule="auto" w:line="240"/>
        <w:ind w:left="0" w:right="0" w:hanging="0"/>
        <w:jc w:val="left"/>
        <w:rPr>
          <w:rFonts w:ascii="Calibri" w:hAnsi="Calibri"/>
          <w:color w:val="000000"/>
          <w:sz w:val="24"/>
        </w:rPr>
      </w:pPr>
      <w:r>
        <w:rPr/>
        <w:t xml:space="preserve"> </w:t>
      </w:r>
    </w:p>
    <w:p>
      <w:pPr>
        <w:pStyle w:val="P68B1DB1Normal104"/>
        <w:widowControl w:val="false"/>
        <w:spacing w:lineRule="auto" w:line="240"/>
        <w:ind w:left="0" w:right="0" w:hanging="0"/>
        <w:jc w:val="left"/>
        <w:rPr/>
      </w:pPr>
      <w:r>
        <w:rPr/>
        <w:t xml:space="preserve">Az uniós tagállamok közötti határok nyitva vannak. Ezért az EU-n belül együttműködés folyik például a külső határok igazgatása és a migránscsempészet elleni küzdelem terén. A menekülteknek a különböző uniós tagállamok közötti igazságos elosztásáról is tárgyalunk. Hogyan vélekedik erről Hollandia? </w:t>
      </w:r>
    </w:p>
    <w:p>
      <w:pPr>
        <w:pStyle w:val="P68B1DB1Normal126"/>
        <w:widowControl w:val="false"/>
        <w:spacing w:lineRule="auto" w:line="240" w:before="93" w:after="0"/>
        <w:ind w:left="0" w:right="0" w:hanging="0"/>
        <w:jc w:val="left"/>
        <w:rPr>
          <w:rFonts w:ascii="Calibri" w:hAnsi="Calibri"/>
          <w:color w:val="0070C0"/>
          <w:sz w:val="24"/>
        </w:rPr>
      </w:pPr>
      <w:r>
        <w:rPr/>
        <w:t xml:space="preserve">Ajánlások – jövőképünk a migrációról és a menekültekről </w:t>
      </w:r>
    </w:p>
    <w:p>
      <w:pPr>
        <w:pStyle w:val="P68B1DB1Normal120"/>
        <w:widowControl w:val="false"/>
        <w:spacing w:lineRule="auto" w:line="240" w:before="90" w:after="0"/>
        <w:ind w:left="0" w:right="0" w:hanging="0"/>
        <w:jc w:val="left"/>
        <w:rPr/>
      </w:pPr>
      <w:r>
        <w:rPr/>
        <w:t xml:space="preserve">A hollandok 65%-a úgy véli, hogy a migráció és a menekültek fontos kérdés, és az EU-nak közbe kell lépnie ezen a területen. </w:t>
      </w:r>
    </w:p>
    <w:p>
      <w:pPr>
        <w:pStyle w:val="P68B1DB1Normal111"/>
        <w:widowControl w:val="false"/>
        <w:spacing w:lineRule="auto" w:line="240" w:before="83" w:after="0"/>
        <w:ind w:left="0" w:right="0" w:hanging="0"/>
        <w:jc w:val="left"/>
        <w:rPr>
          <w:rFonts w:ascii="Calibri" w:hAnsi="Calibri"/>
          <w:b/>
          <w:b/>
          <w:color w:val="000000"/>
          <w:sz w:val="22"/>
        </w:rPr>
      </w:pPr>
      <w:r>
        <w:rPr/>
        <w:t xml:space="preserve">1. Kerülje el, hogy a menekültek kérdéséről folytatott viták túl kevés árnyalatúak legyenek. </w:t>
      </w:r>
    </w:p>
    <w:p>
      <w:pPr>
        <w:pStyle w:val="P68B1DB1Normal104"/>
        <w:widowControl w:val="false"/>
        <w:spacing w:lineRule="auto" w:line="240"/>
        <w:ind w:left="0" w:right="0" w:hanging="0"/>
        <w:jc w:val="left"/>
        <w:rPr/>
      </w:pPr>
      <w:r>
        <w:rPr/>
        <w:t xml:space="preserve">Hollandia 70%-a úgy véli, hogy Európa külső határait jobban meg kell védeni. 72 százalékuk szerint ez azt is jelenti, hogy több menekültet kell visszaküldeni a bizonytalan országokba. A hollandok úgy vélik, hogy nagyobb figyelmet kell fordítani azokra az okokra, amelyek arra késztetik az embereket, hogy elmeneküljenek egy nem biztonságos országból. Ezek az okok néha az éghajlatváltozáshoz, néha a háborúkhoz kapcsolódnak. Ezeket a kontextusokat gyakran csak korlátozottan említik a menekültkérdésről folytatott vita során. Ritkán foglalkoznak azzal a hozzáadott értékkel is, amelyet ezek a menekültek hoznak egy országba. Végezetül úgy véljük, hogy az EU-nak egyértelműbb különbséget kell tennie a bizonytalan régiókból érkezők és a gazdasági menekültek között. Összefoglalva azt állapítjuk meg, hogy a migrációról és a menekültekről szóló vitákban általában nincsenek összefüggések és árnyalatok. Az európai politikusok példát mutatva orvosolhatnák ezt a helyzetet. </w:t>
      </w:r>
    </w:p>
    <w:p>
      <w:pPr>
        <w:pStyle w:val="P68B1DB1Normal113"/>
        <w:widowControl w:val="false"/>
        <w:spacing w:lineRule="auto" w:line="240" w:before="173" w:after="0"/>
        <w:ind w:left="0" w:right="0" w:hanging="0"/>
        <w:jc w:val="center"/>
        <w:rPr/>
      </w:pPr>
      <w:r>
        <w:rPr/>
        <w:t xml:space="preserve">Továbbra is elsősorban polgártársainknak kell tekintenünk a menekülteket. Mert szinte senki sem hagyja el a bajban lévő embert. </w:t>
      </w:r>
    </w:p>
    <w:p>
      <w:pPr>
        <w:pStyle w:val="P68B1DB1Normal111"/>
        <w:widowControl w:val="false"/>
        <w:spacing w:lineRule="auto" w:line="240" w:before="138" w:after="0"/>
        <w:ind w:left="0" w:right="0" w:hanging="0"/>
        <w:jc w:val="left"/>
        <w:rPr>
          <w:rFonts w:ascii="Calibri" w:hAnsi="Calibri"/>
          <w:b/>
          <w:b/>
          <w:color w:val="000000"/>
          <w:sz w:val="22"/>
        </w:rPr>
      </w:pPr>
      <w:r>
        <w:rPr/>
        <w:t xml:space="preserve">2. A menekültek méltányos és gyakorlati elosztásának meghatározása </w:t>
      </w:r>
    </w:p>
    <w:p>
      <w:pPr>
        <w:pStyle w:val="P68B1DB1Normal104"/>
        <w:widowControl w:val="false"/>
        <w:spacing w:lineRule="auto" w:line="240"/>
        <w:ind w:left="0" w:right="0" w:hanging="0"/>
        <w:jc w:val="both"/>
        <w:rPr/>
      </w:pPr>
      <w:r>
        <w:rPr/>
        <w:t xml:space="preserve">Az európai bevándorlási szolgálatnak biztosítania kell a menekültek igazságos elosztását az uniós tagállamok között. A hollandok úgy vélik továbbá, hogy egyértelmű kritériumokat kell megállapítani annak meghatározására, hogy mi a méltányos elosztás. Egy jó szociális rendszer például vonzóvá teheti az országot a menekültek számára, de más tényezők is fontosak mind a menekültek, mind az érintett ország számára. Hollandiában lakáshiánnyal kell szembenéznünk, míg egyes országoknak vagy ágazatoknak egyszerűen több migráns munkavállalóra van szükségük. Fontosnak tartjuk, hogy az EU ezt figyelembe vegye a menekültek elosztásakor. Az egyértelmű mechanizmusok nemcsak az átláthatóságot garantálják, hanem kevesebb vitát is, ami végső soron mindenkinek érdeke. </w:t>
      </w:r>
    </w:p>
    <w:p>
      <w:pPr>
        <w:pStyle w:val="P68B1DB1Normal113"/>
        <w:widowControl w:val="false"/>
        <w:spacing w:lineRule="auto" w:line="240" w:before="173" w:after="0"/>
        <w:ind w:left="0" w:right="0" w:hanging="0"/>
        <w:jc w:val="center"/>
        <w:rPr/>
      </w:pPr>
      <w:r>
        <w:rPr/>
        <w:t xml:space="preserve">A menekülteknek képesnek kell lenniük arra, hogy kifejezzék tehetségüket egy célországban. </w:t>
      </w:r>
    </w:p>
    <w:p>
      <w:pPr>
        <w:pStyle w:val="P68B1DB1Normal111"/>
        <w:widowControl w:val="false"/>
        <w:spacing w:lineRule="auto" w:line="240" w:before="136" w:after="0"/>
        <w:ind w:left="0" w:right="0" w:hanging="0"/>
        <w:jc w:val="left"/>
        <w:rPr>
          <w:rFonts w:ascii="Calibri" w:hAnsi="Calibri"/>
          <w:b/>
          <w:b/>
          <w:color w:val="000000"/>
          <w:sz w:val="22"/>
        </w:rPr>
      </w:pPr>
      <w:r>
        <w:rPr/>
        <w:t xml:space="preserve">3. A származási menekült régiók segítése érdekében szerzett ismeretekre és tapasztalatokra építve </w:t>
      </w:r>
    </w:p>
    <w:p>
      <w:pPr>
        <w:pStyle w:val="P68B1DB1Normal104"/>
        <w:widowControl w:val="false"/>
        <w:spacing w:lineRule="auto" w:line="240" w:before="86" w:after="0"/>
        <w:ind w:left="0" w:right="0" w:hanging="0"/>
        <w:jc w:val="left"/>
        <w:rPr/>
      </w:pPr>
      <w:r>
        <w:rPr/>
        <w:t xml:space="preserve">A hollandok 67%-a gondolja úgy, hogy az EU-nak tovább kell segítenie a bizonytalan régiókat a menekültáradat megfékezéséhez. Tisztában vagyunk azzal, hogy a menekültek nem egyszerű választással hagyják el hazájukat. Meg kell tehát vizsgálnunk azokat az okokat, mint az éghajlatváltozás vagy a konfliktusok, amelyek a régiókat nem biztonságossá vagy élhetetlenné teszik. Az EU nemcsak pénzügyi támogatással, hanem tudással is segítheti a menekült régiókat. Hollandiában például erős mezőgazdasági készségekkel rendelkezünk. Modern gazdálkodási technikákkal segíthetünk más országoknak jobban megbirkózni az aszályokkal és a szikesedéssel. És azok az emberek, akik Európába menekültek, részt vehetnek egy európai országban való képzésen, majd saját maguk is segíthetik származási országukat.  </w:t>
      </w:r>
    </w:p>
    <w:p>
      <w:pPr>
        <w:pStyle w:val="P68B1DB1Normal104"/>
        <w:widowControl w:val="false"/>
        <w:spacing w:lineRule="auto" w:line="240" w:before="94" w:after="0"/>
        <w:ind w:left="0" w:right="0" w:hanging="0"/>
        <w:jc w:val="left"/>
        <w:rPr>
          <w:rFonts w:ascii="Calibri" w:hAnsi="Calibri"/>
          <w:color w:val="000000"/>
          <w:sz w:val="21"/>
        </w:rPr>
      </w:pPr>
      <w:r>
        <w:rPr/>
        <w:t xml:space="preserve"> </w:t>
      </w:r>
    </w:p>
    <w:p>
      <w:pPr>
        <w:pStyle w:val="Normal"/>
        <w:widowControl w:val="false"/>
        <w:spacing w:lineRule="auto" w:line="240"/>
        <w:ind w:left="0" w:right="0" w:hanging="0"/>
        <w:jc w:val="left"/>
        <w:rPr>
          <w:rFonts w:ascii="Times New Roman" w:hAnsi="Times New Roman"/>
          <w:color w:val="000000"/>
          <w:sz w:val="24"/>
        </w:rPr>
      </w:pPr>
      <w:r>
        <w:rPr>
          <w:rFonts w:ascii="Times New Roman" w:hAnsi="Times New Roman"/>
          <w:color w:val="000000"/>
          <w:sz w:val="24"/>
        </w:rPr>
      </w:r>
      <w:r>
        <w:br w:type="page"/>
      </w:r>
    </w:p>
    <w:p>
      <w:pPr>
        <w:pStyle w:val="P68B1DB1Normal126"/>
        <w:widowControl w:val="false"/>
        <w:spacing w:lineRule="auto" w:line="240"/>
        <w:ind w:left="0" w:right="0" w:hanging="0"/>
        <w:jc w:val="left"/>
        <w:rPr>
          <w:rFonts w:ascii="Calibri" w:hAnsi="Calibri"/>
          <w:color w:val="0070C0"/>
          <w:sz w:val="24"/>
        </w:rPr>
      </w:pPr>
      <w:r>
        <w:rPr/>
        <w:t xml:space="preserve">Online és helyszíni megbeszélések és ötletek </w:t>
      </w:r>
    </w:p>
    <w:p>
      <w:pPr>
        <w:pStyle w:val="P68B1DB1Normal118"/>
        <w:widowControl w:val="false"/>
        <w:spacing w:lineRule="auto" w:line="240" w:before="85" w:after="0"/>
        <w:ind w:left="0" w:right="0" w:hanging="0"/>
        <w:jc w:val="left"/>
        <w:rPr/>
      </w:pPr>
      <w:r>
        <w:rPr/>
        <w:t>„</w:t>
      </w:r>
      <w:r>
        <w:rPr/>
        <w:t xml:space="preserve">Az EU-nak gyorsabb menekültügyi eljárásokat kell bevezetnie. Így lesz több hely azoknak, akiknek valóban szükségük van rá. </w:t>
      </w:r>
    </w:p>
    <w:p>
      <w:pPr>
        <w:pStyle w:val="P68B1DB1Normal118"/>
        <w:widowControl w:val="false"/>
        <w:spacing w:lineRule="auto" w:line="240"/>
        <w:ind w:left="0" w:right="0" w:hanging="0"/>
        <w:jc w:val="left"/>
        <w:rPr/>
      </w:pPr>
      <w:r>
        <w:rPr/>
        <w:t xml:space="preserve">Sok fiatalt ismerek körülöttem, akik házat akarnak venni, de nem találnak semmi megfizethetőt, miközben a menekültek látják, hogy lakhatást kínálnak. Nehezen tudom elfogadni. </w:t>
      </w:r>
    </w:p>
    <w:p>
      <w:pPr>
        <w:pStyle w:val="P68B1DB1Normal118"/>
        <w:widowControl w:val="false"/>
        <w:spacing w:lineRule="auto" w:line="240"/>
        <w:ind w:left="0" w:right="0" w:hanging="0"/>
        <w:jc w:val="left"/>
        <w:rPr/>
      </w:pPr>
      <w:r>
        <w:rPr/>
        <w:t xml:space="preserve">Az éghajlatváltozás mindenképpen a lakosság elvándorlásához vezet. Nem tudjuk megállítani ezeket az áramlásokat, de valószínűleg jobban szabályozhatjuk őket. </w:t>
      </w:r>
    </w:p>
    <w:p>
      <w:pPr>
        <w:pStyle w:val="P68B1DB1Normal118"/>
        <w:widowControl w:val="false"/>
        <w:spacing w:lineRule="auto" w:line="240"/>
        <w:ind w:left="0" w:right="0" w:hanging="0"/>
        <w:jc w:val="left"/>
        <w:rPr/>
      </w:pPr>
      <w:r>
        <w:rPr/>
        <w:t xml:space="preserve">Betuwe-ban élek. A körte és az alma szezonban egyszerűen sok migráns munkavállalóra van szükségünk. </w:t>
      </w:r>
    </w:p>
    <w:p>
      <w:pPr>
        <w:pStyle w:val="P68B1DB1Normal118"/>
        <w:widowControl w:val="false"/>
        <w:spacing w:lineRule="auto" w:line="240"/>
        <w:ind w:left="0" w:right="0" w:hanging="0"/>
        <w:jc w:val="left"/>
        <w:rPr/>
      </w:pPr>
      <w:r>
        <w:rPr/>
        <w:t xml:space="preserve">A bizonytalan régiók nem biztonságosak semmire, a hatóságok gyakran megbízhatatlanok. Honnan tudjuk, hová megy a segítségünk és a pénzünk? </w:t>
      </w:r>
    </w:p>
    <w:p>
      <w:pPr>
        <w:pStyle w:val="P68B1DB1Normal104"/>
        <w:widowControl w:val="false"/>
        <w:spacing w:lineRule="auto" w:line="240"/>
        <w:ind w:left="0" w:right="0" w:hanging="0"/>
        <w:jc w:val="left"/>
        <w:rPr/>
      </w:pPr>
      <w:r>
        <w:rPr/>
        <w:t xml:space="preserve">AZ ÖTLET: </w:t>
      </w:r>
      <w:r>
        <w:rPr>
          <w:i/>
        </w:rPr>
        <w:t>Vegye fontolóra a helyi stratégiákat is, például a polgárok részvételét a menekültek helyi befogadásában és a helyi integrációs kezdeményezések finanszírozását.</w:t>
      </w:r>
    </w:p>
    <w:p>
      <w:pPr>
        <w:pStyle w:val="P68B1DB1Normal104"/>
        <w:widowControl w:val="false"/>
        <w:spacing w:lineRule="auto" w:line="240"/>
        <w:ind w:left="0" w:right="0" w:hanging="0"/>
        <w:jc w:val="left"/>
        <w:rPr/>
      </w:pPr>
      <w:r>
        <w:rPr/>
        <w:t>AZ ÖTLET:</w:t>
      </w:r>
      <w:r>
        <w:rPr>
          <w:i/>
        </w:rPr>
        <w:t xml:space="preserve"> Miniházak létrehozása olyan városokban, ahol a menekültek érkezéskor élhetnek. Ez enyhítené a lakáspiacra nehezedő nyomást, és növelné az ilyen emberek befogadására irányuló állami támogatást. </w:t>
      </w:r>
    </w:p>
    <w:p>
      <w:pPr>
        <w:pStyle w:val="P68B1DB1Normal118"/>
        <w:widowControl w:val="false"/>
        <w:spacing w:lineRule="auto" w:line="240"/>
        <w:ind w:left="0" w:right="0" w:hanging="0"/>
        <w:jc w:val="left"/>
        <w:rPr/>
      </w:pPr>
      <w:r>
        <w:rPr/>
        <w:t xml:space="preserve">Önkéntesek, akik maguk is menekültek voltak: Európában az emberek gyakran távol maradnak egymástól.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A Taal Doet Meer egy önkéntes szervezet, amely biztosítja, hogy Utrecht új Allophone lakói részt vehessenek a társadalomban. A szervezettel folytatott tematikus párbeszéd nemcsak a migrációra, hanem mindenekelőtt az integrációra is összpontosított. Több résztvevő is menekültként érkezett Hollandiába, köztük egy Szíriából. Hét év után még mindig nem érzem magam hollandnak. Én sem találtam munkát, annak ellenére, hogy mesterfokozatot szereztem. Megjegyzem, hogy az európai országok elsősorban önmagukért aggódnak, és nem nagyon nyitottak más országokra és kultúrákra." Egy másik résztvevő megjegyezte, hogy az európaiak gyakran távol maradnak egymástól. A legtöbb ember egyedül van; mindenki a sarokban marad. A magam részéről azt találom, hogy az egyiknek beszélnie kell egymással, és hogy tanulhatunk egymástól.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pPr>
      <w:r>
        <w:rPr/>
        <w:t xml:space="preserve">Fiatalok a Nemzeti Ifjúsági Tanácsból: Csak akkor engedd be az embereket, ha tudsz róluk gondoskodni. </w:t>
      </w:r>
    </w:p>
    <w:p>
      <w:pPr>
        <w:pStyle w:val="P68B1DB1Normal104"/>
        <w:widowControl w:val="false"/>
        <w:spacing w:lineRule="auto" w:line="240"/>
        <w:ind w:left="0" w:right="0" w:hanging="0"/>
        <w:jc w:val="both"/>
        <w:rPr/>
      </w:pPr>
      <w:r>
        <w:rPr/>
        <w:t xml:space="preserve">Utrechtben a Nemzeti Ifjúsági Tanács (CNJ) különböző munkacsoportjainak tagjai vitát tartottak. A 16–23 éves résztvevők úgy vélik, hogy az európai menekültek elosztásakor több szempontot is figyelembe kell venni, például a lakosság számát, az ország méretét, a jólétet és a menedékkérők központjainak számát. „Menekültek csak akkor léphetnek be az országba, ha majd gondoskodnak róluk” – mondta egyikük. </w:t>
      </w:r>
    </w:p>
    <w:p>
      <w:pPr>
        <w:pStyle w:val="Normal"/>
        <w:widowControl w:val="false"/>
        <w:spacing w:lineRule="auto" w:line="240"/>
        <w:ind w:left="0" w:right="0" w:hanging="0"/>
        <w:jc w:val="left"/>
        <w:rPr/>
      </w:pPr>
      <w:r>
        <w:rPr>
          <w:rFonts w:ascii="Calibri" w:hAnsi="Calibri"/>
          <w:color w:val="000000"/>
          <w:sz w:val="21"/>
        </w:rPr>
        <w:t xml:space="preserve">A fiatalok úgy vélik, hogy következményekkel kell járniuk, ha az országok nem teljesítik a menekültek befogadására vonatkozó kötelezettségvállalásaikat. Például meg kell büntetni őket. „És a menekülteknek is bele kell szólalniuk abba, hogy hova mennek” – mondta valaki. Például, ha már van családjuk valahol, nem küldhetjük őket máshová. </w:t>
      </w:r>
      <w:r>
        <w:br w:type="page"/>
      </w:r>
    </w:p>
    <w:p>
      <w:pPr>
        <w:pStyle w:val="P68B1DB1Normal125"/>
        <w:widowControl w:val="false"/>
        <w:spacing w:lineRule="auto" w:line="240"/>
        <w:ind w:left="0" w:right="0" w:hanging="0"/>
        <w:jc w:val="left"/>
        <w:rPr>
          <w:rFonts w:ascii="Calibri" w:hAnsi="Calibri"/>
          <w:b/>
          <w:b/>
          <w:color w:val="0070C0"/>
          <w:sz w:val="32"/>
        </w:rPr>
      </w:pPr>
      <w:r>
        <w:rPr/>
        <w:t xml:space="preserve">Egészség </w:t>
      </w:r>
    </w:p>
    <w:p>
      <w:pPr>
        <w:pStyle w:val="P68B1DB1Normal130"/>
        <w:widowControl w:val="false"/>
        <w:spacing w:lineRule="auto" w:line="240"/>
        <w:ind w:left="0" w:right="0" w:hanging="0"/>
        <w:jc w:val="left"/>
        <w:rPr>
          <w:rFonts w:ascii="Calibri" w:hAnsi="Calibri"/>
          <w:color w:val="0070C0"/>
          <w:sz w:val="21"/>
        </w:rPr>
      </w:pPr>
      <w:r>
        <w:rPr/>
        <w:t xml:space="preserve">(Egészségügyi ellátás) </w:t>
      </w:r>
    </w:p>
    <w:p>
      <w:pPr>
        <w:pStyle w:val="P68B1DB1Normal104"/>
        <w:widowControl w:val="false"/>
        <w:spacing w:lineRule="auto" w:line="240"/>
        <w:ind w:left="0" w:right="0" w:hanging="0"/>
        <w:jc w:val="left"/>
        <w:rPr/>
      </w:pPr>
      <w:r>
        <w:rPr/>
        <w:t xml:space="preserve">Bár az egészségügyi ellátás elsősorban az egyes országok felelőssége, azt uniós szakpolitikák támogathatják és erősíthetik, például a Covid19-világjárványra vagy más (jövőbeli) egészségügyi válságokra adott válaszként, vagy a súlyos betegségekkel kapcsolatos partnerségi kutatás keretében. Hogyan vélekedik erről Hollandia? </w:t>
      </w:r>
    </w:p>
    <w:p>
      <w:pPr>
        <w:pStyle w:val="P68B1DB1Normal126"/>
        <w:widowControl w:val="false"/>
        <w:spacing w:lineRule="auto" w:line="240" w:before="14" w:after="0"/>
        <w:ind w:left="0" w:right="0" w:hanging="0"/>
        <w:jc w:val="left"/>
        <w:rPr>
          <w:rFonts w:ascii="Calibri" w:hAnsi="Calibri"/>
          <w:color w:val="0070C0"/>
          <w:sz w:val="24"/>
        </w:rPr>
      </w:pPr>
      <w:r>
        <w:rPr/>
        <w:t xml:space="preserve">Ajánlások – Az egészségügyről alkotott víziónk </w:t>
      </w:r>
    </w:p>
    <w:p>
      <w:pPr>
        <w:pStyle w:val="P68B1DB1Normal120"/>
        <w:widowControl w:val="false"/>
        <w:spacing w:lineRule="auto" w:line="240"/>
        <w:ind w:left="0" w:right="0" w:hanging="0"/>
        <w:jc w:val="left"/>
        <w:rPr/>
      </w:pPr>
      <w:r>
        <w:rPr/>
        <w:t xml:space="preserve">A hollandok 64%-a véli úgy, hogy az egészségügy fontos kérdés, és az EU-nak közbe kell lépnie ezen a területen. </w:t>
      </w:r>
    </w:p>
    <w:p>
      <w:pPr>
        <w:pStyle w:val="P68B1DB1Normal111"/>
        <w:widowControl w:val="false"/>
        <w:spacing w:lineRule="auto" w:line="240" w:before="2" w:after="0"/>
        <w:ind w:left="0" w:right="0" w:hanging="0"/>
        <w:jc w:val="left"/>
        <w:rPr>
          <w:rFonts w:ascii="Calibri" w:hAnsi="Calibri"/>
          <w:b/>
          <w:b/>
          <w:color w:val="000000"/>
          <w:sz w:val="22"/>
        </w:rPr>
      </w:pPr>
      <w:r>
        <w:rPr/>
        <w:t xml:space="preserve">1. Jobban ellenőrizzék a világjárvány kezelését </w:t>
      </w:r>
    </w:p>
    <w:p>
      <w:pPr>
        <w:pStyle w:val="P68B1DB1Normal104"/>
        <w:widowControl w:val="false"/>
        <w:spacing w:lineRule="auto" w:line="240"/>
        <w:ind w:left="0" w:right="0" w:hanging="0"/>
        <w:jc w:val="left"/>
        <w:rPr/>
      </w:pPr>
      <w:r>
        <w:rPr/>
        <w:t xml:space="preserve">Hollandia 83%-a véli úgy, hogy az uniós országoknak többet kell együtt dolgozniuk annak érdekében, hogy megakadályozzák a fertőző betegségek terjedését a világon. Mert a vírus nem ismer határokat. Ezt láthatjuk a jelenlegi világjárvány idején. Az EU-n belüli politikák néha összezavarodnak. Ez nem tesz jót a szabályoknak való megfelelésnek. Úgy véljük, hogy a vírus terjedése elleni küzdelmet szolgáló szabályokat jobban össze kell hangolni, anélkül, hogy mindenhol azonosak lennének. Kell, hogy legyen hely a helyi választásoknak. Nemcsak azért, mert a szennyeződések száma eltérhet, hanem azért is, mert Európában különböző kultúrák vannak. Egyes intézkedések egyes országokban jobban működnek, mint másokban. </w:t>
      </w:r>
    </w:p>
    <w:p>
      <w:pPr>
        <w:pStyle w:val="P68B1DB1Normal113"/>
        <w:widowControl w:val="false"/>
        <w:spacing w:lineRule="auto" w:line="240" w:before="164" w:after="0"/>
        <w:ind w:left="0" w:right="0" w:hanging="0"/>
        <w:jc w:val="center"/>
        <w:rPr/>
      </w:pPr>
      <w:r>
        <w:rPr/>
        <w:t xml:space="preserve">Hollandiában élek, Németország határán. A két ország által a koronavírus elleni küzdelem érdekében elfogadott különböző intézkedések őrületbe kergetnek. </w:t>
      </w:r>
    </w:p>
    <w:p>
      <w:pPr>
        <w:pStyle w:val="Normal"/>
        <w:widowControl w:val="false"/>
        <w:spacing w:lineRule="auto" w:line="240" w:before="158" w:after="0"/>
        <w:ind w:left="0" w:right="0" w:hanging="0"/>
        <w:jc w:val="left"/>
        <w:rPr/>
      </w:pPr>
      <w:r>
        <w:rPr>
          <w:rFonts w:ascii="Cambria" w:hAnsi="Cambria"/>
          <w:color w:val="243F60"/>
          <w:sz w:val="24"/>
        </w:rPr>
        <w:t xml:space="preserve">2. </w:t>
      </w:r>
      <w:r>
        <w:rPr>
          <w:rFonts w:ascii="Calibri" w:hAnsi="Calibri"/>
          <w:b/>
          <w:color w:val="000000"/>
        </w:rPr>
        <w:t>Biztosítsa a megfizethető és megbízható gyógyszerek elérhetőségét mindenki számára</w:t>
      </w:r>
      <w:r>
        <w:rPr>
          <w:rFonts w:ascii="Cambria" w:hAnsi="Cambria"/>
          <w:color w:val="243F60"/>
          <w:sz w:val="24"/>
        </w:rPr>
        <w:t xml:space="preserve"> </w:t>
      </w:r>
    </w:p>
    <w:p>
      <w:pPr>
        <w:pStyle w:val="P68B1DB1Normal104"/>
        <w:widowControl w:val="false"/>
        <w:spacing w:lineRule="auto" w:line="240"/>
        <w:ind w:left="0" w:right="0" w:hanging="0"/>
        <w:jc w:val="left"/>
        <w:rPr/>
      </w:pPr>
      <w:r>
        <w:rPr/>
        <w:t xml:space="preserve">A hollandok 71%-a úgy véli, hogy az EU-nak biztosítania kell, hogy kevesebb harmadik országra van szükségünk a gyógyszerek fejlesztéséhez, gyártásához és szállításához. De ha ez azt jelenti, hogy hosszabb ideig várni kell a gyógyszerekre, a vélemények megosztottak. A hollandok úgy vélik, hogy a gyógyszerek előállítása és forgalmazása összetett kérdés. Egyrészt az egészségügyi költségek meredeken emelkednek Hollandiában, ezért fontosnak tartjuk, hogy ezeket a lehető legalacsonyabb szinten tartsuk. Másrészt meg akarjuk bízni a drogokat, még akkor is, ha messziről jönnek. Nem csak minőséginek kell lenniük, hanem fenntartható és etikailag felelős módon is. Általánosságban úgy véljük, hogy a fontos gyógyszereknek mindenki számára hozzáférhetőnek kell lenniük, a szegényebb országokban is. </w:t>
      </w:r>
    </w:p>
    <w:p>
      <w:pPr>
        <w:pStyle w:val="P68B1DB1Normal113"/>
        <w:widowControl w:val="false"/>
        <w:spacing w:lineRule="auto" w:line="240" w:before="167" w:after="0"/>
        <w:ind w:left="0" w:right="0" w:hanging="0"/>
        <w:jc w:val="both"/>
        <w:rPr/>
      </w:pPr>
      <w:r>
        <w:rPr/>
        <w:t>Az egészségügyi költségek már most is megfizethetetlenek. Ezért meg kell próbálnunk a lehető legalacsonyabb áron vásárolni az új gyógyszereket.</w:t>
      </w:r>
      <w:r>
        <w:rPr>
          <w:b/>
        </w:rPr>
        <w:t xml:space="preserve"> </w:t>
      </w:r>
    </w:p>
    <w:p>
      <w:pPr>
        <w:pStyle w:val="P68B1DB1Normal111"/>
        <w:widowControl w:val="false"/>
        <w:spacing w:lineRule="auto" w:line="240" w:before="131" w:after="0"/>
        <w:ind w:left="0" w:right="0" w:hanging="0"/>
        <w:jc w:val="left"/>
        <w:rPr/>
      </w:pPr>
      <w:r>
        <w:rPr/>
        <w:t xml:space="preserve">3. Az országoknak arra kell összpontosítaniuk, hogy javítsák egészségügyi rendszereiket és méltányosabbá tegyék azt </w:t>
      </w:r>
    </w:p>
    <w:p>
      <w:pPr>
        <w:pStyle w:val="P68B1DB1Normal104"/>
        <w:widowControl w:val="false"/>
        <w:spacing w:lineRule="auto" w:line="240" w:before="85" w:after="0"/>
        <w:ind w:left="0" w:right="0" w:hanging="0"/>
        <w:jc w:val="left"/>
        <w:rPr/>
      </w:pPr>
      <w:r>
        <w:rPr/>
        <w:t xml:space="preserve">A hollandok sokat törődnek az egészségügyi ellátással, és ez az aggodalom túlmutat a Covid19-világjárvány hatásán. Ismerjük például a kórházak strukturális kapacitásproblémáit. Néhány holland ember nem bízik az egészségügyi ágazat piaci erőinek hatásaiban. Megértjük, hogy a gyógyszeripari vállalatoknak meg kell téríteniük befektetéseiket, és hogy az egészségbiztosítási alapok olcsó egészségügyi ellátást akarnak, de a nagyvállalatoknak nem szabad visszaélniük a hatalmukkal. Az EU-nak e tekintetben szabályokat kell elfogadnia. Úgy véljük, hogy az egészségügy elsősorban nemzeti kérdés. Az országok jobban tudják, milyen problémák és prioritások vannak helyi szinten. Fontosnak tartjuk azonban, hogy az európai országok tanulhassanak egymástól az egészségügyi ellátás javítása érdekében. </w:t>
      </w:r>
    </w:p>
    <w:p>
      <w:pPr>
        <w:pStyle w:val="P68B1DB1Normal104"/>
        <w:widowControl w:val="false"/>
        <w:spacing w:lineRule="auto" w:line="240" w:before="94" w:after="0"/>
        <w:ind w:left="0" w:right="0" w:hanging="0"/>
        <w:jc w:val="left"/>
        <w:rPr>
          <w:rFonts w:ascii="Calibri" w:hAnsi="Calibri"/>
          <w:color w:val="000000"/>
          <w:sz w:val="21"/>
        </w:rPr>
      </w:pPr>
      <w:r>
        <w:rPr/>
        <w:t xml:space="preserve"> </w:t>
      </w:r>
    </w:p>
    <w:p>
      <w:pPr>
        <w:pStyle w:val="P68B1DB1Normal126"/>
        <w:widowControl w:val="false"/>
        <w:spacing w:lineRule="auto" w:line="240"/>
        <w:ind w:left="0" w:right="0" w:hanging="0"/>
        <w:jc w:val="left"/>
        <w:rPr>
          <w:rFonts w:ascii="Calibri" w:hAnsi="Calibri"/>
          <w:color w:val="0070C0"/>
          <w:sz w:val="24"/>
        </w:rPr>
      </w:pPr>
      <w:r>
        <w:rPr/>
        <w:t xml:space="preserve">Online és helyszíni megbeszélések és ötletek </w:t>
      </w:r>
    </w:p>
    <w:p>
      <w:pPr>
        <w:pStyle w:val="P68B1DB1Normal118"/>
        <w:widowControl w:val="false"/>
        <w:spacing w:lineRule="auto" w:line="240" w:before="95" w:after="0"/>
        <w:ind w:left="0" w:right="0" w:hanging="0"/>
        <w:jc w:val="left"/>
        <w:rPr/>
      </w:pPr>
      <w:r>
        <w:rPr/>
        <w:t xml:space="preserve">Ami a gyógyszerek európai elérhetőségét illeti, egy kicsit gazdaságosabbak is lehetnénk. Túl sokat dobunk belőle ma. </w:t>
      </w:r>
    </w:p>
    <w:p>
      <w:pPr>
        <w:pStyle w:val="P68B1DB1Normal104"/>
        <w:widowControl w:val="false"/>
        <w:spacing w:lineRule="auto" w:line="240" w:before="104" w:after="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pPr>
      <w:r>
        <w:rPr/>
        <w:t xml:space="preserve">Nagyon jó, hogy Németország Covid19-cel fogadta a holland betegeket. Szeretnék még több ilyen szolidaritást látni Európában.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rFonts w:ascii="Calibri" w:hAnsi="Calibri"/>
          <w:i/>
          <w:i/>
          <w:color w:val="000000"/>
          <w:sz w:val="21"/>
        </w:rPr>
      </w:pPr>
      <w:r>
        <w:rPr/>
        <w:t xml:space="preserve">Bárhol is él az EU-ban, függetlenül attól, hogy gazdag vagy szegény, mindenkinek joga van a minőségi ellátáshoz.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pPr>
      <w:r>
        <w:rPr/>
        <w:t xml:space="preserve">A gyógyszerek vásárlásakor nemcsak a költségeket, hanem az etikát is figyelembe kell venni. Ez például azt jelenti, hogy a gyermekmunkát nem szabad alkalmazni.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AZ ÖTLET:</w:t>
      </w:r>
      <w:r>
        <w:rPr>
          <w:i/>
        </w:rPr>
        <w:t xml:space="preserve"> „Az európaiak egészségének javítása annak biztosításával, hogy kevesebb stressz ne legyen kitéve. Például csökkentse a munkahét hosszát. </w:t>
      </w:r>
    </w:p>
    <w:p>
      <w:pPr>
        <w:pStyle w:val="P68B1DB1Normal118"/>
        <w:widowControl w:val="false"/>
        <w:spacing w:lineRule="auto" w:line="240"/>
        <w:ind w:left="0" w:right="0" w:hanging="0"/>
        <w:jc w:val="left"/>
        <w:rPr>
          <w:rFonts w:ascii="Calibri" w:hAnsi="Calibri"/>
          <w:i/>
          <w:i/>
          <w:color w:val="000000"/>
          <w:sz w:val="21"/>
        </w:rPr>
      </w:pPr>
      <w:r>
        <w:rPr/>
        <w:t xml:space="preserve"> </w:t>
      </w:r>
    </w:p>
    <w:p>
      <w:pPr>
        <w:pStyle w:val="P68B1DB1Normal104"/>
        <w:widowControl w:val="false"/>
        <w:spacing w:lineRule="auto" w:line="240"/>
        <w:ind w:left="0" w:right="0" w:hanging="0"/>
        <w:jc w:val="left"/>
        <w:rPr/>
      </w:pPr>
      <w:r>
        <w:rPr/>
        <w:t>AZ ÖTLET:</w:t>
      </w:r>
      <w:r>
        <w:rPr>
          <w:i/>
        </w:rPr>
        <w:t xml:space="preserve"> Annak lehetővé tétele, hogy a fiatalok egészségesebb döntéseket hozhassanak komoly kiterjesztett valóságjátékok révén.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rFonts w:ascii="Calibri" w:hAnsi="Calibri"/>
          <w:i/>
          <w:i/>
          <w:color w:val="000000"/>
          <w:sz w:val="21"/>
        </w:rPr>
      </w:pPr>
      <w:r>
        <w:rPr/>
        <w:t xml:space="preserve">A marokkói eredetű Utrecht lakói: Az egészségnek bizonyos ára lehet.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A Marokkaans Dialoog Overvecht Alapítvány (MDO) (Marokkaans Dialoog Overvecht) az Utrecht Overvecht kerület marokkói közösségének részvételével foglalkozik. E célból ösztönzi a szomszédságban folytatott párbeszédet, és így küzd az egyenlőtlenségek ellen. Az Európa jövőképe keretében folytatott tematikus párbeszéd résztvevői úgy vélik, hogy az európai együttműködés nagyon hasznos. Egyesek azonban úgy vélik, hogy Hollandia néha túlságosan függ más országoktól. E tekintetben példaként említésre került a Covid19-válság kezelése. A résztvevők szerint az Európán belüli számos konzultáció azzal a hatással járt, hogy Hollandia túl későn kezdte meg a Covid19 elleni védőoltást. „Talán többe kerülne, ha Hollandia egyedül akarna dönteni” – mondta valaki. De ez az egészségről szól, ez egy kicsit többe kerülhet.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pPr>
      <w:r>
        <w:rPr/>
        <w:t xml:space="preserve">Helmond diákjaitól: Jobb egymástól intelligensen tanulni, mint ugyanazt a megközelítést alkalmazni.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both"/>
        <w:rPr/>
      </w:pPr>
      <w:r>
        <w:rPr/>
        <w:t xml:space="preserve">A Helmondban található Dr. Knippenberg Főiskolán 16 év körüli diákok vitatták meg a Covid19-világjárvány európai kezelését. Egyesek úgy vélik, hogy az uniós tagállamoknak együtt kellett volna meghatározniuk a vakcinázási programot. A legtöbb résztvevő úgy érezte, hogy maguknak az országoknak jobb elképzelésük van arról, hogy mire van szükség és mi működik. Ezért ők jobban tudják eldönteni, hogy mi a helyes a lakosság számára. Jobban tudják például, hogy mely ágazatokban van szükség először védőoltásra, és mely ágazatokra lehet várni. „Természetesen nagyon jó, ha az országok konzultálnak egymással” – mondta az egyik diák. Ha sok ország saját megközelítést alkalmaz, megfigyelheti, hogy mások mit csinálnak, és tanulhatnak egymástól. </w:t>
      </w:r>
    </w:p>
    <w:p>
      <w:pPr>
        <w:pStyle w:val="Normal"/>
        <w:widowControl w:val="false"/>
        <w:spacing w:lineRule="auto" w:line="240"/>
        <w:ind w:left="0" w:right="0" w:hanging="0"/>
        <w:jc w:val="left"/>
        <w:rPr>
          <w:rFonts w:ascii="Calibri" w:hAnsi="Calibri"/>
          <w:color w:val="000000"/>
          <w:sz w:val="21"/>
        </w:rPr>
      </w:pPr>
      <w:r>
        <w:rPr>
          <w:rFonts w:ascii="Calibri" w:hAnsi="Calibri"/>
          <w:color w:val="000000"/>
          <w:sz w:val="21"/>
        </w:rPr>
      </w:r>
      <w:r>
        <w:br w:type="page"/>
      </w:r>
    </w:p>
    <w:p>
      <w:pPr>
        <w:pStyle w:val="P68B1DB1Normal125"/>
        <w:widowControl w:val="false"/>
        <w:spacing w:lineRule="auto" w:line="240"/>
        <w:ind w:left="0" w:right="0" w:hanging="0"/>
        <w:jc w:val="left"/>
        <w:rPr>
          <w:rFonts w:ascii="Calibri" w:hAnsi="Calibri"/>
          <w:b/>
          <w:b/>
          <w:color w:val="0070C0"/>
          <w:sz w:val="32"/>
        </w:rPr>
      </w:pPr>
      <w:r>
        <w:rPr/>
        <w:t xml:space="preserve">Az EU szerepe a világban </w:t>
      </w:r>
    </w:p>
    <w:p>
      <w:pPr>
        <w:pStyle w:val="P68B1DB1Normal104"/>
        <w:widowControl w:val="false"/>
        <w:spacing w:lineRule="auto" w:line="240" w:before="126" w:after="0"/>
        <w:ind w:left="0" w:right="0" w:hanging="0"/>
        <w:jc w:val="left"/>
        <w:rPr/>
      </w:pPr>
      <w:r>
        <w:rPr/>
        <w:t xml:space="preserve">A világ nagy kihívásokkal néz szembe. Az EU meg van győződve arról, hogy az olyan kérdéseket, mint az éghajlatváltozás és a világjárványok, csak globális együttműködéssel lehet kezelni. Az EU e tekintetben – például az Egyesült Államok és Kína mellett – hallani kívánja a hangját a világ színpadán. Hogyan vélekedik erről Hollandia? </w:t>
      </w:r>
    </w:p>
    <w:p>
      <w:pPr>
        <w:pStyle w:val="P68B1DB1Normal126"/>
        <w:widowControl w:val="false"/>
        <w:spacing w:lineRule="auto" w:line="240" w:before="125" w:after="0"/>
        <w:ind w:left="0" w:right="0" w:hanging="0"/>
        <w:jc w:val="left"/>
        <w:rPr>
          <w:rFonts w:ascii="Calibri" w:hAnsi="Calibri"/>
          <w:color w:val="0070C0"/>
          <w:sz w:val="24"/>
        </w:rPr>
      </w:pPr>
      <w:r>
        <w:rPr/>
        <w:t xml:space="preserve">Ajánlások – Az EU világviszonylatban betöltött szerepéről alkotott elképzelésünk </w:t>
      </w:r>
    </w:p>
    <w:p>
      <w:pPr>
        <w:pStyle w:val="P68B1DB1Normal120"/>
        <w:widowControl w:val="false"/>
        <w:spacing w:lineRule="auto" w:line="240" w:before="126" w:after="0"/>
        <w:ind w:left="0" w:right="0" w:hanging="0"/>
        <w:jc w:val="left"/>
        <w:rPr>
          <w:rFonts w:ascii="Calibri" w:hAnsi="Calibri"/>
          <w:b/>
          <w:b/>
          <w:color w:val="000000"/>
          <w:sz w:val="21"/>
        </w:rPr>
      </w:pPr>
      <w:r>
        <w:rPr/>
        <w:t xml:space="preserve">A hollandok 56%-a úgy véli, hogy az EU szerepe a világban fontos téma, és az EU-nak be kell avatkoznia ezen a területen. </w:t>
      </w:r>
    </w:p>
    <w:p>
      <w:pPr>
        <w:pStyle w:val="P68B1DB1Normal111"/>
        <w:widowControl w:val="false"/>
        <w:spacing w:lineRule="auto" w:line="240" w:before="112" w:after="0"/>
        <w:ind w:left="0" w:right="0" w:hanging="0"/>
        <w:jc w:val="left"/>
        <w:rPr>
          <w:rFonts w:ascii="Calibri" w:hAnsi="Calibri"/>
          <w:b/>
          <w:b/>
          <w:color w:val="000000"/>
          <w:sz w:val="22"/>
        </w:rPr>
      </w:pPr>
      <w:r>
        <w:rPr/>
        <w:t xml:space="preserve">1. Az EU erejének kiaknázása elsősorban a főbb nemzetközi témák összefüggésében </w:t>
      </w:r>
    </w:p>
    <w:p>
      <w:pPr>
        <w:pStyle w:val="P68B1DB1Normal104"/>
        <w:widowControl w:val="false"/>
        <w:spacing w:lineRule="auto" w:line="240"/>
        <w:ind w:left="0" w:right="0" w:hanging="0"/>
        <w:jc w:val="left"/>
        <w:rPr/>
      </w:pPr>
      <w:r>
        <w:rPr/>
        <w:t xml:space="preserve">Azt a tényt, hogy létrehozása több mint 75 éve hozzájárult ahhoz, hogy az európaiak békében éljenek, sok holland az EU fő hozzáadott értékének tekinti. A hollandok úgy vélik, hogy az EU hatalma a jelentős nemzetközi kihívások közös kezelésében rejlik. Gondolkodunk például az éghajlatváltozásról, a Covid19-világjárványról és a menekültválságról. Az uniós tagállamok a harmadik országokra is nagyobb hatást gyakorolhatnak azáltal, hogy közösen kötik meg az EU nemzetközi megállapodásait. Úgy gondoljuk, hogy országunk túl kicsi ahhoz, hogy egyedül ezeken a területeken változtasson. Ennek ellenére a hollandok azt akarják, hogy Hollandia továbbra is saját maga döntsön saját kultúrája és érdekei alapján. Az európai együttműködésnek ezért mindenekelőtt a hatékonyságot és a politikai hatalmat kell biztosítania. </w:t>
      </w:r>
    </w:p>
    <w:p>
      <w:pPr>
        <w:pStyle w:val="P68B1DB1Normal113"/>
        <w:widowControl w:val="false"/>
        <w:spacing w:lineRule="auto" w:line="240" w:before="200" w:after="0"/>
        <w:ind w:left="0" w:right="0" w:hanging="0"/>
        <w:jc w:val="center"/>
        <w:rPr/>
      </w:pPr>
      <w:r>
        <w:rPr/>
        <w:t xml:space="preserve">Könnyebb együttműködési megállapodásokat kötni az EU-n belül, mint elszigetelt országként. </w:t>
      </w:r>
    </w:p>
    <w:p>
      <w:pPr>
        <w:pStyle w:val="P68B1DB1Normal111"/>
        <w:widowControl w:val="false"/>
        <w:spacing w:lineRule="auto" w:line="240" w:before="174" w:after="0"/>
        <w:ind w:left="0" w:right="0" w:hanging="0"/>
        <w:jc w:val="left"/>
        <w:rPr>
          <w:rFonts w:ascii="Calibri" w:hAnsi="Calibri"/>
          <w:b/>
          <w:b/>
          <w:color w:val="000000"/>
          <w:sz w:val="22"/>
        </w:rPr>
      </w:pPr>
      <w:r>
        <w:rPr/>
        <w:t xml:space="preserve">2. Európán belül és kívül, inkább az együttműködést válasszuk, mint a harcot </w:t>
      </w:r>
    </w:p>
    <w:p>
      <w:pPr>
        <w:pStyle w:val="P68B1DB1Normal104"/>
        <w:widowControl w:val="false"/>
        <w:spacing w:lineRule="auto" w:line="240" w:before="1" w:after="0"/>
        <w:ind w:left="0" w:right="0" w:hanging="0"/>
        <w:jc w:val="left"/>
        <w:rPr/>
      </w:pPr>
      <w:r>
        <w:rPr/>
        <w:t xml:space="preserve">A hollandok 66%-a úgy véli, hogy az EU-nak erősebb blokkot kell kialakítania más nemzetközi blokkokkal szemben. Tanúi vagyunk a világ egyensúlyának gyengülésének. Az olyan országok, mint Kína és Oroszország, folyamatosan bővítik erejüket különböző területeken. Ez nagyon aggaszt minket. Az EU-nak ezért nagyobb figyelmet kell fordítania például a nemzetközi biztonságra és az európai gazdaság tisztességtelen kereskedelmi gyakorlatokkal szembeni védelmére. E tekintetben fontosnak tartjuk, hogy a tagállamok jobban és gyorsabban koordináljanak. Ez lehetővé teszi számunkra, hogy tisztábban halljuk a hangunkat. Az a tény, hogy európai országokként erősebbek vagyunk, nem jelenti azt, hogy konfliktusba akarunk kerülni. Lehetőség szerint jó együttműködést akarunk harmadik országokkal is. </w:t>
      </w:r>
    </w:p>
    <w:p>
      <w:pPr>
        <w:pStyle w:val="P68B1DB1Normal113"/>
        <w:widowControl w:val="false"/>
        <w:spacing w:lineRule="auto" w:line="240" w:before="200" w:after="0"/>
        <w:ind w:left="0" w:right="0" w:hanging="0"/>
        <w:jc w:val="center"/>
        <w:rPr/>
      </w:pPr>
      <w:r>
        <w:rPr/>
        <w:t>„</w:t>
      </w:r>
      <w:r>
        <w:rPr/>
        <w:t xml:space="preserve">A belső viták és konfliktusok csökkentése növelni fogja az EU presztízsét és befolyási hatalmát a világ színpadán.” </w:t>
      </w:r>
    </w:p>
    <w:p>
      <w:pPr>
        <w:pStyle w:val="P68B1DB1Normal111"/>
        <w:widowControl w:val="false"/>
        <w:spacing w:lineRule="auto" w:line="240" w:before="174" w:after="0"/>
        <w:ind w:left="0" w:right="0" w:hanging="0"/>
        <w:jc w:val="left"/>
        <w:rPr>
          <w:rFonts w:ascii="Calibri" w:hAnsi="Calibri"/>
          <w:b/>
          <w:b/>
          <w:color w:val="000000"/>
          <w:sz w:val="22"/>
        </w:rPr>
      </w:pPr>
      <w:r>
        <w:rPr/>
        <w:t xml:space="preserve">3. Felajánlás, átgondolt módon, segít abban az esetben, ha egy konfliktus </w:t>
      </w:r>
    </w:p>
    <w:p>
      <w:pPr>
        <w:pStyle w:val="Normal"/>
        <w:widowControl w:val="false"/>
        <w:spacing w:lineRule="auto" w:line="240"/>
        <w:ind w:left="0" w:right="0" w:hanging="0"/>
        <w:jc w:val="left"/>
        <w:rPr/>
      </w:pPr>
      <w:r>
        <w:rPr>
          <w:rFonts w:ascii="Calibri" w:hAnsi="Calibri"/>
          <w:color w:val="000000"/>
          <w:sz w:val="21"/>
        </w:rPr>
        <w:t xml:space="preserve">Az EU nemzetközi színtéren betöltött szerepének megerősítése részeként a hollandok 50%-a úgy véli, hogy a világ konfliktusainak megközelítése fontos téma. A konfliktusokra való reagálás legjobb módja – szerintük – nehéz meghatározni. A múlt megmutatta, hogy a katonai beavatkozás egy országban nem mindig előnyös. Ez például előre nem látható magas költségekhez vezethet, és további menekültáramlásokat eredményezhet. A helyi hatásokra való tekintettel az országoknak maguknak kell eldönteniük, hogy részt vesznek-e egy háborúban. Általános érdekünk az európai hadseregek közötti fokozott együttműködés: fontosnak tartjuk, hogy Európa jól meg tudja védeni magát. De mi mindig úgy oldjuk meg a konfliktusokat, hogy erőszakhoz folyamodunk. </w:t>
      </w:r>
      <w:r>
        <w:br w:type="page"/>
      </w:r>
    </w:p>
    <w:p>
      <w:pPr>
        <w:pStyle w:val="P68B1DB1Normal113"/>
        <w:widowControl w:val="false"/>
        <w:spacing w:lineRule="auto" w:line="240"/>
        <w:ind w:left="0" w:right="0" w:hanging="0"/>
        <w:jc w:val="left"/>
        <w:rPr/>
      </w:pPr>
      <w:r>
        <w:rPr/>
        <w:t xml:space="preserve">Afganisztán evakuálása során minden ország a saját sarkában járt el. Jobbat is csinálhattunk volna, nem igaz? </w:t>
      </w:r>
    </w:p>
    <w:p>
      <w:pPr>
        <w:pStyle w:val="P68B1DB1Normal126"/>
        <w:widowControl w:val="false"/>
        <w:spacing w:lineRule="auto" w:line="240" w:before="85" w:after="0"/>
        <w:ind w:left="0" w:right="0" w:hanging="0"/>
        <w:jc w:val="left"/>
        <w:rPr>
          <w:rFonts w:ascii="Calibri" w:hAnsi="Calibri"/>
          <w:color w:val="0070C0"/>
          <w:sz w:val="24"/>
        </w:rPr>
      </w:pPr>
      <w:r>
        <w:rPr/>
        <w:t xml:space="preserve">Online és helyszíni megbeszélések és ötletek </w:t>
      </w:r>
    </w:p>
    <w:p>
      <w:pPr>
        <w:pStyle w:val="P68B1DB1Normal118"/>
        <w:widowControl w:val="false"/>
        <w:spacing w:lineRule="auto" w:line="240" w:before="78" w:after="0"/>
        <w:ind w:left="0" w:right="0" w:hanging="0"/>
        <w:jc w:val="left"/>
        <w:rPr>
          <w:rFonts w:ascii="Calibri" w:hAnsi="Calibri"/>
          <w:i/>
          <w:i/>
          <w:color w:val="000000"/>
          <w:sz w:val="21"/>
        </w:rPr>
      </w:pPr>
      <w:r>
        <w:rPr/>
        <w:t xml:space="preserve">Az EU-nak először saját ügyeit kell rendeznie, mielőtt szembeszállna másokkal. </w:t>
      </w:r>
    </w:p>
    <w:p>
      <w:pPr>
        <w:pStyle w:val="P68B1DB1Normal118"/>
        <w:widowControl w:val="false"/>
        <w:spacing w:lineRule="auto" w:line="240" w:before="87" w:after="0"/>
        <w:ind w:left="0" w:right="0" w:hanging="0"/>
        <w:jc w:val="left"/>
        <w:rPr>
          <w:rFonts w:ascii="Calibri" w:hAnsi="Calibri"/>
          <w:i/>
          <w:i/>
          <w:color w:val="000000"/>
          <w:sz w:val="21"/>
        </w:rPr>
      </w:pPr>
      <w:r>
        <w:rPr/>
        <w:t xml:space="preserve"> </w:t>
      </w:r>
    </w:p>
    <w:p>
      <w:pPr>
        <w:pStyle w:val="P68B1DB1Normal118"/>
        <w:widowControl w:val="false"/>
        <w:spacing w:lineRule="auto" w:line="240"/>
        <w:ind w:left="0" w:right="0" w:hanging="0"/>
        <w:jc w:val="left"/>
        <w:rPr>
          <w:rFonts w:ascii="Calibri" w:hAnsi="Calibri"/>
          <w:i/>
          <w:i/>
          <w:color w:val="000000"/>
          <w:sz w:val="21"/>
        </w:rPr>
      </w:pPr>
      <w:r>
        <w:rPr/>
        <w:t xml:space="preserve">Azzal, hogy tömegesen vásárolunk kínai termékeket európaiként, támogatjuk Kínát. </w:t>
      </w:r>
    </w:p>
    <w:p>
      <w:pPr>
        <w:pStyle w:val="P68B1DB1Normal118"/>
        <w:widowControl w:val="false"/>
        <w:spacing w:lineRule="auto" w:line="240"/>
        <w:ind w:left="0" w:right="0" w:hanging="0"/>
        <w:jc w:val="left"/>
        <w:rPr>
          <w:rFonts w:ascii="Calibri" w:hAnsi="Calibri"/>
          <w:i/>
          <w:i/>
          <w:color w:val="000000"/>
          <w:sz w:val="21"/>
        </w:rPr>
      </w:pPr>
      <w:r>
        <w:rPr/>
        <w:t xml:space="preserve"> </w:t>
      </w:r>
    </w:p>
    <w:p>
      <w:pPr>
        <w:pStyle w:val="P68B1DB1Normal118"/>
        <w:widowControl w:val="false"/>
        <w:spacing w:lineRule="auto" w:line="240"/>
        <w:ind w:left="0" w:right="0" w:hanging="0"/>
        <w:jc w:val="left"/>
        <w:rPr>
          <w:rFonts w:ascii="Calibri" w:hAnsi="Calibri"/>
          <w:i/>
          <w:i/>
          <w:color w:val="000000"/>
          <w:sz w:val="21"/>
        </w:rPr>
      </w:pPr>
      <w:r>
        <w:rPr/>
        <w:t xml:space="preserve">Az Egyesült Államok továbbra is fontos szerepet játszik Európa védelmében. </w:t>
      </w:r>
    </w:p>
    <w:p>
      <w:pPr>
        <w:pStyle w:val="P68B1DB1Normal118"/>
        <w:widowControl w:val="false"/>
        <w:spacing w:lineRule="auto" w:line="240"/>
        <w:ind w:left="0" w:right="0" w:hanging="0"/>
        <w:jc w:val="left"/>
        <w:rPr>
          <w:rFonts w:ascii="Calibri" w:hAnsi="Calibri"/>
          <w:i/>
          <w:i/>
          <w:color w:val="000000"/>
          <w:sz w:val="21"/>
        </w:rPr>
      </w:pPr>
      <w:r>
        <w:rPr/>
        <w:t xml:space="preserve"> </w:t>
      </w:r>
    </w:p>
    <w:p>
      <w:pPr>
        <w:pStyle w:val="P68B1DB1Normal118"/>
        <w:widowControl w:val="false"/>
        <w:spacing w:lineRule="auto" w:line="240"/>
        <w:ind w:left="0" w:right="0" w:hanging="0"/>
        <w:jc w:val="left"/>
        <w:rPr/>
      </w:pPr>
      <w:r>
        <w:rPr/>
        <w:t xml:space="preserve">Az EU-tagság azt is jelenti, hogy a tárgyalóasztalnál ülünk. Ez lehetővé teszi a fontos döntések megvitatását.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pPr>
      <w:r>
        <w:rPr/>
        <w:t xml:space="preserve">Az EU-nak abba kell hagynia, hogy elszigetelt entitásnak tekintse magát, mert nem az. Ez az európai tagállamok szövetsége, és ennek megfelelően kell viselkednie.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AZ ÖTLET:</w:t>
      </w:r>
      <w:r>
        <w:rPr>
          <w:i/>
        </w:rPr>
        <w:t xml:space="preserve"> A rendszeres globális klímakonferenciához hasonlóan az emberi jogokról is konferenciát kell tartani.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AZ ÖTLET: </w:t>
      </w:r>
      <w:r>
        <w:rPr>
          <w:i/>
        </w:rPr>
        <w:t>„Az európai hadseregek hatékonyabbá tétele, például a felszerelések kollektív beszerzésének nagyobb mértékű felhasználása révén.”</w:t>
      </w:r>
      <w:r>
        <w:rPr/>
        <w:t xml:space="preserve">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rFonts w:ascii="Calibri" w:hAnsi="Calibri"/>
          <w:i/>
          <w:i/>
          <w:color w:val="000000"/>
          <w:sz w:val="21"/>
        </w:rPr>
      </w:pPr>
      <w:r>
        <w:rPr/>
        <w:t xml:space="preserve">Holland-marokkói nők: Az emberi jogok előmozdítása.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ind w:left="0" w:right="0" w:hanging="0"/>
        <w:jc w:val="left"/>
        <w:rPr/>
      </w:pPr>
      <w:commentRangeStart w:id="28"/>
      <w:r>
        <w:rPr/>
        <w:t>A</w:t>
      </w:r>
      <w:r>
        <w:rPr>
          <w:rFonts w:ascii="Calibri" w:hAnsi="Calibri"/>
          <w:color w:val="000000"/>
          <w:sz w:val="21"/>
        </w:rPr>
        <w:t>„Nők a</w:t>
      </w:r>
      <w:r>
        <w:rPr>
          <w:rFonts w:ascii="Calibri" w:hAnsi="Calibri"/>
          <w:color w:val="000000"/>
          <w:sz w:val="21"/>
        </w:rPr>
      </w:r>
      <w:commentRangeEnd w:id="28"/>
      <w:r>
        <w:commentReference w:id="28"/>
      </w:r>
      <w:r>
        <w:rPr>
          <w:rFonts w:ascii="Calibri" w:hAnsi="Calibri"/>
          <w:color w:val="000000"/>
          <w:sz w:val="21"/>
        </w:rPr>
        <w:t xml:space="preserve">Szabadságért” egy holland alapítvány, amely küzd a kényszerházasságok, a szexuális elnyomás és a bikulturális hátterű lányok és nők pénzügyi bántalmazása ellen. Ezzel az alapítványsal együttműködésben találkozót szerveztek egy holland-marokkói nőcsoporttal. A résztvevők úgy vélik, hogy az EU jelenleg túlságosan függ Oroszországtól és Kínától. „Úgy találjuk, hogy az EU általában nem mer semmit javasolni, mert fél a szankcióktól” – mondta egyikük. A kábítószer-termelést, amely gyakran sokkal olcsóbb lehet, példaként említik. „Konfliktus esetén Kína leállíthatja a csapot, és nem lesz semmink” – mondta az egyik résztvevő. Felmerült az emberi jogok kérdése is. „Mindannyian úgy teszünk, mintha nagyon fontosnak tartanánk, de becsukjuk a szemünket, hogy Kína mit tesz az ujgurokkal” – kiáltott fel valaki.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rFonts w:ascii="Calibri" w:hAnsi="Calibri"/>
          <w:i/>
          <w:i/>
          <w:color w:val="000000"/>
          <w:sz w:val="21"/>
        </w:rPr>
      </w:pPr>
      <w:r>
        <w:rPr/>
        <w:t xml:space="preserve">Diákok a Technasium Alkmaar: Nincs közös hadsereg.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ind w:left="0" w:right="0" w:hanging="0"/>
        <w:jc w:val="left"/>
        <w:rPr/>
      </w:pPr>
      <w:r>
        <w:rPr>
          <w:rFonts w:ascii="Calibri" w:hAnsi="Calibri"/>
          <w:color w:val="000000"/>
          <w:sz w:val="21"/>
        </w:rPr>
        <w:t xml:space="preserve">A tematikus párbeszéd során az Alkmaar-i Technasium Jan Arentz diákjai megvitatták a közös európai hadsereg előnyeit és hátrányait. A résztvevők jelezték, hogy nem támogatják. Amikor egy uniós ország összeütközésbe kerül egy harmadik országgal, képesnek kell lennünk arra, hogy automatikusan részt vehessünk egy háborúban. Úgy gondolom, hogy az országoknak képesnek kell lenniük arra, hogy maguk döntsenek" – mondta valaki. A harmadik világháború lehetőségéről is szó esett. Ezt a lehetőséget a diákok nem tartják túl nagynak, de úgy gondolják, hogy ha odaérünk, mégis gyorsan megtalálhatjuk a megoldást. A hadseregek is jól tudnak együttműködni. Véleményem szerint nincs szükség európai hadseregre. </w:t>
      </w:r>
      <w:r>
        <w:br w:type="page"/>
      </w:r>
    </w:p>
    <w:p>
      <w:pPr>
        <w:pStyle w:val="P68B1DB1Normal125"/>
        <w:widowControl w:val="false"/>
        <w:spacing w:lineRule="auto" w:line="240"/>
        <w:ind w:left="0" w:right="0" w:hanging="0"/>
        <w:jc w:val="left"/>
        <w:rPr>
          <w:rFonts w:ascii="Calibri" w:hAnsi="Calibri"/>
          <w:b/>
          <w:b/>
          <w:color w:val="0070C0"/>
          <w:sz w:val="32"/>
        </w:rPr>
      </w:pPr>
      <w:r>
        <w:rPr/>
        <w:t xml:space="preserve">A felmérés során alkalmazott módszertan </w:t>
      </w:r>
    </w:p>
    <w:p>
      <w:pPr>
        <w:pStyle w:val="P68B1DB1Normal104"/>
        <w:widowControl w:val="false"/>
        <w:spacing w:lineRule="auto" w:line="240" w:before="150" w:after="0"/>
        <w:ind w:left="0" w:right="0" w:hanging="0"/>
        <w:jc w:val="left"/>
        <w:rPr/>
      </w:pPr>
      <w:r>
        <w:rPr/>
        <w:t xml:space="preserve">Európa jövőképe az egymással összefüggő párbeszédek különböző formáiból áll, amelyek összegyűjtik a holland polgárok Európa és az EU jövőjéről alkotott nézeteit és elképzeléseit. Ez a fejezet azt mutatja be, hogy ezeket a szorosan kapcsolódó párbeszédeket hogyan folytatják az Európa jövőjéről szóló konferencia keretében a nemzeti polgári vitacsoportokra alkalmazandó iránymutatásokkal összhangban. </w:t>
      </w:r>
    </w:p>
    <w:p>
      <w:pPr>
        <w:pStyle w:val="P68B1DB1Normal126"/>
        <w:widowControl w:val="false"/>
        <w:spacing w:lineRule="auto" w:line="240" w:before="43" w:after="0"/>
        <w:ind w:left="0" w:right="0" w:hanging="0"/>
        <w:jc w:val="left"/>
        <w:rPr>
          <w:rFonts w:ascii="Calibri" w:hAnsi="Calibri"/>
          <w:color w:val="0070C0"/>
          <w:sz w:val="24"/>
        </w:rPr>
      </w:pPr>
      <w:r>
        <w:rPr/>
        <w:t xml:space="preserve">A szorosan kapcsolódó párbeszédek szerkezete </w:t>
      </w:r>
    </w:p>
    <w:p>
      <w:pPr>
        <w:pStyle w:val="P68B1DB1Normal104"/>
        <w:widowControl w:val="false"/>
        <w:spacing w:lineRule="auto" w:line="240" w:before="114" w:after="0"/>
        <w:ind w:left="0" w:right="0" w:hanging="0"/>
        <w:jc w:val="left"/>
        <w:rPr>
          <w:rFonts w:ascii="Calibri" w:hAnsi="Calibri"/>
          <w:color w:val="000000"/>
          <w:sz w:val="21"/>
        </w:rPr>
      </w:pPr>
      <w:r>
        <w:rPr/>
        <w:t xml:space="preserve">A párbeszéd alábbi formái szerveződnek: </w:t>
      </w:r>
    </w:p>
    <w:p>
      <w:pPr>
        <w:pStyle w:val="P68B1DB1Normal119"/>
        <w:widowControl w:val="false"/>
        <w:spacing w:lineRule="auto" w:line="240"/>
        <w:ind w:left="0" w:right="0" w:hanging="0"/>
        <w:jc w:val="left"/>
        <w:rPr/>
      </w:pPr>
      <w:r>
        <w:rPr>
          <w:rFonts w:ascii="Calibri" w:hAnsi="Calibri"/>
        </w:rPr>
        <w:t>6.</w:t>
      </w:r>
      <w:r>
        <w:rPr/>
        <w:t xml:space="preserve"> </w:t>
      </w:r>
      <w:r>
        <w:rPr>
          <w:rFonts w:ascii="Calibri" w:hAnsi="Calibri"/>
        </w:rPr>
        <w:t>Felmérés egy panelen</w:t>
      </w:r>
    </w:p>
    <w:p>
      <w:pPr>
        <w:pStyle w:val="P68B1DB1Normal104"/>
        <w:widowControl w:val="false"/>
        <w:spacing w:lineRule="auto" w:line="240"/>
        <w:ind w:left="0" w:right="0" w:hanging="0"/>
        <w:jc w:val="left"/>
        <w:rPr>
          <w:rFonts w:ascii="Calibri" w:hAnsi="Calibri"/>
          <w:color w:val="000000"/>
          <w:sz w:val="21"/>
        </w:rPr>
      </w:pPr>
      <w:r>
        <w:rPr/>
        <w:t xml:space="preserve">A holland lakosság reprezentatív részének online felmérése. </w:t>
      </w:r>
    </w:p>
    <w:p>
      <w:pPr>
        <w:pStyle w:val="P68B1DB1Normal119"/>
        <w:widowControl w:val="false"/>
        <w:spacing w:lineRule="auto" w:line="240"/>
        <w:ind w:left="0" w:right="0" w:hanging="0"/>
        <w:jc w:val="left"/>
        <w:rPr/>
      </w:pPr>
      <w:r>
        <w:rPr>
          <w:rFonts w:ascii="Calibri" w:hAnsi="Calibri"/>
        </w:rPr>
        <w:t>7.</w:t>
      </w:r>
      <w:r>
        <w:rPr/>
        <w:t xml:space="preserve"> </w:t>
      </w:r>
      <w:r>
        <w:rPr>
          <w:rFonts w:ascii="Calibri" w:hAnsi="Calibri"/>
        </w:rPr>
        <w:t>Online tematikus párbeszédek az elmélyülés érdekében</w:t>
      </w:r>
    </w:p>
    <w:p>
      <w:pPr>
        <w:pStyle w:val="P68B1DB1Normal104"/>
        <w:widowControl w:val="false"/>
        <w:spacing w:lineRule="auto" w:line="240"/>
        <w:ind w:left="0" w:right="0" w:hanging="0"/>
        <w:jc w:val="left"/>
        <w:rPr/>
      </w:pPr>
      <w:r>
        <w:rPr/>
        <w:t xml:space="preserve">Párbeszédek, amelyekben az „Európa jövőképe: véleményeket, ötleteket és ajánlásokat" (2021. október 8.) hollandok egy csoportjával részletesen megvitatják. </w:t>
      </w:r>
    </w:p>
    <w:p>
      <w:pPr>
        <w:pStyle w:val="P68B1DB1Normal119"/>
        <w:widowControl w:val="false"/>
        <w:spacing w:lineRule="auto" w:line="240"/>
        <w:ind w:left="0" w:right="0" w:hanging="0"/>
        <w:jc w:val="left"/>
        <w:rPr/>
      </w:pPr>
      <w:r>
        <w:rPr>
          <w:rFonts w:ascii="Calibri" w:hAnsi="Calibri"/>
        </w:rPr>
        <w:t>8.</w:t>
      </w:r>
      <w:r>
        <w:rPr/>
        <w:t xml:space="preserve"> </w:t>
      </w:r>
      <w:r>
        <w:rPr>
          <w:rFonts w:ascii="Calibri" w:hAnsi="Calibri"/>
        </w:rPr>
        <w:t>Párbeszédek meghatározott csoportokkal</w:t>
      </w:r>
    </w:p>
    <w:p>
      <w:pPr>
        <w:pStyle w:val="P68B1DB1Normal104"/>
        <w:widowControl w:val="false"/>
        <w:spacing w:lineRule="auto" w:line="240"/>
        <w:ind w:left="0" w:right="0" w:hanging="0"/>
        <w:jc w:val="left"/>
        <w:rPr>
          <w:rFonts w:ascii="Calibri" w:hAnsi="Calibri"/>
          <w:color w:val="000000"/>
          <w:sz w:val="21"/>
        </w:rPr>
      </w:pPr>
      <w:r>
        <w:rPr/>
        <w:t xml:space="preserve">Találkozók holland emberekkel, akik nem szoktak részt venni felmérésekben vagy paneleken (online). </w:t>
      </w:r>
    </w:p>
    <w:p>
      <w:pPr>
        <w:pStyle w:val="P68B1DB1Normal119"/>
        <w:widowControl w:val="false"/>
        <w:spacing w:lineRule="auto" w:line="240"/>
        <w:ind w:left="0" w:right="0" w:hanging="0"/>
        <w:jc w:val="left"/>
        <w:rPr/>
      </w:pPr>
      <w:r>
        <w:rPr>
          <w:rFonts w:ascii="Calibri" w:hAnsi="Calibri"/>
        </w:rPr>
        <w:t>9.</w:t>
      </w:r>
      <w:r>
        <w:rPr/>
        <w:t xml:space="preserve"> </w:t>
      </w:r>
      <w:r>
        <w:rPr>
          <w:rFonts w:ascii="Calibri" w:hAnsi="Calibri"/>
        </w:rPr>
        <w:t>Párbeszéd a fiatalokkal</w:t>
      </w:r>
    </w:p>
    <w:p>
      <w:pPr>
        <w:pStyle w:val="P68B1DB1Normal104"/>
        <w:widowControl w:val="false"/>
        <w:spacing w:lineRule="auto" w:line="240"/>
        <w:ind w:left="0" w:right="0" w:hanging="0"/>
        <w:jc w:val="left"/>
        <w:rPr>
          <w:rFonts w:ascii="Calibri" w:hAnsi="Calibri"/>
          <w:color w:val="000000"/>
          <w:sz w:val="21"/>
        </w:rPr>
      </w:pPr>
      <w:r>
        <w:rPr/>
        <w:t xml:space="preserve">Olyan találkozók, amelyeken megvitatják az e fiatalok számára leginkább releváns európai témákat. </w:t>
      </w:r>
    </w:p>
    <w:p>
      <w:pPr>
        <w:pStyle w:val="Normal"/>
        <w:widowControl w:val="false"/>
        <w:spacing w:lineRule="auto" w:line="240"/>
        <w:ind w:left="0" w:right="0" w:hanging="0"/>
        <w:jc w:val="left"/>
        <w:rPr/>
      </w:pPr>
      <w:r>
        <w:rPr>
          <w:rFonts w:ascii="Calibri" w:hAnsi="Calibri"/>
          <w:b/>
          <w:color w:val="000000"/>
          <w:sz w:val="21"/>
        </w:rPr>
        <w:t>10.</w:t>
      </w:r>
      <w:r>
        <w:rPr>
          <w:b/>
          <w:color w:val="000000"/>
          <w:sz w:val="21"/>
        </w:rPr>
        <w:t xml:space="preserve"> </w:t>
      </w:r>
      <w:r>
        <w:rPr>
          <w:rFonts w:ascii="Calibri" w:hAnsi="Calibri"/>
          <w:b/>
          <w:color w:val="000000"/>
          <w:sz w:val="21"/>
        </w:rPr>
        <w:t>Online nyilvános felmérés: Kérdőív és „Swipen naar de toekomst”</w:t>
      </w:r>
      <w:commentRangeStart w:id="29"/>
      <w:r>
        <w:rPr>
          <w:rFonts w:ascii="Calibri" w:hAnsi="Calibri"/>
          <w:b/>
          <w:color w:val="000000"/>
          <w:sz w:val="21"/>
        </w:rPr>
        <w:t>(</w:t>
      </w:r>
      <w:r>
        <w:rPr>
          <w:rFonts w:ascii="Calibri" w:hAnsi="Calibri"/>
          <w:b/>
          <w:color w:val="000000"/>
          <w:sz w:val="21"/>
        </w:rPr>
      </w:r>
      <w:commentRangeEnd w:id="29"/>
      <w:r>
        <w:commentReference w:id="29"/>
      </w:r>
      <w:r>
        <w:rPr>
          <w:rFonts w:ascii="Calibri" w:hAnsi="Calibri"/>
          <w:b/>
          <w:color w:val="000000"/>
          <w:sz w:val="21"/>
        </w:rPr>
        <w:t xml:space="preserve"> Út a jövőbe) </w:t>
      </w:r>
    </w:p>
    <w:p>
      <w:pPr>
        <w:pStyle w:val="P68B1DB1Normal104"/>
        <w:widowControl w:val="false"/>
        <w:spacing w:lineRule="auto" w:line="240"/>
        <w:ind w:left="0" w:right="0" w:hanging="0"/>
        <w:jc w:val="left"/>
        <w:rPr/>
      </w:pPr>
      <w:r>
        <w:rPr/>
        <w:t xml:space="preserve">A kérdőívet minden holland, köztük a külföldön tartózkodók is kitölthetik. Ez a kérdőív 2021. szeptember 1-jétől 2021. november 14-ig állt rendelkezésre. Ezenkívül ugyanebben az időszakban minden holland részt vehetett a „Swipen naar de toekomst” (Swiper to toekomst) (Swiper to the future) akcióban, amely 20 állítást tartalmaz. </w:t>
      </w:r>
    </w:p>
    <w:p>
      <w:pPr>
        <w:pStyle w:val="Normal"/>
        <w:widowControl w:val="false"/>
        <w:spacing w:lineRule="auto" w:line="240"/>
        <w:ind w:left="0" w:right="0" w:hanging="0"/>
        <w:jc w:val="left"/>
        <w:rPr>
          <w:rFonts w:ascii="Calibri" w:hAnsi="Calibri"/>
          <w:color w:val="000000"/>
          <w:sz w:val="21"/>
        </w:rPr>
      </w:pPr>
      <w:r>
        <w:rPr>
          <w:rFonts w:ascii="Calibri" w:hAnsi="Calibri"/>
          <w:color w:val="000000"/>
          <w:sz w:val="21"/>
        </w:rPr>
      </w:r>
    </w:p>
    <w:p>
      <w:pPr>
        <w:pStyle w:val="P68B1DB1Normal125"/>
        <w:widowControl w:val="false"/>
        <w:spacing w:lineRule="auto" w:line="240" w:before="216" w:after="0"/>
        <w:ind w:left="0" w:right="0" w:hanging="0"/>
        <w:jc w:val="left"/>
        <w:rPr>
          <w:rFonts w:ascii="Calibri" w:hAnsi="Calibri"/>
          <w:b/>
          <w:b/>
          <w:color w:val="0070C0"/>
          <w:sz w:val="32"/>
        </w:rPr>
      </w:pPr>
      <w:r>
        <w:rPr/>
        <w:t xml:space="preserve">1. Felmérés egy panelen </w:t>
      </w:r>
    </w:p>
    <w:p>
      <w:pPr>
        <w:pStyle w:val="P68B1DB1Normal104"/>
        <w:widowControl w:val="false"/>
        <w:spacing w:lineRule="auto" w:line="240" w:before="150" w:after="0"/>
        <w:ind w:left="0" w:right="0" w:hanging="0"/>
        <w:jc w:val="left"/>
        <w:rPr/>
      </w:pPr>
      <w:r>
        <w:rPr/>
        <w:t xml:space="preserve">A holland civil párbeszéd „Európa látogatása” szeptember 1-jén kezdődött egy panelfelméréssel. A felmérés módszertanának ezen leírásában röviden bemutatjuk a felmérés tervezését és végrehajtását egy testületnek. </w:t>
      </w:r>
    </w:p>
    <w:p>
      <w:pPr>
        <w:pStyle w:val="P68B1DB1Normal126"/>
        <w:widowControl w:val="false"/>
        <w:spacing w:lineRule="auto" w:line="240" w:before="43" w:after="0"/>
        <w:ind w:left="0" w:right="0" w:hanging="0"/>
        <w:jc w:val="left"/>
        <w:rPr>
          <w:rFonts w:ascii="Calibri" w:hAnsi="Calibri"/>
          <w:color w:val="0070C0"/>
          <w:sz w:val="24"/>
        </w:rPr>
      </w:pPr>
      <w:r>
        <w:rPr/>
        <w:t xml:space="preserve">Célcsoport és célpopuláció </w:t>
      </w:r>
    </w:p>
    <w:p>
      <w:pPr>
        <w:pStyle w:val="Normal"/>
        <w:widowControl w:val="false"/>
        <w:spacing w:lineRule="auto" w:line="240" w:before="114" w:after="0"/>
        <w:ind w:left="0" w:right="0" w:hanging="0"/>
        <w:jc w:val="left"/>
        <w:rPr/>
      </w:pPr>
      <w:r>
        <w:rPr>
          <w:rFonts w:ascii="Calibri" w:hAnsi="Calibri"/>
          <w:color w:val="000000"/>
          <w:sz w:val="21"/>
        </w:rPr>
        <w:t>A „Vision of Europe” (Vision of Europe) című felmérés egy online kérdőívvel kezdődött, amely arról szólt, hogy a hollandok hogyan látják Európa jövőjét. Ezt a kérdőívet egy reprezentatív testülethez nyújtották be, és minden holland számára nyitva áll (beleértve a külföldön lakóhellyel rendelkezőket is). Ezenkívül mindenki részt vehetett a „Swipen naar de toekomst” akcióban</w:t>
      </w:r>
      <w:commentRangeStart w:id="30"/>
      <w:r>
        <w:rPr>
          <w:rFonts w:ascii="Calibri" w:hAnsi="Calibri"/>
          <w:color w:val="000000"/>
          <w:sz w:val="21"/>
        </w:rPr>
        <w:t>(Swiper to</w:t>
      </w:r>
      <w:r>
        <w:rPr>
          <w:rFonts w:ascii="Calibri" w:hAnsi="Calibri"/>
          <w:color w:val="000000"/>
          <w:sz w:val="21"/>
        </w:rPr>
      </w:r>
      <w:commentRangeEnd w:id="30"/>
      <w:r>
        <w:commentReference w:id="30"/>
      </w:r>
      <w:r>
        <w:rPr>
          <w:rFonts w:ascii="Calibri" w:hAnsi="Calibri"/>
          <w:color w:val="000000"/>
          <w:sz w:val="21"/>
        </w:rPr>
        <w:t xml:space="preserve"> the future), egy 20 állítást bemutató online eszközben. A panelfelmérés eredményei több tematikus párbeszédhez is hozzájárultak, amelyeket az „Európa-látogatás” elnevezésű polgári párbeszéd folyamatának nyomon követéseként szerveztek.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before="1" w:after="0"/>
        <w:ind w:left="0" w:right="0" w:hanging="0"/>
        <w:jc w:val="left"/>
        <w:rPr/>
      </w:pPr>
      <w:r>
        <w:rPr>
          <w:rFonts w:ascii="Calibri" w:hAnsi="Calibri"/>
          <w:color w:val="000000"/>
          <w:sz w:val="21"/>
        </w:rPr>
        <w:t xml:space="preserve">A panelkutatás célcsoportja magában foglalja az összes 18 éves vagy annál idősebb holland embert, akik a terepmunka megkezdésekor a népesség-nyilvántartásban regisztráltak voltak. A Holland Nemzeti Statisztikai Hivatal (Centraal Bureau voor de Statistiek – CBS) szerint ez a célcsoport 2021. január 1-jén 14 190 874 fővel rendelkezett. A 18 éves alsó határ megfelel a választói többségnek. Ezt hívjuk a közvélemény-kutatás lakosságának. </w:t>
      </w:r>
      <w:r>
        <w:br w:type="page"/>
      </w:r>
    </w:p>
    <w:p>
      <w:pPr>
        <w:pStyle w:val="P68B1DB1Normal126"/>
        <w:widowControl w:val="false"/>
        <w:spacing w:lineRule="auto" w:line="240" w:before="43" w:after="0"/>
        <w:ind w:left="0" w:right="0" w:hanging="0"/>
        <w:jc w:val="left"/>
        <w:rPr>
          <w:rFonts w:ascii="Calibri" w:hAnsi="Calibri"/>
          <w:color w:val="0070C0"/>
          <w:sz w:val="24"/>
        </w:rPr>
      </w:pPr>
      <w:r>
        <w:rPr/>
        <w:t xml:space="preserve">Terepmunka </w:t>
      </w:r>
    </w:p>
    <w:p>
      <w:pPr>
        <w:pStyle w:val="P68B1DB1Normal104"/>
        <w:widowControl w:val="false"/>
        <w:spacing w:lineRule="auto" w:line="240" w:before="116" w:after="0"/>
        <w:ind w:left="0" w:right="0" w:hanging="0"/>
        <w:jc w:val="left"/>
        <w:rPr/>
      </w:pPr>
      <w:r>
        <w:rPr/>
        <w:t xml:space="preserve">Az ország minden tájáról több mint 100 000 résztvevőből álló panelt (ISO minősített, Research Keurmerk groep, Nederlandse marktonderzoek Associatie) használtak a „közepes holland” digitális képének megszerzésére. Ezek a résztvevők azért iratkoztak be a felmérési testületbe, hogy rendszeresen kifejtsék nézeteiket a témák széles köréről. Amellett, hogy belső motivációjuk van a hozzájárulásra, fizetnek a kérdőívek megválaszolásáért is. Számos tudományos tanulmány kimutatta, hogy azok a válaszadók, akik kompenzációban részesülnek a kérdőív kitöltéséért, nem adnak jelentősen eltérő válaszokat (forrás: </w:t>
      </w:r>
      <w:r>
        <w:rPr>
          <w:i/>
        </w:rPr>
        <w:t>A felmérési ösztönzők használata rontja az adatminőséget?</w:t>
      </w:r>
      <w:r>
        <w:rPr/>
        <w:t xml:space="preserve">, Cole, J. S., Sarraf, S.A., Wang, X., 2015).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pPr>
      <w:r>
        <w:rPr/>
        <w:t xml:space="preserve">A terepmunka 2021. augusztus 11-én kezdődött és 2021. szeptember 19-én ért véget. A megvalósításhoz csak egy adatgyűjtési módszert használtak, azaz az internetes felmérést. A felmérési panel tagjai e-mailt kaptak az online kérdőívre mutató személyes hivatkozással. Két hét után a résztvevők emlékeztetőt kaptak. A részvételi meghívókat tételekben küldték el és rétegezték (az alcsoportok egyenlő elosztásának biztosításával), amíg el nem érték a szükséges számú válaszadót. </w:t>
      </w:r>
    </w:p>
    <w:p>
      <w:pPr>
        <w:pStyle w:val="P68B1DB1Normal126"/>
        <w:widowControl w:val="false"/>
        <w:spacing w:lineRule="auto" w:line="240" w:before="42" w:after="0"/>
        <w:ind w:left="0" w:right="0" w:hanging="0"/>
        <w:jc w:val="left"/>
        <w:rPr>
          <w:rFonts w:ascii="Calibri" w:hAnsi="Calibri"/>
          <w:color w:val="0070C0"/>
          <w:sz w:val="24"/>
        </w:rPr>
      </w:pPr>
      <w:r>
        <w:rPr/>
        <w:t xml:space="preserve">Mintavétel és elosztás </w:t>
      </w:r>
    </w:p>
    <w:p>
      <w:pPr>
        <w:pStyle w:val="P68B1DB1Normal104"/>
        <w:widowControl w:val="false"/>
        <w:spacing w:lineRule="auto" w:line="240" w:before="114" w:after="0"/>
        <w:ind w:left="0" w:right="0" w:hanging="0"/>
        <w:jc w:val="left"/>
        <w:rPr/>
      </w:pPr>
      <w:r>
        <w:rPr/>
        <w:t xml:space="preserve">A felmérés kialakítása azon az elven alapul, hogy a jó statisztikai megbízhatóság érdekében legalább 3600 válaszadónak kell részt vennie a felmérésben. Ezenkívül ez a szám lehetővé teszi a lakosság különböző általános jellemzői közötti jó eloszlást. A hollandoknak nem csak egy fajtája van. Ezért előre gondoskodtunk arról, hogy a minta több jellemző között is jól eloszlik. Hollandia viszonylag kis ország, de a vélemények régiónként eltérőek lehetnek. A témák pozicionálását és fontosságát (részben) az adott régió határozza meg. Például a vidéki területeken élő emberek másképpen érthetnek meg egy olyan témát, mint például a biztonság, mint a városi területeken. A holland Szociális és Kulturális Tervezési Hivatal kutatása azt is kimutatta, hogy a magasabb szintű tanulmányokkal rendelkezők gyakrabban támogatják az EU-t, mint az alacsonyabb tanulmányi szinttel rendelkezők, és hogy a fiatalok jobban támogatják az EU-t, mint az idősek (forrás: </w:t>
      </w:r>
      <w:r>
        <w:rPr>
          <w:i/>
        </w:rPr>
        <w:t>Wat willen Nederlanders van de Europese Unie?</w:t>
      </w:r>
      <w:r>
        <w:rPr/>
        <w:t xml:space="preserve">, Holland Szociális és Kulturális Tervezési Hivatal, Hága, 2019).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pPr>
      <w:r>
        <w:rPr/>
        <w:t xml:space="preserve">Ezért a minta reprezentativitásának biztosítása érdekében korábban a következő három jellemzőt osztottuk fel arányosan: (1) a COROP régiókon keresztüli tartózkodás, (2) életkor és (3) iskolai végzettség. A minta eloszlását a következő általános jellemzők szerint is bemutatták: nem, származás, fő foglalkozás, politikai orientáció. </w:t>
      </w:r>
    </w:p>
    <w:p>
      <w:pPr>
        <w:pStyle w:val="P68B1DB1Normal104"/>
        <w:widowControl w:val="false"/>
        <w:spacing w:lineRule="auto" w:line="240" w:before="1" w:after="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A COROP régiókat a nodális elv alapján fejlesztették ki (egy „szív”, amelynek vonzáskörzete vagy regionális funkciója van), az ingázó emberek áramlása alapján. A nodális elv néhány megsértését elfogadták annak érdekében, hogy a régiók tartományi határokat kövessenek. Az önkormányzatok COROP-határokon túli átszervezését követően az elosztást kiigazították (forrás: Holland Nemzeti Statisztikai Hivatal). A COROP régiókon belül biztosítottuk a korcsoportok közötti jó megoszlást, a következő bontásban: 18–34 évesek, 35–54 évesek, 55–75 évesek és 75 év felettiek.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before="1" w:after="0"/>
        <w:ind w:left="0" w:right="0" w:hanging="0"/>
        <w:jc w:val="left"/>
        <w:rPr/>
      </w:pPr>
      <w:r>
        <w:rPr>
          <w:rFonts w:ascii="Calibri" w:hAnsi="Calibri"/>
          <w:color w:val="000000"/>
          <w:sz w:val="21"/>
        </w:rPr>
        <w:t xml:space="preserve">Végül biztosítottuk az oktatási szintek reprezentativitását. A mintában a válaszadók megoszlása a legmagasabb szintű oktatás nemzeti szinten történő elosztásának felel meg, amely a következő: </w:t>
      </w:r>
      <w:r>
        <w:br w:type="page"/>
      </w:r>
    </w:p>
    <w:p>
      <w:pPr>
        <w:pStyle w:val="P68B1DB1Normal120"/>
        <w:spacing w:lineRule="auto" w:line="240"/>
        <w:ind w:left="0" w:right="0" w:hanging="0"/>
        <w:rPr>
          <w:rFonts w:ascii="Calibri" w:hAnsi="Calibri"/>
          <w:b/>
          <w:b/>
          <w:color w:val="000000"/>
          <w:sz w:val="21"/>
        </w:rPr>
      </w:pPr>
      <w:r>
        <w:rPr/>
        <w:t xml:space="preserve">Legmagasabb szintű oktatás </w:t>
      </w:r>
    </w:p>
    <w:tbl>
      <w:tblPr>
        <w:tblW w:w="9586"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8222"/>
        <w:gridCol w:w="1363"/>
      </w:tblGrid>
      <w:tr>
        <w:trPr>
          <w:trHeight w:val="1031" w:hRule="atLeast"/>
        </w:trPr>
        <w:tc>
          <w:tcPr>
            <w:tcW w:w="82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Alacsonyan: alapfokú oktatás, előkészítő szakoktatás, általános felső középfokú oktatás első-harmadik osztálya/egyetem előtti oktatás, középfokú szakképzés 1. szint</w:t>
            </w:r>
          </w:p>
        </w:tc>
        <w:tc>
          <w:tcPr>
            <w:tcW w:w="13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32,1%</w:t>
            </w:r>
          </w:p>
        </w:tc>
      </w:tr>
      <w:tr>
        <w:trPr>
          <w:trHeight w:val="1031" w:hRule="atLeast"/>
        </w:trPr>
        <w:tc>
          <w:tcPr>
            <w:tcW w:w="82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Közbülső: általános felső középfokú oktatás/egyetem előtti oktatás, középfokú szakképzés 2–4. szint</w:t>
            </w:r>
          </w:p>
        </w:tc>
        <w:tc>
          <w:tcPr>
            <w:tcW w:w="13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44,6%</w:t>
            </w:r>
          </w:p>
        </w:tc>
      </w:tr>
      <w:tr>
        <w:trPr>
          <w:trHeight w:val="551" w:hRule="atLeast"/>
        </w:trPr>
        <w:tc>
          <w:tcPr>
            <w:tcW w:w="82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Magas: felsőfokú szakképzés vagy egyetemi oktatás</w:t>
            </w:r>
          </w:p>
        </w:tc>
        <w:tc>
          <w:tcPr>
            <w:tcW w:w="13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22,9%</w:t>
            </w:r>
          </w:p>
        </w:tc>
      </w:tr>
      <w:tr>
        <w:trPr>
          <w:trHeight w:val="536" w:hRule="atLeast"/>
        </w:trPr>
        <w:tc>
          <w:tcPr>
            <w:tcW w:w="82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Ismeretlen</w:t>
            </w:r>
          </w:p>
        </w:tc>
        <w:tc>
          <w:tcPr>
            <w:tcW w:w="13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0,4%</w:t>
            </w:r>
          </w:p>
        </w:tc>
      </w:tr>
    </w:tbl>
    <w:p>
      <w:pPr>
        <w:pStyle w:val="P68B1DB1Normal126"/>
        <w:spacing w:lineRule="auto" w:line="240"/>
        <w:ind w:left="0" w:right="0" w:hanging="0"/>
        <w:rPr>
          <w:rFonts w:ascii="Calibri" w:hAnsi="Calibri"/>
          <w:color w:val="0070C0"/>
          <w:sz w:val="24"/>
        </w:rPr>
      </w:pPr>
      <w:r>
        <w:rPr/>
        <w:t xml:space="preserve">Válaszadási arány </w:t>
      </w:r>
    </w:p>
    <w:p>
      <w:pPr>
        <w:pStyle w:val="P68B1DB1Normal104"/>
        <w:widowControl w:val="false"/>
        <w:spacing w:lineRule="exact" w:line="386" w:before="116" w:after="0"/>
        <w:ind w:left="0" w:right="368" w:hanging="0"/>
        <w:jc w:val="left"/>
        <w:rPr/>
      </w:pPr>
      <w:r>
        <w:rPr/>
        <w:t xml:space="preserve">Panelenként összesen 4086 ember vett részt a felmérésben. Ezért teljesül a 3 600 teljesen kitöltött kérdőívre vonatkozó célkitűzés.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4596"/>
        <w:gridCol w:w="1189"/>
        <w:gridCol w:w="152"/>
        <w:gridCol w:w="1032"/>
        <w:gridCol w:w="831"/>
        <w:gridCol w:w="257"/>
        <w:gridCol w:w="1581"/>
      </w:tblGrid>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 COROP régióinak és életkorának válaszai</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18–34 éves korig</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35–54 éves korig</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55–75 éves korig</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több mint 75 éves</w:t>
            </w:r>
          </w:p>
        </w:tc>
      </w:tr>
      <w:tr>
        <w:trPr>
          <w:trHeight w:val="551"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Észak-Drenthe</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Drenthe-től délkeletre</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Drenthe-től délnyugatra</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Flevoland</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29</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33</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28</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Észak-Frízföld</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20</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25</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Frieslandtól dél-keletre</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Frieslandtól délnyugatra</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Achterhoek</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27</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34</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Arnhem/Nijmegen</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52</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53</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55</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15</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Veluwe</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44</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48</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51</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Gelderland délnyugati része</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16</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18</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20</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Hotelek a(z) Grand Delfzijl közelében</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Keleti Groningen</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36"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Groningen többi része</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36</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26</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28</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Limburg központja</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13</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17</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21</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Észak-Limburg</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17</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20</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23</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Dél-Limburg</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38</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40</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52</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Észak-Brabant központja</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34</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35</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35</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11</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Észak-Brabanttól északkeletre</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41</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43</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51</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14</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Észak-Brabanttól nyugatra</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40</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47</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49</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15</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Észak-Brabanttól dél-keletre</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55</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56</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58</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Haarlem agglomeráció</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13</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18</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18</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Alkmaar és környéke</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14</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19</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19</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6</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Nagy Amszterdam</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116</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104</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88</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23</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Gooi és Vechtstreek</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13</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21</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19</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IJmond</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12</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14</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15</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Észak-Hollandia hegye</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22</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27</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30</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9</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Zaan régió</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11</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13</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12</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Északi Overijssel</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25</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28</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25</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Twente</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41</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44</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46</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14</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Overijsseltől délnyugatra</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10</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11</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12</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Hotelek a(z) Utrecht közelében</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96</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100</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89</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Zeeland többi része</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16</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21</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23</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Zeeland Flandria</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6</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8</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9</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Leiden agglomerációja és az izzók régiója</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30</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31</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31</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10</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Hága agglomerációja</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63</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70</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57</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Delft és Westland</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19</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15</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15</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Hotelek a(z) Grand Rijnmond közelében</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103</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107</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99</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31</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Dél-Hollandia keleti része</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22</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24</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25</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Dél-Hollandiától dél-keletre</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24</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26</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26</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9</w:t>
            </w:r>
          </w:p>
        </w:tc>
      </w:tr>
      <w:tr>
        <w:trPr>
          <w:trHeight w:val="356" w:hRule="atLeast"/>
        </w:trPr>
        <w:tc>
          <w:tcPr>
            <w:tcW w:w="5937" w:type="dxa"/>
            <w:gridSpan w:val="3"/>
            <w:tcBorders/>
            <w:shd w:fill="auto" w:val="clear"/>
            <w:vAlign w:val="bottom"/>
          </w:tcPr>
          <w:p>
            <w:pPr>
              <w:pStyle w:val="Contenudetableau"/>
              <w:spacing w:before="57" w:after="57"/>
              <w:jc w:val="left"/>
              <w:rPr>
                <w:b/>
                <w:b/>
                <w:color w:val="000000"/>
              </w:rPr>
            </w:pPr>
            <w:r>
              <w:rPr>
                <w:b/>
                <w:color w:val="000000"/>
              </w:rPr>
              <w:t>Válaszok oktatási szint szerint</w:t>
            </w:r>
          </w:p>
        </w:tc>
        <w:tc>
          <w:tcPr>
            <w:tcW w:w="1863" w:type="dxa"/>
            <w:gridSpan w:val="2"/>
            <w:tcBorders/>
            <w:shd w:fill="auto" w:val="clear"/>
            <w:vAlign w:val="bottom"/>
          </w:tcPr>
          <w:p>
            <w:pPr>
              <w:pStyle w:val="Contenudetableau"/>
              <w:spacing w:before="57" w:after="57"/>
              <w:rPr>
                <w:color w:val="000000"/>
              </w:rPr>
            </w:pPr>
            <w:r>
              <w:rPr>
                <w:color w:val="000000"/>
              </w:rPr>
            </w:r>
          </w:p>
        </w:tc>
        <w:tc>
          <w:tcPr>
            <w:tcW w:w="1838" w:type="dxa"/>
            <w:gridSpan w:val="2"/>
            <w:tcBorders/>
            <w:shd w:fill="auto" w:val="clear"/>
            <w:vAlign w:val="bottom"/>
          </w:tcPr>
          <w:p>
            <w:pPr>
              <w:pStyle w:val="Contenudetableau"/>
              <w:spacing w:before="57" w:after="57"/>
              <w:rPr>
                <w:color w:val="000000"/>
              </w:rPr>
            </w:pPr>
            <w:r>
              <w:rPr>
                <w:color w:val="000000"/>
              </w:rPr>
            </w:r>
          </w:p>
        </w:tc>
      </w:tr>
      <w:tr>
        <w:trPr>
          <w:trHeight w:val="551" w:hRule="atLeast"/>
        </w:trPr>
        <w:tc>
          <w:tcPr>
            <w:tcW w:w="593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Alacsony</w:t>
            </w:r>
          </w:p>
        </w:tc>
        <w:tc>
          <w:tcPr>
            <w:tcW w:w="186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1382</w:t>
            </w:r>
          </w:p>
        </w:tc>
        <w:tc>
          <w:tcPr>
            <w:tcW w:w="183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34%</w:t>
            </w:r>
          </w:p>
        </w:tc>
      </w:tr>
      <w:tr>
        <w:trPr>
          <w:trHeight w:val="551" w:hRule="atLeast"/>
        </w:trPr>
        <w:tc>
          <w:tcPr>
            <w:tcW w:w="593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Közvetítő</w:t>
            </w:r>
          </w:p>
        </w:tc>
        <w:tc>
          <w:tcPr>
            <w:tcW w:w="186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1747</w:t>
            </w:r>
          </w:p>
        </w:tc>
        <w:tc>
          <w:tcPr>
            <w:tcW w:w="183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43%</w:t>
            </w:r>
          </w:p>
        </w:tc>
      </w:tr>
      <w:tr>
        <w:trPr>
          <w:trHeight w:val="551" w:hRule="atLeast"/>
        </w:trPr>
        <w:tc>
          <w:tcPr>
            <w:tcW w:w="593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Magas</w:t>
            </w:r>
          </w:p>
        </w:tc>
        <w:tc>
          <w:tcPr>
            <w:tcW w:w="186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915</w:t>
            </w:r>
          </w:p>
        </w:tc>
        <w:tc>
          <w:tcPr>
            <w:tcW w:w="183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w:t>
            </w:r>
          </w:p>
        </w:tc>
      </w:tr>
      <w:tr>
        <w:trPr>
          <w:trHeight w:val="536" w:hRule="atLeast"/>
        </w:trPr>
        <w:tc>
          <w:tcPr>
            <w:tcW w:w="593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Ismeretlen</w:t>
            </w:r>
          </w:p>
        </w:tc>
        <w:tc>
          <w:tcPr>
            <w:tcW w:w="186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42</w:t>
            </w:r>
          </w:p>
        </w:tc>
        <w:tc>
          <w:tcPr>
            <w:tcW w:w="183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w:t>
            </w:r>
          </w:p>
        </w:tc>
      </w:tr>
    </w:tbl>
    <w:p>
      <w:pPr>
        <w:pStyle w:val="Normal"/>
        <w:spacing w:lineRule="auto" w:line="240"/>
        <w:ind w:left="0" w:right="0" w:hanging="0"/>
        <w:rPr/>
      </w:pPr>
      <w:r>
        <w:rPr/>
      </w:r>
    </w:p>
    <w:p>
      <w:pPr>
        <w:pStyle w:val="P68B1DB1Normal126"/>
        <w:spacing w:lineRule="auto" w:line="240"/>
        <w:ind w:left="0" w:right="0" w:hanging="0"/>
        <w:rPr>
          <w:rFonts w:ascii="Calibri" w:hAnsi="Calibri"/>
          <w:color w:val="0070C0"/>
          <w:sz w:val="24"/>
        </w:rPr>
      </w:pPr>
      <w:r>
        <w:rPr/>
        <w:t xml:space="preserve">Megbízhatóság és reprezentativitás </w:t>
      </w:r>
    </w:p>
    <w:p>
      <w:pPr>
        <w:pStyle w:val="P68B1DB1Normal104"/>
        <w:widowControl w:val="false"/>
        <w:spacing w:lineRule="auto" w:line="240" w:before="119" w:after="0"/>
        <w:ind w:left="0" w:right="0" w:hanging="0"/>
        <w:jc w:val="left"/>
        <w:rPr/>
      </w:pPr>
      <w:r>
        <w:rPr/>
        <w:t xml:space="preserve">A 4086 fős válaszadók száma 95%-os konfidenciaszinttel és 1,53%-os hibahatárral teszi lehetővé a lakosság egészére vonatkozó megfigyelések készítését. Az eredmények konfidenciaszintjét és hibahatárát a minta mérete határozza meg. Minél nagyobb a minta, annál megbízhatóbb és pontosabb az eredmények extrapolálhatók a teljes populációra. </w:t>
      </w:r>
    </w:p>
    <w:p>
      <w:pPr>
        <w:pStyle w:val="P68B1DB1Normal104"/>
        <w:widowControl w:val="false"/>
        <w:spacing w:lineRule="auto" w:line="240" w:before="94" w:after="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A konfidenciaszint 1 (100%) mínusz a jelentés szintje. Gyakori, hogy 5%-os jelentési szinten alapul. 95%-os megbízhatósági szintről beszélünk. Más szóval, ha a felmérést ugyanolyan módon és azonos feltételek mellett ismételnék meg, az esetek 95%-ában az eredmények azonosak lennének. </w:t>
      </w:r>
    </w:p>
    <w:p>
      <w:pPr>
        <w:pStyle w:val="P68B1DB1Normal104"/>
        <w:widowControl w:val="false"/>
        <w:spacing w:lineRule="auto" w:line="240"/>
        <w:ind w:left="0" w:right="0" w:hanging="0"/>
        <w:jc w:val="left"/>
        <w:rPr/>
      </w:pPr>
      <w:r>
        <w:rPr/>
        <w:t xml:space="preserve">A pontosság (hibahatárral kifejezve) azt az értéktartományt jelöli, amelyen belül a sokaság tényleges értéke található. Más szóval: mi lenne a legnagyobb különbség a minta eredményei és a sokaság egészéből nyert eredmények között? Az 1,53%-os hibahatár azt jelenti, hogy a teljes sokaságon belüli tényleges érték 1,53%-kal magasabb vagy alacsonyabb lehet a mintaértéknél. Például, ha egy mintán végzett felmérés azt mutatja, hogy a válaszadók 50%-a fontosnak tart egy adott témát, a tényleges százalék 1,53%-kal magasabb vagy alacsonyabb, mint az 50%, azaz 48,47 és 51,53% között. A maximális 5%-os hibahatár gyakori és általánosan elfogadott a kvantitatív vizsgálatokban (statisztikák).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A megbízhatóság mellett fontos a minta reprezentativitása is. Mivel a részvételi felhívásokat tételekben küldték el és rétegezték, az eredmények a COROP régió jellemzőit és a COROP régió korcsoportjait tekintve reprezentatívak. A válaszok az oktatás szintje szempontjából is reprezentatívak a nemzeti szinten elért legmagasabb szinthez képest. </w:t>
      </w:r>
    </w:p>
    <w:p>
      <w:pPr>
        <w:pStyle w:val="Normal"/>
        <w:widowControl w:val="false"/>
        <w:spacing w:lineRule="auto" w:line="240"/>
        <w:ind w:left="0" w:right="0" w:hanging="0"/>
        <w:jc w:val="left"/>
        <w:rPr>
          <w:rFonts w:ascii="Calibri" w:hAnsi="Calibri"/>
          <w:color w:val="000000"/>
          <w:sz w:val="21"/>
        </w:rPr>
      </w:pPr>
      <w:r>
        <w:rPr>
          <w:rFonts w:ascii="Calibri" w:hAnsi="Calibri"/>
          <w:color w:val="000000"/>
          <w:sz w:val="21"/>
        </w:rPr>
      </w:r>
    </w:p>
    <w:p>
      <w:pPr>
        <w:pStyle w:val="P68B1DB1Normal126"/>
        <w:widowControl w:val="false"/>
        <w:spacing w:lineRule="auto" w:line="240"/>
        <w:ind w:left="0" w:right="0" w:hanging="0"/>
        <w:jc w:val="left"/>
        <w:rPr>
          <w:rFonts w:ascii="Calibri" w:hAnsi="Calibri"/>
          <w:color w:val="0070C0"/>
          <w:sz w:val="24"/>
        </w:rPr>
      </w:pPr>
      <w:r>
        <w:rPr/>
        <w:t xml:space="preserve">Egyéb általános jellemzők </w:t>
      </w:r>
    </w:p>
    <w:p>
      <w:pPr>
        <w:pStyle w:val="P68B1DB1Normal104"/>
        <w:widowControl w:val="false"/>
        <w:spacing w:lineRule="auto" w:line="240"/>
        <w:ind w:left="0" w:right="0" w:hanging="0"/>
        <w:jc w:val="left"/>
        <w:rPr/>
      </w:pPr>
      <w:r>
        <w:rPr/>
        <w:t xml:space="preserve">Számos további kontextuális kérdést tettek fel a résztvevőknek panelenkénti felmérésére. Ezek közé tartozik a nemek közötti egyenlőség, az uniós pozicionálás, a származás, a fő foglalkozás és az a politikai párt, amelyre a személy választás esetén szavazna.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A válaszadók 49%-a férfi, 50%-a nő, és 1% inkább nem válaszol erre a kérdésre.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A válaszadók 51%-a gondolja úgy, hogy jó, ha Hollandia tagja az EU-nak, 13 százalékuk szerint rossz dolog, 36%-uk pedig semleges, vagy nincs véleménye.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A válaszadók 95%-a Hollandiában született. A válaszadók 89%-a jelezte, hogy mindkét szülő Hollandiában született. 5% született olyan szülőtől, aki külföldön született. </w:t>
      </w:r>
    </w:p>
    <w:p>
      <w:pPr>
        <w:pStyle w:val="Normal"/>
        <w:widowControl w:val="false"/>
        <w:spacing w:lineRule="auto" w:line="240"/>
        <w:ind w:left="0" w:right="0" w:hanging="0"/>
        <w:jc w:val="left"/>
        <w:rPr>
          <w:rFonts w:ascii="Calibri" w:hAnsi="Calibri"/>
          <w:color w:val="000000"/>
          <w:sz w:val="21"/>
        </w:rPr>
      </w:pPr>
      <w:r>
        <w:rPr>
          <w:rFonts w:ascii="Calibri" w:hAnsi="Calibri"/>
          <w:color w:val="000000"/>
          <w:sz w:val="21"/>
        </w:rPr>
      </w:r>
      <w:r>
        <w:br w:type="page"/>
      </w:r>
    </w:p>
    <w:p>
      <w:pPr>
        <w:pStyle w:val="P68B1DB1Normal126"/>
        <w:spacing w:lineRule="auto" w:line="240"/>
        <w:ind w:left="0" w:right="0" w:hanging="0"/>
        <w:rPr>
          <w:rFonts w:ascii="Calibri" w:hAnsi="Calibri"/>
          <w:color w:val="0070C0"/>
          <w:sz w:val="24"/>
        </w:rPr>
      </w:pPr>
      <w:r>
        <w:rPr/>
        <w:t xml:space="preserve">A válaszadók jelenlegi politikai orientációja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6149"/>
        <w:gridCol w:w="3488"/>
      </w:tblGrid>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Buli</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w:t>
            </w:r>
          </w:p>
        </w:tc>
      </w:tr>
      <w:tr>
        <w:trPr>
          <w:trHeight w:val="551" w:hRule="atLeast"/>
        </w:trPr>
        <w:tc>
          <w:tcPr>
            <w:tcW w:w="614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VVD (Emberi Párt a Szabadságért és Demokráciáért)</w:t>
            </w:r>
          </w:p>
        </w:tc>
        <w:tc>
          <w:tcPr>
            <w:tcW w:w="3488"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PVV (Party for Freedom)[szerkesztés]</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SP (szocialista párt)</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D66 (Demokraták 66)</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CDA (Kereszténydemokrata felhívás)</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PvdA (Munkapárt)</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Partij voor de Dieren (Állatpárt)</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GroenLinks (Zöld Baloldal)</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ChristenUnie (Keresztény Unió)</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JA21</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BoerBurgerBeweging (Farmer-állami Mozgalom)</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Demokrata Fórum (Fórum a Demokráciáért)</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GSP (reformált politikai párt)</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Volt</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DENK</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Groep Van Haga értékelései</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BIJ1</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Fractie Den Haan – Videó letöltés mp3-ban</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0%</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Egyéb</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Fehér voksolás</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Inkább nem válaszolok.</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w:t>
            </w:r>
          </w:p>
        </w:tc>
      </w:tr>
      <w:tr>
        <w:trPr>
          <w:trHeight w:val="536"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Nem szavazok</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w:t>
            </w:r>
          </w:p>
        </w:tc>
      </w:tr>
    </w:tbl>
    <w:p>
      <w:pPr>
        <w:pStyle w:val="Normal"/>
        <w:spacing w:lineRule="auto" w:line="240"/>
        <w:ind w:left="0" w:right="0" w:hanging="0"/>
        <w:rPr/>
      </w:pPr>
      <w:r>
        <w:rPr/>
      </w:r>
      <w:r>
        <w:br w:type="page"/>
      </w:r>
    </w:p>
    <w:p>
      <w:pPr>
        <w:pStyle w:val="P68B1DB1Normal126"/>
        <w:spacing w:lineRule="auto" w:line="240"/>
        <w:ind w:left="0" w:right="0" w:hanging="0"/>
        <w:rPr>
          <w:rFonts w:ascii="Calibri" w:hAnsi="Calibri"/>
          <w:color w:val="0070C0"/>
          <w:sz w:val="24"/>
        </w:rPr>
      </w:pPr>
      <w:r>
        <w:rPr/>
        <w:t xml:space="preserve">Jelenleg mi a fő foglalkozásod?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6123"/>
        <w:gridCol w:w="3514"/>
      </w:tblGrid>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Foglalkozás</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w:t>
            </w:r>
          </w:p>
        </w:tc>
      </w:tr>
      <w:tr>
        <w:trPr>
          <w:trHeight w:val="551" w:hRule="atLeast"/>
        </w:trPr>
        <w:tc>
          <w:tcPr>
            <w:tcW w:w="6123"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Diák/diák</w:t>
            </w:r>
          </w:p>
        </w:tc>
        <w:tc>
          <w:tcPr>
            <w:tcW w:w="3514"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Részmunkaidős alkalmazott</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16%</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Teljes munkaidős alkalmazott</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31%</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Független vállalkozó</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Személy otthon</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Álláskereső</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Önkéntes</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Munkaképtelenség</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Nyugdíjas</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27%</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Egyéb</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w:t>
            </w:r>
          </w:p>
        </w:tc>
      </w:tr>
      <w:tr>
        <w:trPr>
          <w:trHeight w:val="536"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Inkább nem válaszolok.</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w:t>
            </w:r>
          </w:p>
        </w:tc>
      </w:tr>
    </w:tbl>
    <w:p>
      <w:pPr>
        <w:pStyle w:val="Normal"/>
        <w:spacing w:lineRule="auto" w:line="240"/>
        <w:ind w:left="0" w:right="0" w:hanging="0"/>
        <w:rPr/>
      </w:pPr>
      <w:r>
        <w:rPr/>
      </w:r>
    </w:p>
    <w:p>
      <w:pPr>
        <w:pStyle w:val="P68B1DB1Normal126"/>
        <w:spacing w:lineRule="auto" w:line="240"/>
        <w:ind w:left="0" w:right="0" w:hanging="0"/>
        <w:rPr>
          <w:rFonts w:ascii="Calibri" w:hAnsi="Calibri"/>
          <w:color w:val="0070C0"/>
          <w:sz w:val="24"/>
        </w:rPr>
      </w:pPr>
      <w:r>
        <w:rPr/>
        <w:t xml:space="preserve">Kérdőív </w:t>
      </w:r>
    </w:p>
    <w:p>
      <w:pPr>
        <w:pStyle w:val="P68B1DB1Normal104"/>
        <w:widowControl w:val="false"/>
        <w:spacing w:lineRule="exact" w:line="339" w:before="1" w:after="0"/>
        <w:ind w:left="0" w:right="0" w:hanging="0"/>
        <w:jc w:val="left"/>
        <w:rPr/>
      </w:pPr>
      <w:r>
        <w:rPr/>
        <w:t xml:space="preserve">A kérdőívet és a jelentést a Külügyminisztérium kérésére egy független külső szervezet készítette. A kérdőív moduláris struktúrát mutat be, és az Európa jövőjéről szóló konferencia témáival összhangban a következő kérdéseket tartalmazza: </w:t>
      </w:r>
    </w:p>
    <w:p>
      <w:pPr>
        <w:pStyle w:val="P68B1DB1Normal105"/>
        <w:widowControl w:val="false"/>
        <w:spacing w:lineRule="exact" w:line="349" w:before="0" w:after="0"/>
        <w:ind w:left="0" w:right="0" w:hanging="0"/>
        <w:jc w:val="left"/>
        <w:rPr/>
      </w:pPr>
      <w:r>
        <w:rPr>
          <w:rFonts w:ascii="Verdana" w:hAnsi="Verdana"/>
        </w:rPr>
        <w:t>•</w:t>
      </w:r>
      <w:r>
        <w:rPr/>
        <w:t xml:space="preserve"> </w:t>
      </w:r>
      <w:r>
        <w:rPr>
          <w:rFonts w:ascii="Calibri" w:hAnsi="Calibri"/>
        </w:rPr>
        <w:t xml:space="preserve">Fontos témák és Európa szerepe </w:t>
      </w:r>
    </w:p>
    <w:p>
      <w:pPr>
        <w:pStyle w:val="P68B1DB1Normal105"/>
        <w:widowControl w:val="false"/>
        <w:spacing w:lineRule="exact" w:line="349"/>
        <w:ind w:left="0" w:right="0" w:hanging="0"/>
        <w:jc w:val="left"/>
        <w:rPr/>
      </w:pPr>
      <w:r>
        <w:rPr>
          <w:rFonts w:ascii="Verdana" w:hAnsi="Verdana"/>
        </w:rPr>
        <w:t>•</w:t>
      </w:r>
      <w:r>
        <w:rPr/>
        <w:t xml:space="preserve"> </w:t>
      </w:r>
      <w:r>
        <w:rPr>
          <w:rFonts w:ascii="Calibri" w:hAnsi="Calibri"/>
        </w:rPr>
        <w:t xml:space="preserve">Éghajlatváltozás és környezetvédelem </w:t>
      </w:r>
    </w:p>
    <w:p>
      <w:pPr>
        <w:pStyle w:val="P68B1DB1Normal105"/>
        <w:widowControl w:val="false"/>
        <w:spacing w:lineRule="exact" w:line="349" w:before="2" w:after="0"/>
        <w:ind w:left="0" w:right="0" w:hanging="0"/>
        <w:jc w:val="left"/>
        <w:rPr/>
      </w:pPr>
      <w:r>
        <w:rPr>
          <w:rFonts w:ascii="Verdana" w:hAnsi="Verdana"/>
        </w:rPr>
        <w:t>•</w:t>
      </w:r>
      <w:r>
        <w:rPr/>
        <w:t xml:space="preserve"> </w:t>
      </w:r>
      <w:r>
        <w:rPr>
          <w:rFonts w:ascii="Calibri" w:hAnsi="Calibri"/>
        </w:rPr>
        <w:t xml:space="preserve">Egészség </w:t>
      </w:r>
    </w:p>
    <w:p>
      <w:pPr>
        <w:pStyle w:val="P68B1DB1Normal105"/>
        <w:widowControl w:val="false"/>
        <w:spacing w:lineRule="exact" w:line="349"/>
        <w:ind w:left="0" w:right="0" w:hanging="0"/>
        <w:jc w:val="left"/>
        <w:rPr/>
      </w:pPr>
      <w:r>
        <w:rPr>
          <w:rFonts w:ascii="Verdana" w:hAnsi="Verdana"/>
        </w:rPr>
        <w:t>•</w:t>
      </w:r>
      <w:r>
        <w:rPr/>
        <w:t xml:space="preserve"> </w:t>
      </w:r>
      <w:r>
        <w:rPr>
          <w:rFonts w:ascii="Calibri" w:hAnsi="Calibri"/>
        </w:rPr>
        <w:t xml:space="preserve">Gazdaság és foglalkoztatás </w:t>
      </w:r>
    </w:p>
    <w:p>
      <w:pPr>
        <w:pStyle w:val="P68B1DB1Normal105"/>
        <w:widowControl w:val="false"/>
        <w:spacing w:lineRule="exact" w:line="349"/>
        <w:ind w:left="0" w:right="0" w:hanging="0"/>
        <w:jc w:val="left"/>
        <w:rPr/>
      </w:pPr>
      <w:r>
        <w:rPr>
          <w:rFonts w:ascii="Verdana" w:hAnsi="Verdana"/>
        </w:rPr>
        <w:t>•</w:t>
      </w:r>
      <w:r>
        <w:rPr/>
        <w:t xml:space="preserve"> </w:t>
      </w:r>
      <w:r>
        <w:rPr>
          <w:rFonts w:ascii="Calibri" w:hAnsi="Calibri"/>
        </w:rPr>
        <w:t xml:space="preserve">Az Európai Unió szerepe a világban </w:t>
      </w:r>
    </w:p>
    <w:p>
      <w:pPr>
        <w:pStyle w:val="P68B1DB1Normal105"/>
        <w:widowControl w:val="false"/>
        <w:spacing w:lineRule="exact" w:line="349"/>
        <w:ind w:left="0" w:right="0" w:hanging="0"/>
        <w:jc w:val="left"/>
        <w:rPr/>
      </w:pPr>
      <w:r>
        <w:rPr>
          <w:rFonts w:ascii="Verdana" w:hAnsi="Verdana"/>
        </w:rPr>
        <w:t>•</w:t>
      </w:r>
      <w:r>
        <w:rPr/>
        <w:t xml:space="preserve"> </w:t>
      </w:r>
      <w:r>
        <w:rPr>
          <w:rFonts w:ascii="Calibri" w:hAnsi="Calibri"/>
        </w:rPr>
        <w:t xml:space="preserve">Biztonság és jogállamiság </w:t>
      </w:r>
    </w:p>
    <w:p>
      <w:pPr>
        <w:pStyle w:val="P68B1DB1Normal105"/>
        <w:widowControl w:val="false"/>
        <w:spacing w:lineRule="exact" w:line="349" w:before="2" w:after="0"/>
        <w:ind w:left="0" w:right="0" w:hanging="0"/>
        <w:jc w:val="left"/>
        <w:rPr/>
      </w:pPr>
      <w:r>
        <w:rPr>
          <w:rFonts w:ascii="Verdana" w:hAnsi="Verdana"/>
        </w:rPr>
        <w:t>•</w:t>
      </w:r>
      <w:r>
        <w:rPr/>
        <w:t xml:space="preserve"> </w:t>
      </w:r>
      <w:r>
        <w:rPr>
          <w:rFonts w:ascii="Calibri" w:hAnsi="Calibri"/>
        </w:rPr>
        <w:t xml:space="preserve">A virtuális világ </w:t>
      </w:r>
    </w:p>
    <w:p>
      <w:pPr>
        <w:pStyle w:val="P68B1DB1Normal105"/>
        <w:widowControl w:val="false"/>
        <w:spacing w:lineRule="exact" w:line="349"/>
        <w:ind w:left="0" w:right="0" w:hanging="0"/>
        <w:jc w:val="left"/>
        <w:rPr/>
      </w:pPr>
      <w:r>
        <w:rPr>
          <w:rFonts w:ascii="Verdana" w:hAnsi="Verdana"/>
        </w:rPr>
        <w:t>•</w:t>
      </w:r>
      <w:r>
        <w:rPr/>
        <w:t xml:space="preserve"> </w:t>
      </w:r>
      <w:r>
        <w:rPr>
          <w:rFonts w:ascii="Calibri" w:hAnsi="Calibri"/>
        </w:rPr>
        <w:t xml:space="preserve">Európai demokrácia </w:t>
      </w:r>
    </w:p>
    <w:p>
      <w:pPr>
        <w:pStyle w:val="P68B1DB1Normal105"/>
        <w:widowControl w:val="false"/>
        <w:spacing w:lineRule="exact" w:line="349"/>
        <w:ind w:left="0" w:right="0" w:hanging="0"/>
        <w:jc w:val="left"/>
        <w:rPr/>
      </w:pPr>
      <w:r>
        <w:rPr>
          <w:rFonts w:ascii="Verdana" w:hAnsi="Verdana"/>
        </w:rPr>
        <w:t>•</w:t>
      </w:r>
      <w:r>
        <w:rPr/>
        <w:t xml:space="preserve"> </w:t>
      </w:r>
      <w:r>
        <w:rPr>
          <w:rFonts w:ascii="Calibri" w:hAnsi="Calibri"/>
        </w:rPr>
        <w:t xml:space="preserve">Migráció és menekültek </w:t>
      </w:r>
    </w:p>
    <w:p>
      <w:pPr>
        <w:pStyle w:val="P68B1DB1Normal105"/>
        <w:widowControl w:val="false"/>
        <w:spacing w:lineRule="exact" w:line="349"/>
        <w:ind w:left="0" w:right="0" w:hanging="0"/>
        <w:jc w:val="left"/>
        <w:rPr/>
      </w:pPr>
      <w:r>
        <w:rPr>
          <w:rFonts w:ascii="Verdana" w:hAnsi="Verdana"/>
        </w:rPr>
        <w:t>•</w:t>
      </w:r>
      <w:r>
        <w:rPr/>
        <w:t xml:space="preserve"> </w:t>
      </w:r>
      <w:r>
        <w:rPr>
          <w:rFonts w:ascii="Calibri" w:hAnsi="Calibri"/>
        </w:rPr>
        <w:t xml:space="preserve">Oktatás/kultúra/ifjúság/sport </w:t>
      </w:r>
    </w:p>
    <w:p>
      <w:pPr>
        <w:pStyle w:val="Normal"/>
        <w:widowControl w:val="false"/>
        <w:spacing w:lineRule="exact" w:line="349"/>
        <w:ind w:left="0" w:right="0" w:hanging="0"/>
        <w:jc w:val="left"/>
        <w:rPr>
          <w:rFonts w:ascii="Calibri" w:hAnsi="Calibri"/>
          <w:color w:val="000000"/>
          <w:sz w:val="21"/>
        </w:rPr>
      </w:pPr>
      <w:r>
        <w:rPr>
          <w:rFonts w:ascii="Calibri" w:hAnsi="Calibri"/>
          <w:color w:val="000000"/>
          <w:sz w:val="21"/>
        </w:rPr>
      </w:r>
    </w:p>
    <w:p>
      <w:pPr>
        <w:pStyle w:val="P68B1DB1Normal104"/>
        <w:widowControl w:val="false"/>
        <w:spacing w:lineRule="auto" w:line="240" w:before="104" w:after="0"/>
        <w:ind w:left="0" w:right="0" w:hanging="0"/>
        <w:jc w:val="left"/>
        <w:rPr/>
      </w:pPr>
      <w:r>
        <w:rPr/>
        <w:t xml:space="preserve">A kérdőív elkészítése során nagy figyelmet fordítottak a kérdések minőségére, megbízhatóságára és érvényességére. Ezért a kérdések, állítások és válaszlehetőségek semleges, nem irányított megfogalmazását keresték, és ellenőrizték, hogy a kérdéseket érthető nyelven fogalmazták-e meg (B1 szint). </w:t>
      </w:r>
    </w:p>
    <w:p>
      <w:pPr>
        <w:pStyle w:val="P68B1DB1Normal104"/>
        <w:widowControl w:val="false"/>
        <w:spacing w:lineRule="auto" w:line="240" w:before="13" w:after="0"/>
        <w:ind w:left="0" w:right="0" w:hanging="0"/>
        <w:jc w:val="left"/>
        <w:rPr>
          <w:rFonts w:ascii="Calibri" w:hAnsi="Calibri"/>
          <w:color w:val="000000"/>
          <w:sz w:val="21"/>
        </w:rPr>
      </w:pPr>
      <w:r>
        <w:rPr/>
        <w:t xml:space="preserve"> </w:t>
      </w:r>
    </w:p>
    <w:p>
      <w:pPr>
        <w:pStyle w:val="P68B1DB1Normal104"/>
        <w:widowControl w:val="false"/>
        <w:spacing w:lineRule="auto" w:line="240" w:before="13" w:after="0"/>
        <w:ind w:left="0" w:right="0" w:hanging="0"/>
        <w:jc w:val="left"/>
        <w:rPr/>
      </w:pPr>
      <w:r>
        <w:rPr/>
        <w:t xml:space="preserve">A kérdőívet a célcsoporthoz tartozó tesztrésztvevőkkel folytatott személyes interjúk során minőségteszteknek vetették alá. Ez lehetővé tette számunkra, hogy tanulmányozzuk, hogyan értelmezik a kérdéseket a különböző típusú válaszadók. Ha egy kérdés úgy tűnt, hogy túl nagy (túl összetett) kognitív terhelést jelent, akkor helyénvaló volt. </w:t>
      </w:r>
    </w:p>
    <w:p>
      <w:pPr>
        <w:pStyle w:val="P68B1DB1Normal126"/>
        <w:widowControl w:val="false"/>
        <w:spacing w:lineRule="auto" w:line="240" w:before="333" w:after="0"/>
        <w:ind w:left="0" w:right="0" w:hanging="0"/>
        <w:jc w:val="left"/>
        <w:rPr>
          <w:rFonts w:ascii="Calibri" w:hAnsi="Calibri"/>
          <w:color w:val="0070C0"/>
          <w:sz w:val="24"/>
        </w:rPr>
      </w:pPr>
      <w:r>
        <w:rPr/>
        <w:t xml:space="preserve">Elemzési módszerek </w:t>
      </w:r>
    </w:p>
    <w:p>
      <w:pPr>
        <w:pStyle w:val="P68B1DB1Normal104"/>
        <w:widowControl w:val="false"/>
        <w:spacing w:lineRule="auto" w:line="240" w:before="80" w:after="0"/>
        <w:ind w:left="0" w:right="0" w:hanging="0"/>
        <w:jc w:val="left"/>
        <w:rPr>
          <w:rFonts w:ascii="Calibri" w:hAnsi="Calibri"/>
          <w:color w:val="000000"/>
          <w:sz w:val="21"/>
        </w:rPr>
      </w:pPr>
      <w:r>
        <w:rPr/>
        <w:t xml:space="preserve">Ebben a felmérésben két elemzési módszert alkalmaztak: </w:t>
      </w:r>
    </w:p>
    <w:p>
      <w:pPr>
        <w:pStyle w:val="P68B1DB1Normal111"/>
        <w:widowControl w:val="false"/>
        <w:spacing w:lineRule="auto" w:line="240" w:before="48" w:after="0"/>
        <w:ind w:left="0" w:right="0" w:hanging="0"/>
        <w:jc w:val="left"/>
        <w:rPr>
          <w:rFonts w:ascii="Calibri" w:hAnsi="Calibri"/>
          <w:b/>
          <w:b/>
          <w:color w:val="000000"/>
          <w:sz w:val="22"/>
        </w:rPr>
      </w:pPr>
      <w:r>
        <w:rPr/>
        <w:t xml:space="preserve">Univariate elemzések </w:t>
      </w:r>
    </w:p>
    <w:p>
      <w:pPr>
        <w:pStyle w:val="P68B1DB1Normal104"/>
        <w:widowControl w:val="false"/>
        <w:spacing w:lineRule="auto" w:line="240" w:before="6" w:after="0"/>
        <w:ind w:left="0" w:right="0" w:hanging="0"/>
        <w:jc w:val="left"/>
        <w:rPr>
          <w:rFonts w:ascii="Calibri" w:hAnsi="Calibri"/>
          <w:color w:val="000000"/>
          <w:sz w:val="21"/>
        </w:rPr>
      </w:pPr>
      <w:r>
        <w:rPr/>
        <w:t xml:space="preserve">Leíró statisztikákat használnak a felmérés változóinak leírására. Ebben a felmérésben gyakoriságokat és átlagokat használnak. </w:t>
      </w:r>
    </w:p>
    <w:p>
      <w:pPr>
        <w:pStyle w:val="P68B1DB1Normal111"/>
        <w:widowControl w:val="false"/>
        <w:spacing w:lineRule="auto" w:line="240" w:before="48" w:after="0"/>
        <w:ind w:left="0" w:right="0" w:hanging="0"/>
        <w:jc w:val="left"/>
        <w:rPr>
          <w:rFonts w:ascii="Calibri" w:hAnsi="Calibri"/>
          <w:b/>
          <w:b/>
          <w:color w:val="000000"/>
          <w:sz w:val="22"/>
        </w:rPr>
      </w:pPr>
      <w:r>
        <w:rPr/>
        <w:t xml:space="preserve">Kétváltozós elemzések </w:t>
      </w:r>
    </w:p>
    <w:p>
      <w:pPr>
        <w:pStyle w:val="P68B1DB1Normal104"/>
        <w:widowControl w:val="false"/>
        <w:spacing w:lineRule="auto" w:line="240" w:before="6" w:after="0"/>
        <w:ind w:left="0" w:right="0" w:hanging="0"/>
        <w:jc w:val="left"/>
        <w:rPr/>
      </w:pPr>
      <w:r>
        <w:rPr/>
        <w:t xml:space="preserve">A kétváltozós elemzések lehetővé teszik a két változó közötti kapcsolat vizsgálatát, ebben az esetben a különböző témák jelentősége és az EU beavatkozásának kérdése és az életkor általános jellemzője közötti összefüggést. Felülvizsgálatot végeztek annak megállapítására, hogy a különböző korcsoportok eltérő jelentőséget tulajdonítanak-e egy adott témának, és hogy vannak-e eltérő vélemények arról, hogy ezek a kérdések milyen mértékben kellene az EU-t bevonni. </w:t>
      </w:r>
    </w:p>
    <w:p>
      <w:pPr>
        <w:pStyle w:val="Normal"/>
        <w:widowControl w:val="false"/>
        <w:spacing w:lineRule="auto" w:line="240" w:before="6" w:after="0"/>
        <w:ind w:left="0" w:right="0" w:hanging="0"/>
        <w:jc w:val="left"/>
        <w:rPr>
          <w:rFonts w:ascii="Calibri" w:hAnsi="Calibri"/>
          <w:color w:val="000000"/>
          <w:sz w:val="21"/>
        </w:rPr>
      </w:pPr>
      <w:r>
        <w:rPr>
          <w:rFonts w:ascii="Calibri" w:hAnsi="Calibri"/>
          <w:color w:val="000000"/>
          <w:sz w:val="21"/>
        </w:rPr>
      </w:r>
    </w:p>
    <w:p>
      <w:pPr>
        <w:pStyle w:val="P68B1DB1Normal126"/>
        <w:widowControl w:val="false"/>
        <w:spacing w:lineRule="auto" w:line="240" w:before="52" w:after="0"/>
        <w:ind w:left="0" w:right="0" w:hanging="0"/>
        <w:jc w:val="left"/>
        <w:rPr>
          <w:rFonts w:ascii="Calibri" w:hAnsi="Calibri"/>
          <w:color w:val="0070C0"/>
          <w:sz w:val="24"/>
        </w:rPr>
      </w:pPr>
      <w:r>
        <w:rPr/>
        <w:t xml:space="preserve">Az információk közzététele és teljessége </w:t>
      </w:r>
    </w:p>
    <w:p>
      <w:pPr>
        <w:pStyle w:val="P68B1DB1Normal76"/>
        <w:widowControl w:val="false"/>
        <w:spacing w:lineRule="auto" w:line="240" w:before="116" w:after="0"/>
        <w:ind w:left="0" w:right="0" w:hanging="0"/>
        <w:jc w:val="left"/>
        <w:rPr/>
      </w:pPr>
      <w:r>
        <w:rPr>
          <w:rFonts w:ascii="Calibri" w:hAnsi="Calibri"/>
          <w:sz w:val="21"/>
        </w:rPr>
        <w:t>Ez a jelentés tartalmazza a felmérési panel válaszadóinak feltett kérdések eredményeit. Néhány kérdés esetében a válaszadó lehetőséget kapott arra, hogy „nyitott” (azaz nem előre meghatározott) válaszokat adjon. A nyílt válaszokat ezután kategorizálták és belefoglalták a kiadványba. A válaszadók által az ingyenes észrevételekben megosztott ötleteket felhasználják az „Európa-látogatás” civil párbeszéd folyamatának nyomon követéseként szervezett különböző tematikus párbeszédek során.</w:t>
      </w:r>
      <w:r>
        <w:rPr>
          <w:rFonts w:ascii="Times New Roman" w:hAnsi="Times New Roman"/>
          <w:sz w:val="24"/>
        </w:rPr>
        <w:t xml:space="preserve"> </w:t>
      </w:r>
    </w:p>
    <w:p>
      <w:pPr>
        <w:pStyle w:val="P68B1DB1Normal125"/>
        <w:widowControl w:val="false"/>
        <w:spacing w:lineRule="auto" w:line="240" w:before="233" w:after="0"/>
        <w:ind w:left="0" w:right="0" w:hanging="0"/>
        <w:jc w:val="left"/>
        <w:rPr>
          <w:rFonts w:ascii="Calibri" w:hAnsi="Calibri"/>
          <w:b/>
          <w:b/>
          <w:color w:val="0070C0"/>
          <w:sz w:val="32"/>
        </w:rPr>
      </w:pPr>
      <w:r>
        <w:rPr/>
        <w:t xml:space="preserve">2. Online tematikus párbeszédek az elmélyülés érdekében </w:t>
      </w:r>
    </w:p>
    <w:p>
      <w:pPr>
        <w:pStyle w:val="P68B1DB1Normal104"/>
        <w:widowControl w:val="false"/>
        <w:spacing w:lineRule="auto" w:line="240"/>
        <w:ind w:left="0" w:right="0" w:hanging="0"/>
        <w:jc w:val="left"/>
        <w:rPr/>
      </w:pPr>
      <w:r>
        <w:rPr/>
        <w:t xml:space="preserve">Az Európa jövőjéről szóló konferencia középpontjában álló témákat nyolc online tematikus párbeszéd elmélyítette. Ezeknek a párbeszédeknek az volt a célja, hogy feltárják a kifejtett vélemények </w:t>
      </w:r>
      <w:r>
        <w:rPr>
          <w:i/>
        </w:rPr>
        <w:t>okait</w:t>
      </w:r>
      <w:r>
        <w:rPr/>
        <w:t xml:space="preserve">, valamint a mögöttük álló motivációkat és érzéseket. Mik az észlelt aggodalmak és lehetőségek? A vitaülések lehetővé tették a résztvevők számára, hogy javaslatokat és ötleteket fogalmazzanak meg ezekre a témákra, valamint olyan kérdéseket is felvetjenek, amelyek nem részei a konferenciának, de továbbra is fontosak számukra. </w:t>
      </w:r>
    </w:p>
    <w:p>
      <w:pPr>
        <w:pStyle w:val="P68B1DB1Normal104"/>
        <w:widowControl w:val="false"/>
        <w:spacing w:lineRule="auto" w:line="240" w:before="13" w:after="0"/>
        <w:ind w:left="0" w:right="0" w:hanging="0"/>
        <w:jc w:val="left"/>
        <w:rPr>
          <w:rFonts w:ascii="Calibri" w:hAnsi="Calibri"/>
          <w:color w:val="000000"/>
          <w:sz w:val="21"/>
        </w:rPr>
      </w:pPr>
      <w:r>
        <w:rPr/>
        <w:t xml:space="preserve"> </w:t>
      </w:r>
    </w:p>
    <w:p>
      <w:pPr>
        <w:pStyle w:val="P68B1DB1Normal104"/>
        <w:widowControl w:val="false"/>
        <w:spacing w:lineRule="auto" w:line="240" w:before="13" w:after="0"/>
        <w:ind w:left="0" w:right="0" w:hanging="0"/>
        <w:jc w:val="left"/>
        <w:rPr/>
      </w:pPr>
      <w:r>
        <w:rPr/>
        <w:t xml:space="preserve">A tematikus párbeszédekre október 12–14-én és november 9–11-én került sor. Októberben négy online tematikus párbeszédre került sor a „Gazdaság” és a „demokrácia” témájában. </w:t>
      </w:r>
    </w:p>
    <w:p>
      <w:pPr>
        <w:pStyle w:val="Normal"/>
        <w:widowControl w:val="false"/>
        <w:spacing w:lineRule="auto" w:line="240" w:before="10" w:after="0"/>
        <w:ind w:left="0" w:right="0" w:hanging="0"/>
        <w:jc w:val="left"/>
        <w:rPr/>
      </w:pPr>
      <w:r>
        <w:rPr>
          <w:rFonts w:ascii="Calibri" w:hAnsi="Calibri"/>
          <w:color w:val="000000"/>
          <w:sz w:val="21"/>
        </w:rPr>
        <w:t xml:space="preserve">Novemberben négy online tematikus párbeszédre került sor az „Éghajlat” és „Az EU a világban” témában. Átlagosan 29 ember vett részt minden megbeszélésen (összesen 231). A résztvevőket a panel tagjai közül (lásd az 1. pontot) és a közösségi médián keresztül vették fel. </w:t>
      </w:r>
      <w:r>
        <w:br w:type="page"/>
      </w:r>
    </w:p>
    <w:p>
      <w:pPr>
        <w:pStyle w:val="P68B1DB1Normal125"/>
        <w:spacing w:lineRule="auto" w:line="240"/>
        <w:ind w:left="0" w:right="0" w:hanging="0"/>
        <w:rPr>
          <w:rFonts w:ascii="Calibri" w:hAnsi="Calibri"/>
          <w:b/>
          <w:b/>
          <w:color w:val="0070C0"/>
          <w:sz w:val="32"/>
        </w:rPr>
      </w:pPr>
      <w:r>
        <w:rPr/>
        <w:t xml:space="preserve">3. Párbeszédek meghatározott csoportokkal </w:t>
      </w:r>
    </w:p>
    <w:p>
      <w:pPr>
        <w:pStyle w:val="P68B1DB1Normal104"/>
        <w:widowControl w:val="false"/>
        <w:spacing w:lineRule="auto" w:line="240" w:before="73" w:after="0"/>
        <w:ind w:left="0" w:right="0" w:hanging="0"/>
        <w:jc w:val="left"/>
        <w:rPr/>
      </w:pPr>
      <w:r>
        <w:rPr/>
        <w:t xml:space="preserve">Egyes holland csoportokról ismert, hogy kevésbé hozzászoktak a felmérésekben és paneleken való részvételhez (online). Annak érdekében, hogy „Hollandia hangja” reprezentatív képet kapjon, fontos volt, hogy ezek a polgárok is kifejthessék elképzeléseiket és véleményüket. Ezért is szerveztünk számos helyszíni párbeszédet az „Európa-látogatás” felméréshez. Az általunk összegyűjtött véleményeket és ötleteket (többek között) alapul vettük az ajánlások megfogalmazásához. </w:t>
      </w:r>
    </w:p>
    <w:p>
      <w:pPr>
        <w:pStyle w:val="P68B1DB1Normal126"/>
        <w:widowControl w:val="false"/>
        <w:spacing w:lineRule="auto" w:line="240" w:before="94" w:after="0"/>
        <w:ind w:left="0" w:right="0" w:hanging="0"/>
        <w:jc w:val="left"/>
        <w:rPr>
          <w:rFonts w:ascii="Calibri" w:hAnsi="Calibri"/>
          <w:color w:val="0070C0"/>
          <w:sz w:val="24"/>
        </w:rPr>
      </w:pPr>
      <w:r>
        <w:rPr/>
        <w:t xml:space="preserve">Célcsoportok </w:t>
      </w:r>
    </w:p>
    <w:p>
      <w:pPr>
        <w:pStyle w:val="P68B1DB1Normal110"/>
        <w:widowControl w:val="false"/>
        <w:spacing w:lineRule="auto" w:line="240" w:before="88" w:after="0"/>
        <w:ind w:left="0" w:right="0" w:hanging="0"/>
        <w:jc w:val="left"/>
        <w:rPr/>
      </w:pPr>
      <w:r>
        <w:rPr>
          <w:sz w:val="21"/>
        </w:rPr>
        <w:t xml:space="preserve">A nehezen elérhető célcsoportok nem határozhatók meg egyértelműen. Tanulmányok és tapasztalatok lehetővé teszik számunkra, hogy tudjuk, hogy a </w:t>
      </w:r>
      <w:r>
        <w:rPr>
          <w:b/>
          <w:sz w:val="21"/>
        </w:rPr>
        <w:t>nem nyugati származású</w:t>
      </w:r>
      <w:r>
        <w:rPr>
          <w:sz w:val="21"/>
        </w:rPr>
        <w:t>holland emberek lényegesen kevésbé vesznek részt magukban a vizsgálatokban és a vitákban. Mivel ez nagy csoportot képvisel (a holland</w:t>
      </w:r>
      <w:r>
        <w:rPr>
          <w:b/>
          <w:position w:val="6"/>
          <w:sz w:val="14"/>
        </w:rPr>
        <w:t>1</w:t>
      </w:r>
      <w:r>
        <w:rPr>
          <w:sz w:val="21"/>
        </w:rPr>
        <w:t xml:space="preserve">-ek 14%-a), kiválasztották őket az Európa jövőképéről szóló párbeszédben való részvételre. Ugyanezt az érvelést követték a </w:t>
      </w:r>
      <w:r>
        <w:rPr>
          <w:b/>
          <w:sz w:val="21"/>
        </w:rPr>
        <w:t>kevéssé képzett személyek esetében is</w:t>
      </w:r>
      <w:r>
        <w:rPr>
          <w:sz w:val="21"/>
        </w:rPr>
        <w:t>. Szintén nagy csoportról van szó (2,5 millió holland</w:t>
      </w:r>
      <w:r>
        <w:rPr>
          <w:position w:val="6"/>
          <w:sz w:val="14"/>
        </w:rPr>
        <w:t>2</w:t>
      </w:r>
      <w:r>
        <w:rPr>
          <w:sz w:val="21"/>
        </w:rPr>
        <w:t xml:space="preserve">), amely részben átfedésben van a migráns csoporttal (39%). Végül párbeszédre került sor olyan emberek egy csoportjával, akiket ritkán találnak felmérésekben és vitákban, </w:t>
      </w:r>
      <w:r>
        <w:rPr>
          <w:b/>
          <w:sz w:val="21"/>
        </w:rPr>
        <w:t>akik kritikusak Európával szemben, de akik számára Európa fontos szerepet játszik a szakmai szférában.</w:t>
      </w:r>
      <w:r>
        <w:rPr>
          <w:sz w:val="21"/>
        </w:rPr>
        <w:t xml:space="preserve"> A mezőgazdasági ágazat vállalkozóit választották ki.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A fent említett csoportokat olyan szervezeteken keresztül keresték fel, amelyeknek tagjai, például migráns szervezetek, érdekképviseleti egyesületek és szakmai szervezetek. Mivel a párbeszédek számát nyolcra korlátoztuk, nem lehettünk teljesen „teljesek”. Ez némileg önkényessé teszi a résztvevők kiválasztását. Annak érdekében, hogy ezt a döntést, figyelembe vettük a lelkesedést, hogy részt vegyenek, és segít mozgósítani bázisukat, valamint a gyakorlati kérdések, mint a rendelkezésre állás szerint dátum és helyszín.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rFonts w:ascii="Calibri" w:hAnsi="Calibri"/>
          <w:color w:val="000000"/>
          <w:sz w:val="21"/>
        </w:rPr>
      </w:pPr>
      <w:r>
        <w:rPr/>
        <w:t xml:space="preserve">Helyszíni párbeszédre került sor a következő szervezetek tagjaival: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Hakder Alapítvány, Alevi közösség, Schiedam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Asha Alapítvány, hindu közösség, Utrecht (két beszélgetés)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Piëzo, civil szervezet, Zoetermeer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Taal doet Meer, az alacsonyan képzett emberek szervezete, Utrecht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BoerenNatuur, mezőgazdasági csoportok társulása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Marokkanen Dialoog Overvecht, marokkói közösség, Utrecht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Nők a szabadságért, a migráns hátterű nők érdekképviseleti szervezete, Hága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rFonts w:ascii="Calibri" w:hAnsi="Calibri"/>
          <w:color w:val="000000"/>
          <w:sz w:val="21"/>
        </w:rPr>
      </w:pPr>
      <w:r>
        <w:rPr/>
        <w:t xml:space="preserve">Összesen 110 ember vett részt ezeken a megbeszéléseken.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25"/>
        <w:widowControl w:val="false"/>
        <w:spacing w:lineRule="auto" w:line="240" w:before="205" w:after="0"/>
        <w:ind w:left="0" w:right="0" w:hanging="0"/>
        <w:jc w:val="left"/>
        <w:rPr>
          <w:rFonts w:ascii="Calibri" w:hAnsi="Calibri"/>
          <w:b/>
          <w:b/>
          <w:color w:val="0070C0"/>
          <w:sz w:val="32"/>
        </w:rPr>
      </w:pPr>
      <w:r>
        <w:rPr/>
        <w:t xml:space="preserve">4. Párbeszéd a fiatalokkal </w:t>
      </w:r>
    </w:p>
    <w:p>
      <w:pPr>
        <w:pStyle w:val="P68B1DB1Normal104"/>
        <w:widowControl w:val="false"/>
        <w:spacing w:lineRule="auto" w:line="240" w:before="145" w:after="0"/>
        <w:ind w:left="0" w:right="0" w:hanging="0"/>
        <w:jc w:val="both"/>
        <w:rPr/>
      </w:pPr>
      <w:r>
        <w:rPr/>
        <w:t xml:space="preserve">A fiatalok az Európa jövőjéről szóló konferencia kiemelt célcsoportjai. Annak érdekében, hogy aktívan ösztönözzék részvételüket az „Európa Látogatása” elnevezésű civil párbeszédben, és hogy e csoport véleményei és ötletei jól hallhatók legyenek, hat, kifejezetten a fiatalok számára szervezett fizikai vitaülésre került sor.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rFonts w:ascii="Calibri" w:hAnsi="Calibri"/>
          <w:color w:val="000000"/>
          <w:sz w:val="21"/>
        </w:rPr>
      </w:pPr>
      <w:r>
        <w:rPr/>
        <w:t xml:space="preserve">Az ülésekre a következő intézményekben került sor: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Történeti Diákok Egyesülete, Leideni Egyetem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Dr. Knippenberg College, High School, Helmond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Coalitie-Y, Gazdasági és Szociális Tanács Ifjúsági Platform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Graafschap Főiskola, szakközépiskola, Doetinchem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CSG Jan Arentsz, technológiai témákra összpontosító középfokú oktatás, Alkmaar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Nemzeti Ifjúsági Tanács (a találkozóra a helyszínen kívül került sor)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before="89" w:after="0"/>
        <w:ind w:left="0" w:right="0" w:hanging="0"/>
        <w:jc w:val="left"/>
        <w:rPr>
          <w:rFonts w:ascii="Calibri" w:hAnsi="Calibri"/>
          <w:color w:val="000000"/>
          <w:sz w:val="21"/>
        </w:rPr>
      </w:pPr>
      <w:r>
        <w:rPr>
          <w:rFonts w:ascii="Calibri" w:hAnsi="Calibri"/>
          <w:color w:val="000000"/>
          <w:sz w:val="21"/>
        </w:rPr>
        <w:t xml:space="preserve">Összesen 110 fiatal vett részt a megbeszéléseken. </w:t>
      </w:r>
      <w:r>
        <w:br w:type="page"/>
      </w:r>
    </w:p>
    <w:p>
      <w:pPr>
        <w:pStyle w:val="P68B1DB1Normal126"/>
        <w:spacing w:lineRule="auto" w:line="240"/>
        <w:ind w:left="0" w:right="0" w:hanging="0"/>
        <w:rPr>
          <w:rFonts w:ascii="Calibri" w:hAnsi="Calibri"/>
          <w:color w:val="0070C0"/>
          <w:sz w:val="24"/>
        </w:rPr>
      </w:pPr>
      <w:r>
        <w:rPr/>
        <w:t xml:space="preserve">Alkalmazott karbantartási technikák </w:t>
      </w:r>
    </w:p>
    <w:p>
      <w:pPr>
        <w:pStyle w:val="P68B1DB1Normal104"/>
        <w:widowControl w:val="false"/>
        <w:spacing w:lineRule="auto" w:line="240" w:before="92" w:after="0"/>
        <w:ind w:left="0" w:right="0" w:hanging="0"/>
        <w:jc w:val="left"/>
        <w:rPr/>
      </w:pPr>
      <w:r>
        <w:rPr/>
        <w:t xml:space="preserve">Az online tematikus párbeszédek, a konkrét csoportokkal folytatott párbeszédek és a fiatalokkal folytatott párbeszédek az úgynevezett „szokratikus” interjúmódszer alkalmazásával zajlottak. Ezt a módszert évek óta alkalmazzák a Párbeszéd Napján, ahol Hollandiában az emberek kölcsönhatásba lépnek az őket érintő kérdésekben. A Szókratikus karbantartási módszerrel összefüggésben a moderátornak a következő elveket kell figyelembe vennie: </w:t>
      </w:r>
    </w:p>
    <w:p>
      <w:pPr>
        <w:pStyle w:val="P68B1DB1Normal105"/>
        <w:widowControl w:val="false"/>
        <w:spacing w:lineRule="auto" w:line="240"/>
        <w:ind w:left="0" w:right="0" w:hanging="0"/>
        <w:jc w:val="left"/>
        <w:rPr/>
      </w:pPr>
      <w:r>
        <w:rPr>
          <w:rFonts w:ascii="Verdana" w:hAnsi="Verdana"/>
        </w:rPr>
        <w:t>•</w:t>
      </w:r>
      <w:r>
        <w:rPr/>
        <w:t xml:space="preserve"> </w:t>
      </w:r>
      <w:r>
        <w:rPr/>
        <w:t xml:space="preserve">Hadd mesélje el a másik a történetüket </w:t>
      </w:r>
      <w:r>
        <w:rPr>
          <w:rFonts w:ascii="Calibri" w:hAnsi="Calibri"/>
        </w:rPr>
        <w:t xml:space="preserve"> </w:t>
      </w:r>
    </w:p>
    <w:p>
      <w:pPr>
        <w:pStyle w:val="P68B1DB1Normal105"/>
        <w:widowControl w:val="false"/>
        <w:spacing w:lineRule="auto" w:line="240"/>
        <w:ind w:left="0" w:right="0" w:hanging="0"/>
        <w:jc w:val="left"/>
        <w:rPr/>
      </w:pPr>
      <w:r>
        <w:rPr>
          <w:rFonts w:ascii="Verdana" w:hAnsi="Verdana"/>
        </w:rPr>
        <w:t>Ne</w:t>
      </w:r>
      <w:r>
        <w:rPr/>
        <w:t xml:space="preserve"> </w:t>
      </w:r>
      <w:r>
        <w:rPr>
          <w:rFonts w:ascii="Calibri" w:hAnsi="Calibri"/>
        </w:rPr>
        <w:t xml:space="preserve">válaszolj rá azonnal egy másik történettel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Kényeztesse magát tisztelettel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Beszéljünk a saját nézőpontjáról („Megtalálom” ahelyett, hogy „mondják”)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További magyarázat kérése, ha a kifejtett nézetek általánosságokra korlátozódnak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Kerülje az ítéleteket és elemezze azokat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Adja meg a csend pillanatait, ha az embereknek gondolkodniuk kell egy pillanatra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A párbeszédek során a következő ritmust kell használni: divergencia – konvergencia – divergencia. Az alapelv az, hogy először el kell különülnie (közvetlenül kifejeznie az egyéni érzéseket és véleményeket), mielőtt konvergálhat (lehetséges utakon beszél), majd végül újra el kell térnie (például gyűjtsön egyéni ajánlásokat). A tapasztalat és az elmélet azt mutatja, hogy ez a ritmus biztosítja a párbeszéd optimális áramlását.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rFonts w:ascii="Calibri" w:hAnsi="Calibri"/>
          <w:color w:val="000000"/>
          <w:sz w:val="21"/>
        </w:rPr>
      </w:pPr>
      <w:r>
        <w:rPr/>
        <w:t xml:space="preserve">A párbeszédeket szakmai facilitátorok folytatták. </w:t>
      </w:r>
    </w:p>
    <w:p>
      <w:pPr>
        <w:pStyle w:val="Normal"/>
        <w:widowControl w:val="false"/>
        <w:spacing w:lineRule="auto" w:line="240" w:before="197" w:after="0"/>
        <w:ind w:left="0" w:right="0" w:hanging="0"/>
        <w:jc w:val="left"/>
        <w:rPr/>
      </w:pPr>
      <w:r>
        <w:rPr>
          <w:rFonts w:ascii="Calibri" w:hAnsi="Calibri"/>
          <w:b/>
          <w:color w:val="0070C0"/>
          <w:sz w:val="32"/>
        </w:rPr>
        <w:t>5. Online nyilvános felmérés: Kérdőív és „Swipen naar de toekomst”</w:t>
      </w:r>
      <w:commentRangeStart w:id="31"/>
      <w:r>
        <w:rPr>
          <w:rFonts w:ascii="Calibri" w:hAnsi="Calibri"/>
          <w:b/>
          <w:color w:val="0070C0"/>
          <w:sz w:val="32"/>
        </w:rPr>
        <w:t>(</w:t>
      </w:r>
      <w:r>
        <w:rPr>
          <w:rFonts w:ascii="Calibri" w:hAnsi="Calibri"/>
          <w:b/>
          <w:color w:val="0070C0"/>
          <w:sz w:val="32"/>
        </w:rPr>
      </w:r>
      <w:commentRangeEnd w:id="31"/>
      <w:r>
        <w:commentReference w:id="31"/>
      </w:r>
      <w:r>
        <w:rPr>
          <w:rFonts w:ascii="Calibri" w:hAnsi="Calibri"/>
          <w:b/>
          <w:color w:val="0070C0"/>
          <w:sz w:val="32"/>
        </w:rPr>
        <w:t xml:space="preserve"> Út a jövőbe) </w:t>
      </w:r>
    </w:p>
    <w:p>
      <w:pPr>
        <w:pStyle w:val="P68B1DB1Normal110"/>
        <w:widowControl w:val="false"/>
        <w:spacing w:lineRule="auto" w:line="240"/>
        <w:ind w:left="0" w:right="0" w:hanging="0"/>
        <w:jc w:val="left"/>
        <w:rPr/>
      </w:pPr>
      <w:r>
        <w:rPr>
          <w:sz w:val="21"/>
        </w:rPr>
        <w:t>A kérdőív minden holland számára nyitva állt, beleértve a külföldön tartózkodókat is. A kérdőív 2021. szeptember</w:t>
      </w:r>
      <w:r>
        <w:rPr>
          <w:position w:val="6"/>
          <w:sz w:val="14"/>
        </w:rPr>
        <w:t>1</w:t>
      </w:r>
      <w:r>
        <w:rPr>
          <w:sz w:val="21"/>
        </w:rPr>
        <w:t xml:space="preserve"> -jétől 2021. november 14-ig állt rendelkezésre. Ezenkívül ugyanebben az időszakban minden holland részt vehetett a „Swipen naar de toekomst” (Swiper to toekomst) (Swiper to the future) akcióban, amely 20 állítást tartalmaz. </w:t>
      </w:r>
    </w:p>
    <w:p>
      <w:pPr>
        <w:pStyle w:val="P68B1DB1Normal126"/>
        <w:widowControl w:val="false"/>
        <w:spacing w:lineRule="auto" w:line="240" w:before="14" w:after="0"/>
        <w:ind w:left="0" w:right="0" w:hanging="0"/>
        <w:jc w:val="left"/>
        <w:rPr>
          <w:rFonts w:ascii="Calibri" w:hAnsi="Calibri"/>
          <w:color w:val="0070C0"/>
          <w:sz w:val="24"/>
        </w:rPr>
      </w:pPr>
      <w:r>
        <w:rPr/>
        <w:t xml:space="preserve">Válaszok és használat </w:t>
      </w:r>
    </w:p>
    <w:p>
      <w:pPr>
        <w:pStyle w:val="P68B1DB1Normal104"/>
        <w:widowControl w:val="false"/>
        <w:spacing w:lineRule="auto" w:line="240"/>
        <w:ind w:left="0" w:right="0" w:hanging="0"/>
        <w:jc w:val="left"/>
        <w:rPr/>
      </w:pPr>
      <w:r>
        <w:rPr/>
        <w:t xml:space="preserve">Összesen 1967 résztvevő töltötte ki a kérdőívet, és 6968 került a képernyőszkennelő eszköz végére. Mind a kérdőív, mind a képernyőszkenner mindenki számára nyitva volt: a részvételhez nem voltak előfeltételek vagy kiválasztási kritériumok. A kérdőívben a válaszadási arány maximalizálása érdekében kérdéseket lehetett átadni (nem voltak kötelező kérdések). A résztvevők úgy döntöttek, hogy „nem válaszolok” sokkal gyakrabban, mint a reprezentatív panel felmérésben. </w:t>
      </w:r>
    </w:p>
    <w:p>
      <w:pPr>
        <w:pStyle w:val="P68B1DB1Normal104"/>
        <w:widowControl w:val="false"/>
        <w:spacing w:lineRule="auto" w:line="240"/>
        <w:ind w:left="0" w:right="0" w:hanging="0"/>
        <w:jc w:val="left"/>
        <w:rPr/>
      </w:pPr>
      <w:r>
        <w:rPr/>
        <w:t xml:space="preserve">A nyílt kérdőívben és a képernyőszkennelő eszközben a résztvevők általános jellemzői több szempontból is eltérnek a reprezentatív testület résztvevőinek jellemzőitől. A paneles felméréstől eltérően a nyitott kérdőív és a szkennelő eszköz eredményei nem reprezentatívak. Az online nyílt felmérés eredményeit a panelfelmérés kiegészítéseként használták fel. Áttekintést adnak a Hollandiában keringő érzésekről és eszmékről. A beviteli mezőkben említett javítási javaslatokat a „Viták és ötletek online és a helyszínen” című szakaszban használták fel. A szkennelő eszközt arra használták, hogy jobban megértsék a Hollandiában keringő érzéseket. Ezeket az eredményeket figyelembe vették az ajánlások kidolgozása során. A reprezentativitás követelménye miatt ebben a jelentésben korlátozott mértékben vették figyelembe az interneten indított vizsgálat eredményeit.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ind w:left="0" w:right="0" w:hanging="0"/>
        <w:jc w:val="left"/>
        <w:rPr/>
      </w:pPr>
      <w:r>
        <w:rPr>
          <w:rFonts w:ascii="Calibri" w:hAnsi="Calibri"/>
          <w:color w:val="000000"/>
          <w:sz w:val="21"/>
        </w:rPr>
        <w:t xml:space="preserve">Ezt a jelentést a Külügyminisztérium teszi közzé. </w:t>
      </w:r>
      <w:r>
        <w:rPr>
          <w:rFonts w:ascii="Calibri" w:hAnsi="Calibri"/>
          <w:color w:val="0000FF"/>
          <w:sz w:val="21"/>
        </w:rPr>
        <w:t>www.kijkopeuropa.nl</w:t>
      </w:r>
      <w:r>
        <w:rPr>
          <w:rFonts w:ascii="Calibri" w:hAnsi="Calibri"/>
          <w:color w:val="000000"/>
          <w:sz w:val="21"/>
        </w:rPr>
        <w:t xml:space="preserve"> </w:t>
      </w:r>
      <w:r>
        <w:br w:type="page"/>
      </w:r>
    </w:p>
    <w:p>
      <w:pPr>
        <w:pStyle w:val="Titre1"/>
        <w:numPr>
          <w:ilvl w:val="0"/>
          <w:numId w:val="2"/>
        </w:numPr>
        <w:rPr/>
      </w:pPr>
      <w:bookmarkStart w:id="238" w:name="__RefHeading___Toc297359_1346298689"/>
      <w:bookmarkEnd w:id="238"/>
      <w:r>
        <w:rPr/>
        <w:t xml:space="preserve">III – Hivatkozások a nemzeti rendezvények eredményeire </w:t>
      </w:r>
    </w:p>
    <w:p>
      <w:pPr>
        <w:pStyle w:val="Normal"/>
        <w:widowControl w:val="false"/>
        <w:spacing w:lineRule="auto" w:line="240"/>
        <w:ind w:left="360" w:right="6617" w:hanging="0"/>
        <w:jc w:val="both"/>
        <w:rPr/>
      </w:pPr>
      <w:r>
        <w:rPr>
          <w:rFonts w:ascii="Times New Roman" w:hAnsi="Times New Roman"/>
          <w:color w:val="000000"/>
        </w:rPr>
        <w:t xml:space="preserve">• </w:t>
      </w:r>
      <w:hyperlink r:id="rId120">
        <w:r>
          <w:rPr>
            <w:rStyle w:val="LienInternet"/>
            <w:rFonts w:ascii="Times New Roman" w:hAnsi="Times New Roman"/>
            <w:b/>
            <w:color w:val="0000FF"/>
          </w:rPr>
          <w:t>Belgium</w:t>
        </w:r>
      </w:hyperlink>
      <w:r>
        <w:rPr>
          <w:rFonts w:ascii="Times New Roman" w:hAnsi="Times New Roman"/>
          <w:color w:val="000000"/>
        </w:rPr>
        <w:t xml:space="preserve"> </w:t>
      </w:r>
    </w:p>
    <w:p>
      <w:pPr>
        <w:pStyle w:val="Normal"/>
        <w:widowControl w:val="false"/>
        <w:spacing w:lineRule="auto" w:line="240"/>
        <w:ind w:left="360" w:right="6617" w:hanging="0"/>
        <w:jc w:val="both"/>
        <w:rPr/>
      </w:pPr>
      <w:r>
        <w:rPr>
          <w:rFonts w:ascii="Times New Roman" w:hAnsi="Times New Roman"/>
          <w:color w:val="000000"/>
        </w:rPr>
        <w:t xml:space="preserve">• </w:t>
      </w:r>
      <w:hyperlink r:id="rId121">
        <w:r>
          <w:rPr>
            <w:rStyle w:val="LienInternet"/>
            <w:rFonts w:ascii="Times New Roman" w:hAnsi="Times New Roman"/>
            <w:b/>
            <w:color w:val="0000FF"/>
          </w:rPr>
          <w:t>Bulgária</w:t>
        </w:r>
      </w:hyperlink>
    </w:p>
    <w:p>
      <w:pPr>
        <w:pStyle w:val="Normal"/>
        <w:widowControl w:val="false"/>
        <w:spacing w:lineRule="auto" w:line="240"/>
        <w:ind w:left="360" w:right="6617" w:hanging="0"/>
        <w:jc w:val="both"/>
        <w:rPr/>
      </w:pPr>
      <w:r>
        <w:rPr>
          <w:rFonts w:ascii="Times New Roman" w:hAnsi="Times New Roman"/>
          <w:color w:val="000000"/>
        </w:rPr>
        <w:t xml:space="preserve">• </w:t>
      </w:r>
      <w:hyperlink r:id="rId122">
        <w:r>
          <w:rPr>
            <w:rStyle w:val="LienInternet"/>
            <w:rFonts w:ascii="Times New Roman" w:hAnsi="Times New Roman"/>
            <w:b/>
            <w:color w:val="0000FF"/>
          </w:rPr>
          <w:t>Cseh</w:t>
        </w:r>
      </w:hyperlink>
      <w:hyperlink r:id="rId123">
        <w:r>
          <w:rPr>
            <w:rStyle w:val="LienInternet"/>
            <w:rFonts w:ascii="Times New Roman" w:hAnsi="Times New Roman"/>
            <w:b/>
            <w:color w:val="0000FF"/>
          </w:rPr>
          <w:t>Köztársaság</w:t>
        </w:r>
      </w:hyperlink>
      <w:r>
        <w:rPr>
          <w:rFonts w:ascii="Times New Roman" w:hAnsi="Times New Roman"/>
          <w:color w:val="000000"/>
        </w:rPr>
        <w:t xml:space="preserve"> </w:t>
      </w:r>
    </w:p>
    <w:p>
      <w:pPr>
        <w:pStyle w:val="Normal"/>
        <w:widowControl w:val="false"/>
        <w:spacing w:lineRule="auto" w:line="240"/>
        <w:ind w:left="360" w:right="7697" w:hanging="0"/>
        <w:jc w:val="both"/>
        <w:rPr/>
      </w:pPr>
      <w:r>
        <w:rPr>
          <w:rFonts w:ascii="Times New Roman" w:hAnsi="Times New Roman"/>
          <w:color w:val="000000"/>
        </w:rPr>
        <w:t xml:space="preserve">• </w:t>
      </w:r>
      <w:hyperlink r:id="rId124">
        <w:r>
          <w:rPr>
            <w:rStyle w:val="LienInternet"/>
            <w:rFonts w:ascii="Times New Roman" w:hAnsi="Times New Roman"/>
            <w:b/>
            <w:color w:val="0000FF"/>
          </w:rPr>
          <w:t>Dánia</w:t>
        </w:r>
      </w:hyperlink>
    </w:p>
    <w:p>
      <w:pPr>
        <w:pStyle w:val="Normal"/>
        <w:widowControl w:val="false"/>
        <w:spacing w:lineRule="auto" w:line="240"/>
        <w:ind w:left="360" w:right="7697" w:hanging="0"/>
        <w:jc w:val="both"/>
        <w:rPr/>
      </w:pPr>
      <w:r>
        <w:rPr>
          <w:rFonts w:ascii="Times New Roman" w:hAnsi="Times New Roman"/>
          <w:color w:val="000000"/>
        </w:rPr>
        <w:t xml:space="preserve">• </w:t>
      </w:r>
      <w:hyperlink r:id="rId125">
        <w:r>
          <w:rPr>
            <w:rStyle w:val="LienInternet"/>
            <w:rFonts w:ascii="Times New Roman" w:hAnsi="Times New Roman"/>
            <w:b/>
            <w:color w:val="0000FF"/>
          </w:rPr>
          <w:t>Llemagne</w:t>
        </w:r>
      </w:hyperlink>
      <w:hyperlink r:id="rId126">
        <w:r>
          <w:rPr>
            <w:rStyle w:val="LienInternet"/>
            <w:rFonts w:ascii="Times New Roman" w:hAnsi="Times New Roman"/>
            <w:b/>
            <w:color w:val="0000FF"/>
          </w:rPr>
          <w:t>területén</w:t>
        </w:r>
      </w:hyperlink>
    </w:p>
    <w:p>
      <w:pPr>
        <w:pStyle w:val="Normal"/>
        <w:widowControl w:val="false"/>
        <w:spacing w:lineRule="auto" w:line="240"/>
        <w:ind w:left="360" w:right="7697" w:hanging="0"/>
        <w:jc w:val="both"/>
        <w:rPr/>
      </w:pPr>
      <w:r>
        <w:rPr>
          <w:rFonts w:ascii="Times New Roman" w:hAnsi="Times New Roman"/>
          <w:color w:val="000000"/>
        </w:rPr>
        <w:t xml:space="preserve">• </w:t>
      </w:r>
      <w:hyperlink r:id="rId127">
        <w:r>
          <w:rPr>
            <w:rStyle w:val="LienInternet"/>
            <w:rFonts w:ascii="Times New Roman" w:hAnsi="Times New Roman"/>
            <w:b/>
            <w:color w:val="0000FF"/>
          </w:rPr>
          <w:t>Észtország</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28">
        <w:r>
          <w:rPr>
            <w:rStyle w:val="LienInternet"/>
            <w:rFonts w:ascii="Times New Roman" w:hAnsi="Times New Roman"/>
            <w:b/>
            <w:color w:val="0000FF"/>
          </w:rPr>
          <w:t>Írország</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29">
        <w:r>
          <w:rPr>
            <w:rStyle w:val="LienInternet"/>
            <w:rFonts w:ascii="Times New Roman" w:hAnsi="Times New Roman"/>
            <w:b/>
            <w:color w:val="0000FF"/>
          </w:rPr>
          <w:t>Görögország</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0">
        <w:r>
          <w:rPr>
            <w:rStyle w:val="LienInternet"/>
            <w:rFonts w:ascii="Times New Roman" w:hAnsi="Times New Roman"/>
            <w:b/>
            <w:color w:val="0000FF"/>
          </w:rPr>
          <w:t>Spanyolország</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1">
        <w:r>
          <w:rPr>
            <w:rStyle w:val="LienInternet"/>
            <w:rFonts w:ascii="Times New Roman" w:hAnsi="Times New Roman"/>
            <w:b/>
            <w:color w:val="0000FF"/>
          </w:rPr>
          <w:t>Franciaország</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2">
        <w:r>
          <w:rPr>
            <w:rStyle w:val="LienInternet"/>
            <w:rFonts w:ascii="Times New Roman" w:hAnsi="Times New Roman"/>
            <w:b/>
            <w:color w:val="0000FF"/>
          </w:rPr>
          <w:t>Horvátország</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3">
        <w:r>
          <w:rPr>
            <w:rStyle w:val="LienInternet"/>
            <w:rFonts w:ascii="Times New Roman" w:hAnsi="Times New Roman"/>
            <w:b/>
            <w:color w:val="0000FF"/>
          </w:rPr>
          <w:t>Olaszország</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4">
        <w:r>
          <w:rPr>
            <w:rStyle w:val="LienInternet"/>
            <w:rFonts w:ascii="Times New Roman" w:hAnsi="Times New Roman"/>
            <w:b/>
            <w:color w:val="0000FF"/>
          </w:rPr>
          <w:t>Ciprus</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5">
        <w:r>
          <w:rPr>
            <w:rStyle w:val="LienInternet"/>
            <w:rFonts w:ascii="Times New Roman" w:hAnsi="Times New Roman"/>
            <w:b/>
            <w:color w:val="0000FF"/>
          </w:rPr>
          <w:t>Lettország</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6">
        <w:r>
          <w:rPr>
            <w:rStyle w:val="LienInternet"/>
            <w:rFonts w:ascii="Times New Roman" w:hAnsi="Times New Roman"/>
            <w:b/>
            <w:color w:val="0000FF"/>
          </w:rPr>
          <w:t>Litvánia</w:t>
        </w:r>
      </w:hyperlink>
      <w:r>
        <w:rPr>
          <w:rFonts w:ascii="Times New Roman" w:hAnsi="Times New Roman"/>
          <w:color w:val="000000"/>
        </w:rPr>
        <w:t xml:space="preserve"> </w:t>
      </w:r>
    </w:p>
    <w:p>
      <w:pPr>
        <w:pStyle w:val="Normal"/>
        <w:widowControl w:val="false"/>
        <w:spacing w:lineRule="auto" w:line="240"/>
        <w:ind w:left="360" w:right="7457" w:hanging="0"/>
        <w:jc w:val="left"/>
        <w:rPr/>
      </w:pPr>
      <w:r>
        <w:rPr>
          <w:rFonts w:ascii="Times New Roman" w:hAnsi="Times New Roman"/>
          <w:color w:val="000000"/>
        </w:rPr>
        <w:t xml:space="preserve">• </w:t>
      </w:r>
      <w:hyperlink r:id="rId137">
        <w:r>
          <w:rPr>
            <w:rStyle w:val="LienInternet"/>
            <w:rFonts w:ascii="Times New Roman" w:hAnsi="Times New Roman"/>
            <w:b/>
            <w:color w:val="0000FF"/>
          </w:rPr>
          <w:t>Luxemburg</w:t>
        </w:r>
      </w:hyperlink>
    </w:p>
    <w:p>
      <w:pPr>
        <w:pStyle w:val="Normal"/>
        <w:widowControl w:val="false"/>
        <w:spacing w:lineRule="auto" w:line="240"/>
        <w:ind w:left="360" w:right="7457" w:hanging="0"/>
        <w:jc w:val="left"/>
        <w:rPr/>
      </w:pPr>
      <w:r>
        <w:rPr>
          <w:rFonts w:ascii="Times New Roman" w:hAnsi="Times New Roman"/>
          <w:color w:val="000000"/>
        </w:rPr>
        <w:t xml:space="preserve">• </w:t>
      </w:r>
      <w:hyperlink r:id="rId138">
        <w:r>
          <w:rPr>
            <w:rStyle w:val="LienInternet"/>
            <w:rFonts w:ascii="Times New Roman" w:hAnsi="Times New Roman"/>
            <w:b/>
            <w:color w:val="0000FF"/>
          </w:rPr>
          <w:t>Magyarország</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9">
        <w:r>
          <w:rPr>
            <w:rStyle w:val="LienInternet"/>
            <w:rFonts w:ascii="Times New Roman" w:hAnsi="Times New Roman"/>
            <w:b/>
            <w:color w:val="0000FF"/>
          </w:rPr>
          <w:t>Málta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0">
        <w:r>
          <w:rPr>
            <w:rStyle w:val="LienInternet"/>
            <w:rFonts w:ascii="Times New Roman" w:hAnsi="Times New Roman"/>
            <w:b/>
            <w:color w:val="0000FF"/>
          </w:rPr>
          <w:t>Hollandia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1">
        <w:r>
          <w:rPr>
            <w:rStyle w:val="LienInternet"/>
            <w:rFonts w:ascii="Times New Roman" w:hAnsi="Times New Roman"/>
            <w:b/>
            <w:color w:val="0000FF"/>
          </w:rPr>
          <w:t>Ausztria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2">
        <w:r>
          <w:rPr>
            <w:rStyle w:val="LienInternet"/>
            <w:rFonts w:ascii="Times New Roman" w:hAnsi="Times New Roman"/>
            <w:b/>
            <w:color w:val="0000FF"/>
          </w:rPr>
          <w:t>Lengyelország</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3">
        <w:r>
          <w:rPr>
            <w:rStyle w:val="LienInternet"/>
            <w:rFonts w:ascii="Times New Roman" w:hAnsi="Times New Roman"/>
            <w:b/>
            <w:color w:val="0000FF"/>
          </w:rPr>
          <w:t>Portugália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4">
        <w:r>
          <w:rPr>
            <w:rStyle w:val="LienInternet"/>
            <w:rFonts w:ascii="Times New Roman" w:hAnsi="Times New Roman"/>
            <w:b/>
            <w:color w:val="0000FF"/>
          </w:rPr>
          <w:t>Románia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5">
        <w:r>
          <w:rPr>
            <w:rStyle w:val="LienInternet"/>
            <w:rFonts w:ascii="Times New Roman" w:hAnsi="Times New Roman"/>
            <w:b/>
            <w:color w:val="0000FF"/>
          </w:rPr>
          <w:t>Szlovénia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6">
        <w:r>
          <w:rPr>
            <w:rStyle w:val="LienInternet"/>
            <w:rFonts w:ascii="Times New Roman" w:hAnsi="Times New Roman"/>
            <w:b/>
            <w:color w:val="0000FF"/>
          </w:rPr>
          <w:t>Szlovákia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7">
        <w:r>
          <w:rPr>
            <w:rStyle w:val="LienInternet"/>
            <w:rFonts w:ascii="Times New Roman" w:hAnsi="Times New Roman"/>
            <w:b/>
            <w:color w:val="0000FF"/>
          </w:rPr>
          <w:t>Finnország</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8">
        <w:r>
          <w:rPr>
            <w:rStyle w:val="LienInternet"/>
            <w:rFonts w:ascii="Times New Roman" w:hAnsi="Times New Roman"/>
            <w:b/>
            <w:color w:val="0000FF"/>
          </w:rPr>
          <w:t>Svédország</w:t>
        </w:r>
      </w:hyperlink>
      <w:r>
        <w:rPr>
          <w:rFonts w:ascii="Times New Roman" w:hAnsi="Times New Roman"/>
          <w:color w:val="000000"/>
        </w:rPr>
        <w:t xml:space="preserve"> </w:t>
      </w:r>
    </w:p>
    <w:p>
      <w:pPr>
        <w:pStyle w:val="Normal"/>
        <w:spacing w:lineRule="auto" w:line="240"/>
        <w:ind w:left="0" w:right="0" w:hanging="0"/>
        <w:rPr>
          <w:rFonts w:ascii="Times New Roman" w:hAnsi="Times New Roman"/>
          <w:sz w:val="22"/>
        </w:rPr>
      </w:pPr>
      <w:r>
        <w:rPr>
          <w:rFonts w:ascii="Times New Roman" w:hAnsi="Times New Roman"/>
          <w:sz w:val="22"/>
        </w:rPr>
      </w:r>
      <w:r>
        <w:br w:type="page"/>
      </w:r>
    </w:p>
    <w:p>
      <w:pPr>
        <w:pStyle w:val="Titre1"/>
        <w:numPr>
          <w:ilvl w:val="0"/>
          <w:numId w:val="2"/>
        </w:numPr>
        <w:rPr/>
      </w:pPr>
      <w:bookmarkStart w:id="239" w:name="__RefHeading___Toc344888_2081073262"/>
      <w:bookmarkEnd w:id="239"/>
      <w:r>
        <w:rPr/>
        <w:t xml:space="preserve">IV – Hivatkozás a többnyelvű digitális platform jelentésére </w:t>
      </w:r>
    </w:p>
    <w:p>
      <w:pPr>
        <w:pStyle w:val="P68B1DB1Normal34"/>
        <w:widowControl w:val="false"/>
        <w:spacing w:lineRule="exact" w:line="393"/>
        <w:ind w:left="0" w:right="0" w:hanging="0"/>
        <w:jc w:val="left"/>
        <w:rPr>
          <w:rFonts w:ascii="Arial" w:hAnsi="Arial"/>
          <w:color w:val="000000"/>
          <w:sz w:val="24"/>
        </w:rPr>
      </w:pPr>
      <w:r>
        <w:rPr/>
        <w:t xml:space="preserve"> </w:t>
      </w:r>
    </w:p>
    <w:p>
      <w:pPr>
        <w:pStyle w:val="Normal"/>
        <w:widowControl w:val="false"/>
        <w:spacing w:lineRule="exact" w:line="331" w:before="4" w:after="0"/>
        <w:ind w:left="0" w:right="360" w:hanging="0"/>
        <w:jc w:val="left"/>
        <w:rPr/>
      </w:pPr>
      <w:hyperlink r:id="rId149">
        <w:r>
          <w:rPr>
            <w:rStyle w:val="LienInternet"/>
            <w:color w:val="0000FF"/>
            <w:sz w:val="24"/>
          </w:rPr>
          <w:t>Pl</w:t>
        </w:r>
      </w:hyperlink>
      <w:hyperlink r:id="rId150">
        <w:r>
          <w:rPr>
            <w:rStyle w:val="LienInternet"/>
            <w:color w:val="0000FF"/>
            <w:sz w:val="24"/>
          </w:rPr>
          <w:t xml:space="preserve">Az Európa jövőjéről szóló konferenciatöbbnyelvűnumeformja – 2022.februári jelentés </w:t>
        </w:r>
      </w:hyperlink>
    </w:p>
    <w:p>
      <w:pPr>
        <w:pStyle w:val="P68B1DB1Normal131"/>
        <w:widowControl w:val="false"/>
        <w:spacing w:lineRule="exact" w:line="393" w:before="4" w:after="0"/>
        <w:ind w:left="0" w:right="0" w:hanging="0"/>
        <w:jc w:val="left"/>
        <w:rPr>
          <w:rFonts w:ascii="Arial" w:hAnsi="Arial"/>
          <w:color w:val="0000FF"/>
          <w:sz w:val="24"/>
        </w:rPr>
      </w:pPr>
      <w:r>
        <w:rPr/>
        <w:t xml:space="preserve"> </w:t>
      </w:r>
    </w:p>
    <w:p>
      <w:pPr>
        <w:pStyle w:val="Normal"/>
        <w:spacing w:lineRule="auto" w:line="240"/>
        <w:ind w:left="0" w:right="0" w:hanging="0"/>
        <w:rPr/>
      </w:pPr>
      <w:r>
        <w:rPr/>
      </w:r>
      <w:r>
        <w:br w:type="page"/>
      </w:r>
    </w:p>
    <w:p>
      <w:pPr>
        <w:pStyle w:val="Normal"/>
        <w:spacing w:lineRule="auto" w:line="240"/>
        <w:ind w:left="0" w:right="0" w:hanging="0"/>
        <w:rPr/>
      </w:pPr>
      <w:r>
        <w:rPr/>
      </w:r>
    </w:p>
    <w:p>
      <w:pPr>
        <w:pStyle w:val="Normal"/>
        <w:spacing w:lineRule="auto" w:line="240"/>
        <w:ind w:left="0" w:right="0" w:hanging="0"/>
        <w:rPr/>
      </w:pPr>
      <w:r>
        <w:rPr/>
      </w:r>
    </w:p>
    <w:p>
      <w:pPr>
        <w:pStyle w:val="Normal"/>
        <w:spacing w:lineRule="auto" w:line="240"/>
        <w:ind w:left="0" w:right="0" w:hanging="0"/>
        <w:rPr/>
      </w:pPr>
      <w:r>
        <w:rPr/>
      </w:r>
    </w:p>
    <w:p>
      <w:pPr>
        <w:pStyle w:val="Normal"/>
        <w:spacing w:lineRule="auto" w:line="240" w:before="7665" w:after="57"/>
        <w:ind w:left="0" w:right="0" w:hanging="0"/>
        <w:rPr/>
      </w:pPr>
      <w:r>
        <w:rPr/>
        <w:drawing>
          <wp:anchor behindDoc="0" distT="0" distB="0" distL="0" distR="0" simplePos="0" locked="0" layoutInCell="1" allowOverlap="1" relativeHeight="43">
            <wp:simplePos x="0" y="0"/>
            <wp:positionH relativeFrom="column">
              <wp:align>center</wp:align>
            </wp:positionH>
            <wp:positionV relativeFrom="paragraph">
              <wp:posOffset>635</wp:posOffset>
            </wp:positionV>
            <wp:extent cx="6120130" cy="4867275"/>
            <wp:effectExtent l="0" t="0" r="0" b="0"/>
            <wp:wrapTopAndBottom/>
            <wp:docPr id="111" name="Kép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Kép48" descr=""/>
                    <pic:cNvPicPr>
                      <a:picLocks noChangeAspect="1" noChangeArrowheads="1"/>
                    </pic:cNvPicPr>
                  </pic:nvPicPr>
                  <pic:blipFill>
                    <a:blip r:embed="rId151"/>
                    <a:stretch>
                      <a:fillRect/>
                    </a:stretch>
                  </pic:blipFill>
                  <pic:spPr bwMode="auto">
                    <a:xfrm>
                      <a:off x="0" y="0"/>
                      <a:ext cx="6120130" cy="4867275"/>
                    </a:xfrm>
                    <a:prstGeom prst="rect">
                      <a:avLst/>
                    </a:prstGeom>
                  </pic:spPr>
                </pic:pic>
              </a:graphicData>
            </a:graphic>
          </wp:anchor>
        </w:drawing>
      </w:r>
    </w:p>
    <w:p>
      <w:pPr>
        <w:pStyle w:val="P68B1DB1Normal132"/>
        <w:spacing w:lineRule="auto" w:line="240"/>
        <w:ind w:left="0" w:right="0" w:hanging="0"/>
        <w:rPr/>
      </w:pPr>
      <w:r>
        <w:rPr/>
        <w:t>PDF ISBN 978–92–824–8655–9 doi:10.2860/25889 QC-05–22–131-EN-N Nyomtatás ISBN 978–92–824–8729–7 doi:10.2860/533066 QC-05–22–131-EN-C</w:t>
      </w:r>
    </w:p>
    <w:p>
      <w:pPr>
        <w:pStyle w:val="P68B1DB1Normal132"/>
        <w:widowControl w:val="false"/>
        <w:spacing w:lineRule="exact" w:line="330" w:before="117" w:after="0"/>
        <w:ind w:left="1668" w:right="0" w:firstLine="2132"/>
        <w:jc w:val="right"/>
        <w:rPr/>
      </w:pPr>
      <w:r>
        <w:rPr/>
        <w:t>© Európai Unió, 2022 Az újrafelhasználás megengedett, feltéve, hogy a forrást feltüntetik.</w:t>
      </w:r>
    </w:p>
    <w:p>
      <w:pPr>
        <w:pStyle w:val="Normal"/>
        <w:spacing w:before="57" w:after="57"/>
        <w:ind w:left="0" w:right="0" w:hanging="0"/>
        <w:rPr/>
      </w:pPr>
      <w:r>
        <w:rPr/>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sectPr>
      <w:footnotePr>
        <w:numFmt w:val="upperRoman"/>
      </w:footnotePr>
      <w:endnotePr>
        <w:numFmt w:val="decimal"/>
      </w:endnotePr>
      <w:type w:val="continuous"/>
      <w:pgSz w:w="11906" w:h="16838"/>
      <w:pgMar w:left="1134" w:right="1134" w:header="1134" w:top="1700" w:footer="1134" w:bottom="1727" w:gutter="0"/>
      <w:pgNumType w:fmt="decimal"/>
      <w:formProt w:val="false"/>
      <w:textDirection w:val="lrTb"/>
      <w:docGrid w:type="default" w:linePitch="312" w:charSpace="0"/>
    </w:sectPr>
  </w:body>
</w:document>
</file>

<file path=word/comments.xml><?xml version="1.0" encoding="utf-8"?>
<w:comment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comment w:id="0" w:author="Pierre Dieumegard" w:date="2022-08-28T22:28:53Z" w:initials="PD">
    <w:p>
      <w:r>
        <w:rPr>
          <w:rFonts w:ascii="Times New Roman" w:hAnsi="Times New Roman" w:eastAsia="Segoe UI" w:cs="Tahoma"/>
          <w:color w:val="auto"/>
          <w:kern w:val="0"/>
          <w:sz w:val="24"/>
          <w:szCs w:val="24"/>
          <w:lang w:val="en-US" w:eastAsia="en-US" w:bidi="en-US"/>
        </w:rPr>
        <w:t>Ez az „európai” kifejezés zavaros.</w:t>
      </w:r>
    </w:p>
    <w:p>
      <w:r>
        <w:rPr>
          <w:rFonts w:ascii="Times New Roman" w:hAnsi="Times New Roman" w:eastAsia="Segoe UI" w:cs="Tahoma"/>
          <w:color w:val="auto"/>
          <w:kern w:val="0"/>
          <w:sz w:val="24"/>
          <w:szCs w:val="24"/>
          <w:lang w:val="en-US" w:eastAsia="en-US" w:bidi="en-US"/>
        </w:rPr>
      </w:r>
    </w:p>
  </w:comment>
  <w:comment w:id="1" w:author="Pierre Dieumegard" w:date="2022-06-06T14:26:47Z" w:initials="">
    <w:p>
      <w:r>
        <w:rPr>
          <w:rFonts w:ascii="Times New Roman" w:hAnsi="Times New Roman" w:eastAsia="Segoe UI" w:cs="Tahoma"/>
          <w:color w:val="auto"/>
          <w:kern w:val="0"/>
          <w:sz w:val="24"/>
          <w:szCs w:val="24"/>
          <w:lang w:val="en-US" w:eastAsia="en-US" w:bidi="en-US"/>
        </w:rPr>
        <w:t>furcsa csoportosítás</w:t>
      </w:r>
    </w:p>
    <w:p>
      <w:r>
        <w:rPr>
          <w:rFonts w:ascii="Times New Roman" w:hAnsi="Times New Roman" w:eastAsia="Segoe UI" w:cs="Tahoma"/>
          <w:color w:val="auto"/>
          <w:kern w:val="0"/>
          <w:sz w:val="24"/>
          <w:szCs w:val="24"/>
          <w:lang w:val="en-US" w:eastAsia="en-US" w:bidi="en-US"/>
        </w:rPr>
      </w:r>
    </w:p>
  </w:comment>
  <w:comment w:id="2" w:author="Pierre Dieumegard" w:date="2022-06-06T14:27:08Z" w:initials="">
    <w:p>
      <w:r>
        <w:rPr>
          <w:rFonts w:ascii="Times New Roman" w:hAnsi="Times New Roman" w:eastAsia="Segoe UI" w:cs="Tahoma"/>
          <w:color w:val="auto"/>
          <w:kern w:val="0"/>
          <w:sz w:val="24"/>
          <w:szCs w:val="24"/>
          <w:lang w:val="en-US" w:eastAsia="en-US" w:bidi="en-US"/>
        </w:rPr>
        <w:t>furcsa csoportosítás</w:t>
      </w:r>
    </w:p>
    <w:p>
      <w:r>
        <w:rPr>
          <w:rFonts w:ascii="Times New Roman" w:hAnsi="Times New Roman" w:eastAsia="Segoe UI" w:cs="Tahoma"/>
          <w:color w:val="auto"/>
          <w:kern w:val="0"/>
          <w:sz w:val="24"/>
          <w:szCs w:val="24"/>
          <w:lang w:val="en-US" w:eastAsia="en-US" w:bidi="en-US"/>
        </w:rPr>
      </w:r>
    </w:p>
  </w:comment>
  <w:comment w:id="3" w:author="Pierre Dieumegard" w:date="2022-06-06T14:28:05Z" w:initials="">
    <w:p>
      <w:r>
        <w:rPr>
          <w:rFonts w:ascii="Times New Roman" w:hAnsi="Times New Roman" w:eastAsia="Segoe UI" w:cs="Tahoma"/>
          <w:color w:val="auto"/>
          <w:kern w:val="0"/>
          <w:sz w:val="24"/>
          <w:szCs w:val="24"/>
          <w:lang w:val="en-US" w:eastAsia="en-US" w:bidi="en-US"/>
        </w:rPr>
        <w:t>furcsa csoportosítás</w:t>
      </w:r>
    </w:p>
    <w:p>
      <w:r>
        <w:rPr>
          <w:rFonts w:ascii="Times New Roman" w:hAnsi="Times New Roman" w:eastAsia="Segoe UI" w:cs="Tahoma"/>
          <w:color w:val="auto"/>
          <w:kern w:val="0"/>
          <w:sz w:val="24"/>
          <w:szCs w:val="24"/>
          <w:lang w:val="en-US" w:eastAsia="en-US" w:bidi="en-US"/>
        </w:rPr>
      </w:r>
    </w:p>
  </w:comment>
  <w:comment w:id="4" w:author="Pierre Dieumegard" w:date="2022-06-06T13:23:23Z" w:initials="">
    <w:p>
      <w:r>
        <w:rPr>
          <w:rFonts w:ascii="Times New Roman" w:hAnsi="Times New Roman" w:eastAsia="Segoe UI" w:cs="Tahoma"/>
          <w:color w:val="auto"/>
          <w:kern w:val="0"/>
          <w:sz w:val="24"/>
          <w:szCs w:val="24"/>
          <w:lang w:val="en-US" w:eastAsia="en-US" w:bidi="en-US"/>
        </w:rPr>
        <w:t>dőlt betűvel az eredeti jelentésben francia nyelven</w:t>
      </w:r>
    </w:p>
    <w:p>
      <w:r>
        <w:rPr>
          <w:rFonts w:ascii="Times New Roman" w:hAnsi="Times New Roman" w:eastAsia="Segoe UI" w:cs="Tahoma"/>
          <w:color w:val="auto"/>
          <w:kern w:val="0"/>
          <w:sz w:val="24"/>
          <w:szCs w:val="24"/>
          <w:lang w:val="en-US" w:eastAsia="en-US" w:bidi="en-US"/>
        </w:rPr>
      </w:r>
    </w:p>
  </w:comment>
  <w:comment w:id="5" w:author="Pierre Dieumegard" w:date="2022-06-06T13:58:33Z" w:initials="">
    <w:p>
      <w:r>
        <w:rPr>
          <w:rFonts w:ascii="Times New Roman" w:hAnsi="Times New Roman" w:eastAsia="Segoe UI" w:cs="Tahoma"/>
          <w:color w:val="auto"/>
          <w:kern w:val="0"/>
          <w:sz w:val="24"/>
          <w:szCs w:val="24"/>
          <w:lang w:val="en-US" w:eastAsia="en-US" w:bidi="en-US"/>
        </w:rPr>
        <w:t>az eredeti „elvtárs” volt.</w:t>
      </w:r>
    </w:p>
    <w:p>
      <w:r>
        <w:rPr>
          <w:rFonts w:ascii="Times New Roman" w:hAnsi="Times New Roman" w:eastAsia="Segoe UI" w:cs="Tahoma"/>
          <w:color w:val="auto"/>
          <w:kern w:val="0"/>
          <w:sz w:val="24"/>
          <w:szCs w:val="24"/>
          <w:lang w:val="en-US" w:eastAsia="en-US" w:bidi="en-US"/>
        </w:rPr>
      </w:r>
    </w:p>
  </w:comment>
  <w:comment w:id="6" w:author="Pierre Dieumegard" w:date="2022-06-06T14:46:32Z" w:initials="">
    <w:p>
      <w:r>
        <w:rPr>
          <w:rFonts w:ascii="Times New Roman" w:hAnsi="Times New Roman" w:eastAsia="Segoe UI" w:cs="Tahoma"/>
          <w:color w:val="auto"/>
          <w:kern w:val="0"/>
          <w:sz w:val="24"/>
          <w:szCs w:val="24"/>
          <w:lang w:val="en-US" w:eastAsia="en-US" w:bidi="en-US"/>
        </w:rPr>
        <w:t>Hozzáadtam egy „s” (több adóval biztosított)</w:t>
      </w:r>
    </w:p>
    <w:p>
      <w:r>
        <w:rPr>
          <w:rFonts w:ascii="Times New Roman" w:hAnsi="Times New Roman" w:eastAsia="Segoe UI" w:cs="Tahoma"/>
          <w:color w:val="auto"/>
          <w:kern w:val="0"/>
          <w:sz w:val="24"/>
          <w:szCs w:val="24"/>
          <w:lang w:val="en-US" w:eastAsia="en-US" w:bidi="en-US"/>
        </w:rPr>
      </w:r>
    </w:p>
  </w:comment>
  <w:comment w:id="7" w:author="Pierre Dieumegard" w:date="2022-08-29T08:11:11Z" w:initials="PD">
    <w:p>
      <w:r>
        <w:rPr>
          <w:rFonts w:ascii="Times New Roman" w:hAnsi="Times New Roman" w:eastAsia="Segoe UI" w:cs="Tahoma"/>
          <w:color w:val="auto"/>
          <w:kern w:val="0"/>
          <w:sz w:val="24"/>
          <w:szCs w:val="24"/>
          <w:lang w:val="en-US" w:eastAsia="en-US" w:bidi="en-US"/>
        </w:rPr>
        <w:t>Hozzáadtam a műszerfalat</w:t>
      </w:r>
    </w:p>
    <w:p>
      <w:r>
        <w:rPr>
          <w:rFonts w:ascii="Times New Roman" w:hAnsi="Times New Roman" w:eastAsia="Segoe UI" w:cs="Tahoma"/>
          <w:color w:val="auto"/>
          <w:kern w:val="0"/>
          <w:sz w:val="24"/>
          <w:szCs w:val="24"/>
          <w:lang w:val="en-US" w:eastAsia="en-US" w:bidi="en-US"/>
        </w:rPr>
      </w:r>
    </w:p>
  </w:comment>
  <w:comment w:id="8" w:author="Pierre Dieumegard" w:date="2022-06-06T14:18:46Z" w:initials="">
    <w:p>
      <w:r>
        <w:rPr>
          <w:rFonts w:ascii="Times New Roman" w:hAnsi="Times New Roman" w:eastAsia="Segoe UI" w:cs="Tahoma"/>
          <w:color w:val="auto"/>
          <w:kern w:val="0"/>
          <w:sz w:val="24"/>
          <w:szCs w:val="24"/>
          <w:lang w:val="en-US" w:eastAsia="en-US" w:bidi="en-US"/>
        </w:rPr>
        <w:t>hozzáadott egy nagybetűt</w:t>
      </w:r>
    </w:p>
    <w:p>
      <w:r>
        <w:rPr>
          <w:rFonts w:ascii="Times New Roman" w:hAnsi="Times New Roman" w:eastAsia="Segoe UI" w:cs="Tahoma"/>
          <w:color w:val="auto"/>
          <w:kern w:val="0"/>
          <w:sz w:val="24"/>
          <w:szCs w:val="24"/>
          <w:lang w:val="en-US" w:eastAsia="en-US" w:bidi="en-US"/>
        </w:rPr>
      </w:r>
    </w:p>
  </w:comment>
  <w:comment w:id="9" w:author="Pierre Dieumegard" w:date="2022-06-06T17:20:38Z" w:initials="">
    <w:p>
      <w:r>
        <w:rPr>
          <w:rFonts w:ascii="Times New Roman" w:hAnsi="Times New Roman" w:eastAsia="Segoe UI" w:cs="Tahoma"/>
          <w:color w:val="auto"/>
          <w:kern w:val="0"/>
          <w:sz w:val="24"/>
          <w:szCs w:val="24"/>
          <w:lang w:val="en-US" w:eastAsia="en-US" w:bidi="en-US"/>
        </w:rPr>
        <w:t>Eltávolítottam egy „s”</w:t>
      </w:r>
    </w:p>
    <w:p>
      <w:r>
        <w:rPr>
          <w:rFonts w:ascii="Times New Roman" w:hAnsi="Times New Roman" w:eastAsia="Segoe UI" w:cs="Tahoma"/>
          <w:color w:val="auto"/>
          <w:kern w:val="0"/>
          <w:sz w:val="24"/>
          <w:szCs w:val="24"/>
          <w:lang w:val="en-US" w:eastAsia="en-US" w:bidi="en-US"/>
        </w:rPr>
      </w:r>
    </w:p>
  </w:comment>
  <w:comment w:id="10" w:author="Pierre Dieumegard" w:date="2022-08-29T12:33:01Z" w:initials="PD">
    <w:p>
      <w:r>
        <w:rPr>
          <w:rFonts w:ascii="Times New Roman" w:hAnsi="Times New Roman" w:eastAsia="Segoe UI" w:cs="Tahoma"/>
          <w:color w:val="auto"/>
          <w:kern w:val="0"/>
          <w:sz w:val="24"/>
          <w:szCs w:val="24"/>
          <w:lang w:val="en-US" w:eastAsia="en-US" w:bidi="en-US"/>
        </w:rPr>
        <w:t>az eredetinek volt egy műszerfala; Nem tudom, mi az irányítópult; Ezért kértem az angol szöveg fordítását a Google-tól, amely a „dashboard”-ot jelölte meg, amely franciául érthető.</w:t>
      </w:r>
    </w:p>
    <w:p>
      <w:r>
        <w:rPr>
          <w:rFonts w:ascii="Times New Roman" w:hAnsi="Times New Roman" w:eastAsia="Segoe UI" w:cs="Tahoma"/>
          <w:color w:val="auto"/>
          <w:kern w:val="0"/>
          <w:sz w:val="24"/>
          <w:szCs w:val="24"/>
          <w:lang w:val="en-US" w:eastAsia="en-US" w:bidi="en-US"/>
        </w:rPr>
      </w:r>
    </w:p>
  </w:comment>
  <w:comment w:id="11" w:author="Pierre Dieumegard" w:date="2022-08-29T12:37:22Z" w:initials="PD">
    <w:p>
      <w:r>
        <w:rPr>
          <w:rFonts w:ascii="Times New Roman" w:hAnsi="Times New Roman" w:eastAsia="Segoe UI" w:cs="Tahoma"/>
          <w:color w:val="auto"/>
          <w:kern w:val="0"/>
          <w:sz w:val="24"/>
          <w:szCs w:val="24"/>
          <w:lang w:val="en-US" w:eastAsia="en-US" w:bidi="en-US"/>
        </w:rPr>
        <w:t>Felírtam egy nagybetűt.</w:t>
      </w:r>
    </w:p>
    <w:p>
      <w:r>
        <w:rPr>
          <w:rFonts w:ascii="Times New Roman" w:hAnsi="Times New Roman" w:eastAsia="Segoe UI" w:cs="Tahoma"/>
          <w:color w:val="auto"/>
          <w:kern w:val="0"/>
          <w:sz w:val="24"/>
          <w:szCs w:val="24"/>
          <w:lang w:val="en-US" w:eastAsia="en-US" w:bidi="en-US"/>
        </w:rPr>
      </w:r>
    </w:p>
  </w:comment>
  <w:comment w:id="12" w:author="Pierre Dieumegard" w:date="2022-08-29T12:38:48Z" w:initials="PD">
    <w:p>
      <w:r>
        <w:rPr>
          <w:rFonts w:ascii="Times New Roman" w:hAnsi="Times New Roman" w:eastAsia="Segoe UI" w:cs="Tahoma"/>
          <w:color w:val="auto"/>
          <w:kern w:val="0"/>
          <w:sz w:val="24"/>
          <w:szCs w:val="24"/>
          <w:lang w:val="en-US" w:eastAsia="en-US" w:bidi="en-US"/>
        </w:rPr>
        <w:t>Hozzáadtam az „e”</w:t>
      </w:r>
    </w:p>
    <w:p>
      <w:r>
        <w:rPr>
          <w:rFonts w:ascii="Times New Roman" w:hAnsi="Times New Roman" w:eastAsia="Segoe UI" w:cs="Tahoma"/>
          <w:color w:val="auto"/>
          <w:kern w:val="0"/>
          <w:sz w:val="24"/>
          <w:szCs w:val="24"/>
          <w:lang w:val="en-US" w:eastAsia="en-US" w:bidi="en-US"/>
        </w:rPr>
      </w:r>
    </w:p>
  </w:comment>
  <w:comment w:id="13" w:author="Pierre Dieumegard" w:date="2022-06-06T17:22:56Z" w:initials="">
    <w:p>
      <w:r>
        <w:rPr>
          <w:rFonts w:ascii="Times New Roman" w:hAnsi="Times New Roman" w:eastAsia="Segoe UI" w:cs="Tahoma"/>
          <w:color w:val="auto"/>
          <w:kern w:val="0"/>
          <w:sz w:val="24"/>
          <w:szCs w:val="24"/>
          <w:lang w:val="en-US" w:eastAsia="en-US" w:bidi="en-US"/>
        </w:rPr>
        <w:t>Hozzáadtam egy „s”</w:t>
      </w:r>
    </w:p>
    <w:p>
      <w:r>
        <w:rPr>
          <w:rFonts w:ascii="Times New Roman" w:hAnsi="Times New Roman" w:eastAsia="Segoe UI" w:cs="Tahoma"/>
          <w:color w:val="auto"/>
          <w:kern w:val="0"/>
          <w:sz w:val="24"/>
          <w:szCs w:val="24"/>
          <w:lang w:val="en-US" w:eastAsia="en-US" w:bidi="en-US"/>
        </w:rPr>
      </w:r>
    </w:p>
  </w:comment>
  <w:comment w:id="14" w:author="Pierre Dieumegard" w:date="2022-08-29T12:46:15Z" w:initials="PD">
    <w:p>
      <w:r>
        <w:rPr>
          <w:rFonts w:ascii="Times New Roman" w:hAnsi="Times New Roman" w:eastAsia="Segoe UI" w:cs="Tahoma"/>
          <w:color w:val="auto"/>
          <w:kern w:val="0"/>
          <w:sz w:val="24"/>
          <w:szCs w:val="24"/>
          <w:lang w:val="en-US" w:eastAsia="en-US" w:bidi="en-US"/>
        </w:rPr>
        <w:t>az eredeti „referenda” volt; mivel máshol van egy ékezetes „népszavazás”, a többes számnak „referendának” kell lennie a latin deklináció használatával.</w:t>
      </w:r>
    </w:p>
    <w:p>
      <w:r>
        <w:rPr>
          <w:rFonts w:ascii="Times New Roman" w:hAnsi="Times New Roman" w:eastAsia="Segoe UI" w:cs="Tahoma"/>
          <w:color w:val="auto"/>
          <w:kern w:val="0"/>
          <w:sz w:val="24"/>
          <w:szCs w:val="24"/>
          <w:lang w:val="en-US" w:eastAsia="en-US" w:bidi="en-US"/>
        </w:rPr>
        <w:t xml:space="preserve">lásd: https://www.larousse.fr/dictionnaires/francais/r%C3%A9f%C3%A9rendum/67445 </w:t>
      </w:r>
    </w:p>
    <w:p>
      <w:r>
        <w:rPr>
          <w:rFonts w:ascii="Times New Roman" w:hAnsi="Times New Roman" w:eastAsia="Segoe UI" w:cs="Tahoma"/>
          <w:color w:val="auto"/>
          <w:kern w:val="0"/>
          <w:sz w:val="24"/>
          <w:szCs w:val="24"/>
          <w:lang w:val="en-US" w:eastAsia="en-US" w:bidi="en-US"/>
        </w:rPr>
      </w:r>
    </w:p>
  </w:comment>
  <w:comment w:id="15" w:author="Pierre Dieumegard" w:date="2022-08-29T17:51:01Z" w:initials="PD">
    <w:p>
      <w:r>
        <w:rPr>
          <w:rFonts w:ascii="Times New Roman" w:hAnsi="Times New Roman" w:eastAsia="Segoe UI" w:cs="Tahoma"/>
          <w:color w:val="auto"/>
          <w:kern w:val="0"/>
          <w:sz w:val="24"/>
          <w:szCs w:val="24"/>
          <w:lang w:val="en-US" w:eastAsia="en-US" w:bidi="en-US"/>
        </w:rPr>
        <w:t>ott is volt „referenda”.</w:t>
      </w:r>
    </w:p>
    <w:p>
      <w:r>
        <w:rPr>
          <w:rFonts w:ascii="Times New Roman" w:hAnsi="Times New Roman" w:eastAsia="Segoe UI" w:cs="Tahoma"/>
          <w:color w:val="auto"/>
          <w:kern w:val="0"/>
          <w:sz w:val="24"/>
          <w:szCs w:val="24"/>
          <w:lang w:val="en-US" w:eastAsia="en-US" w:bidi="en-US"/>
        </w:rPr>
      </w:r>
    </w:p>
  </w:comment>
  <w:comment w:id="16" w:author="Pierre Dieumegard" w:date="2022-06-06T17:43:08Z" w:initials="">
    <w:p>
      <w:r>
        <w:rPr>
          <w:rFonts w:ascii="Times New Roman" w:hAnsi="Times New Roman" w:eastAsia="Segoe UI" w:cs="Tahoma"/>
          <w:color w:val="auto"/>
          <w:kern w:val="0"/>
          <w:sz w:val="24"/>
          <w:szCs w:val="24"/>
          <w:lang w:val="en-US" w:eastAsia="en-US" w:bidi="en-US"/>
        </w:rPr>
        <w:t>Az eredeti „a fiók mechanizmusainak listáján” volt? Nem értem, így fordítottam le az angol verzióból.</w:t>
      </w:r>
    </w:p>
    <w:p>
      <w:r>
        <w:rPr>
          <w:rFonts w:ascii="Times New Roman" w:hAnsi="Times New Roman" w:eastAsia="Segoe UI" w:cs="Tahoma"/>
          <w:color w:val="auto"/>
          <w:kern w:val="0"/>
          <w:sz w:val="24"/>
          <w:szCs w:val="24"/>
          <w:lang w:val="en-US" w:eastAsia="en-US" w:bidi="en-US"/>
        </w:rPr>
      </w:r>
    </w:p>
  </w:comment>
  <w:comment w:id="17" w:author="Pierre Dieumegard" w:date="2022-08-30T08:36:59Z" w:initials="PD">
    <w:p>
      <w:r>
        <w:rPr>
          <w:rFonts w:ascii="Times New Roman" w:hAnsi="Times New Roman" w:eastAsia="Segoe UI" w:cs="Tahoma"/>
          <w:color w:val="auto"/>
          <w:kern w:val="0"/>
          <w:sz w:val="24"/>
          <w:szCs w:val="24"/>
          <w:lang w:val="en-US" w:eastAsia="en-US" w:bidi="en-US"/>
        </w:rPr>
        <w:t>Az eredeti francia nyelven „Az ombudsman honlapja jól készült, de nem európai márkájú”. A „márka” kifejezés érthetetlen. Az ombudsman honlapja jól készült, de nincs megfelelő európai „képe”, ezért az angol nyelv érthetőbb, közvetlen fordításával helyettesítem.</w:t>
      </w:r>
    </w:p>
    <w:p>
      <w:r>
        <w:rPr>
          <w:rFonts w:ascii="Times New Roman" w:hAnsi="Times New Roman" w:eastAsia="Segoe UI" w:cs="Tahoma"/>
          <w:color w:val="auto"/>
          <w:kern w:val="0"/>
          <w:sz w:val="24"/>
          <w:szCs w:val="24"/>
          <w:lang w:val="en-US" w:eastAsia="en-US" w:bidi="en-US"/>
        </w:rPr>
      </w:r>
    </w:p>
  </w:comment>
  <w:comment w:id="18" w:author="Pierre Dieumegard" w:date="2022-08-30T08:40:11Z" w:initials="PD">
    <w:p>
      <w:r>
        <w:rPr>
          <w:rFonts w:ascii="Times New Roman" w:hAnsi="Times New Roman" w:eastAsia="Segoe UI" w:cs="Tahoma"/>
          <w:color w:val="auto"/>
          <w:kern w:val="0"/>
          <w:sz w:val="24"/>
          <w:szCs w:val="24"/>
          <w:lang w:val="en-US" w:eastAsia="en-US" w:bidi="en-US"/>
        </w:rPr>
        <w:t>az eredeti francia nyelven „nyilvános” volt, amely nem kapott „konzultációt”. Nyilvános konzultációról vagy nyilvános konzultációról van szó?</w:t>
      </w:r>
    </w:p>
    <w:p>
      <w:r>
        <w:rPr>
          <w:rFonts w:ascii="Times New Roman" w:hAnsi="Times New Roman" w:eastAsia="Segoe UI" w:cs="Tahoma"/>
          <w:color w:val="auto"/>
          <w:kern w:val="0"/>
          <w:sz w:val="24"/>
          <w:szCs w:val="24"/>
          <w:lang w:val="en-US" w:eastAsia="en-US" w:bidi="en-US"/>
        </w:rPr>
      </w:r>
    </w:p>
  </w:comment>
  <w:comment w:id="19" w:author="Pierre Dieumegard" w:date="2022-06-06T17:46:19Z" w:initials="">
    <w:p>
      <w:r>
        <w:rPr>
          <w:rFonts w:ascii="Times New Roman" w:hAnsi="Times New Roman" w:eastAsia="Segoe UI" w:cs="Tahoma"/>
          <w:color w:val="auto"/>
          <w:kern w:val="0"/>
          <w:sz w:val="24"/>
          <w:szCs w:val="24"/>
          <w:lang w:val="en-US" w:eastAsia="en-US" w:bidi="en-US"/>
        </w:rPr>
        <w:t>voltak „angyalok”</w:t>
      </w:r>
    </w:p>
    <w:p>
      <w:r>
        <w:rPr>
          <w:rFonts w:ascii="Times New Roman" w:hAnsi="Times New Roman" w:eastAsia="Segoe UI" w:cs="Tahoma"/>
          <w:color w:val="auto"/>
          <w:kern w:val="0"/>
          <w:sz w:val="24"/>
          <w:szCs w:val="24"/>
          <w:lang w:val="en-US" w:eastAsia="en-US" w:bidi="en-US"/>
        </w:rPr>
      </w:r>
    </w:p>
  </w:comment>
  <w:comment w:id="20" w:author="Pierre Dieumegard" w:date="2022-08-30T08:42:49Z" w:initials="PD">
    <w:p>
      <w:r>
        <w:rPr>
          <w:rFonts w:ascii="Times New Roman" w:hAnsi="Times New Roman" w:eastAsia="Segoe UI" w:cs="Tahoma"/>
          <w:color w:val="auto"/>
          <w:kern w:val="0"/>
          <w:sz w:val="24"/>
          <w:szCs w:val="24"/>
          <w:lang w:val="en-US" w:eastAsia="en-US" w:bidi="en-US"/>
        </w:rPr>
        <w:t>hozzáadott nagybetűk (kereskedelmi nevek)</w:t>
      </w:r>
    </w:p>
    <w:p>
      <w:r>
        <w:rPr>
          <w:rFonts w:ascii="Times New Roman" w:hAnsi="Times New Roman" w:eastAsia="Segoe UI" w:cs="Tahoma"/>
          <w:color w:val="auto"/>
          <w:kern w:val="0"/>
          <w:sz w:val="24"/>
          <w:szCs w:val="24"/>
          <w:lang w:val="en-US" w:eastAsia="en-US" w:bidi="en-US"/>
        </w:rPr>
      </w:r>
    </w:p>
  </w:comment>
  <w:comment w:id="21" w:author="Pierre Dieumegard" w:date="2022-06-08T10:37:42Z" w:initials="">
    <w:p>
      <w:r>
        <w:rPr>
          <w:rFonts w:ascii="Times New Roman" w:hAnsi="Times New Roman" w:eastAsia="Segoe UI" w:cs="Tahoma"/>
          <w:color w:val="auto"/>
          <w:kern w:val="0"/>
          <w:sz w:val="24"/>
          <w:szCs w:val="24"/>
          <w:lang w:val="en-US" w:eastAsia="en-US" w:bidi="en-US"/>
        </w:rPr>
        <w:t>a „la” helyébe „a” szöveg lép.</w:t>
      </w:r>
    </w:p>
    <w:p>
      <w:r>
        <w:rPr>
          <w:rFonts w:ascii="Times New Roman" w:hAnsi="Times New Roman" w:eastAsia="Segoe UI" w:cs="Tahoma"/>
          <w:color w:val="auto"/>
          <w:kern w:val="0"/>
          <w:sz w:val="24"/>
          <w:szCs w:val="24"/>
          <w:lang w:val="en-US" w:eastAsia="en-US" w:bidi="en-US"/>
        </w:rPr>
      </w:r>
    </w:p>
  </w:comment>
  <w:comment w:id="22" w:author="Pierre Dieumegard" w:date="2022-06-08T10:42:55Z" w:initials="">
    <w:p>
      <w:r>
        <w:rPr>
          <w:rFonts w:ascii="Times New Roman" w:hAnsi="Times New Roman" w:eastAsia="Segoe UI" w:cs="Tahoma"/>
          <w:color w:val="auto"/>
          <w:kern w:val="0"/>
          <w:sz w:val="24"/>
          <w:szCs w:val="24"/>
          <w:lang w:val="en-US" w:eastAsia="en-US" w:bidi="en-US"/>
        </w:rPr>
        <w:t>a „take” helyébe a „take” kifejezés lép.</w:t>
      </w:r>
    </w:p>
    <w:p>
      <w:r>
        <w:rPr>
          <w:rFonts w:ascii="Times New Roman" w:hAnsi="Times New Roman" w:eastAsia="Segoe UI" w:cs="Tahoma"/>
          <w:color w:val="auto"/>
          <w:kern w:val="0"/>
          <w:sz w:val="24"/>
          <w:szCs w:val="24"/>
          <w:lang w:val="en-US" w:eastAsia="en-US" w:bidi="en-US"/>
        </w:rPr>
      </w:r>
    </w:p>
  </w:comment>
  <w:comment w:id="23" w:author="Pierre Dieumegard" w:date="2022-08-31T22:23:22Z" w:initials="PD">
    <w:p>
      <w:r>
        <w:rPr>
          <w:rFonts w:ascii="Times New Roman" w:hAnsi="Times New Roman" w:eastAsia="Segoe UI" w:cs="Tahoma"/>
          <w:color w:val="auto"/>
          <w:kern w:val="0"/>
          <w:sz w:val="24"/>
          <w:szCs w:val="24"/>
          <w:lang w:val="en-US" w:eastAsia="en-US" w:bidi="en-US"/>
        </w:rPr>
        <w:t>eltávolították az „s”</w:t>
      </w:r>
    </w:p>
    <w:p>
      <w:r>
        <w:rPr>
          <w:rFonts w:ascii="Times New Roman" w:hAnsi="Times New Roman" w:eastAsia="Segoe UI" w:cs="Tahoma"/>
          <w:color w:val="auto"/>
          <w:kern w:val="0"/>
          <w:sz w:val="24"/>
          <w:szCs w:val="24"/>
          <w:lang w:val="en-US" w:eastAsia="en-US" w:bidi="en-US"/>
        </w:rPr>
      </w:r>
    </w:p>
  </w:comment>
  <w:comment w:id="24" w:author="Pierre Dieumegard" w:date="2022-08-31T22:24:16Z" w:initials="PD">
    <w:p>
      <w:r>
        <w:rPr>
          <w:rFonts w:ascii="Times New Roman" w:hAnsi="Times New Roman" w:eastAsia="Segoe UI" w:cs="Tahoma"/>
          <w:color w:val="auto"/>
          <w:kern w:val="0"/>
          <w:sz w:val="24"/>
          <w:szCs w:val="24"/>
          <w:lang w:val="en-US" w:eastAsia="en-US" w:bidi="en-US"/>
        </w:rPr>
        <w:t>hozzáadott egy „s”</w:t>
      </w:r>
    </w:p>
    <w:p>
      <w:r>
        <w:rPr>
          <w:rFonts w:ascii="Times New Roman" w:hAnsi="Times New Roman" w:eastAsia="Segoe UI" w:cs="Tahoma"/>
          <w:color w:val="auto"/>
          <w:kern w:val="0"/>
          <w:sz w:val="24"/>
          <w:szCs w:val="24"/>
          <w:lang w:val="en-US" w:eastAsia="en-US" w:bidi="en-US"/>
        </w:rPr>
      </w:r>
    </w:p>
  </w:comment>
  <w:comment w:id="25" w:author="Pierre Dieumegard" w:date="2022-08-31T22:58:08Z" w:initials="PD">
    <w:p>
      <w:r>
        <w:rPr>
          <w:rFonts w:ascii="Times New Roman" w:hAnsi="Times New Roman" w:eastAsia="Segoe UI" w:cs="Tahoma"/>
          <w:color w:val="auto"/>
          <w:kern w:val="0"/>
          <w:sz w:val="24"/>
          <w:szCs w:val="24"/>
          <w:lang w:val="en-US" w:eastAsia="en-US" w:bidi="en-US"/>
        </w:rPr>
        <w:t>Nem értem, hogy „swiper”</w:t>
      </w:r>
    </w:p>
    <w:p>
      <w:r>
        <w:rPr>
          <w:rFonts w:ascii="Times New Roman" w:hAnsi="Times New Roman" w:eastAsia="Segoe UI" w:cs="Tahoma"/>
          <w:color w:val="auto"/>
          <w:kern w:val="0"/>
          <w:sz w:val="24"/>
          <w:szCs w:val="24"/>
          <w:lang w:val="en-US" w:eastAsia="en-US" w:bidi="en-US"/>
        </w:rPr>
      </w:r>
    </w:p>
  </w:comment>
  <w:comment w:id="26" w:author="Pierre Dieumegard" w:date="2022-06-08T10:46:29Z" w:initials="">
    <w:p>
      <w:r>
        <w:rPr>
          <w:rFonts w:ascii="Times New Roman" w:hAnsi="Times New Roman" w:eastAsia="Segoe UI" w:cs="Tahoma"/>
          <w:color w:val="auto"/>
          <w:kern w:val="0"/>
          <w:sz w:val="24"/>
          <w:szCs w:val="24"/>
          <w:lang w:val="en-US" w:eastAsia="en-US" w:bidi="en-US"/>
        </w:rPr>
        <w:t>??</w:t>
      </w:r>
    </w:p>
    <w:p>
      <w:r>
        <w:rPr>
          <w:rFonts w:ascii="Times New Roman" w:hAnsi="Times New Roman" w:eastAsia="Segoe UI" w:cs="Tahoma"/>
          <w:color w:val="auto"/>
          <w:kern w:val="0"/>
          <w:sz w:val="24"/>
          <w:szCs w:val="24"/>
          <w:lang w:val="en-US" w:eastAsia="en-US" w:bidi="en-US"/>
        </w:rPr>
      </w:r>
    </w:p>
  </w:comment>
  <w:comment w:id="27" w:author="Pierre Dieumegard" w:date="2022-06-07T19:00:57Z" w:initials="">
    <w:p>
      <w:r>
        <w:rPr>
          <w:rFonts w:ascii="Times New Roman" w:hAnsi="Times New Roman" w:eastAsia="Segoe UI" w:cs="Tahoma"/>
          <w:color w:val="auto"/>
          <w:kern w:val="0"/>
          <w:sz w:val="24"/>
          <w:szCs w:val="24"/>
          <w:lang w:val="en-US" w:eastAsia="en-US" w:bidi="en-US"/>
        </w:rPr>
        <w:t>hozzáadta az „s”</w:t>
      </w:r>
    </w:p>
    <w:p>
      <w:r>
        <w:rPr>
          <w:rFonts w:ascii="Times New Roman" w:hAnsi="Times New Roman" w:eastAsia="Segoe UI" w:cs="Tahoma"/>
          <w:color w:val="auto"/>
          <w:kern w:val="0"/>
          <w:sz w:val="24"/>
          <w:szCs w:val="24"/>
          <w:lang w:val="en-US" w:eastAsia="en-US" w:bidi="en-US"/>
        </w:rPr>
      </w:r>
    </w:p>
  </w:comment>
  <w:comment w:id="28" w:author="Pierre Dieumegard" w:date="2022-06-07T19:04:10Z" w:initials="">
    <w:p>
      <w:r>
        <w:rPr>
          <w:rFonts w:ascii="Times New Roman" w:hAnsi="Times New Roman" w:eastAsia="Segoe UI" w:cs="Tahoma"/>
          <w:color w:val="auto"/>
          <w:kern w:val="0"/>
          <w:sz w:val="24"/>
          <w:szCs w:val="24"/>
          <w:lang w:val="en-US" w:eastAsia="en-US" w:bidi="en-US"/>
        </w:rPr>
        <w:t>cím 2 idegen nyelven: furcsa</w:t>
      </w:r>
    </w:p>
    <w:p>
      <w:r>
        <w:rPr>
          <w:rFonts w:ascii="Times New Roman" w:hAnsi="Times New Roman" w:eastAsia="Segoe UI" w:cs="Tahoma"/>
          <w:color w:val="auto"/>
          <w:kern w:val="0"/>
          <w:sz w:val="24"/>
          <w:szCs w:val="24"/>
          <w:lang w:val="en-US" w:eastAsia="en-US" w:bidi="en-US"/>
        </w:rPr>
      </w:r>
    </w:p>
  </w:comment>
  <w:comment w:id="29" w:author="Pierre Dieumegard" w:date="2022-06-08T10:54:13Z" w:initials="">
    <w:p>
      <w:r>
        <w:rPr>
          <w:rFonts w:ascii="Times New Roman" w:hAnsi="Times New Roman" w:eastAsia="Segoe UI" w:cs="Tahoma"/>
          <w:color w:val="auto"/>
          <w:kern w:val="0"/>
          <w:sz w:val="24"/>
          <w:szCs w:val="24"/>
          <w:lang w:val="en-US" w:eastAsia="en-US" w:bidi="en-US"/>
        </w:rPr>
        <w:t>???</w:t>
      </w:r>
    </w:p>
    <w:p>
      <w:r>
        <w:rPr>
          <w:rFonts w:ascii="Times New Roman" w:hAnsi="Times New Roman" w:eastAsia="Segoe UI" w:cs="Tahoma"/>
          <w:color w:val="auto"/>
          <w:kern w:val="0"/>
          <w:sz w:val="24"/>
          <w:szCs w:val="24"/>
          <w:lang w:val="en-US" w:eastAsia="en-US" w:bidi="en-US"/>
        </w:rPr>
      </w:r>
    </w:p>
  </w:comment>
  <w:comment w:id="30" w:author="Pierre Dieumegard" w:date="2022-06-08T10:54:40Z" w:initials="">
    <w:p>
      <w:r>
        <w:rPr>
          <w:rFonts w:ascii="Times New Roman" w:hAnsi="Times New Roman" w:eastAsia="Segoe UI" w:cs="Tahoma"/>
          <w:color w:val="auto"/>
          <w:kern w:val="0"/>
          <w:sz w:val="24"/>
          <w:szCs w:val="24"/>
          <w:lang w:val="en-US" w:eastAsia="en-US" w:bidi="en-US"/>
        </w:rPr>
        <w:t>???</w:t>
      </w:r>
    </w:p>
    <w:p>
      <w:r>
        <w:rPr>
          <w:rFonts w:ascii="Times New Roman" w:hAnsi="Times New Roman" w:eastAsia="Segoe UI" w:cs="Tahoma"/>
          <w:color w:val="auto"/>
          <w:kern w:val="0"/>
          <w:sz w:val="24"/>
          <w:szCs w:val="24"/>
          <w:lang w:val="en-US" w:eastAsia="en-US" w:bidi="en-US"/>
        </w:rPr>
      </w:r>
    </w:p>
  </w:comment>
  <w:comment w:id="31" w:author="Pierre Dieumegard" w:date="2022-06-08T10:56:48Z" w:initials="">
    <w:p>
      <w:r>
        <w:rPr>
          <w:rFonts w:ascii="Times New Roman" w:hAnsi="Times New Roman" w:eastAsia="Segoe UI" w:cs="Tahoma"/>
          <w:color w:val="auto"/>
          <w:kern w:val="0"/>
          <w:sz w:val="24"/>
          <w:szCs w:val="24"/>
          <w:lang w:val="en-US" w:eastAsia="en-US" w:bidi="en-US"/>
        </w:rPr>
        <w:t>???</w:t>
      </w:r>
    </w:p>
    <w:p>
      <w:r>
        <w:rPr>
          <w:rFonts w:ascii="Times New Roman" w:hAnsi="Times New Roman" w:eastAsia="Segoe UI" w:cs="Tahoma"/>
          <w:color w:val="auto"/>
          <w:kern w:val="0"/>
          <w:sz w:val="24"/>
          <w:szCs w:val="24"/>
          <w:lang w:val="en-US" w:eastAsia="en-US" w:bidi="en-US"/>
        </w:rPr>
      </w:r>
    </w:p>
  </w:comment>
</w:comments>
</file>

<file path=word/endnotes.xml><?xml version="1.0" encoding="utf-8"?>
<w:endnote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endnote w:id="0" w:type="separator">
    <w:p>
      <w:r>
        <w:separator/>
      </w:r>
    </w:p>
  </w:endnote>
  <w:endnote w:id="1" w:type="continuationSeparator">
    <w:p>
      <w:r>
        <w:continuationSeparator/>
      </w:r>
    </w:p>
  </w:endnote>
  <w:endnote w:id="2">
    <w:p>
      <w:pPr>
        <w:pStyle w:val="Notedefin"/>
        <w:spacing w:before="57" w:after="57"/>
        <w:rPr/>
      </w:pPr>
      <w:r>
        <w:rPr>
          <w:rStyle w:val="Caractresdenotedefin"/>
        </w:rPr>
        <w:endnoteRef/>
      </w:r>
      <w:r>
        <w:rPr/>
        <w:tab/>
      </w:r>
      <w:r>
        <w:rPr/>
        <w:t>A polgárok ajánlásai, amelyeken a javaslat alapul: #3, #17, #18, #19</w:t>
      </w:r>
    </w:p>
  </w:endnote>
  <w:endnote w:id="3">
    <w:p>
      <w:pPr>
        <w:pStyle w:val="Notedefin"/>
        <w:suppressLineNumbers/>
        <w:spacing w:before="57" w:after="57"/>
        <w:ind w:left="339" w:right="0" w:hanging="339"/>
        <w:rPr/>
      </w:pPr>
      <w:r>
        <w:rPr>
          <w:rStyle w:val="Caractresdenotedefin"/>
        </w:rPr>
        <w:endnoteRef/>
      </w:r>
      <w:r>
        <w:rPr/>
        <w:tab/>
      </w:r>
      <w:r>
        <w:rPr/>
        <w:t># = az európai polgári vitacsoportok ajánlása.</w:t>
      </w:r>
    </w:p>
  </w:endnote>
  <w:endnote w:id="4">
    <w:p>
      <w:pPr>
        <w:pStyle w:val="Notedefin"/>
        <w:suppressLineNumbers/>
        <w:spacing w:before="57" w:after="57"/>
        <w:ind w:left="339" w:right="0" w:hanging="339"/>
        <w:rPr/>
      </w:pPr>
      <w:r>
        <w:rPr>
          <w:rStyle w:val="Caractresdenotedefin"/>
        </w:rPr>
        <w:endnoteRef/>
      </w:r>
      <w:r>
        <w:rPr/>
        <w:tab/>
      </w:r>
      <w:r>
        <w:rPr/>
        <w:t>A polgárok ajánlásai, amelyeken a javaslat alapul: #39, #40, #41, #42, #43, NL1, NL2, #51</w:t>
      </w:r>
    </w:p>
  </w:endnote>
  <w:endnote w:id="5">
    <w:p>
      <w:pPr>
        <w:pStyle w:val="Notedefin"/>
        <w:suppressLineNumbers/>
        <w:spacing w:before="57" w:after="57"/>
        <w:ind w:left="339" w:right="0" w:hanging="339"/>
        <w:rPr/>
      </w:pPr>
      <w:r>
        <w:rPr>
          <w:rStyle w:val="Caractresdenotedefin"/>
        </w:rPr>
        <w:endnoteRef/>
      </w:r>
      <w:r>
        <w:rPr/>
        <w:tab/>
      </w:r>
      <w:r>
        <w:rPr/>
        <w:t>A nemzeti polgári testület ajánlása</w:t>
      </w:r>
    </w:p>
  </w:endnote>
  <w:endnote w:id="6">
    <w:p>
      <w:pPr>
        <w:pStyle w:val="Notedefin"/>
        <w:suppressLineNumbers/>
        <w:spacing w:before="57" w:after="57"/>
        <w:ind w:left="339" w:right="0" w:hanging="339"/>
        <w:rPr/>
      </w:pPr>
      <w:r>
        <w:rPr>
          <w:rStyle w:val="Caractresdenotedefin"/>
        </w:rPr>
        <w:endnoteRef/>
      </w:r>
      <w:r>
        <w:rPr/>
        <w:tab/>
      </w:r>
      <w:r>
        <w:rPr/>
        <w:t>A polgárok ajánlásai, amelyeken a javaslat alapul: #44, #45, #46, #47, #50</w:t>
      </w:r>
    </w:p>
  </w:endnote>
  <w:endnote w:id="7">
    <w:p>
      <w:pPr>
        <w:pStyle w:val="Notedefin"/>
        <w:suppressLineNumbers/>
        <w:spacing w:before="57" w:after="57"/>
        <w:ind w:left="339" w:right="0" w:hanging="339"/>
        <w:rPr/>
      </w:pPr>
      <w:r>
        <w:rPr>
          <w:rStyle w:val="Caractresdenotedefin"/>
        </w:rPr>
        <w:endnoteRef/>
      </w:r>
      <w:r>
        <w:rPr/>
        <w:tab/>
      </w:r>
      <w:r>
        <w:rPr/>
        <w:t>A polgárok ajánlásai, amelyeken a javaslat alapul: #39, #40, #45, #48, #50, FRchangement8, FRswait11, #51</w:t>
      </w:r>
    </w:p>
  </w:endnote>
  <w:endnote w:id="8">
    <w:p>
      <w:pPr>
        <w:pStyle w:val="Notedefin"/>
        <w:suppressLineNumbers/>
        <w:spacing w:before="57" w:after="57"/>
        <w:ind w:left="339" w:right="0" w:hanging="339"/>
        <w:rPr/>
      </w:pPr>
      <w:r>
        <w:rPr>
          <w:rStyle w:val="Caractresdenotedefin"/>
        </w:rPr>
        <w:endnoteRef/>
      </w:r>
      <w:r>
        <w:rPr/>
        <w:tab/>
      </w:r>
      <w:r>
        <w:rPr/>
        <w:t>A holland polgári testület ajánlásai eltérnek az Európai Polgári Testület ajánlásaitól: úgy véli, hogy az egészségügynek és az egészségügynek elsősorban nemzeti hatáskörbe kell tartoznia [NL3].</w:t>
      </w:r>
    </w:p>
  </w:endnote>
  <w:endnote w:id="9">
    <w:p>
      <w:pPr>
        <w:pStyle w:val="Notedefin"/>
        <w:suppressLineNumbers/>
        <w:spacing w:before="57" w:after="57"/>
        <w:ind w:left="339" w:right="0" w:hanging="339"/>
        <w:rPr/>
      </w:pPr>
      <w:r>
        <w:rPr>
          <w:rStyle w:val="Caractresdenotedefin"/>
        </w:rPr>
        <w:endnoteRef/>
      </w:r>
      <w:r>
        <w:rPr/>
        <w:tab/>
      </w:r>
      <w:r>
        <w:rPr/>
        <w:t>A polgárok ajánlásai, amelyeken a javaslat alapul: Az Európai Polgárok Fóruma: 9, 10, 11, 12, 14; Hollandia: 1; Olaszország: 1.1. Litvánia: 3, 8.</w:t>
      </w:r>
    </w:p>
  </w:endnote>
  <w:endnote w:id="10">
    <w:p>
      <w:pPr>
        <w:pStyle w:val="Notedefin"/>
        <w:suppressLineNumbers/>
        <w:spacing w:before="57" w:after="57"/>
        <w:ind w:left="339" w:right="0" w:hanging="339"/>
        <w:rPr/>
      </w:pPr>
      <w:r>
        <w:rPr>
          <w:rStyle w:val="Caractresdenotedefin"/>
        </w:rPr>
        <w:endnoteRef/>
      </w:r>
      <w:r>
        <w:rPr/>
        <w:tab/>
      </w:r>
      <w:r>
        <w:rPr/>
        <w:t>A polgárok ajánlásai, amelyeken a javaslat alapul: Az Európai Polgárok Fóruma: 10, 11 és 14; Németország: 2.1, 2.2; Hollandia: 1, 2; Franciaország: 3, 9; Olaszország: 1,2, 1.3, 1.4, 1.5, 2.1, 2.2, 2,4, 4.a.2., 6.1. Litvánia: 1, 7.</w:t>
      </w:r>
    </w:p>
  </w:endnote>
  <w:endnote w:id="11">
    <w:p>
      <w:pPr>
        <w:pStyle w:val="Notedefin"/>
        <w:suppressLineNumbers/>
        <w:spacing w:before="57" w:after="57"/>
        <w:ind w:left="339" w:right="0" w:hanging="339"/>
        <w:rPr/>
      </w:pPr>
      <w:r>
        <w:rPr>
          <w:rStyle w:val="Caractresdenotedefin"/>
        </w:rPr>
        <w:endnoteRef/>
      </w:r>
      <w:r>
        <w:rPr/>
        <w:tab/>
      </w:r>
      <w:r>
        <w:rPr/>
        <w:t>A polgárok ajánlásai, amelyeken a javaslat alapul: Az Európai Polgárok Fóruma: 1, 2, 7, 28, 30; Németország: 4.1, 4.2; Hollandia: 4) Franciaország: 6) Olaszország: 5.a.1, 5.a.4, 6.1., 6.2.</w:t>
      </w:r>
    </w:p>
  </w:endnote>
  <w:endnote w:id="12">
    <w:p>
      <w:pPr>
        <w:pStyle w:val="Notedefin"/>
        <w:suppressLineNumbers/>
        <w:spacing w:before="57" w:after="57"/>
        <w:ind w:left="339" w:right="0" w:hanging="339"/>
        <w:rPr/>
      </w:pPr>
      <w:r>
        <w:rPr>
          <w:rStyle w:val="Caractresdenotedefin"/>
        </w:rPr>
        <w:endnoteRef/>
      </w:r>
      <w:r>
        <w:rPr/>
        <w:tab/>
      </w:r>
      <w:r>
        <w:rPr/>
        <w:t>A polgárok ajánlásai, amelyeken a javaslat alapul: Az Európai Polgárok Fóruma: 19, 20, 21, 25; Olaszország: 4.a.1.</w:t>
      </w:r>
    </w:p>
  </w:endnote>
  <w:endnote w:id="13">
    <w:p>
      <w:pPr>
        <w:pStyle w:val="Notedefin"/>
        <w:suppressLineNumbers/>
        <w:spacing w:before="57" w:after="57"/>
        <w:ind w:left="339" w:right="0" w:hanging="339"/>
        <w:rPr/>
      </w:pPr>
      <w:r>
        <w:rPr>
          <w:rStyle w:val="Caractresdenotedefin"/>
        </w:rPr>
        <w:endnoteRef/>
      </w:r>
      <w:r>
        <w:rPr/>
        <w:tab/>
        <w:t xml:space="preserve"> </w:t>
      </w:r>
      <w:r>
        <w:rPr/>
        <w:t>A polgárok ajánlásai, amelyeken a javaslat alapul: Az Európai Polgárok Fóruma: 21., 22., 23., 26., 27.; Olaszország: 5.a.1.</w:t>
      </w:r>
    </w:p>
  </w:endnote>
  <w:endnote w:id="14">
    <w:p>
      <w:pPr>
        <w:pStyle w:val="Notedefin"/>
        <w:suppressLineNumbers/>
        <w:spacing w:before="57" w:after="57"/>
        <w:ind w:left="339" w:right="0" w:hanging="339"/>
        <w:rPr/>
      </w:pPr>
      <w:r>
        <w:rPr>
          <w:rStyle w:val="Caractresdenotedefin"/>
        </w:rPr>
        <w:endnoteRef/>
      </w:r>
      <w:r>
        <w:rPr/>
        <w:tab/>
        <w:t xml:space="preserve"> </w:t>
      </w:r>
      <w:r>
        <w:rPr/>
        <w:t>A polgárok ajánlásai, amelyeken a javaslat alapul: Az Európai Polgárok Fóruma: 13, 31; Hollandia: 2.3. Olaszország: 4.b.3., 4.b.6.; Litvánia: 9, 10.</w:t>
      </w:r>
    </w:p>
  </w:endnote>
  <w:endnote w:id="15">
    <w:p>
      <w:pPr>
        <w:pStyle w:val="Notedefin"/>
        <w:suppressLineNumbers/>
        <w:spacing w:before="57" w:after="57"/>
        <w:ind w:left="339" w:right="0" w:hanging="339"/>
        <w:rPr/>
      </w:pPr>
      <w:r>
        <w:rPr>
          <w:rStyle w:val="Caractresdenotedefin"/>
        </w:rPr>
        <w:endnoteRef/>
      </w:r>
      <w:r>
        <w:rPr/>
        <w:tab/>
      </w:r>
      <w:r>
        <w:rPr/>
        <w:t>A munkacsoport és a plenáris ülés megbeszélései alapján.</w:t>
      </w:r>
    </w:p>
  </w:endnote>
  <w:endnote w:id="16">
    <w:p>
      <w:pPr>
        <w:pStyle w:val="Notedefin"/>
        <w:suppressLineNumbers/>
        <w:spacing w:before="57" w:after="57"/>
        <w:ind w:left="339" w:right="0" w:hanging="339"/>
        <w:rPr/>
      </w:pPr>
      <w:r>
        <w:rPr>
          <w:rStyle w:val="Caractresdenotedefin"/>
        </w:rPr>
        <w:endnoteRef/>
      </w:r>
      <w:r>
        <w:rPr/>
        <w:tab/>
      </w:r>
      <w:r>
        <w:rPr/>
        <w:t>Lásd az ECP4 1. ajánlását, a német nemzeti kapcsolattartó pont 2. ajánlását, „Az EU a világban” című 1. panelt, valamint a munkacsoport keretében kidolgozott olasz nemzeti kapcsolattartó pont 2. csoportjának 1. ajánlását.</w:t>
      </w:r>
    </w:p>
  </w:endnote>
  <w:endnote w:id="17">
    <w:p>
      <w:pPr>
        <w:pStyle w:val="Notedefin"/>
        <w:suppressLineNumbers/>
        <w:spacing w:before="57" w:after="57"/>
        <w:ind w:left="339" w:right="0" w:hanging="339"/>
        <w:rPr/>
      </w:pPr>
      <w:r>
        <w:rPr>
          <w:rStyle w:val="Caractresdenotedefin"/>
        </w:rPr>
        <w:endnoteRef/>
      </w:r>
      <w:r>
        <w:rPr/>
        <w:tab/>
      </w:r>
      <w:r>
        <w:rPr/>
        <w:t>Lásd az ECP4 4. ajánlását és az olasz nemzeti kapcsolattartó pont 2. csoportjának a munkacsoport keretében kidolgozott 5. és 6. ajánlását.</w:t>
      </w:r>
    </w:p>
  </w:endnote>
  <w:endnote w:id="18">
    <w:p>
      <w:pPr>
        <w:pStyle w:val="Notedefin"/>
        <w:suppressLineNumbers/>
        <w:spacing w:before="57" w:after="57"/>
        <w:ind w:left="339" w:right="0" w:hanging="339"/>
        <w:rPr/>
      </w:pPr>
      <w:r>
        <w:rPr>
          <w:rStyle w:val="Caractresdenotedefin"/>
        </w:rPr>
        <w:endnoteRef/>
      </w:r>
      <w:r>
        <w:rPr/>
        <w:tab/>
      </w:r>
      <w:r>
        <w:rPr/>
        <w:t xml:space="preserve">Lásd az olasz nemzeti kapcsolattartó pont 2. csoportjának digitális platformját, valamint a munkacsoporton belül kidolgozott 2. és 3. ajánlását, </w:t>
      </w:r>
      <w:hyperlink r:id="rId1">
        <w:r>
          <w:rPr>
            <w:rStyle w:val="LienInternet"/>
          </w:rPr>
          <w:t>https://futureu.europa.eu/processes/EUInTheWorld/f/16/proposals/197870?locale=fr</w:t>
        </w:r>
      </w:hyperlink>
      <w:r>
        <w:rPr/>
        <w:t>.</w:t>
      </w:r>
    </w:p>
  </w:endnote>
  <w:endnote w:id="19">
    <w:p>
      <w:pPr>
        <w:pStyle w:val="Notedefin"/>
        <w:suppressLineNumbers/>
        <w:spacing w:before="57" w:after="57"/>
        <w:ind w:left="339" w:right="0" w:hanging="339"/>
        <w:rPr/>
      </w:pPr>
      <w:r>
        <w:rPr>
          <w:rStyle w:val="Caractresdenotedefin"/>
        </w:rPr>
        <w:endnoteRef/>
      </w:r>
      <w:r>
        <w:rPr/>
        <w:tab/>
      </w:r>
      <w:r>
        <w:rPr/>
        <w:t>Lásd az ECP 4 14. ajánlását, amelyet a munkacsoport dolgozott ki.</w:t>
      </w:r>
    </w:p>
  </w:endnote>
  <w:endnote w:id="20">
    <w:p>
      <w:pPr>
        <w:pStyle w:val="Notedefin"/>
        <w:suppressLineNumbers/>
        <w:spacing w:before="57" w:after="57"/>
        <w:ind w:left="339" w:right="0" w:hanging="339"/>
        <w:rPr/>
      </w:pPr>
      <w:r>
        <w:rPr>
          <w:rStyle w:val="Caractresdenotedefin"/>
        </w:rPr>
        <w:endnoteRef/>
      </w:r>
      <w:r>
        <w:rPr/>
        <w:tab/>
      </w:r>
      <w:r>
        <w:rPr/>
        <w:t>Lásd az ECP4 2. ajánlását és az olasz nemzeti kapcsolattartó pont 2. csoportjának a munkacsoport keretében kidolgozott 4. ajánlását.</w:t>
      </w:r>
    </w:p>
  </w:endnote>
  <w:endnote w:id="21">
    <w:p>
      <w:pPr>
        <w:pStyle w:val="Notedefin"/>
        <w:suppressLineNumbers/>
        <w:spacing w:before="57" w:after="57"/>
        <w:ind w:left="339" w:right="0" w:hanging="339"/>
        <w:rPr/>
      </w:pPr>
      <w:r>
        <w:rPr>
          <w:rStyle w:val="Caractresdenotedefin"/>
        </w:rPr>
        <w:endnoteRef/>
      </w:r>
      <w:r>
        <w:rPr/>
        <w:tab/>
      </w:r>
      <w:r>
        <w:rPr/>
        <w:t>Lásd az ECP4 17. ajánlását és az olasz nemzeti kapcsolattartó pont 2. csoportjának a munkacsoport keretében kidolgozott 4. ajánlását.</w:t>
      </w:r>
    </w:p>
  </w:endnote>
  <w:endnote w:id="22">
    <w:p>
      <w:pPr>
        <w:pStyle w:val="Notedefin"/>
        <w:suppressLineNumbers/>
        <w:spacing w:before="57" w:after="57"/>
        <w:ind w:left="339" w:right="0" w:hanging="339"/>
        <w:rPr/>
      </w:pPr>
      <w:r>
        <w:rPr>
          <w:rStyle w:val="Caractresdenotedefin"/>
        </w:rPr>
        <w:endnoteRef/>
      </w:r>
      <w:r>
        <w:rPr/>
        <w:tab/>
      </w:r>
      <w:r>
        <w:rPr/>
        <w:t>Lásd a német nemzeti kapcsolattartó pont 1. ajánlását, „Az EU a világban” című, a munkacsoportban kidolgozott 1. panelt.</w:t>
      </w:r>
    </w:p>
  </w:endnote>
  <w:endnote w:id="23">
    <w:p>
      <w:pPr>
        <w:pStyle w:val="Notedefin"/>
        <w:suppressLineNumbers/>
        <w:spacing w:before="57" w:after="57"/>
        <w:ind w:left="339" w:right="0" w:hanging="339"/>
        <w:rPr/>
      </w:pPr>
      <w:r>
        <w:rPr>
          <w:rStyle w:val="Caractresdenotedefin"/>
        </w:rPr>
        <w:endnoteRef/>
      </w:r>
      <w:r>
        <w:rPr/>
        <w:tab/>
      </w:r>
      <w:r>
        <w:rPr/>
        <w:t>Lásd az ECP 4 3. ajánlását, amelyet a munkacsoport dolgozott ki.</w:t>
      </w:r>
    </w:p>
  </w:endnote>
  <w:endnote w:id="24">
    <w:p>
      <w:pPr>
        <w:pStyle w:val="Notedefin"/>
        <w:suppressLineNumbers/>
        <w:spacing w:before="57" w:after="57"/>
        <w:ind w:left="339" w:right="0" w:hanging="339"/>
        <w:rPr/>
      </w:pPr>
      <w:r>
        <w:rPr>
          <w:rStyle w:val="Caractresdenotedefin"/>
        </w:rPr>
        <w:endnoteRef/>
      </w:r>
      <w:r>
        <w:rPr/>
        <w:tab/>
      </w:r>
      <w:r>
        <w:rPr/>
        <w:t>Lásd az ECP 4. ajánlását, amelyet a munkacsoport dolgozott ki.</w:t>
      </w:r>
    </w:p>
  </w:endnote>
  <w:endnote w:id="25">
    <w:p>
      <w:pPr>
        <w:pStyle w:val="Notedefin"/>
        <w:suppressLineNumbers/>
        <w:spacing w:before="57" w:after="57"/>
        <w:ind w:left="339" w:right="0" w:hanging="339"/>
        <w:rPr/>
      </w:pPr>
      <w:r>
        <w:rPr>
          <w:rStyle w:val="Caractresdenotedefin"/>
        </w:rPr>
        <w:endnoteRef/>
      </w:r>
      <w:r>
        <w:rPr/>
        <w:tab/>
      </w:r>
      <w:r>
        <w:rPr/>
        <w:t>Lásd az ECP 4. ajánlását, amelyet a munkacsoport dolgozott ki.</w:t>
      </w:r>
    </w:p>
  </w:endnote>
  <w:endnote w:id="26">
    <w:p>
      <w:pPr>
        <w:pStyle w:val="Notedefin"/>
        <w:suppressLineNumbers/>
        <w:spacing w:before="57" w:after="57"/>
        <w:ind w:left="339" w:right="0" w:hanging="339"/>
        <w:rPr/>
      </w:pPr>
      <w:r>
        <w:rPr>
          <w:rStyle w:val="Caractresdenotedefin"/>
        </w:rPr>
        <w:endnoteRef/>
      </w:r>
      <w:r>
        <w:rPr/>
        <w:tab/>
      </w:r>
      <w:r>
        <w:rPr/>
        <w:t>Lásd az ECP 4 15. ajánlását, amelyet a munkacsoport dolgozott ki.</w:t>
      </w:r>
    </w:p>
  </w:endnote>
  <w:endnote w:id="27">
    <w:p>
      <w:pPr>
        <w:pStyle w:val="Notedefin"/>
        <w:suppressLineNumbers/>
        <w:spacing w:before="57" w:after="57"/>
        <w:ind w:left="339" w:right="0" w:hanging="339"/>
        <w:rPr/>
      </w:pPr>
      <w:r>
        <w:rPr>
          <w:rStyle w:val="Caractresdenotedefin"/>
        </w:rPr>
        <w:endnoteRef/>
      </w:r>
      <w:r>
        <w:rPr/>
        <w:tab/>
      </w:r>
      <w:r>
        <w:rPr/>
        <w:t>Lásd az ECP 4 16. ajánlását, amelyet a munkacsoport dolgozott ki.</w:t>
      </w:r>
    </w:p>
  </w:endnote>
  <w:endnote w:id="28">
    <w:p>
      <w:pPr>
        <w:pStyle w:val="Notedefin"/>
        <w:suppressLineNumbers/>
        <w:spacing w:before="57" w:after="57"/>
        <w:ind w:left="339" w:right="0" w:hanging="339"/>
        <w:rPr/>
      </w:pPr>
      <w:r>
        <w:rPr>
          <w:rStyle w:val="Caractresdenotedefin"/>
        </w:rPr>
        <w:endnoteRef/>
      </w:r>
      <w:r>
        <w:rPr/>
        <w:tab/>
      </w:r>
      <w:r>
        <w:rPr/>
        <w:t>Lásd az ECP 4. ajánlását, amelyet a munkacsoport dolgozott ki.</w:t>
      </w:r>
    </w:p>
  </w:endnote>
  <w:endnote w:id="29">
    <w:p>
      <w:pPr>
        <w:pStyle w:val="Notedefin"/>
        <w:suppressLineNumbers/>
        <w:spacing w:before="57" w:after="57"/>
        <w:ind w:left="339" w:right="0" w:hanging="339"/>
        <w:rPr/>
      </w:pPr>
      <w:r>
        <w:rPr>
          <w:rStyle w:val="Caractresdenotedefin"/>
        </w:rPr>
        <w:endnoteRef/>
      </w:r>
      <w:r>
        <w:rPr/>
        <w:tab/>
      </w:r>
      <w:r>
        <w:rPr/>
        <w:t>Lásd az ECP 4. ajánlását, amelyet a munkacsoport dolgozott ki.</w:t>
      </w:r>
    </w:p>
  </w:endnote>
  <w:endnote w:id="30">
    <w:p>
      <w:pPr>
        <w:pStyle w:val="Notedefin"/>
        <w:suppressLineNumbers/>
        <w:spacing w:before="57" w:after="57"/>
        <w:ind w:left="339" w:right="0" w:hanging="339"/>
        <w:rPr/>
      </w:pPr>
      <w:r>
        <w:rPr>
          <w:rStyle w:val="Caractresdenotedefin"/>
        </w:rPr>
        <w:endnoteRef/>
      </w:r>
      <w:r>
        <w:rPr/>
        <w:tab/>
      </w:r>
      <w:r>
        <w:rPr/>
        <w:t>Lásd a munkacsoporton belül kifejlesztett digitális platformot.</w:t>
      </w:r>
    </w:p>
  </w:endnote>
  <w:endnote w:id="31">
    <w:p>
      <w:pPr>
        <w:pStyle w:val="Notedefin"/>
        <w:suppressLineNumbers/>
        <w:spacing w:before="57" w:after="57"/>
        <w:ind w:left="339" w:right="0" w:hanging="339"/>
        <w:rPr/>
      </w:pPr>
      <w:r>
        <w:rPr>
          <w:rStyle w:val="Caractresdenotedefin"/>
        </w:rPr>
        <w:endnoteRef/>
      </w:r>
      <w:r>
        <w:rPr/>
        <w:tab/>
      </w:r>
      <w:r>
        <w:rPr/>
        <w:t>Lásd a munkacsoporton belül kifejlesztett digitális platformot.</w:t>
      </w:r>
    </w:p>
  </w:endnote>
  <w:endnote w:id="32">
    <w:p>
      <w:pPr>
        <w:pStyle w:val="Notedefin"/>
        <w:suppressLineNumbers/>
        <w:spacing w:before="57" w:after="57"/>
        <w:ind w:left="339" w:right="0" w:hanging="339"/>
        <w:rPr/>
      </w:pPr>
      <w:r>
        <w:rPr>
          <w:rStyle w:val="Caractresdenotedefin"/>
        </w:rPr>
        <w:endnoteRef/>
      </w:r>
      <w:r>
        <w:rPr/>
        <w:tab/>
      </w:r>
      <w:r>
        <w:rPr/>
        <w:t>Lásd az ECP 4 26. ajánlását, amelyet a munkacsoport dolgozott ki.</w:t>
      </w:r>
    </w:p>
  </w:endnote>
  <w:endnote w:id="33">
    <w:p>
      <w:pPr>
        <w:pStyle w:val="Notedefin"/>
        <w:suppressLineNumbers/>
        <w:spacing w:before="57" w:after="57"/>
        <w:ind w:left="339" w:right="0" w:hanging="339"/>
        <w:rPr/>
      </w:pPr>
      <w:r>
        <w:rPr>
          <w:rStyle w:val="Caractresdenotedefin"/>
        </w:rPr>
        <w:endnoteRef/>
      </w:r>
      <w:r>
        <w:rPr/>
        <w:tab/>
      </w:r>
      <w:r>
        <w:rPr/>
        <w:t>Lásd az ECP 4 18. ajánlását, amelyet a munkacsoport dolgozott ki.</w:t>
      </w:r>
    </w:p>
  </w:endnote>
  <w:endnote w:id="34">
    <w:p>
      <w:pPr>
        <w:pStyle w:val="Notedefin"/>
        <w:suppressLineNumbers/>
        <w:spacing w:before="57" w:after="57"/>
        <w:ind w:left="339" w:right="0" w:hanging="339"/>
        <w:rPr/>
      </w:pPr>
      <w:r>
        <w:rPr>
          <w:rStyle w:val="Caractresdenotedefin"/>
        </w:rPr>
        <w:endnoteRef/>
      </w:r>
      <w:r>
        <w:rPr/>
        <w:tab/>
      </w:r>
      <w:r>
        <w:rPr/>
        <w:t>Lásd az ECP 4 munkacsoportban kidolgozott 19. ajánlását.</w:t>
      </w:r>
    </w:p>
  </w:endnote>
  <w:endnote w:id="35">
    <w:p>
      <w:pPr>
        <w:pStyle w:val="Notedefin"/>
        <w:suppressLineNumbers/>
        <w:spacing w:before="57" w:after="57"/>
        <w:ind w:left="339" w:right="0" w:hanging="339"/>
        <w:rPr/>
      </w:pPr>
      <w:r>
        <w:rPr>
          <w:rStyle w:val="Caractresdenotedefin"/>
        </w:rPr>
        <w:endnoteRef/>
      </w:r>
      <w:r>
        <w:rPr/>
        <w:tab/>
      </w:r>
      <w:r>
        <w:rPr/>
        <w:t>Lásd az ECP 4 munkacsoportban kidolgozott 19. ajánlását.</w:t>
      </w:r>
    </w:p>
  </w:endnote>
  <w:endnote w:id="36">
    <w:p>
      <w:pPr>
        <w:pStyle w:val="Notedefin"/>
        <w:suppressLineNumbers/>
        <w:spacing w:before="57" w:after="57"/>
        <w:ind w:left="339" w:right="0" w:hanging="339"/>
        <w:rPr/>
      </w:pPr>
      <w:r>
        <w:rPr>
          <w:rStyle w:val="Caractresdenotedefin"/>
        </w:rPr>
        <w:endnoteRef/>
      </w:r>
      <w:r>
        <w:rPr/>
        <w:tab/>
      </w:r>
      <w:r>
        <w:rPr/>
        <w:t>Lásd az ECP 4. ajánlásának 25. ajánlását.</w:t>
      </w:r>
    </w:p>
  </w:endnote>
  <w:endnote w:id="37">
    <w:p>
      <w:pPr>
        <w:pStyle w:val="Notedefin"/>
        <w:suppressLineNumbers/>
        <w:spacing w:before="57" w:after="57"/>
        <w:ind w:left="339" w:right="0" w:hanging="339"/>
        <w:rPr/>
      </w:pPr>
      <w:r>
        <w:rPr>
          <w:rStyle w:val="Caractresdenotedefin"/>
        </w:rPr>
        <w:endnoteRef/>
      </w:r>
      <w:r>
        <w:rPr/>
        <w:tab/>
      </w:r>
      <w:r>
        <w:rPr/>
        <w:t>A munkacsoport és a plenáris ülés megbeszélései alapján.</w:t>
      </w:r>
    </w:p>
  </w:endnote>
  <w:endnote w:id="38">
    <w:p>
      <w:pPr>
        <w:pStyle w:val="Notedefin"/>
        <w:suppressLineNumbers/>
        <w:spacing w:before="57" w:after="57"/>
        <w:ind w:left="339" w:right="0" w:hanging="339"/>
        <w:rPr/>
      </w:pPr>
      <w:r>
        <w:rPr>
          <w:rStyle w:val="Caractresdenotedefin"/>
        </w:rPr>
        <w:endnoteRef/>
      </w:r>
      <w:r>
        <w:rPr/>
        <w:tab/>
      </w:r>
      <w:r>
        <w:rPr/>
        <w:t>Lásd a francia nemzeti testület/rendezvények 2. módosítását.</w:t>
      </w:r>
    </w:p>
  </w:endnote>
  <w:endnote w:id="39">
    <w:p>
      <w:pPr>
        <w:pStyle w:val="Notedefin"/>
        <w:suppressLineNumbers/>
        <w:spacing w:before="57" w:after="57"/>
        <w:ind w:left="339" w:right="0" w:hanging="339"/>
        <w:rPr/>
      </w:pPr>
      <w:r>
        <w:rPr>
          <w:rStyle w:val="Caractresdenotedefin"/>
        </w:rPr>
        <w:endnoteRef/>
      </w:r>
      <w:r>
        <w:rPr/>
        <w:tab/>
      </w:r>
      <w:r>
        <w:rPr/>
        <w:t>Lásd az ECP4 20. ajánlását és az olasz nemzeti kapcsolattartó pont 2. csoportjának 7. ajánlását, amelyet a munkacsoport dolgoz ki.</w:t>
      </w:r>
    </w:p>
  </w:endnote>
  <w:endnote w:id="40">
    <w:p>
      <w:pPr>
        <w:pStyle w:val="Notedefin"/>
        <w:suppressLineNumbers/>
        <w:spacing w:before="57" w:after="57"/>
        <w:ind w:left="339" w:right="0" w:hanging="339"/>
        <w:rPr/>
      </w:pPr>
      <w:r>
        <w:rPr>
          <w:rStyle w:val="Caractresdenotedefin"/>
        </w:rPr>
        <w:endnoteRef/>
      </w:r>
      <w:r>
        <w:rPr/>
        <w:tab/>
      </w:r>
      <w:r>
        <w:rPr/>
        <w:t>Lásd a francia állampolgári testület 2. módosítását.</w:t>
      </w:r>
    </w:p>
  </w:endnote>
  <w:endnote w:id="41">
    <w:p>
      <w:pPr>
        <w:pStyle w:val="Notedefin"/>
        <w:suppressLineNumbers/>
        <w:spacing w:before="57" w:after="57"/>
        <w:ind w:left="339" w:right="0" w:hanging="339"/>
        <w:rPr/>
      </w:pPr>
      <w:r>
        <w:rPr>
          <w:rStyle w:val="Caractresdenotedefin"/>
        </w:rPr>
        <w:endnoteRef/>
      </w:r>
      <w:r>
        <w:rPr/>
        <w:tab/>
      </w:r>
      <w:r>
        <w:rPr/>
        <w:t>Lásd az ECP4 24. ajánlását és az olasz nemzeti kapcsolattartó pont 2. csoportjának 7. ajánlását, amelyet a munkacsoport dolgoz ki.</w:t>
      </w:r>
    </w:p>
  </w:endnote>
  <w:endnote w:id="42">
    <w:p>
      <w:pPr>
        <w:pStyle w:val="Notedefin"/>
        <w:suppressLineNumbers/>
        <w:spacing w:before="57" w:after="57"/>
        <w:ind w:left="339" w:right="0" w:hanging="339"/>
        <w:rPr/>
      </w:pPr>
      <w:r>
        <w:rPr>
          <w:rStyle w:val="Caractresdenotedefin"/>
        </w:rPr>
        <w:endnoteRef/>
      </w:r>
      <w:r>
        <w:rPr/>
        <w:tab/>
      </w:r>
      <w:r>
        <w:rPr/>
        <w:t>Lásd az ECP 4. ajánlását, amelyet a munkacsoport dolgozott ki.</w:t>
      </w:r>
    </w:p>
  </w:endnote>
  <w:endnote w:id="43">
    <w:p>
      <w:pPr>
        <w:pStyle w:val="Notedefin"/>
        <w:suppressLineNumbers/>
        <w:spacing w:before="57" w:after="57"/>
        <w:ind w:left="339" w:right="0" w:hanging="339"/>
        <w:rPr/>
      </w:pPr>
      <w:r>
        <w:rPr>
          <w:rStyle w:val="Caractresdenotedefin"/>
        </w:rPr>
        <w:endnoteRef/>
      </w:r>
      <w:r>
        <w:rPr/>
        <w:tab/>
      </w:r>
      <w:r>
        <w:rPr/>
        <w:t>Lásd „Az EU a világban” című, a munkacsoportban kidolgozott holland nemzeti polgári munkacsoport 1. ajánlását.</w:t>
      </w:r>
    </w:p>
  </w:endnote>
  <w:endnote w:id="44">
    <w:p>
      <w:pPr>
        <w:pStyle w:val="Notedefin"/>
        <w:suppressLineNumbers/>
        <w:spacing w:before="57" w:after="57"/>
        <w:ind w:left="339" w:right="0" w:hanging="339"/>
        <w:rPr/>
      </w:pPr>
      <w:r>
        <w:rPr>
          <w:rStyle w:val="Caractresdenotedefin"/>
        </w:rPr>
        <w:endnoteRef/>
      </w:r>
      <w:r>
        <w:rPr/>
        <w:tab/>
      </w:r>
      <w:r>
        <w:rPr/>
        <w:t>Lásd a munkacsoportban kidolgozott digitális platformot és plenáris vitákat.</w:t>
      </w:r>
    </w:p>
  </w:endnote>
  <w:endnote w:id="45">
    <w:p>
      <w:pPr>
        <w:pStyle w:val="Notedefin"/>
        <w:suppressLineNumbers/>
        <w:spacing w:before="57" w:after="57"/>
        <w:ind w:left="339" w:right="0" w:hanging="339"/>
        <w:rPr/>
      </w:pPr>
      <w:r>
        <w:rPr>
          <w:rStyle w:val="Caractresdenotedefin"/>
        </w:rPr>
        <w:endnoteRef/>
      </w:r>
      <w:r>
        <w:rPr/>
        <w:tab/>
      </w:r>
      <w:r>
        <w:rPr/>
        <w:t>Lásd a munkacsoporton belül kifejlesztett digitális platformot.</w:t>
      </w:r>
    </w:p>
  </w:endnote>
  <w:endnote w:id="46">
    <w:p>
      <w:pPr>
        <w:pStyle w:val="Notedefin"/>
        <w:suppressLineNumbers/>
        <w:spacing w:before="57" w:after="57"/>
        <w:ind w:left="339" w:right="0" w:hanging="339"/>
        <w:rPr/>
      </w:pPr>
      <w:r>
        <w:rPr>
          <w:rStyle w:val="Caractresdenotedefin"/>
        </w:rPr>
        <w:endnoteRef/>
      </w:r>
      <w:r>
        <w:rPr/>
        <w:tab/>
      </w:r>
      <w:r>
        <w:rPr/>
        <w:t>A polgárok ajánlásai, amelyeken a javaslat alapul: Európai Polgári Panel 2 (CEP 2) 10, 11, 14, 30; Belga Nemzeti Polgári Testület (NCP): 1.3.1, 1.4.2., 1.4.3.; Német nemzeti kapcsolattartó pont: 5.1, 5.2; Holland nemzeti kapcsolattartó pont: 1.2.</w:t>
      </w:r>
    </w:p>
  </w:endnote>
  <w:endnote w:id="47">
    <w:p>
      <w:pPr>
        <w:pStyle w:val="Notedefin"/>
        <w:suppressLineNumbers/>
        <w:spacing w:before="57" w:after="57"/>
        <w:ind w:left="339" w:right="0" w:hanging="339"/>
        <w:rPr/>
      </w:pPr>
      <w:r>
        <w:rPr>
          <w:rStyle w:val="Caractresdenotedefin"/>
        </w:rPr>
        <w:endnoteRef/>
      </w:r>
      <w:r>
        <w:rPr/>
        <w:tab/>
      </w:r>
      <w:r>
        <w:rPr/>
        <w:t>Az ECP2 14. ajánlása. A belga nemzeti kapcsolattartó pont 1.3.1., 1.4.2. és 1.4.3. ajánlása, valamint a holland nemzeti kapcsolattartó pont 1.2. ajánlása.</w:t>
      </w:r>
    </w:p>
  </w:endnote>
  <w:endnote w:id="48">
    <w:p>
      <w:pPr>
        <w:pStyle w:val="Notedefin"/>
        <w:suppressLineNumbers/>
        <w:spacing w:before="57" w:after="57"/>
        <w:ind w:left="339" w:right="0" w:hanging="339"/>
        <w:rPr/>
      </w:pPr>
      <w:r>
        <w:rPr>
          <w:rStyle w:val="Caractresdenotedefin"/>
        </w:rPr>
        <w:endnoteRef/>
      </w:r>
      <w:r>
        <w:rPr/>
        <w:tab/>
      </w:r>
      <w:r>
        <w:rPr/>
        <w:t>Az ECP 112. sz. ajánlása. A német nemzeti kapcsolattartó pont 5.1. és 5.2. ajánlása. Vita a munkacsoportban.</w:t>
      </w:r>
    </w:p>
  </w:endnote>
  <w:endnote w:id="49">
    <w:p>
      <w:pPr>
        <w:pStyle w:val="Notedefin"/>
        <w:suppressLineNumbers/>
        <w:spacing w:before="57" w:after="57"/>
        <w:ind w:left="339" w:right="0" w:hanging="339"/>
        <w:rPr/>
      </w:pPr>
      <w:r>
        <w:rPr>
          <w:rStyle w:val="Caractresdenotedefin"/>
        </w:rPr>
        <w:endnoteRef/>
      </w:r>
      <w:r>
        <w:rPr/>
        <w:tab/>
      </w:r>
      <w:r>
        <w:rPr/>
        <w:t>Az ECP 112. sz. ajánlása. Vita a munkacsoportban. Vita a plenáris ülésen.</w:t>
      </w:r>
    </w:p>
  </w:endnote>
  <w:endnote w:id="50">
    <w:p>
      <w:pPr>
        <w:pStyle w:val="Notedefin"/>
        <w:suppressLineNumbers/>
        <w:spacing w:before="57" w:after="57"/>
        <w:ind w:left="339" w:right="0" w:hanging="339"/>
        <w:rPr/>
      </w:pPr>
      <w:r>
        <w:rPr>
          <w:rStyle w:val="Caractresdenotedefin"/>
        </w:rPr>
        <w:endnoteRef/>
      </w:r>
      <w:r>
        <w:rPr/>
        <w:tab/>
      </w:r>
      <w:r>
        <w:rPr/>
        <w:t>Az ECP2 10. ajánlása.</w:t>
      </w:r>
    </w:p>
  </w:endnote>
  <w:endnote w:id="51">
    <w:p>
      <w:pPr>
        <w:pStyle w:val="Notedefin"/>
        <w:suppressLineNumbers/>
        <w:spacing w:before="57" w:after="57"/>
        <w:ind w:left="339" w:right="0" w:hanging="339"/>
        <w:rPr/>
      </w:pPr>
      <w:r>
        <w:rPr>
          <w:rStyle w:val="Caractresdenotedefin"/>
        </w:rPr>
        <w:endnoteRef/>
      </w:r>
      <w:r>
        <w:rPr/>
        <w:tab/>
      </w:r>
      <w:r>
        <w:rPr/>
        <w:t>Az ECP 302. sz. ajánlása.</w:t>
      </w:r>
    </w:p>
  </w:endnote>
  <w:endnote w:id="52">
    <w:p>
      <w:pPr>
        <w:pStyle w:val="Notedefin"/>
        <w:suppressLineNumbers/>
        <w:spacing w:before="57" w:after="57"/>
        <w:ind w:left="339" w:right="0" w:hanging="339"/>
        <w:rPr/>
      </w:pPr>
      <w:r>
        <w:rPr>
          <w:rStyle w:val="Caractresdenotedefin"/>
        </w:rPr>
        <w:endnoteRef/>
      </w:r>
      <w:r>
        <w:rPr/>
        <w:tab/>
      </w:r>
      <w:r>
        <w:rPr/>
        <w:t>A polgárok ajánlásai, amelyeken a javaslat alapul: PCE2: 7, 8, 9; Holland nemzeti kapcsolattartó pont: 1.3, 4.3.</w:t>
      </w:r>
    </w:p>
  </w:endnote>
  <w:endnote w:id="53">
    <w:p>
      <w:pPr>
        <w:pStyle w:val="Notedefin"/>
        <w:suppressLineNumbers/>
        <w:spacing w:before="57" w:after="57"/>
        <w:ind w:left="339" w:right="0" w:hanging="339"/>
        <w:rPr/>
      </w:pPr>
      <w:r>
        <w:rPr>
          <w:rStyle w:val="Caractresdenotedefin"/>
        </w:rPr>
        <w:endnoteRef/>
      </w:r>
      <w:r>
        <w:rPr/>
        <w:tab/>
      </w:r>
      <w:r>
        <w:rPr/>
        <w:t>Az ECP2 7. ajánlása. Vita a munkacsoportban.</w:t>
      </w:r>
    </w:p>
  </w:endnote>
  <w:endnote w:id="54">
    <w:p>
      <w:pPr>
        <w:pStyle w:val="Notedefin"/>
        <w:suppressLineNumbers/>
        <w:spacing w:before="57" w:after="57"/>
        <w:ind w:left="339" w:right="0" w:hanging="339"/>
        <w:rPr/>
      </w:pPr>
      <w:r>
        <w:rPr>
          <w:rStyle w:val="Caractresdenotedefin"/>
        </w:rPr>
        <w:endnoteRef/>
      </w:r>
      <w:r>
        <w:rPr/>
        <w:tab/>
      </w:r>
      <w:r>
        <w:rPr/>
        <w:t>A kérdést a digitális átalakulással foglalkozó munkacsoport is megvitatta.</w:t>
      </w:r>
    </w:p>
  </w:endnote>
  <w:endnote w:id="55">
    <w:p>
      <w:pPr>
        <w:pStyle w:val="Notedefin"/>
        <w:suppressLineNumbers/>
        <w:spacing w:before="57" w:after="57"/>
        <w:ind w:left="339" w:right="0" w:hanging="339"/>
        <w:rPr/>
      </w:pPr>
      <w:r>
        <w:rPr>
          <w:rStyle w:val="Caractresdenotedefin"/>
        </w:rPr>
        <w:endnoteRef/>
      </w:r>
      <w:r>
        <w:rPr/>
        <w:tab/>
      </w:r>
      <w:r>
        <w:rPr/>
        <w:t>Az ECP2 9. ajánlása.</w:t>
      </w:r>
    </w:p>
  </w:endnote>
  <w:endnote w:id="56">
    <w:p>
      <w:pPr>
        <w:pStyle w:val="Notedefin"/>
        <w:suppressLineNumbers/>
        <w:spacing w:before="57" w:after="57"/>
        <w:ind w:left="339" w:right="0" w:hanging="339"/>
        <w:rPr/>
      </w:pPr>
      <w:r>
        <w:rPr>
          <w:rStyle w:val="Caractresdenotedefin"/>
        </w:rPr>
        <w:endnoteRef/>
      </w:r>
      <w:r>
        <w:rPr/>
        <w:tab/>
      </w:r>
      <w:r>
        <w:rPr/>
        <w:t>A kérdést a digitális átalakulással foglalkozó munkacsoport is megvitatta.</w:t>
      </w:r>
    </w:p>
  </w:endnote>
  <w:endnote w:id="57">
    <w:p>
      <w:pPr>
        <w:pStyle w:val="Notedefin"/>
        <w:suppressLineNumbers/>
        <w:spacing w:before="57" w:after="57"/>
        <w:ind w:left="339" w:right="0" w:hanging="339"/>
        <w:rPr/>
      </w:pPr>
      <w:r>
        <w:rPr>
          <w:rStyle w:val="Caractresdenotedefin"/>
        </w:rPr>
        <w:endnoteRef/>
      </w:r>
      <w:r>
        <w:rPr/>
        <w:tab/>
      </w:r>
      <w:r>
        <w:rPr/>
        <w:t>Az ECP2 8. ajánlása. A holland nemzeti kapcsolattartó pont 1.3. és 4.3. ajánlása.</w:t>
      </w:r>
    </w:p>
  </w:endnote>
  <w:endnote w:id="58">
    <w:p>
      <w:pPr>
        <w:pStyle w:val="Notedefin"/>
        <w:suppressLineNumbers/>
        <w:spacing w:before="57" w:after="57"/>
        <w:ind w:left="339" w:right="0" w:hanging="339"/>
        <w:rPr/>
      </w:pPr>
      <w:r>
        <w:rPr>
          <w:rStyle w:val="Caractresdenotedefin"/>
        </w:rPr>
        <w:endnoteRef/>
      </w:r>
      <w:r>
        <w:rPr/>
        <w:tab/>
      </w:r>
      <w:r>
        <w:rPr/>
        <w:t>Az ECP2 7. és 8. ajánlása.</w:t>
      </w:r>
    </w:p>
  </w:endnote>
  <w:endnote w:id="59">
    <w:p>
      <w:pPr>
        <w:pStyle w:val="Notedefin"/>
        <w:suppressLineNumbers/>
        <w:spacing w:before="57" w:after="57"/>
        <w:ind w:left="339" w:right="0" w:hanging="339"/>
        <w:rPr/>
      </w:pPr>
      <w:r>
        <w:rPr>
          <w:rStyle w:val="Caractresdenotedefin"/>
        </w:rPr>
        <w:endnoteRef/>
      </w:r>
      <w:r>
        <w:rPr/>
        <w:tab/>
      </w:r>
      <w:r>
        <w:rPr/>
        <w:t>A kérdést a digitális átalakulással foglalkozó munkacsoport is megvitatta.</w:t>
      </w:r>
    </w:p>
  </w:endnote>
  <w:endnote w:id="60">
    <w:p>
      <w:pPr>
        <w:pStyle w:val="Notedefin"/>
        <w:suppressLineNumbers/>
        <w:spacing w:before="57" w:after="57"/>
        <w:ind w:left="339" w:right="0" w:hanging="339"/>
        <w:rPr/>
      </w:pPr>
      <w:r>
        <w:rPr>
          <w:rStyle w:val="Caractresdenotedefin"/>
        </w:rPr>
        <w:endnoteRef/>
      </w:r>
      <w:r>
        <w:rPr/>
        <w:tab/>
      </w:r>
      <w:r>
        <w:rPr/>
        <w:t>A polgárok ajánlásai, amelyeken a javaslat alapul: PCE2: 5, 12, 13, 17, 28; Belga nemzeti kapcsolattartó pont: 1.5.1, 2.1.1–2.4.3.; Holland nemzeti kapcsolattartó pont: 3.1.</w:t>
      </w:r>
    </w:p>
  </w:endnote>
  <w:endnote w:id="61">
    <w:p>
      <w:pPr>
        <w:pStyle w:val="Notedefin"/>
        <w:suppressLineNumbers/>
        <w:spacing w:before="57" w:after="57"/>
        <w:ind w:left="339" w:right="0" w:hanging="339"/>
        <w:rPr/>
      </w:pPr>
      <w:r>
        <w:rPr>
          <w:rStyle w:val="Caractresdenotedefin"/>
        </w:rPr>
        <w:endnoteRef/>
      </w:r>
      <w:r>
        <w:rPr/>
        <w:tab/>
      </w:r>
      <w:r>
        <w:rPr/>
        <w:t>Az ECP2 5. ajánlása. A belga nemzeti kapcsolattartó pont 2.1.1. ajánlása. A holland nemzeti kapcsolattartó pont 3.1. ajánlása.</w:t>
      </w:r>
    </w:p>
  </w:endnote>
  <w:endnote w:id="62">
    <w:p>
      <w:pPr>
        <w:pStyle w:val="Notedefin"/>
        <w:suppressLineNumbers/>
        <w:spacing w:before="57" w:after="57"/>
        <w:ind w:left="339" w:right="0" w:hanging="339"/>
        <w:rPr/>
      </w:pPr>
      <w:r>
        <w:rPr>
          <w:rStyle w:val="Caractresdenotedefin"/>
        </w:rPr>
        <w:endnoteRef/>
      </w:r>
      <w:r>
        <w:rPr/>
        <w:tab/>
      </w:r>
      <w:r>
        <w:rPr/>
        <w:t>Az ECP 122. ajánlása. A belga nemzeti kapcsolattartó pont 2.1.4. ajánlása.</w:t>
      </w:r>
    </w:p>
  </w:endnote>
  <w:endnote w:id="63">
    <w:p>
      <w:pPr>
        <w:pStyle w:val="Notedefin"/>
        <w:suppressLineNumbers/>
        <w:spacing w:before="57" w:after="57"/>
        <w:ind w:left="339" w:right="0" w:hanging="339"/>
        <w:rPr/>
      </w:pPr>
      <w:r>
        <w:rPr>
          <w:rStyle w:val="Caractresdenotedefin"/>
        </w:rPr>
        <w:endnoteRef/>
      </w:r>
      <w:r>
        <w:rPr/>
        <w:tab/>
      </w:r>
      <w:r>
        <w:rPr/>
        <w:t>PCE2 17. és 28. ajánlás. A belga nemzeti kapcsolattartó pont 1.5.1., 2.1.3., 2.2.1. és 2.2.2. ajánlása.</w:t>
      </w:r>
    </w:p>
  </w:endnote>
  <w:endnote w:id="64">
    <w:p>
      <w:pPr>
        <w:pStyle w:val="Notedefin"/>
        <w:suppressLineNumbers/>
        <w:spacing w:before="57" w:after="57"/>
        <w:ind w:left="339" w:right="0" w:hanging="339"/>
        <w:rPr/>
      </w:pPr>
      <w:r>
        <w:rPr>
          <w:rStyle w:val="Caractresdenotedefin"/>
        </w:rPr>
        <w:endnoteRef/>
      </w:r>
      <w:r>
        <w:rPr/>
        <w:tab/>
      </w:r>
      <w:r>
        <w:rPr/>
        <w:t>A kérdést a digitális átalakulással foglalkozó munkacsoport is megvitatta.</w:t>
      </w:r>
    </w:p>
  </w:endnote>
  <w:endnote w:id="65">
    <w:p>
      <w:pPr>
        <w:pStyle w:val="Notedefin"/>
        <w:suppressLineNumbers/>
        <w:spacing w:before="57" w:after="57"/>
        <w:ind w:left="339" w:right="0" w:hanging="339"/>
        <w:rPr/>
      </w:pPr>
      <w:r>
        <w:rPr>
          <w:rStyle w:val="Caractresdenotedefin"/>
        </w:rPr>
        <w:endnoteRef/>
      </w:r>
      <w:r>
        <w:rPr/>
        <w:tab/>
      </w:r>
      <w:r>
        <w:rPr/>
        <w:t>PCE2 5. és 28. ajánlás. A belga nemzeti kapcsolattartó pont 2.3.2. és 2.3.3. ajánlása.</w:t>
      </w:r>
    </w:p>
  </w:endnote>
  <w:endnote w:id="66">
    <w:p>
      <w:pPr>
        <w:pStyle w:val="Notedefin"/>
        <w:suppressLineNumbers/>
        <w:spacing w:before="57" w:after="57"/>
        <w:ind w:left="339" w:right="0" w:hanging="339"/>
        <w:rPr/>
      </w:pPr>
      <w:r>
        <w:rPr>
          <w:rStyle w:val="Caractresdenotedefin"/>
        </w:rPr>
        <w:endnoteRef/>
      </w:r>
      <w:r>
        <w:rPr/>
        <w:tab/>
      </w:r>
      <w:r>
        <w:rPr/>
        <w:t>Az ECP 282. sz. ajánlása. A belga nemzeti kapcsolattartó pont 2.3.1., 2.4.1. és 2.4.2. ajánlása.</w:t>
      </w:r>
    </w:p>
  </w:endnote>
  <w:endnote w:id="67">
    <w:p>
      <w:pPr>
        <w:pStyle w:val="Notedefin"/>
        <w:suppressLineNumbers/>
        <w:spacing w:before="57" w:after="57"/>
        <w:ind w:left="339" w:right="0" w:hanging="339"/>
        <w:rPr/>
      </w:pPr>
      <w:r>
        <w:rPr>
          <w:rStyle w:val="Caractresdenotedefin"/>
        </w:rPr>
        <w:endnoteRef/>
      </w:r>
      <w:r>
        <w:rPr/>
        <w:tab/>
      </w:r>
      <w:r>
        <w:rPr/>
        <w:t>A kérdést a digitális átalakulással foglalkozó munkacsoport is megvitatta.</w:t>
      </w:r>
    </w:p>
  </w:endnote>
  <w:endnote w:id="68">
    <w:p>
      <w:pPr>
        <w:pStyle w:val="Notedefin"/>
        <w:suppressLineNumbers/>
        <w:spacing w:before="57" w:after="57"/>
        <w:ind w:left="339" w:right="0" w:hanging="339"/>
        <w:rPr/>
      </w:pPr>
      <w:r>
        <w:rPr>
          <w:rStyle w:val="Caractresdenotedefin"/>
        </w:rPr>
        <w:endnoteRef/>
      </w:r>
      <w:r>
        <w:rPr/>
        <w:tab/>
      </w:r>
      <w:r>
        <w:rPr/>
        <w:t>Az ECP 132. ajánlása.</w:t>
      </w:r>
    </w:p>
  </w:endnote>
  <w:endnote w:id="69">
    <w:p>
      <w:pPr>
        <w:pStyle w:val="Notedefin"/>
        <w:suppressLineNumbers/>
        <w:spacing w:before="57" w:after="57"/>
        <w:ind w:left="339" w:right="0" w:hanging="339"/>
        <w:rPr/>
      </w:pPr>
      <w:r>
        <w:rPr>
          <w:rStyle w:val="Caractresdenotedefin"/>
        </w:rPr>
        <w:endnoteRef/>
      </w:r>
      <w:r>
        <w:rPr/>
        <w:tab/>
      </w:r>
      <w:r>
        <w:rPr/>
        <w:t>A kérdést a digitális átalakulással foglalkozó munkacsoport is megvitatta.</w:t>
      </w:r>
    </w:p>
  </w:endnote>
  <w:endnote w:id="70">
    <w:p>
      <w:pPr>
        <w:pStyle w:val="Notedefin"/>
        <w:suppressLineNumbers/>
        <w:spacing w:before="57" w:after="57"/>
        <w:ind w:left="339" w:right="0" w:hanging="339"/>
        <w:rPr/>
      </w:pPr>
      <w:r>
        <w:rPr>
          <w:rStyle w:val="Caractresdenotedefin"/>
        </w:rPr>
        <w:endnoteRef/>
      </w:r>
      <w:r>
        <w:rPr/>
        <w:tab/>
      </w:r>
      <w:r>
        <w:rPr/>
        <w:t>Az ECP 132. ajánlása.</w:t>
      </w:r>
    </w:p>
  </w:endnote>
  <w:endnote w:id="71">
    <w:p>
      <w:pPr>
        <w:pStyle w:val="Notedefin"/>
        <w:suppressLineNumbers/>
        <w:spacing w:before="57" w:after="57"/>
        <w:ind w:left="339" w:right="0" w:hanging="339"/>
        <w:rPr/>
      </w:pPr>
      <w:r>
        <w:rPr>
          <w:rStyle w:val="Caractresdenotedefin"/>
        </w:rPr>
        <w:endnoteRef/>
      </w:r>
      <w:r>
        <w:rPr/>
        <w:tab/>
      </w:r>
      <w:r>
        <w:rPr/>
        <w:t>A kérdést a digitális átalakulással foglalkozó munkacsoport is megvitatta.</w:t>
      </w:r>
    </w:p>
  </w:endnote>
  <w:endnote w:id="72">
    <w:p>
      <w:pPr>
        <w:pStyle w:val="Notedefin"/>
        <w:suppressLineNumbers/>
        <w:spacing w:before="57" w:after="57"/>
        <w:ind w:left="339" w:right="0" w:hanging="339"/>
        <w:rPr/>
      </w:pPr>
      <w:r>
        <w:rPr>
          <w:rStyle w:val="Caractresdenotedefin"/>
        </w:rPr>
        <w:endnoteRef/>
      </w:r>
      <w:r>
        <w:rPr/>
        <w:tab/>
      </w:r>
      <w:r>
        <w:rPr/>
        <w:t>A polgárok ajánlásai, amelyeken a javaslat alapul: PCE2: 1, 2, 21, 22, 23; Holland nemzeti kapcsolattartó pont: 1.1.</w:t>
      </w:r>
    </w:p>
  </w:endnote>
  <w:endnote w:id="73">
    <w:p>
      <w:pPr>
        <w:pStyle w:val="Notedefin"/>
        <w:suppressLineNumbers/>
        <w:spacing w:before="57" w:after="57"/>
        <w:ind w:left="339" w:right="0" w:hanging="339"/>
        <w:rPr/>
      </w:pPr>
      <w:r>
        <w:rPr>
          <w:rStyle w:val="Caractresdenotedefin"/>
        </w:rPr>
        <w:endnoteRef/>
      </w:r>
      <w:r>
        <w:rPr/>
        <w:tab/>
      </w:r>
      <w:r>
        <w:rPr/>
        <w:t>Az ECP 222. ajánlása. Vita a munkacsoportban.</w:t>
      </w:r>
    </w:p>
  </w:endnote>
  <w:endnote w:id="74">
    <w:p>
      <w:pPr>
        <w:pStyle w:val="Notedefin"/>
        <w:suppressLineNumbers/>
        <w:spacing w:before="57" w:after="57"/>
        <w:ind w:left="339" w:right="0" w:hanging="339"/>
        <w:rPr/>
      </w:pPr>
      <w:r>
        <w:rPr>
          <w:rStyle w:val="Caractresdenotedefin"/>
        </w:rPr>
        <w:endnoteRef/>
      </w:r>
      <w:r>
        <w:rPr/>
        <w:tab/>
      </w:r>
      <w:r>
        <w:rPr/>
        <w:t>A kérdést az erősebb gazdasággal, a társadalmi igazságossággal és a foglalkoztatással foglalkozó munkacsoport is megvitatta.</w:t>
      </w:r>
    </w:p>
  </w:endnote>
  <w:endnote w:id="75">
    <w:p>
      <w:pPr>
        <w:pStyle w:val="Notedefin"/>
        <w:suppressLineNumbers/>
        <w:spacing w:before="57" w:after="57"/>
        <w:ind w:left="339" w:right="0" w:hanging="339"/>
        <w:rPr/>
      </w:pPr>
      <w:r>
        <w:rPr>
          <w:rStyle w:val="Caractresdenotedefin"/>
        </w:rPr>
        <w:endnoteRef/>
      </w:r>
      <w:r>
        <w:rPr/>
        <w:tab/>
      </w:r>
      <w:r>
        <w:rPr/>
        <w:t>Az ECP 212. ajánlása. A holland nemzeti kapcsolattartó pont 1.1. ajánlása.</w:t>
      </w:r>
    </w:p>
  </w:endnote>
  <w:endnote w:id="76">
    <w:p>
      <w:pPr>
        <w:pStyle w:val="Notedefin"/>
        <w:suppressLineNumbers/>
        <w:spacing w:before="57" w:after="57"/>
        <w:ind w:left="339" w:right="0" w:hanging="339"/>
        <w:rPr/>
      </w:pPr>
      <w:r>
        <w:rPr>
          <w:rStyle w:val="Caractresdenotedefin"/>
        </w:rPr>
        <w:endnoteRef/>
      </w:r>
      <w:r>
        <w:rPr/>
        <w:tab/>
      </w:r>
      <w:r>
        <w:rPr/>
        <w:t>Az ECP 232. sz. ajánlása.</w:t>
      </w:r>
    </w:p>
  </w:endnote>
  <w:endnote w:id="77">
    <w:p>
      <w:pPr>
        <w:pStyle w:val="Notedefin"/>
        <w:suppressLineNumbers/>
        <w:spacing w:before="57" w:after="57"/>
        <w:ind w:left="339" w:right="0" w:hanging="339"/>
        <w:rPr/>
      </w:pPr>
      <w:r>
        <w:rPr>
          <w:rStyle w:val="Caractresdenotedefin"/>
        </w:rPr>
        <w:endnoteRef/>
      </w:r>
      <w:r>
        <w:rPr/>
        <w:tab/>
      </w:r>
      <w:r>
        <w:rPr/>
        <w:t>A kérdést az erősebb gazdasággal, a társadalmi igazságossággal és a foglalkoztatással foglalkozó munkacsoport is megvitatta.</w:t>
      </w:r>
    </w:p>
  </w:endnote>
  <w:endnote w:id="78">
    <w:p>
      <w:pPr>
        <w:pStyle w:val="Notedefin"/>
        <w:suppressLineNumbers/>
        <w:spacing w:before="57" w:after="57"/>
        <w:ind w:left="339" w:right="0" w:hanging="339"/>
        <w:rPr/>
      </w:pPr>
      <w:r>
        <w:rPr>
          <w:rStyle w:val="Caractresdenotedefin"/>
        </w:rPr>
        <w:endnoteRef/>
      </w:r>
      <w:r>
        <w:rPr/>
        <w:tab/>
      </w:r>
      <w:r>
        <w:rPr/>
        <w:t>Az ECP2 1. ajánlása. Vita a munkacsoportban.</w:t>
      </w:r>
    </w:p>
  </w:endnote>
  <w:endnote w:id="79">
    <w:p>
      <w:pPr>
        <w:pStyle w:val="Notedefin"/>
        <w:suppressLineNumbers/>
        <w:spacing w:before="57" w:after="57"/>
        <w:ind w:left="339" w:right="0" w:hanging="339"/>
        <w:rPr/>
      </w:pPr>
      <w:r>
        <w:rPr>
          <w:rStyle w:val="Caractresdenotedefin"/>
        </w:rPr>
        <w:endnoteRef/>
      </w:r>
      <w:r>
        <w:rPr/>
        <w:tab/>
      </w:r>
      <w:r>
        <w:rPr/>
        <w:t>Az ECP2 2. ajánlása. Vita a munkacsoportban.</w:t>
      </w:r>
    </w:p>
  </w:endnote>
  <w:endnote w:id="80">
    <w:p>
      <w:pPr>
        <w:pStyle w:val="Notedefin"/>
        <w:suppressLineNumbers/>
        <w:spacing w:before="57" w:after="57"/>
        <w:ind w:left="339" w:right="0" w:hanging="339"/>
        <w:rPr/>
      </w:pPr>
      <w:r>
        <w:rPr>
          <w:rStyle w:val="Caractresdenotedefin"/>
        </w:rPr>
        <w:endnoteRef/>
      </w:r>
      <w:r>
        <w:rPr/>
        <w:tab/>
      </w:r>
      <w:r>
        <w:rPr/>
        <w:t>A polgárok ajánlásai, amelyeken a javaslat alapul: PCE2: 3, 4, 6.</w:t>
      </w:r>
    </w:p>
  </w:endnote>
  <w:endnote w:id="81">
    <w:p>
      <w:pPr>
        <w:pStyle w:val="Notedefin"/>
        <w:suppressLineNumbers/>
        <w:spacing w:before="57" w:after="57"/>
        <w:ind w:left="339" w:right="0" w:hanging="339"/>
        <w:rPr/>
      </w:pPr>
      <w:r>
        <w:rPr>
          <w:rStyle w:val="Caractresdenotedefin"/>
        </w:rPr>
        <w:endnoteRef/>
      </w:r>
      <w:r>
        <w:rPr/>
        <w:tab/>
      </w:r>
      <w:r>
        <w:rPr/>
        <w:t>Az ECP2 3. ajánlása.</w:t>
      </w:r>
    </w:p>
  </w:endnote>
  <w:endnote w:id="82">
    <w:p>
      <w:pPr>
        <w:pStyle w:val="Notedefin"/>
        <w:suppressLineNumbers/>
        <w:spacing w:before="57" w:after="57"/>
        <w:ind w:left="339" w:right="0" w:hanging="339"/>
        <w:rPr/>
      </w:pPr>
      <w:r>
        <w:rPr>
          <w:rStyle w:val="Caractresdenotedefin"/>
        </w:rPr>
        <w:endnoteRef/>
      </w:r>
      <w:r>
        <w:rPr/>
        <w:tab/>
      </w:r>
      <w:r>
        <w:rPr/>
        <w:t>A kérdést az éghajlatváltozással és a környezettel foglalkozó munkacsoport is megvitatta.</w:t>
      </w:r>
    </w:p>
  </w:endnote>
  <w:endnote w:id="83">
    <w:p>
      <w:pPr>
        <w:pStyle w:val="Notedefin"/>
        <w:suppressLineNumbers/>
        <w:spacing w:before="57" w:after="57"/>
        <w:ind w:left="339" w:right="0" w:hanging="339"/>
        <w:rPr/>
      </w:pPr>
      <w:r>
        <w:rPr>
          <w:rStyle w:val="Caractresdenotedefin"/>
        </w:rPr>
        <w:endnoteRef/>
      </w:r>
      <w:r>
        <w:rPr/>
        <w:tab/>
      </w:r>
      <w:r>
        <w:rPr/>
        <w:t>Az ECP2 4. ajánlása.</w:t>
      </w:r>
    </w:p>
  </w:endnote>
  <w:endnote w:id="84">
    <w:p>
      <w:pPr>
        <w:pStyle w:val="Notedefin"/>
        <w:suppressLineNumbers/>
        <w:spacing w:before="57" w:after="57"/>
        <w:ind w:left="339" w:right="0" w:hanging="339"/>
        <w:rPr/>
      </w:pPr>
      <w:r>
        <w:rPr>
          <w:rStyle w:val="Caractresdenotedefin"/>
        </w:rPr>
        <w:endnoteRef/>
      </w:r>
      <w:r>
        <w:rPr/>
        <w:tab/>
      </w:r>
      <w:r>
        <w:rPr/>
        <w:t>Az ECP2 6. ajánlása.</w:t>
      </w:r>
    </w:p>
  </w:endnote>
  <w:endnote w:id="85">
    <w:p>
      <w:pPr>
        <w:pStyle w:val="Notedefin"/>
        <w:suppressLineNumbers/>
        <w:spacing w:before="57" w:after="57"/>
        <w:ind w:left="339" w:right="0" w:hanging="339"/>
        <w:rPr/>
      </w:pPr>
      <w:r>
        <w:rPr>
          <w:rStyle w:val="Caractresdenotedefin"/>
        </w:rPr>
        <w:endnoteRef/>
      </w:r>
      <w:r>
        <w:rPr/>
        <w:tab/>
      </w:r>
      <w:r>
        <w:rPr/>
        <w:t>A kérdést az éghajlatváltozással és a környezettel foglalkozó munkacsoport is megvitatta.</w:t>
      </w:r>
    </w:p>
  </w:endnote>
  <w:endnote w:id="86">
    <w:p>
      <w:pPr>
        <w:pStyle w:val="Notedefin"/>
        <w:suppressLineNumbers/>
        <w:spacing w:before="57" w:after="57"/>
        <w:ind w:left="339" w:right="0" w:hanging="339"/>
        <w:rPr/>
      </w:pPr>
      <w:r>
        <w:rPr>
          <w:rStyle w:val="Caractresdenotedefin"/>
        </w:rPr>
        <w:endnoteRef/>
      </w:r>
      <w:r>
        <w:rPr/>
        <w:tab/>
      </w:r>
      <w:r>
        <w:rPr/>
        <w:t>A polgárok ajánlásai, amelyeken a javaslat alapul: Az Európai Polgárok 1. panelje (ECP 1): 17, 40, 47; Holland Nemzeti Polgári Testület (NCP) 1. sz.</w:t>
      </w:r>
    </w:p>
  </w:endnote>
  <w:endnote w:id="87">
    <w:p>
      <w:pPr>
        <w:pStyle w:val="Notedefin"/>
        <w:suppressLineNumbers/>
        <w:spacing w:before="57" w:after="57"/>
        <w:ind w:left="339" w:right="0" w:hanging="339"/>
        <w:rPr/>
      </w:pPr>
      <w:r>
        <w:rPr>
          <w:rStyle w:val="Caractresdenotedefin"/>
        </w:rPr>
        <w:endnoteRef/>
      </w:r>
      <w:r>
        <w:rPr/>
        <w:tab/>
      </w:r>
      <w:r>
        <w:rPr/>
        <w:t>Lásd az ECP 3 38. ajánlásához vezető linket az elektromos járművek infrastruktúrája tekintetében.</w:t>
      </w:r>
    </w:p>
  </w:endnote>
  <w:endnote w:id="88">
    <w:p>
      <w:pPr>
        <w:pStyle w:val="Notedefin"/>
        <w:suppressLineNumbers/>
        <w:spacing w:before="57" w:after="57"/>
        <w:ind w:left="339" w:right="0" w:hanging="339"/>
        <w:rPr/>
      </w:pPr>
      <w:r>
        <w:rPr>
          <w:rStyle w:val="Caractresdenotedefin"/>
        </w:rPr>
        <w:endnoteRef/>
      </w:r>
      <w:r>
        <w:rPr/>
        <w:tab/>
      </w:r>
      <w:r>
        <w:rPr/>
        <w:t>A polgárok ajánlásai, amelyeken a javaslat alapul: Az Európai Polgárok 1. panelje (ECP 1): 8, 34 és 47; Olasz Nemzeti Polgári Panel (NCP) 5.2.</w:t>
      </w:r>
    </w:p>
  </w:endnote>
  <w:endnote w:id="89">
    <w:p>
      <w:pPr>
        <w:pStyle w:val="Notedefin"/>
        <w:suppressLineNumbers/>
        <w:spacing w:before="57" w:after="57"/>
        <w:ind w:left="339" w:right="0" w:hanging="339"/>
        <w:rPr/>
      </w:pPr>
      <w:r>
        <w:rPr>
          <w:rStyle w:val="Caractresdenotedefin"/>
        </w:rPr>
        <w:endnoteRef/>
      </w:r>
      <w:r>
        <w:rPr/>
        <w:tab/>
      </w:r>
      <w:r>
        <w:rPr/>
        <w:t>A polgárok ajánlásai, amelyeken a javaslat alapul: az európai polgári vitacsoport (CEP 1) 39. és 46. ajánlása, valamint a litván nemzeti polgári munkacsoport (NCP) és a holland nemzeti kapcsolattartó pont 2.6. ajánlása.</w:t>
      </w:r>
    </w:p>
  </w:endnote>
  <w:endnote w:id="90">
    <w:p>
      <w:pPr>
        <w:pStyle w:val="Notedefin"/>
        <w:suppressLineNumbers/>
        <w:spacing w:before="57" w:after="57"/>
        <w:ind w:left="339" w:right="0" w:hanging="339"/>
        <w:rPr/>
      </w:pPr>
      <w:r>
        <w:rPr>
          <w:rStyle w:val="Caractresdenotedefin"/>
        </w:rPr>
        <w:endnoteRef/>
      </w:r>
      <w:r>
        <w:rPr/>
        <w:tab/>
      </w:r>
      <w:r>
        <w:rPr/>
        <w:t>A polgárok ajánlásai, amelyeken a javaslat alapul: az 1. számú európai polgári testület 42., 43., 44. és 45. ajánlása, valamint a holland nemzeti polgári testület (NCP) 2. ajánlása.</w:t>
      </w:r>
    </w:p>
  </w:endnote>
  <w:endnote w:id="91">
    <w:p>
      <w:pPr>
        <w:pStyle w:val="Notedefin"/>
        <w:suppressLineNumbers/>
        <w:spacing w:before="57" w:after="57"/>
        <w:ind w:left="339" w:right="0" w:hanging="339"/>
        <w:rPr/>
      </w:pPr>
      <w:r>
        <w:rPr>
          <w:rStyle w:val="Caractresdenotedefin"/>
        </w:rPr>
        <w:endnoteRef/>
      </w:r>
      <w:r>
        <w:rPr/>
        <w:tab/>
      </w:r>
      <w:r>
        <w:rPr/>
        <w:t>A polgárok ajánlásai, amelyeken a javaslat alapul: Az 1. számú európai polgári vitacsoport (PCE 1) 7., 16. és 17. számú, valamint Németország és Olaszország nemzeti polgári testületei 1.3.</w:t>
      </w:r>
    </w:p>
  </w:endnote>
  <w:endnote w:id="92">
    <w:p>
      <w:pPr>
        <w:pStyle w:val="Notedefin"/>
        <w:suppressLineNumbers/>
        <w:spacing w:before="57" w:after="57"/>
        <w:ind w:left="339" w:right="0" w:hanging="339"/>
        <w:rPr/>
      </w:pPr>
      <w:r>
        <w:rPr>
          <w:rStyle w:val="Caractresdenotedefin"/>
        </w:rPr>
        <w:endnoteRef/>
      </w:r>
      <w:r>
        <w:rPr/>
        <w:tab/>
      </w:r>
      <w:r>
        <w:rPr/>
        <w:t>Az erősebb gazdasággal foglalkozó munkacsoport javaslataival összefüggésben vizsgálandó.</w:t>
      </w:r>
    </w:p>
  </w:endnote>
  <w:endnote w:id="93">
    <w:p>
      <w:pPr>
        <w:pStyle w:val="Notedefin"/>
        <w:suppressLineNumbers/>
        <w:spacing w:before="57" w:after="57"/>
        <w:ind w:left="339" w:right="0" w:hanging="339"/>
        <w:rPr/>
      </w:pPr>
      <w:r>
        <w:rPr>
          <w:rStyle w:val="Caractresdenotedefin"/>
        </w:rPr>
        <w:endnoteRef/>
      </w:r>
      <w:r>
        <w:rPr/>
        <w:tab/>
      </w:r>
      <w:r>
        <w:rPr/>
        <w:t>A munkacsoport 3A. és 3B. módosítása.</w:t>
      </w:r>
    </w:p>
  </w:endnote>
  <w:endnote w:id="94">
    <w:p>
      <w:pPr>
        <w:pStyle w:val="Notedefin"/>
        <w:suppressLineNumbers/>
        <w:spacing w:before="57" w:after="57"/>
        <w:ind w:left="339" w:right="0" w:hanging="339"/>
        <w:rPr/>
      </w:pPr>
      <w:r>
        <w:rPr>
          <w:rStyle w:val="Caractresdenotedefin"/>
        </w:rPr>
        <w:endnoteRef/>
      </w:r>
      <w:r>
        <w:rPr/>
        <w:tab/>
      </w:r>
      <w:r>
        <w:rPr/>
        <w:t>Az európai polgári vitacsoport (PCE 2) 32. és 37. ajánlása; BE, FR és NL nemzeti panelek.</w:t>
      </w:r>
    </w:p>
  </w:endnote>
  <w:endnote w:id="95">
    <w:p>
      <w:pPr>
        <w:pStyle w:val="Notedefin"/>
        <w:suppressLineNumbers/>
        <w:spacing w:before="57" w:after="57"/>
        <w:ind w:left="339" w:right="0" w:hanging="339"/>
        <w:rPr/>
      </w:pPr>
      <w:r>
        <w:rPr>
          <w:rStyle w:val="Caractresdenotedefin"/>
        </w:rPr>
        <w:endnoteRef/>
      </w:r>
      <w:r>
        <w:rPr/>
        <w:tab/>
      </w:r>
      <w:r>
        <w:rPr/>
        <w:t>Nemzeti testület FR.</w:t>
      </w:r>
    </w:p>
  </w:endnote>
  <w:endnote w:id="96">
    <w:p>
      <w:pPr>
        <w:pStyle w:val="Notedefin"/>
        <w:suppressLineNumbers/>
        <w:spacing w:before="57" w:after="57"/>
        <w:ind w:left="339" w:right="0" w:hanging="339"/>
        <w:rPr/>
      </w:pPr>
      <w:r>
        <w:rPr>
          <w:rStyle w:val="Caractresdenotedefin"/>
        </w:rPr>
        <w:endnoteRef/>
      </w:r>
      <w:r>
        <w:rPr/>
        <w:tab/>
      </w:r>
      <w:r>
        <w:rPr/>
        <w:t>A munkacsoport 8. módosítása, tömörebb megfogalmazás.</w:t>
      </w:r>
    </w:p>
  </w:endnote>
  <w:endnote w:id="97">
    <w:p>
      <w:pPr>
        <w:pStyle w:val="Notedefin"/>
        <w:suppressLineNumbers/>
        <w:spacing w:before="57" w:after="57"/>
        <w:ind w:left="339" w:right="0" w:hanging="339"/>
        <w:rPr/>
      </w:pPr>
      <w:r>
        <w:rPr>
          <w:rStyle w:val="Caractresdenotedefin"/>
        </w:rPr>
        <w:endnoteRef/>
      </w:r>
      <w:r>
        <w:rPr/>
        <w:tab/>
      </w:r>
      <w:r>
        <w:rPr/>
        <w:t>Az ECP 29. sz. ajánlása 2.</w:t>
      </w:r>
    </w:p>
  </w:endnote>
  <w:endnote w:id="98">
    <w:p>
      <w:pPr>
        <w:pStyle w:val="Notedefin"/>
        <w:suppressLineNumbers/>
        <w:spacing w:before="57" w:after="57"/>
        <w:ind w:left="339" w:right="0" w:hanging="339"/>
        <w:rPr/>
      </w:pPr>
      <w:r>
        <w:rPr>
          <w:rStyle w:val="Caractresdenotedefin"/>
        </w:rPr>
        <w:endnoteRef/>
      </w:r>
      <w:r>
        <w:rPr/>
        <w:tab/>
      </w:r>
      <w:r>
        <w:rPr/>
        <w:t>ECP 2 19. és 32. ajánlás; a BE és FR nemzeti testületei és DK-képviselői a nemzeti rendezvényeken.</w:t>
      </w:r>
    </w:p>
  </w:endnote>
  <w:endnote w:id="99">
    <w:p>
      <w:pPr>
        <w:pStyle w:val="Notedefin"/>
        <w:suppressLineNumbers/>
        <w:spacing w:before="57" w:after="57"/>
        <w:ind w:left="339" w:right="0" w:hanging="339"/>
        <w:rPr/>
      </w:pPr>
      <w:r>
        <w:rPr>
          <w:rStyle w:val="Caractresdenotedefin"/>
        </w:rPr>
        <w:endnoteRef/>
      </w:r>
      <w:r>
        <w:rPr/>
        <w:tab/>
      </w:r>
      <w:r>
        <w:rPr/>
        <w:t>Országos testület BE.</w:t>
      </w:r>
    </w:p>
  </w:endnote>
  <w:endnote w:id="100">
    <w:p>
      <w:pPr>
        <w:pStyle w:val="Notedefin"/>
        <w:suppressLineNumbers/>
        <w:spacing w:before="57" w:after="57"/>
        <w:ind w:left="339" w:right="0" w:hanging="339"/>
        <w:rPr/>
      </w:pPr>
      <w:r>
        <w:rPr>
          <w:rStyle w:val="Caractresdenotedefin"/>
        </w:rPr>
        <w:endnoteRef/>
      </w:r>
      <w:r>
        <w:rPr/>
        <w:tab/>
      </w:r>
      <w:r>
        <w:rPr/>
        <w:t>A munkacsoport 7B. módosítása.</w:t>
      </w:r>
    </w:p>
  </w:endnote>
  <w:endnote w:id="101">
    <w:p>
      <w:pPr>
        <w:pStyle w:val="Notedefin"/>
        <w:suppressLineNumbers/>
        <w:spacing w:before="57" w:after="57"/>
        <w:ind w:left="339" w:right="0" w:hanging="339"/>
        <w:rPr/>
      </w:pPr>
      <w:r>
        <w:rPr>
          <w:rStyle w:val="Caractresdenotedefin"/>
        </w:rPr>
        <w:endnoteRef/>
      </w:r>
      <w:r>
        <w:rPr/>
        <w:tab/>
      </w:r>
      <w:r>
        <w:rPr/>
        <w:t>Országos testület BE.</w:t>
      </w:r>
    </w:p>
  </w:endnote>
  <w:endnote w:id="102">
    <w:p>
      <w:pPr>
        <w:pStyle w:val="Notedefin"/>
        <w:suppressLineNumbers/>
        <w:spacing w:before="57" w:after="57"/>
        <w:ind w:left="339" w:right="0" w:hanging="339"/>
        <w:rPr/>
      </w:pPr>
      <w:r>
        <w:rPr>
          <w:rStyle w:val="Caractresdenotedefin"/>
        </w:rPr>
        <w:endnoteRef/>
      </w:r>
      <w:r>
        <w:rPr/>
        <w:tab/>
      </w:r>
      <w:r>
        <w:rPr/>
        <w:t>Kantar zárójelentés, 85. o.</w:t>
      </w:r>
    </w:p>
  </w:endnote>
  <w:endnote w:id="103">
    <w:p>
      <w:pPr>
        <w:pStyle w:val="Notedefin"/>
        <w:suppressLineNumbers/>
        <w:spacing w:before="57" w:after="57"/>
        <w:ind w:left="339" w:right="0" w:hanging="339"/>
        <w:rPr/>
      </w:pPr>
      <w:r>
        <w:rPr>
          <w:rStyle w:val="Caractresdenotedefin"/>
        </w:rPr>
        <w:endnoteRef/>
      </w:r>
      <w:r>
        <w:rPr/>
        <w:tab/>
      </w:r>
      <w:r>
        <w:rPr/>
        <w:t>Az ECP 2 39. ajánlása; a 3. számú nemzeti testület BE.</w:t>
      </w:r>
    </w:p>
  </w:endnote>
  <w:endnote w:id="104">
    <w:p>
      <w:pPr>
        <w:pStyle w:val="Notedefin"/>
        <w:suppressLineNumbers/>
        <w:spacing w:before="57" w:after="57"/>
        <w:ind w:left="339" w:right="0" w:hanging="339"/>
        <w:rPr/>
      </w:pPr>
      <w:r>
        <w:rPr>
          <w:rStyle w:val="Caractresdenotedefin"/>
        </w:rPr>
        <w:endnoteRef/>
      </w:r>
      <w:r>
        <w:rPr/>
        <w:tab/>
      </w:r>
      <w:r>
        <w:rPr/>
        <w:t>A munkacsoport 10A. módosítása, tömörebb megfogalmazás.</w:t>
      </w:r>
    </w:p>
  </w:endnote>
  <w:endnote w:id="105">
    <w:p>
      <w:pPr>
        <w:pStyle w:val="Notedefin"/>
        <w:suppressLineNumbers/>
        <w:spacing w:before="57" w:after="57"/>
        <w:ind w:left="339" w:right="0" w:hanging="339"/>
        <w:rPr/>
      </w:pPr>
      <w:r>
        <w:rPr>
          <w:rStyle w:val="Caractresdenotedefin"/>
        </w:rPr>
        <w:endnoteRef/>
      </w:r>
      <w:r>
        <w:rPr/>
        <w:tab/>
      </w:r>
      <w:r>
        <w:rPr/>
        <w:t>DK képviselője a nemzeti eseményeknek.</w:t>
      </w:r>
    </w:p>
  </w:endnote>
  <w:endnote w:id="106">
    <w:p>
      <w:pPr>
        <w:pStyle w:val="Notedefin"/>
        <w:suppressLineNumbers/>
        <w:spacing w:before="57" w:after="57"/>
        <w:ind w:left="339" w:right="0" w:hanging="339"/>
        <w:rPr/>
      </w:pPr>
      <w:r>
        <w:rPr>
          <w:rStyle w:val="Caractresdenotedefin"/>
        </w:rPr>
        <w:endnoteRef/>
      </w:r>
      <w:r>
        <w:rPr/>
        <w:tab/>
      </w:r>
      <w:r>
        <w:rPr/>
        <w:t>A munkacsoport 54C. módosítása.</w:t>
      </w:r>
    </w:p>
  </w:endnote>
  <w:endnote w:id="107">
    <w:p>
      <w:pPr>
        <w:pStyle w:val="Notedefin"/>
        <w:suppressLineNumbers/>
        <w:spacing w:before="57" w:after="57"/>
        <w:ind w:left="339" w:right="0" w:hanging="339"/>
        <w:rPr/>
      </w:pPr>
      <w:r>
        <w:rPr>
          <w:rStyle w:val="Caractresdenotedefin"/>
        </w:rPr>
        <w:endnoteRef/>
      </w:r>
      <w:r>
        <w:rPr/>
        <w:tab/>
      </w:r>
      <w:r>
        <w:rPr/>
        <w:t>DK képviselője a nemzeti eseményeknek.</w:t>
      </w:r>
    </w:p>
  </w:endnote>
  <w:endnote w:id="108">
    <w:p>
      <w:pPr>
        <w:pStyle w:val="Notedefin"/>
        <w:suppressLineNumbers/>
        <w:spacing w:before="57" w:after="57"/>
        <w:ind w:left="339" w:right="0" w:hanging="339"/>
        <w:rPr/>
      </w:pPr>
      <w:r>
        <w:rPr>
          <w:rStyle w:val="Caractresdenotedefin"/>
        </w:rPr>
        <w:endnoteRef/>
      </w:r>
      <w:r>
        <w:rPr/>
        <w:tab/>
      </w:r>
      <w:r>
        <w:rPr/>
        <w:t>DK képviselője a nemzeti eseményeknek.</w:t>
      </w:r>
    </w:p>
  </w:endnote>
  <w:endnote w:id="109">
    <w:p>
      <w:pPr>
        <w:pStyle w:val="Notedefin"/>
        <w:suppressLineNumbers/>
        <w:spacing w:before="57" w:after="57"/>
        <w:ind w:left="339" w:right="0" w:hanging="339"/>
        <w:rPr/>
      </w:pPr>
      <w:r>
        <w:rPr>
          <w:rStyle w:val="Caractresdenotedefin"/>
        </w:rPr>
        <w:endnoteRef/>
      </w:r>
      <w:r>
        <w:rPr/>
        <w:tab/>
      </w:r>
      <w:r>
        <w:rPr/>
        <w:t>A munkacsoport 15A. módosítása, kompromisszumos megfogalmazás.</w:t>
      </w:r>
    </w:p>
  </w:endnote>
  <w:endnote w:id="110">
    <w:p>
      <w:pPr>
        <w:pStyle w:val="Notedefin"/>
        <w:suppressLineNumbers/>
        <w:spacing w:before="57" w:after="57"/>
        <w:ind w:left="339" w:right="0" w:hanging="339"/>
        <w:rPr/>
      </w:pPr>
      <w:r>
        <w:rPr>
          <w:rStyle w:val="Caractresdenotedefin"/>
        </w:rPr>
        <w:endnoteRef/>
      </w:r>
      <w:r>
        <w:rPr/>
        <w:tab/>
      </w:r>
      <w:r>
        <w:rPr/>
        <w:t>PCE 2 24., 36. és 38. ajánlás; országos testület BE.</w:t>
      </w:r>
    </w:p>
  </w:endnote>
  <w:endnote w:id="111">
    <w:p>
      <w:pPr>
        <w:pStyle w:val="Notedefin"/>
        <w:suppressLineNumbers/>
        <w:spacing w:before="57" w:after="57"/>
        <w:ind w:left="339" w:right="0" w:hanging="339"/>
        <w:rPr/>
      </w:pPr>
      <w:r>
        <w:rPr>
          <w:rStyle w:val="Caractresdenotedefin"/>
        </w:rPr>
        <w:endnoteRef/>
      </w:r>
      <w:r>
        <w:rPr/>
        <w:tab/>
      </w:r>
      <w:r>
        <w:rPr/>
        <w:t>A munkacsoport 16C. módosítása.</w:t>
      </w:r>
    </w:p>
  </w:endnote>
  <w:endnote w:id="112">
    <w:p>
      <w:pPr>
        <w:pStyle w:val="Notedefin"/>
        <w:suppressLineNumbers/>
        <w:spacing w:before="57" w:after="57"/>
        <w:ind w:left="339" w:right="0" w:hanging="339"/>
        <w:rPr/>
      </w:pPr>
      <w:r>
        <w:rPr>
          <w:rStyle w:val="Caractresdenotedefin"/>
        </w:rPr>
        <w:endnoteRef/>
      </w:r>
      <w:r>
        <w:rPr/>
        <w:tab/>
      </w:r>
      <w:r>
        <w:rPr/>
        <w:t>Az ECP 2 33. ajánlása; BE, FR és NL nemzeti panelek.</w:t>
      </w:r>
    </w:p>
  </w:endnote>
  <w:endnote w:id="113">
    <w:p>
      <w:pPr>
        <w:pStyle w:val="Notedefin"/>
        <w:suppressLineNumbers/>
        <w:spacing w:before="57" w:after="57"/>
        <w:ind w:left="339" w:right="0" w:hanging="339"/>
        <w:rPr/>
      </w:pPr>
      <w:r>
        <w:rPr>
          <w:rStyle w:val="Caractresdenotedefin"/>
        </w:rPr>
        <w:endnoteRef/>
      </w:r>
      <w:r>
        <w:rPr/>
        <w:tab/>
      </w:r>
      <w:r>
        <w:rPr/>
        <w:t>Az ECP 26. ajánlása 2.</w:t>
      </w:r>
    </w:p>
  </w:endnote>
  <w:endnote w:id="114">
    <w:p>
      <w:pPr>
        <w:pStyle w:val="Notedefin"/>
        <w:suppressLineNumbers/>
        <w:spacing w:before="57" w:after="57"/>
        <w:ind w:left="339" w:right="0" w:hanging="339"/>
        <w:rPr/>
      </w:pPr>
      <w:r>
        <w:rPr>
          <w:rStyle w:val="Caractresdenotedefin"/>
        </w:rPr>
        <w:endnoteRef/>
      </w:r>
      <w:r>
        <w:rPr/>
        <w:tab/>
      </w:r>
      <w:r>
        <w:rPr/>
        <w:t>A munkacsoport 17. módosítása.</w:t>
      </w:r>
    </w:p>
  </w:endnote>
  <w:endnote w:id="115">
    <w:p>
      <w:pPr>
        <w:pStyle w:val="Notedefin"/>
        <w:suppressLineNumbers/>
        <w:spacing w:before="57" w:after="57"/>
        <w:ind w:left="339" w:right="0" w:hanging="339"/>
        <w:rPr/>
      </w:pPr>
      <w:r>
        <w:rPr>
          <w:rStyle w:val="Caractresdenotedefin"/>
        </w:rPr>
        <w:endnoteRef/>
      </w:r>
      <w:r>
        <w:rPr/>
        <w:tab/>
      </w:r>
      <w:r>
        <w:rPr/>
        <w:t>Országos testület BE.</w:t>
      </w:r>
    </w:p>
  </w:endnote>
  <w:endnote w:id="116">
    <w:p>
      <w:pPr>
        <w:pStyle w:val="Notedefin"/>
        <w:suppressLineNumbers/>
        <w:spacing w:before="57" w:after="57"/>
        <w:ind w:left="339" w:right="0" w:hanging="339"/>
        <w:rPr/>
      </w:pPr>
      <w:r>
        <w:rPr>
          <w:rStyle w:val="Caractresdenotedefin"/>
        </w:rPr>
        <w:endnoteRef/>
      </w:r>
      <w:r>
        <w:rPr/>
        <w:tab/>
      </w:r>
      <w:r>
        <w:rPr/>
        <w:t>A munkacsoport 18A. számú módosító indítványa.</w:t>
      </w:r>
    </w:p>
  </w:endnote>
  <w:endnote w:id="117">
    <w:p>
      <w:pPr>
        <w:pStyle w:val="Notedefin"/>
        <w:suppressLineNumbers/>
        <w:spacing w:before="57" w:after="57"/>
        <w:ind w:left="339" w:right="0" w:hanging="339"/>
        <w:rPr/>
      </w:pPr>
      <w:r>
        <w:rPr>
          <w:rStyle w:val="Caractresdenotedefin"/>
        </w:rPr>
        <w:endnoteRef/>
      </w:r>
      <w:r>
        <w:rPr/>
        <w:tab/>
      </w:r>
      <w:r>
        <w:rPr/>
        <w:t>Az ECP 252. sz. ajánlása.</w:t>
      </w:r>
    </w:p>
  </w:endnote>
  <w:endnote w:id="118">
    <w:p>
      <w:pPr>
        <w:pStyle w:val="Notedefin"/>
        <w:suppressLineNumbers/>
        <w:spacing w:before="57" w:after="57"/>
        <w:ind w:left="339" w:right="0" w:hanging="339"/>
        <w:rPr/>
      </w:pPr>
      <w:r>
        <w:rPr>
          <w:rStyle w:val="Caractresdenotedefin"/>
        </w:rPr>
        <w:endnoteRef/>
      </w:r>
      <w:r>
        <w:rPr/>
        <w:tab/>
      </w:r>
      <w:r>
        <w:rPr/>
        <w:t>A munkacsoport 18B. módosítása.</w:t>
      </w:r>
    </w:p>
  </w:endnote>
  <w:endnote w:id="119">
    <w:p>
      <w:pPr>
        <w:pStyle w:val="Notedefin"/>
        <w:suppressLineNumbers/>
        <w:spacing w:before="57" w:after="57"/>
        <w:ind w:left="339" w:right="0" w:hanging="339"/>
        <w:rPr/>
      </w:pPr>
      <w:r>
        <w:rPr>
          <w:rStyle w:val="Caractresdenotedefin"/>
        </w:rPr>
        <w:endnoteRef/>
      </w:r>
      <w:r>
        <w:rPr/>
        <w:tab/>
      </w:r>
      <w:r>
        <w:rPr/>
        <w:t>Az ECP 2 31. ajánlása; be és NL nemzeti panelek.</w:t>
      </w:r>
    </w:p>
  </w:endnote>
  <w:endnote w:id="120">
    <w:p>
      <w:pPr>
        <w:pStyle w:val="Notedefin"/>
        <w:suppressLineNumbers/>
        <w:spacing w:before="57" w:after="57"/>
        <w:ind w:left="339" w:right="0" w:hanging="339"/>
        <w:rPr/>
      </w:pPr>
      <w:r>
        <w:rPr>
          <w:rStyle w:val="Caractresdenotedefin"/>
        </w:rPr>
        <w:endnoteRef/>
      </w:r>
      <w:r>
        <w:rPr/>
        <w:tab/>
      </w:r>
      <w:r>
        <w:rPr/>
        <w:t>A munkacsoport 19A. számú módosító indítványa, amely átfogalmazza a megfelelőbb szöveget.</w:t>
      </w:r>
    </w:p>
  </w:endnote>
  <w:endnote w:id="121">
    <w:p>
      <w:pPr>
        <w:pStyle w:val="Notedefin"/>
        <w:suppressLineNumbers/>
        <w:spacing w:before="57" w:after="57"/>
        <w:ind w:left="339" w:right="0" w:hanging="339"/>
        <w:rPr/>
      </w:pPr>
      <w:r>
        <w:rPr>
          <w:rStyle w:val="Caractresdenotedefin"/>
        </w:rPr>
        <w:endnoteRef/>
      </w:r>
      <w:r>
        <w:rPr/>
        <w:tab/>
      </w:r>
      <w:r>
        <w:rPr/>
        <w:t>A munkacsoport 21. módosítása, kompromisszumos.</w:t>
      </w:r>
    </w:p>
  </w:endnote>
  <w:endnote w:id="122">
    <w:p>
      <w:pPr>
        <w:pStyle w:val="Notedefin"/>
        <w:suppressLineNumbers/>
        <w:spacing w:before="57" w:after="57"/>
        <w:ind w:left="339" w:right="0" w:hanging="339"/>
        <w:rPr/>
      </w:pPr>
      <w:r>
        <w:rPr>
          <w:rStyle w:val="Caractresdenotedefin"/>
        </w:rPr>
        <w:endnoteRef/>
      </w:r>
      <w:r>
        <w:rPr/>
        <w:tab/>
      </w:r>
      <w:r>
        <w:rPr/>
        <w:t>A BE és FR nemzeti bizottságok.</w:t>
      </w:r>
    </w:p>
  </w:endnote>
  <w:endnote w:id="123">
    <w:p>
      <w:pPr>
        <w:pStyle w:val="Notedefin"/>
        <w:suppressLineNumbers/>
        <w:spacing w:before="57" w:after="57"/>
        <w:ind w:left="339" w:right="0" w:hanging="339"/>
        <w:rPr/>
      </w:pPr>
      <w:r>
        <w:rPr>
          <w:rStyle w:val="Caractresdenotedefin"/>
        </w:rPr>
        <w:endnoteRef/>
      </w:r>
      <w:r>
        <w:rPr/>
        <w:tab/>
      </w:r>
      <w:r>
        <w:rPr/>
        <w:t>A munkacsoport 23B. módosítása.</w:t>
      </w:r>
    </w:p>
  </w:endnote>
  <w:endnote w:id="124">
    <w:p>
      <w:pPr>
        <w:pStyle w:val="Notedefin"/>
        <w:suppressLineNumbers/>
        <w:spacing w:before="57" w:after="57"/>
        <w:ind w:left="339" w:right="0" w:hanging="339"/>
        <w:rPr/>
      </w:pPr>
      <w:r>
        <w:rPr>
          <w:rStyle w:val="Caractresdenotedefin"/>
        </w:rPr>
        <w:endnoteRef/>
      </w:r>
      <w:r>
        <w:rPr/>
        <w:tab/>
      </w:r>
      <w:r>
        <w:rPr/>
        <w:t>Az ECP 2 27. ajánlása; országos testület BE.</w:t>
      </w:r>
    </w:p>
  </w:endnote>
  <w:endnote w:id="125">
    <w:p>
      <w:pPr>
        <w:pStyle w:val="Notedefin"/>
        <w:suppressLineNumbers/>
        <w:spacing w:before="57" w:after="57"/>
        <w:ind w:left="339" w:right="0" w:hanging="339"/>
        <w:rPr/>
      </w:pPr>
      <w:r>
        <w:rPr>
          <w:rStyle w:val="Caractresdenotedefin"/>
        </w:rPr>
        <w:endnoteRef/>
      </w:r>
      <w:r>
        <w:rPr/>
        <w:tab/>
      </w:r>
      <w:r>
        <w:rPr/>
        <w:t>A munkacsoport 25C. módosítása.</w:t>
      </w:r>
    </w:p>
  </w:endnote>
  <w:endnote w:id="126">
    <w:p>
      <w:pPr>
        <w:pStyle w:val="Notedefin"/>
        <w:suppressLineNumbers/>
        <w:spacing w:before="57" w:after="57"/>
        <w:ind w:left="339" w:right="0" w:hanging="339"/>
        <w:rPr/>
      </w:pPr>
      <w:r>
        <w:rPr>
          <w:rStyle w:val="Caractresdenotedefin"/>
        </w:rPr>
        <w:endnoteRef/>
      </w:r>
      <w:r>
        <w:rPr/>
        <w:tab/>
      </w:r>
      <w:r>
        <w:rPr/>
        <w:t>Az ECP 14. ajánlása.</w:t>
      </w:r>
    </w:p>
  </w:endnote>
  <w:endnote w:id="127">
    <w:p>
      <w:pPr>
        <w:pStyle w:val="Notedefin"/>
        <w:suppressLineNumbers/>
        <w:spacing w:before="57" w:after="57"/>
        <w:ind w:left="339" w:right="0" w:hanging="339"/>
        <w:rPr/>
      </w:pPr>
      <w:r>
        <w:rPr>
          <w:rStyle w:val="Caractresdenotedefin"/>
        </w:rPr>
        <w:endnoteRef/>
      </w:r>
      <w:r>
        <w:rPr/>
        <w:tab/>
      </w:r>
      <w:r>
        <w:rPr/>
        <w:t>Az ECP 18. ajánlása. NB: NEM. A polgárok képviselői kifejtették, hogy ezt a mechanizmust körültekintően kell megtervezni és alkalmazni.</w:t>
      </w:r>
    </w:p>
  </w:endnote>
  <w:endnote w:id="128">
    <w:p>
      <w:pPr>
        <w:pStyle w:val="Notedefin"/>
        <w:suppressLineNumbers/>
        <w:spacing w:before="57" w:after="57"/>
        <w:ind w:left="339" w:right="0" w:hanging="339"/>
        <w:rPr/>
      </w:pPr>
      <w:r>
        <w:rPr>
          <w:rStyle w:val="Caractresdenotedefin"/>
        </w:rPr>
        <w:endnoteRef/>
      </w:r>
      <w:r>
        <w:rPr/>
        <w:tab/>
      </w:r>
      <w:r>
        <w:rPr/>
        <w:t>A munkacsoport 28E., 28G. és 28H. módosítása.</w:t>
      </w:r>
    </w:p>
  </w:endnote>
  <w:endnote w:id="129">
    <w:p>
      <w:pPr>
        <w:pStyle w:val="Notedefin"/>
        <w:suppressLineNumbers/>
        <w:spacing w:before="57" w:after="57"/>
        <w:ind w:left="339" w:right="0" w:hanging="339"/>
        <w:rPr/>
      </w:pPr>
      <w:r>
        <w:rPr>
          <w:rStyle w:val="Caractresdenotedefin"/>
        </w:rPr>
        <w:endnoteRef/>
      </w:r>
      <w:r>
        <w:rPr/>
        <w:tab/>
      </w:r>
      <w:r>
        <w:rPr/>
        <w:t>Az ECP 2 16. ajánlása; NL 20. számú nemzeti testülete, transznacionális listákra osztva.</w:t>
      </w:r>
    </w:p>
  </w:endnote>
  <w:endnote w:id="130">
    <w:p>
      <w:pPr>
        <w:pStyle w:val="Notedefin"/>
        <w:suppressLineNumbers/>
        <w:spacing w:before="57" w:after="57"/>
        <w:ind w:left="339" w:right="0" w:hanging="339"/>
        <w:rPr/>
      </w:pPr>
      <w:r>
        <w:rPr>
          <w:rStyle w:val="Caractresdenotedefin"/>
        </w:rPr>
        <w:endnoteRef/>
      </w:r>
      <w:r>
        <w:rPr/>
        <w:tab/>
      </w:r>
      <w:r>
        <w:rPr/>
        <w:t>Az ECP 2 16. ajánlása alapján; beszélgetés a GT-ben.</w:t>
      </w:r>
    </w:p>
  </w:endnote>
  <w:endnote w:id="131">
    <w:p>
      <w:pPr>
        <w:pStyle w:val="Notedefin"/>
        <w:suppressLineNumbers/>
        <w:spacing w:before="57" w:after="57"/>
        <w:ind w:left="339" w:right="0" w:hanging="339"/>
        <w:rPr/>
      </w:pPr>
      <w:r>
        <w:rPr>
          <w:rStyle w:val="Caractresdenotedefin"/>
        </w:rPr>
        <w:endnoteRef/>
      </w:r>
      <w:r>
        <w:rPr/>
        <w:tab/>
      </w:r>
      <w:r>
        <w:rPr/>
        <w:t>ECP 2 ajánlás és többnyelvű digitális platform (MNP).</w:t>
      </w:r>
    </w:p>
  </w:endnote>
  <w:endnote w:id="132">
    <w:p>
      <w:pPr>
        <w:pStyle w:val="Notedefin"/>
        <w:suppressLineNumbers/>
        <w:spacing w:before="57" w:after="57"/>
        <w:ind w:left="339" w:right="0" w:hanging="339"/>
        <w:rPr/>
      </w:pPr>
      <w:r>
        <w:rPr>
          <w:rStyle w:val="Caractresdenotedefin"/>
        </w:rPr>
        <w:endnoteRef/>
      </w:r>
      <w:r>
        <w:rPr/>
        <w:tab/>
      </w:r>
      <w:r>
        <w:rPr/>
        <w:t>AZ EGSZB.</w:t>
      </w:r>
    </w:p>
  </w:endnote>
  <w:endnote w:id="133">
    <w:p>
      <w:pPr>
        <w:pStyle w:val="Notedefin"/>
        <w:suppressLineNumbers/>
        <w:spacing w:before="57" w:after="57"/>
        <w:ind w:left="339" w:right="0" w:hanging="339"/>
        <w:rPr/>
      </w:pPr>
      <w:r>
        <w:rPr>
          <w:rStyle w:val="Caractresdenotedefin"/>
        </w:rPr>
        <w:endnoteRef/>
      </w:r>
      <w:r>
        <w:rPr/>
        <w:tab/>
      </w:r>
      <w:r>
        <w:rPr/>
        <w:t>A munkacsoport 32B. módosítása.</w:t>
      </w:r>
    </w:p>
  </w:endnote>
  <w:endnote w:id="134">
    <w:p>
      <w:pPr>
        <w:pStyle w:val="Notedefin"/>
        <w:suppressLineNumbers/>
        <w:spacing w:before="57" w:after="57"/>
        <w:ind w:left="339" w:right="0" w:hanging="339"/>
        <w:rPr/>
      </w:pPr>
      <w:r>
        <w:rPr>
          <w:rStyle w:val="Caractresdenotedefin"/>
        </w:rPr>
        <w:endnoteRef/>
      </w:r>
      <w:r>
        <w:rPr/>
        <w:tab/>
      </w:r>
      <w:r>
        <w:rPr/>
        <w:t>Az ECP 2 36. ajánlása; a BE és FR nemzeti bizottságok.</w:t>
      </w:r>
    </w:p>
  </w:endnote>
  <w:endnote w:id="135">
    <w:p>
      <w:pPr>
        <w:pStyle w:val="Notedefin"/>
        <w:suppressLineNumbers/>
        <w:spacing w:before="57" w:after="57"/>
        <w:ind w:left="339" w:right="0" w:hanging="339"/>
        <w:rPr/>
      </w:pPr>
      <w:r>
        <w:rPr>
          <w:rStyle w:val="Caractresdenotedefin"/>
        </w:rPr>
        <w:endnoteRef/>
      </w:r>
      <w:r>
        <w:rPr/>
        <w:tab/>
      </w:r>
      <w:r>
        <w:rPr/>
        <w:t>Nemzeti testület FR („az Európai Bizottság elnökének általános választójog alapján történő megválasztása”); PNM (végső Kantar-jelentés: a hozzájárulások egy csoportja a Bizottság elnökének polgárok általi közvetlen megválasztásával foglalkozik).</w:t>
      </w:r>
    </w:p>
  </w:endnote>
  <w:endnote w:id="136">
    <w:p>
      <w:pPr>
        <w:pStyle w:val="Notedefin"/>
        <w:suppressLineNumbers/>
        <w:spacing w:before="57" w:after="57"/>
        <w:ind w:left="339" w:right="0" w:hanging="339"/>
        <w:rPr/>
      </w:pPr>
      <w:r>
        <w:rPr>
          <w:rStyle w:val="Caractresdenotedefin"/>
        </w:rPr>
        <w:endnoteRef/>
      </w:r>
      <w:r>
        <w:rPr/>
        <w:tab/>
      </w:r>
      <w:r>
        <w:rPr/>
        <w:t>A munkacsoport 34C. módosítása.</w:t>
      </w:r>
    </w:p>
  </w:endnote>
  <w:endnote w:id="137">
    <w:p>
      <w:pPr>
        <w:pStyle w:val="Notedefin"/>
        <w:suppressLineNumbers/>
        <w:spacing w:before="57" w:after="57"/>
        <w:ind w:left="339" w:right="0" w:hanging="339"/>
        <w:rPr/>
      </w:pPr>
      <w:r>
        <w:rPr>
          <w:rStyle w:val="Caractresdenotedefin"/>
        </w:rPr>
        <w:endnoteRef/>
      </w:r>
      <w:r>
        <w:rPr/>
        <w:tab/>
      </w:r>
      <w:r>
        <w:rPr/>
        <w:t>Nemzeti testület BE (3.2.), nemzeti testület FR (11) PNM (végső jelentés Kantar: „Az Európai Parlamentet illetően a hozzászólók leggyakrabban azt kérik, hogy az Európai Parlament kapjon tényleges jogalkotási kezdeményezést”.</w:t>
      </w:r>
    </w:p>
  </w:endnote>
  <w:endnote w:id="138">
    <w:p>
      <w:pPr>
        <w:pStyle w:val="Notedefin"/>
        <w:suppressLineNumbers/>
        <w:spacing w:before="57" w:after="57"/>
        <w:ind w:left="339" w:right="0" w:hanging="339"/>
        <w:rPr/>
      </w:pPr>
      <w:r>
        <w:rPr>
          <w:rStyle w:val="Caractresdenotedefin"/>
        </w:rPr>
        <w:endnoteRef/>
      </w:r>
      <w:r>
        <w:rPr/>
        <w:tab/>
      </w:r>
      <w:r>
        <w:rPr/>
        <w:t>PNM (végső Kantar-jelentés: „Az Európai Parlamentet illetően (...) költségvetési hatáskör biztosítását is kérik”.</w:t>
      </w:r>
    </w:p>
  </w:endnote>
  <w:endnote w:id="139">
    <w:p>
      <w:pPr>
        <w:pStyle w:val="Notedefin"/>
        <w:suppressLineNumbers/>
        <w:spacing w:before="57" w:after="57"/>
        <w:ind w:left="339" w:right="0" w:hanging="339"/>
        <w:rPr/>
      </w:pPr>
      <w:r>
        <w:rPr>
          <w:rStyle w:val="Caractresdenotedefin"/>
        </w:rPr>
        <w:endnoteRef/>
      </w:r>
      <w:r>
        <w:rPr/>
        <w:tab/>
      </w:r>
      <w:r>
        <w:rPr/>
        <w:t>PNM (végső Kantar-jelentés: Egy másik hozzájárulás szerint a pártoknak hozzáférhetőbbé kell válniuk a különböző kulturális vagy társadalmi-gazdasági háttérrel rendelkezők számára.</w:t>
      </w:r>
    </w:p>
  </w:endnote>
  <w:endnote w:id="140">
    <w:p>
      <w:pPr>
        <w:pStyle w:val="Notedefin"/>
        <w:suppressLineNumbers/>
        <w:spacing w:before="57" w:after="57"/>
        <w:ind w:left="339" w:right="0" w:hanging="339"/>
        <w:rPr/>
      </w:pPr>
      <w:r>
        <w:rPr>
          <w:rStyle w:val="Caractresdenotedefin"/>
        </w:rPr>
        <w:endnoteRef/>
      </w:r>
      <w:r>
        <w:rPr/>
        <w:tab/>
      </w:r>
      <w:r>
        <w:rPr/>
        <w:t>RB a munkacsoportban.</w:t>
      </w:r>
    </w:p>
  </w:endnote>
  <w:endnote w:id="141">
    <w:p>
      <w:pPr>
        <w:pStyle w:val="Notedefin"/>
        <w:suppressLineNumbers/>
        <w:spacing w:before="57" w:after="57"/>
        <w:ind w:left="339" w:right="0" w:hanging="339"/>
        <w:rPr/>
      </w:pPr>
      <w:r>
        <w:rPr>
          <w:rStyle w:val="Caractresdenotedefin"/>
        </w:rPr>
        <w:endnoteRef/>
      </w:r>
      <w:r>
        <w:rPr/>
        <w:tab/>
      </w:r>
      <w:r>
        <w:rPr/>
        <w:t>A munkacsoport 38. módosítása, kompromisszumos megfogalmazás.</w:t>
      </w:r>
    </w:p>
  </w:endnote>
  <w:endnote w:id="142">
    <w:p>
      <w:pPr>
        <w:pStyle w:val="Notedefin"/>
        <w:suppressLineNumbers/>
        <w:spacing w:before="57" w:after="57"/>
        <w:ind w:left="339" w:right="0" w:hanging="339"/>
        <w:rPr/>
      </w:pPr>
      <w:r>
        <w:rPr>
          <w:rStyle w:val="Caractresdenotedefin"/>
        </w:rPr>
        <w:endnoteRef/>
      </w:r>
      <w:r>
        <w:rPr/>
        <w:tab/>
      </w:r>
      <w:r>
        <w:rPr/>
        <w:t>Az ECP 202. sz. ajánlása.</w:t>
      </w:r>
    </w:p>
  </w:endnote>
  <w:endnote w:id="143">
    <w:p>
      <w:pPr>
        <w:pStyle w:val="Notedefin"/>
        <w:suppressLineNumbers/>
        <w:spacing w:before="57" w:after="57"/>
        <w:ind w:left="339" w:right="0" w:hanging="339"/>
        <w:rPr/>
      </w:pPr>
      <w:r>
        <w:rPr>
          <w:rStyle w:val="Caractresdenotedefin"/>
        </w:rPr>
        <w:endnoteRef/>
      </w:r>
      <w:r>
        <w:rPr/>
        <w:tab/>
      </w:r>
      <w:r>
        <w:rPr/>
        <w:t>Az ECP 214. ajánlása.</w:t>
      </w:r>
    </w:p>
  </w:endnote>
  <w:endnote w:id="144">
    <w:p>
      <w:pPr>
        <w:pStyle w:val="Notedefin"/>
        <w:suppressLineNumbers/>
        <w:spacing w:before="57" w:after="57"/>
        <w:ind w:left="339" w:right="0" w:hanging="339"/>
        <w:rPr/>
      </w:pPr>
      <w:r>
        <w:rPr>
          <w:rStyle w:val="Caractresdenotedefin"/>
        </w:rPr>
        <w:endnoteRef/>
      </w:r>
      <w:r>
        <w:rPr/>
        <w:tab/>
      </w:r>
      <w:r>
        <w:rPr/>
        <w:t>A munkacsoport 43. módosítása.</w:t>
      </w:r>
    </w:p>
  </w:endnote>
  <w:endnote w:id="145">
    <w:p>
      <w:pPr>
        <w:pStyle w:val="Notedefin"/>
        <w:suppressLineNumbers/>
        <w:spacing w:before="57" w:after="57"/>
        <w:ind w:left="339" w:right="0" w:hanging="339"/>
        <w:rPr/>
      </w:pPr>
      <w:r>
        <w:rPr>
          <w:rStyle w:val="Caractresdenotedefin"/>
        </w:rPr>
        <w:endnoteRef/>
      </w:r>
      <w:r>
        <w:rPr/>
        <w:tab/>
      </w:r>
      <w:r>
        <w:rPr/>
        <w:t>Az ECP 2 34. ajánlása; nemzeti testület NL.</w:t>
      </w:r>
    </w:p>
  </w:endnote>
  <w:endnote w:id="146">
    <w:p>
      <w:pPr>
        <w:pStyle w:val="Notedefin"/>
        <w:suppressLineNumbers/>
        <w:spacing w:before="57" w:after="57"/>
        <w:ind w:left="339" w:right="0" w:hanging="339"/>
        <w:rPr/>
      </w:pPr>
      <w:r>
        <w:rPr>
          <w:rStyle w:val="Caractresdenotedefin"/>
        </w:rPr>
        <w:endnoteRef/>
      </w:r>
      <w:r>
        <w:rPr/>
        <w:tab/>
      </w:r>
      <w:r>
        <w:rPr/>
        <w:t>A munkacsoport vitája az ECP 2 34. ajánlása alapján; NL nemzeti testület; PNM (végső Kantar-jelentés: „Az átláthatóság növelése és a polgárok nagyobb mértékű részvétele az uniós döntéshozatali folyamatban szintén támogatott”.</w:t>
      </w:r>
    </w:p>
  </w:endnote>
  <w:endnote w:id="147">
    <w:p>
      <w:pPr>
        <w:pStyle w:val="Notedefin"/>
        <w:suppressLineNumbers/>
        <w:spacing w:before="57" w:after="57"/>
        <w:ind w:left="339" w:right="0" w:hanging="339"/>
        <w:rPr/>
      </w:pPr>
      <w:r>
        <w:rPr>
          <w:rStyle w:val="Caractresdenotedefin"/>
        </w:rPr>
        <w:endnoteRef/>
      </w:r>
      <w:r>
        <w:rPr/>
        <w:tab/>
      </w:r>
      <w:r>
        <w:rPr/>
        <w:t>A munkacsoport 44A. módosítása.</w:t>
      </w:r>
    </w:p>
  </w:endnote>
  <w:endnote w:id="148">
    <w:p>
      <w:pPr>
        <w:pStyle w:val="Notedefin"/>
        <w:suppressLineNumbers/>
        <w:spacing w:before="57" w:after="57"/>
        <w:ind w:left="339" w:right="0" w:hanging="339"/>
        <w:rPr/>
      </w:pPr>
      <w:r>
        <w:rPr>
          <w:rStyle w:val="Caractresdenotedefin"/>
        </w:rPr>
        <w:endnoteRef/>
      </w:r>
      <w:r>
        <w:rPr/>
        <w:tab/>
      </w:r>
      <w:r>
        <w:rPr/>
        <w:t>A munkacsoport vitája (a nemzeti parlamentek és az RB előadása).</w:t>
      </w:r>
    </w:p>
  </w:endnote>
  <w:endnote w:id="149">
    <w:p>
      <w:pPr>
        <w:pStyle w:val="Notedefin"/>
        <w:suppressLineNumbers/>
        <w:spacing w:before="57" w:after="57"/>
        <w:ind w:left="339" w:right="0" w:hanging="339"/>
        <w:rPr/>
      </w:pPr>
      <w:r>
        <w:rPr>
          <w:rStyle w:val="Caractresdenotedefin"/>
        </w:rPr>
        <w:endnoteRef/>
      </w:r>
      <w:r>
        <w:rPr/>
        <w:tab/>
      </w:r>
      <w:r>
        <w:rPr/>
        <w:t>A munkacsoport 45C. módosítása.</w:t>
      </w:r>
    </w:p>
  </w:endnote>
  <w:endnote w:id="150">
    <w:p>
      <w:pPr>
        <w:pStyle w:val="Notedefin"/>
        <w:suppressLineNumbers/>
        <w:spacing w:before="57" w:after="57"/>
        <w:ind w:left="339" w:right="0" w:hanging="339"/>
        <w:rPr/>
      </w:pPr>
      <w:r>
        <w:rPr>
          <w:rStyle w:val="Caractresdenotedefin"/>
        </w:rPr>
        <w:endnoteRef/>
      </w:r>
      <w:r>
        <w:rPr/>
        <w:tab/>
      </w:r>
      <w:r>
        <w:rPr/>
        <w:t>A munkacsoport 46B. módosítása.</w:t>
      </w:r>
    </w:p>
  </w:endnote>
  <w:endnote w:id="151">
    <w:p>
      <w:pPr>
        <w:pStyle w:val="Notedefin"/>
        <w:suppressLineNumbers/>
        <w:spacing w:before="57" w:after="57"/>
        <w:ind w:left="339" w:right="0" w:hanging="339"/>
        <w:rPr/>
      </w:pPr>
      <w:r>
        <w:rPr>
          <w:rStyle w:val="Caractresdenotedefin"/>
        </w:rPr>
        <w:endnoteRef/>
      </w:r>
      <w:r>
        <w:rPr/>
        <w:tab/>
      </w:r>
      <w:r>
        <w:rPr/>
        <w:t>Az ECP 15. sz. ajánlása 2.</w:t>
      </w:r>
    </w:p>
  </w:endnote>
  <w:endnote w:id="152">
    <w:p>
      <w:pPr>
        <w:pStyle w:val="Notedefin"/>
        <w:suppressLineNumbers/>
        <w:spacing w:before="57" w:after="57"/>
        <w:ind w:left="339" w:right="0" w:hanging="339"/>
        <w:rPr/>
      </w:pPr>
      <w:r>
        <w:rPr>
          <w:rStyle w:val="Caractresdenotedefin"/>
        </w:rPr>
        <w:endnoteRef/>
      </w:r>
      <w:r>
        <w:rPr/>
        <w:tab/>
      </w:r>
      <w:r>
        <w:rPr/>
        <w:t>A munkacsoport vitája az ECP 2 15. ajánlásában megfogalmazott azon igény alapján, hogy „az európai intézmények feladatait tisztázni kell”; PNM (végső Kantar-jelentés: „Vannak javaslatok az EU-ban a kétkamarás jogalkotási hatalom elmélyítésére is.”</w:t>
      </w:r>
    </w:p>
  </w:endnote>
  <w:endnote w:id="153">
    <w:p>
      <w:pPr>
        <w:pStyle w:val="Notedefin"/>
        <w:suppressLineNumbers/>
        <w:spacing w:before="57" w:after="57"/>
        <w:ind w:left="339" w:right="0" w:hanging="339"/>
        <w:rPr/>
      </w:pPr>
      <w:r>
        <w:rPr>
          <w:rStyle w:val="Caractresdenotedefin"/>
        </w:rPr>
        <w:endnoteRef/>
      </w:r>
      <w:r>
        <w:rPr/>
        <w:tab/>
      </w:r>
      <w:r>
        <w:rPr/>
        <w:t>A munkacsoport 48B. módosítása.</w:t>
      </w:r>
    </w:p>
  </w:endnote>
  <w:endnote w:id="154">
    <w:p>
      <w:pPr>
        <w:pStyle w:val="Notedefin"/>
        <w:suppressLineNumbers/>
        <w:spacing w:before="57" w:after="57"/>
        <w:ind w:left="339" w:right="0" w:hanging="339"/>
        <w:rPr/>
      </w:pPr>
      <w:r>
        <w:rPr>
          <w:rStyle w:val="Caractresdenotedefin"/>
        </w:rPr>
        <w:endnoteRef/>
      </w:r>
      <w:r>
        <w:rPr/>
        <w:tab/>
      </w:r>
      <w:r>
        <w:rPr/>
        <w:t>Az ECP 15. sz. ajánlása 2.</w:t>
      </w:r>
    </w:p>
  </w:endnote>
  <w:endnote w:id="155">
    <w:p>
      <w:pPr>
        <w:pStyle w:val="Notedefin"/>
        <w:suppressLineNumbers/>
        <w:spacing w:before="57" w:after="57"/>
        <w:ind w:left="339" w:right="0" w:hanging="339"/>
        <w:rPr/>
      </w:pPr>
      <w:r>
        <w:rPr>
          <w:rStyle w:val="Caractresdenotedefin"/>
        </w:rPr>
        <w:endnoteRef/>
      </w:r>
      <w:r>
        <w:rPr/>
        <w:tab/>
      </w:r>
      <w:r>
        <w:rPr/>
        <w:t>Viták a munkacsoportban.</w:t>
      </w:r>
    </w:p>
  </w:endnote>
  <w:endnote w:id="156">
    <w:p>
      <w:pPr>
        <w:pStyle w:val="Notedefin"/>
        <w:suppressLineNumbers/>
        <w:spacing w:before="57" w:after="57"/>
        <w:ind w:left="339" w:right="0" w:hanging="339"/>
        <w:rPr/>
      </w:pPr>
      <w:r>
        <w:rPr>
          <w:rStyle w:val="Caractresdenotedefin"/>
        </w:rPr>
        <w:endnoteRef/>
      </w:r>
      <w:r>
        <w:rPr/>
        <w:tab/>
      </w:r>
      <w:r>
        <w:rPr/>
        <w:t>A munkacsoport 52A. módosítása.</w:t>
      </w:r>
    </w:p>
  </w:endnote>
  <w:endnote w:id="157">
    <w:p>
      <w:pPr>
        <w:pStyle w:val="Notedefin"/>
        <w:suppressLineNumbers/>
        <w:spacing w:before="57" w:after="57"/>
        <w:ind w:left="339" w:right="0" w:hanging="339"/>
        <w:rPr/>
      </w:pPr>
      <w:r>
        <w:rPr>
          <w:rStyle w:val="Caractresdenotedefin"/>
        </w:rPr>
        <w:endnoteRef/>
      </w:r>
      <w:r>
        <w:rPr/>
        <w:tab/>
      </w:r>
      <w:r>
        <w:rPr/>
        <w:t>EGSZB, kompromisszumos megfogalmazás.</w:t>
      </w:r>
    </w:p>
  </w:endnote>
  <w:endnote w:id="158">
    <w:p>
      <w:pPr>
        <w:pStyle w:val="Notedefin"/>
        <w:suppressLineNumbers/>
        <w:spacing w:before="57" w:after="57"/>
        <w:ind w:left="339" w:right="0" w:hanging="339"/>
        <w:rPr/>
      </w:pPr>
      <w:r>
        <w:rPr>
          <w:rStyle w:val="Caractresdenotedefin"/>
        </w:rPr>
        <w:endnoteRef/>
      </w:r>
      <w:r>
        <w:rPr/>
        <w:tab/>
      </w:r>
      <w:r>
        <w:rPr/>
        <w:t>Az ECP 35. ajánlása, a francia nemzeti testület, valamint az 51C. munkacsoport és az 51D. munkacsoport együttes módosításai.</w:t>
      </w:r>
    </w:p>
  </w:endnote>
  <w:endnote w:id="159">
    <w:p>
      <w:pPr>
        <w:pStyle w:val="Notedefin"/>
        <w:suppressLineNumbers/>
        <w:spacing w:before="57" w:after="57"/>
        <w:ind w:left="339" w:right="0" w:hanging="339"/>
        <w:rPr/>
      </w:pPr>
      <w:r>
        <w:rPr>
          <w:rStyle w:val="Caractresdenotedefin"/>
        </w:rPr>
        <w:endnoteRef/>
      </w:r>
      <w:r>
        <w:rPr/>
        <w:tab/>
      </w:r>
      <w:r>
        <w:rPr/>
        <w:t>A munkacsoport 53D. módosítása.</w:t>
      </w:r>
    </w:p>
  </w:endnote>
  <w:endnote w:id="160">
    <w:p>
      <w:pPr>
        <w:pStyle w:val="Notedefin"/>
        <w:suppressLineNumbers/>
        <w:spacing w:before="57" w:after="57"/>
        <w:ind w:left="339" w:right="0" w:hanging="339"/>
        <w:rPr/>
      </w:pPr>
      <w:r>
        <w:rPr>
          <w:rStyle w:val="Caractresdenotedefin"/>
        </w:rPr>
        <w:endnoteRef/>
      </w:r>
      <w:r>
        <w:rPr/>
        <w:tab/>
      </w:r>
      <w:r>
        <w:rPr/>
        <w:t>Vita a munkacsoportban; a nemzeti parlamentek.</w:t>
      </w:r>
    </w:p>
  </w:endnote>
  <w:endnote w:id="161">
    <w:p>
      <w:pPr>
        <w:pStyle w:val="Notedefin"/>
        <w:spacing w:before="57" w:after="57"/>
        <w:rPr/>
      </w:pPr>
      <w:r>
        <w:rPr>
          <w:rStyle w:val="Caractresdenotedefin"/>
        </w:rPr>
        <w:endnoteRef/>
      </w:r>
      <w:r>
        <w:rPr/>
        <w:tab/>
      </w:r>
      <w:r>
        <w:rPr/>
        <w:t>Vita a munkacsoportban; Az RB és az EGSZB; Kantar zárójelentés, 85. o.</w:t>
      </w:r>
    </w:p>
  </w:endnote>
  <w:endnote w:id="162">
    <w:p>
      <w:pPr>
        <w:pStyle w:val="Notedefin"/>
        <w:suppressLineNumbers/>
        <w:spacing w:before="57" w:after="57"/>
        <w:ind w:left="339" w:right="0" w:hanging="339"/>
        <w:rPr/>
      </w:pPr>
      <w:r>
        <w:rPr>
          <w:rStyle w:val="Caractresdenotedefin"/>
        </w:rPr>
        <w:endnoteRef/>
      </w:r>
      <w:r>
        <w:rPr/>
        <w:tab/>
      </w:r>
      <w:r>
        <w:rPr/>
        <w:t>A munkacsoport 58B. módosítása.</w:t>
      </w:r>
    </w:p>
  </w:endnote>
  <w:endnote w:id="163">
    <w:p>
      <w:pPr>
        <w:pStyle w:val="Notedefin"/>
        <w:suppressLineNumbers/>
        <w:spacing w:before="57" w:after="57"/>
        <w:ind w:left="339" w:right="0" w:hanging="339"/>
        <w:rPr/>
      </w:pPr>
      <w:r>
        <w:rPr>
          <w:rStyle w:val="Caractresdenotedefin"/>
        </w:rPr>
        <w:endnoteRef/>
      </w:r>
      <w:r>
        <w:rPr/>
        <w:tab/>
      </w:r>
      <w:r>
        <w:rPr/>
        <w:t>A munkacsoport 59B. módosítása.</w:t>
      </w:r>
    </w:p>
  </w:endnote>
  <w:endnote w:id="164">
    <w:p>
      <w:pPr>
        <w:pStyle w:val="Notedefin"/>
        <w:suppressLineNumbers/>
        <w:spacing w:before="57" w:after="57"/>
        <w:ind w:left="339" w:right="0" w:hanging="339"/>
        <w:rPr/>
      </w:pPr>
      <w:r>
        <w:rPr>
          <w:rStyle w:val="Caractresdenotedefin"/>
        </w:rPr>
        <w:endnoteRef/>
      </w:r>
      <w:r>
        <w:rPr/>
        <w:tab/>
      </w:r>
      <w:r>
        <w:rPr/>
        <w:t>Vita a munkacsoportban; szociális partnerek és más tagok.</w:t>
      </w:r>
    </w:p>
  </w:endnote>
  <w:endnote w:id="165">
    <w:p>
      <w:pPr>
        <w:pStyle w:val="Notedefin"/>
        <w:suppressLineNumbers/>
        <w:spacing w:before="57" w:after="57"/>
        <w:ind w:left="339" w:right="0" w:hanging="339"/>
        <w:rPr/>
      </w:pPr>
      <w:r>
        <w:rPr>
          <w:rStyle w:val="Caractresdenotedefin"/>
        </w:rPr>
        <w:endnoteRef/>
      </w:r>
      <w:r>
        <w:rPr/>
        <w:tab/>
      </w:r>
      <w:r>
        <w:rPr/>
        <w:t>A munkacsoport 63A. módosítása, kompromisszumos megfogalmazás.</w:t>
      </w:r>
    </w:p>
  </w:endnote>
  <w:endnote w:id="166">
    <w:p>
      <w:pPr>
        <w:pStyle w:val="Notedefin"/>
        <w:suppressLineNumbers/>
        <w:spacing w:before="57" w:after="57"/>
        <w:ind w:left="339" w:right="0" w:hanging="339"/>
        <w:rPr/>
      </w:pPr>
      <w:r>
        <w:rPr>
          <w:rStyle w:val="Caractresdenotedefin"/>
        </w:rPr>
        <w:endnoteRef/>
      </w:r>
      <w:r>
        <w:rPr/>
        <w:tab/>
      </w:r>
      <w:r>
        <w:rPr/>
        <w:t xml:space="preserve">A polgárok ajánlásai, amelyeken a javaslat alapul: </w:t>
      </w:r>
      <w:r>
        <w:rPr>
          <w:vertAlign w:val="superscript"/>
        </w:rPr>
        <w:t>6., 7., 9., 28. és 30.</w:t>
      </w:r>
      <w:r>
        <w:rPr/>
        <w:t xml:space="preserve"> számú európai polgári munkacsoport (ECP 4), 9. sz. Litvánia.</w:t>
      </w:r>
    </w:p>
  </w:endnote>
  <w:endnote w:id="167">
    <w:p>
      <w:pPr>
        <w:pStyle w:val="Notedefin"/>
        <w:suppressLineNumbers/>
        <w:spacing w:before="57" w:after="57"/>
        <w:ind w:left="339" w:right="0" w:hanging="339"/>
        <w:rPr/>
      </w:pPr>
      <w:r>
        <w:rPr>
          <w:rStyle w:val="Caractresdenotedefin"/>
        </w:rPr>
        <w:endnoteRef/>
      </w:r>
      <w:r>
        <w:rPr/>
        <w:tab/>
      </w:r>
      <w:r>
        <w:rPr/>
        <w:t>A polgárok ajánlásai, amelyeken a javaslat alapul: A 4. sz. európai polgári vitacsoport (ECP 4)</w:t>
      </w:r>
      <w:r>
        <w:rPr>
          <w:vertAlign w:val="superscript"/>
        </w:rPr>
        <w:t>8.</w:t>
      </w:r>
      <w:r>
        <w:rPr/>
        <w:t xml:space="preserve"> és 27. sz., Litvánia 10. sz., Hollandia 3. számú testülete.</w:t>
      </w:r>
    </w:p>
  </w:endnote>
  <w:endnote w:id="168">
    <w:p>
      <w:pPr>
        <w:pStyle w:val="Notedefin"/>
        <w:suppressLineNumbers/>
        <w:spacing w:before="57" w:after="57"/>
        <w:ind w:left="339" w:right="0" w:hanging="339"/>
        <w:rPr/>
      </w:pPr>
      <w:r>
        <w:rPr>
          <w:rStyle w:val="Caractresdenotedefin"/>
        </w:rPr>
        <w:endnoteRef/>
      </w:r>
      <w:r>
        <w:rPr/>
        <w:tab/>
        <w:t xml:space="preserve"> </w:t>
      </w:r>
      <w:r>
        <w:rPr/>
        <w:t>A polgárok ajánlásai, amelyeken a javaslat alapul: A 4. számú európai polgári vitacsoport (PCE 4)</w:t>
      </w:r>
      <w:r>
        <w:rPr>
          <w:vertAlign w:val="superscript"/>
        </w:rPr>
        <w:t>10</w:t>
      </w:r>
      <w:r>
        <w:rPr/>
        <w:t>., 35. és 38. pontja.</w:t>
      </w:r>
    </w:p>
  </w:endnote>
  <w:endnote w:id="169">
    <w:p>
      <w:pPr>
        <w:pStyle w:val="Notedefin"/>
        <w:suppressLineNumbers/>
        <w:spacing w:before="57" w:after="57"/>
        <w:ind w:left="339" w:right="0" w:hanging="339"/>
        <w:rPr/>
      </w:pPr>
      <w:r>
        <w:rPr>
          <w:rStyle w:val="Caractresdenotedefin"/>
        </w:rPr>
        <w:endnoteRef/>
      </w:r>
      <w:r>
        <w:rPr/>
        <w:tab/>
        <w:t xml:space="preserve"> </w:t>
      </w:r>
      <w:r>
        <w:rPr/>
        <w:t>A polgárok ajánlásai, amelyeken a javaslat alapul: A</w:t>
      </w:r>
      <w:r>
        <w:rPr>
          <w:vertAlign w:val="superscript"/>
        </w:rPr>
        <w:t>29</w:t>
      </w:r>
      <w:r>
        <w:rPr/>
        <w:t>., 31., 33., 36., 37., 38., 39. és 40.</w:t>
      </w:r>
      <w:r>
        <w:rPr>
          <w:vertAlign w:val="superscript"/>
        </w:rPr>
        <w:t>számú európai polgári vitacsoport (ECP 4), Olaszország 3.8.</w:t>
      </w:r>
      <w:r>
        <w:rPr/>
        <w:t>, 4.4. (15. o.) és 5.6. (11. o.), Litvánia 2.</w:t>
      </w:r>
      <w:r>
        <w:rPr>
          <w:vertAlign w:val="superscript"/>
        </w:rPr>
        <w:t>és</w:t>
      </w:r>
      <w:r>
        <w:rPr/>
        <w:t xml:space="preserve"> 3. számú, Hollandia 1. és 2. sz.</w:t>
      </w:r>
    </w:p>
  </w:endnote>
  <w:endnote w:id="170">
    <w:p>
      <w:pPr>
        <w:pStyle w:val="Notedefin"/>
        <w:spacing w:before="57" w:after="57"/>
        <w:rPr/>
      </w:pPr>
      <w:r>
        <w:rPr>
          <w:rStyle w:val="Caractresdenotedefin"/>
        </w:rPr>
        <w:endnoteRef/>
      </w:r>
      <w:r>
        <w:rPr/>
        <w:tab/>
        <w:t xml:space="preserve"> </w:t>
      </w:r>
      <w:r>
        <w:rPr/>
        <w:t>A polgárok ajánlásai, amelyeken a javaslat alapul: 4. számú európai polgári vitacsoport (PCE 4)</w:t>
      </w:r>
      <w:r>
        <w:rPr>
          <w:vertAlign w:val="superscript"/>
        </w:rPr>
        <w:t>7.</w:t>
      </w:r>
      <w:r>
        <w:rPr/>
        <w:t xml:space="preserve"> és 32., Franciaország 13. sz.</w:t>
      </w:r>
    </w:p>
  </w:endnote>
  <w:endnote w:id="171">
    <w:p>
      <w:pPr>
        <w:pStyle w:val="Notedefin"/>
        <w:suppressLineNumbers/>
        <w:spacing w:before="57" w:after="57"/>
        <w:ind w:left="339" w:right="0" w:hanging="339"/>
        <w:rPr/>
      </w:pPr>
      <w:r>
        <w:rPr>
          <w:rStyle w:val="Caractresdenotedefin"/>
        </w:rPr>
        <w:endnoteRef/>
      </w:r>
      <w:r>
        <w:rPr/>
        <w:tab/>
        <w:t xml:space="preserve"> </w:t>
      </w:r>
      <w:r>
        <w:rPr/>
        <w:t>Francia PCN, 6-os változás.</w:t>
      </w:r>
    </w:p>
  </w:endnote>
  <w:endnote w:id="172">
    <w:p>
      <w:pPr>
        <w:pStyle w:val="Notedefin"/>
        <w:suppressLineNumbers/>
        <w:spacing w:before="57" w:after="57"/>
        <w:ind w:left="339" w:right="0" w:hanging="339"/>
        <w:rPr/>
      </w:pPr>
      <w:r>
        <w:rPr>
          <w:rStyle w:val="Caractresdenotedefin"/>
        </w:rPr>
        <w:endnoteRef/>
      </w:r>
      <w:r>
        <w:rPr/>
        <w:tab/>
      </w:r>
      <w:r>
        <w:rPr/>
        <w:t>Az ECP 37. ajánlása 1.</w:t>
      </w:r>
    </w:p>
  </w:endnote>
  <w:endnote w:id="173">
    <w:p>
      <w:pPr>
        <w:pStyle w:val="Notedefin"/>
        <w:suppressLineNumbers/>
        <w:spacing w:before="57" w:after="57"/>
        <w:ind w:left="339" w:right="0" w:hanging="339"/>
        <w:rPr/>
      </w:pPr>
      <w:r>
        <w:rPr>
          <w:rStyle w:val="Caractresdenotedefin"/>
        </w:rPr>
        <w:endnoteRef/>
      </w:r>
      <w:r>
        <w:rPr/>
        <w:tab/>
      </w:r>
      <w:r>
        <w:rPr/>
        <w:t>Az ECP 3. ajánlása. Francia PCN, 6-os változás.</w:t>
      </w:r>
    </w:p>
  </w:endnote>
  <w:endnote w:id="174">
    <w:p>
      <w:pPr>
        <w:pStyle w:val="Notedefin"/>
        <w:suppressLineNumbers/>
        <w:spacing w:before="57" w:after="57"/>
        <w:ind w:left="339" w:right="0" w:hanging="339"/>
        <w:rPr/>
      </w:pPr>
      <w:r>
        <w:rPr>
          <w:rStyle w:val="Caractresdenotedefin"/>
        </w:rPr>
        <w:endnoteRef/>
      </w:r>
      <w:r>
        <w:rPr/>
        <w:tab/>
        <w:t xml:space="preserve"> </w:t>
      </w:r>
      <w:r>
        <w:rPr/>
        <w:t>Az ECP 41. ajánlása 1.</w:t>
      </w:r>
    </w:p>
  </w:endnote>
  <w:endnote w:id="175">
    <w:p>
      <w:pPr>
        <w:pStyle w:val="Notedefin"/>
        <w:suppressLineNumbers/>
        <w:spacing w:before="57" w:after="57"/>
        <w:ind w:left="339" w:right="0" w:hanging="339"/>
        <w:rPr/>
      </w:pPr>
      <w:r>
        <w:rPr>
          <w:rStyle w:val="Caractresdenotedefin"/>
        </w:rPr>
        <w:endnoteRef/>
      </w:r>
      <w:r>
        <w:rPr/>
        <w:tab/>
        <w:t xml:space="preserve"> </w:t>
      </w:r>
      <w:r>
        <w:rPr/>
        <w:t>Ezt részletesebben az európai demokráciával foglalkozó munkacsoport tárgyalja. Lásd az ECP 2 24. ajánlását, a belga nemzeti kapcsolattartó pont 1.1., 1.2. és 2.12. ajánlását, valamint a nemzeti kapcsolattartó pontok integrációs politikákról szóló olasz ajánlását.</w:t>
      </w:r>
    </w:p>
  </w:endnote>
  <w:endnote w:id="176">
    <w:p>
      <w:pPr>
        <w:pStyle w:val="Notedefin"/>
        <w:suppressLineNumbers/>
        <w:spacing w:before="57" w:after="57"/>
        <w:ind w:left="339" w:right="0" w:hanging="339"/>
        <w:rPr/>
      </w:pPr>
      <w:r>
        <w:rPr>
          <w:rStyle w:val="Caractresdenotedefin"/>
        </w:rPr>
        <w:endnoteRef/>
      </w:r>
      <w:r>
        <w:rPr/>
        <w:tab/>
      </w:r>
      <w:r>
        <w:rPr/>
        <w:t>Az olasz nemzeti kapcsolattartó pont ajánlása a befogadási politikákról.</w:t>
      </w:r>
    </w:p>
  </w:endnote>
  <w:endnote w:id="177">
    <w:p>
      <w:pPr>
        <w:pStyle w:val="Notedefin"/>
        <w:suppressLineNumbers/>
        <w:spacing w:before="57" w:after="57"/>
        <w:ind w:left="339" w:right="0" w:hanging="339"/>
        <w:rPr/>
      </w:pPr>
      <w:r>
        <w:rPr>
          <w:rStyle w:val="Caractresdenotedefin"/>
        </w:rPr>
        <w:endnoteRef/>
      </w:r>
      <w:r>
        <w:rPr/>
        <w:tab/>
      </w:r>
      <w:r>
        <w:rPr/>
        <w:t>Ezt részletesebben tárgyalja a digitális átalakulással foglalkozó munkacsoport. Lásd az ECP 1 8. és 34. ajánlását.</w:t>
      </w:r>
    </w:p>
  </w:endnote>
  <w:endnote w:id="178">
    <w:p>
      <w:pPr>
        <w:pStyle w:val="Notedefin"/>
        <w:suppressLineNumbers/>
        <w:spacing w:before="57" w:after="57"/>
        <w:ind w:left="339" w:right="0" w:hanging="339"/>
        <w:rPr/>
      </w:pPr>
      <w:r>
        <w:rPr>
          <w:rStyle w:val="Caractresdenotedefin"/>
        </w:rPr>
        <w:endnoteRef/>
      </w:r>
      <w:r>
        <w:rPr/>
        <w:tab/>
      </w:r>
      <w:r>
        <w:rPr/>
        <w:t>Az olasz nemzeti kapcsolattartó pont ajánlása: „A fiatalok ösztönzése tudományos tantárgyak tanulmányozására”.</w:t>
      </w:r>
    </w:p>
  </w:endnote>
  <w:endnote w:id="179">
    <w:p>
      <w:pPr>
        <w:pStyle w:val="Notedefin"/>
        <w:suppressLineNumbers/>
        <w:spacing w:before="57" w:after="57"/>
        <w:ind w:left="339" w:right="0" w:hanging="339"/>
        <w:rPr/>
      </w:pPr>
      <w:r>
        <w:rPr>
          <w:rStyle w:val="Caractresdenotedefin"/>
        </w:rPr>
        <w:endnoteRef/>
      </w:r>
      <w:r>
        <w:rPr/>
        <w:tab/>
      </w:r>
      <w:r>
        <w:rPr/>
        <w:t>A PCE 33. és 48. ajánlása 1. A digitális átalakulással foglalkozó munkacsoport is foglalkozott ezzel. Lásd az Európai Fogyasztóvédelmi Program (ECP 1) 47. ajánlását az internet egészséges használatáról.</w:t>
      </w:r>
    </w:p>
  </w:endnote>
  <w:endnote w:id="180">
    <w:p>
      <w:pPr>
        <w:pStyle w:val="Notedefin"/>
        <w:suppressLineNumbers/>
        <w:spacing w:before="57" w:after="57"/>
        <w:ind w:left="339" w:right="0" w:hanging="339"/>
        <w:rPr/>
      </w:pPr>
      <w:r>
        <w:rPr>
          <w:rStyle w:val="Caractresdenotedefin"/>
        </w:rPr>
        <w:endnoteRef/>
      </w:r>
      <w:r>
        <w:rPr/>
        <w:tab/>
      </w:r>
      <w:r>
        <w:rPr/>
        <w:t>Az ECP 5. ajánlása 1.</w:t>
      </w:r>
    </w:p>
  </w:endnote>
  <w:endnote w:id="181">
    <w:p>
      <w:pPr>
        <w:pStyle w:val="Notedefin"/>
        <w:suppressLineNumbers/>
        <w:spacing w:before="57" w:after="57"/>
        <w:ind w:left="339" w:right="0" w:hanging="339"/>
        <w:rPr/>
      </w:pPr>
      <w:r>
        <w:rPr>
          <w:rStyle w:val="Caractresdenotedefin"/>
        </w:rPr>
        <w:endnoteRef/>
      </w:r>
      <w:r>
        <w:rPr/>
        <w:tab/>
      </w:r>
      <w:r>
        <w:rPr/>
        <w:t>Az ECP 1. sz. 15. és 18. ajánlása.</w:t>
      </w:r>
    </w:p>
  </w:endnote>
  <w:endnote w:id="182">
    <w:p>
      <w:pPr>
        <w:pStyle w:val="Notedefin"/>
        <w:suppressLineNumbers/>
        <w:spacing w:before="57" w:after="57"/>
        <w:ind w:left="339" w:right="0" w:hanging="339"/>
        <w:rPr/>
      </w:pPr>
      <w:r>
        <w:rPr>
          <w:rStyle w:val="Caractresdenotedefin"/>
        </w:rPr>
        <w:endnoteRef/>
      </w:r>
      <w:r>
        <w:rPr/>
        <w:tab/>
        <w:t xml:space="preserve"> </w:t>
      </w:r>
      <w:r>
        <w:rPr/>
        <w:t>Az olasz nemzeti kapcsolattartó pont „Európa a világban” című ajánlása</w:t>
      </w:r>
    </w:p>
  </w:endnote>
  <w:endnote w:id="183">
    <w:p>
      <w:pPr>
        <w:pStyle w:val="Notedefin"/>
        <w:suppressLineNumbers/>
        <w:spacing w:before="57" w:after="57"/>
        <w:ind w:left="339" w:right="0" w:hanging="339"/>
        <w:rPr/>
      </w:pPr>
      <w:r>
        <w:rPr>
          <w:rStyle w:val="Caractresdenotedefin"/>
        </w:rPr>
        <w:endnoteRef/>
      </w:r>
      <w:r>
        <w:rPr/>
        <w:tab/>
      </w:r>
      <w:r>
        <w:rPr/>
        <w:t>Az ECP</w:t>
      </w:r>
      <w:r>
        <w:rPr>
          <w:vertAlign w:val="superscript"/>
        </w:rPr>
        <w:t>1</w:t>
      </w:r>
      <w:r>
        <w:rPr/>
        <w:t xml:space="preserve"> 18. és 41. ajánlása és az olasz nemzeti kapcsolattartó pont „Beruházás az oktatók képzésébe” című ajánlása.</w:t>
      </w:r>
    </w:p>
  </w:endnote>
  <w:endnote w:id="184">
    <w:p>
      <w:pPr>
        <w:pStyle w:val="Notedefin"/>
        <w:suppressLineNumbers/>
        <w:spacing w:before="57" w:after="57"/>
        <w:ind w:left="339" w:right="0" w:hanging="339"/>
        <w:rPr/>
      </w:pPr>
      <w:r>
        <w:rPr>
          <w:rStyle w:val="Caractresdenotedefin"/>
        </w:rPr>
        <w:endnoteRef/>
      </w:r>
      <w:r>
        <w:rPr/>
        <w:tab/>
      </w:r>
      <w:r>
        <w:rPr/>
        <w:t>PCE 1. sz. ajánlás, amelyet teljes egészében a digitális munkacsoportnak címeztek.</w:t>
      </w:r>
    </w:p>
  </w:endnote>
  <w:endnote w:id="185">
    <w:p>
      <w:pPr>
        <w:pStyle w:val="Notedefin"/>
        <w:suppressLineNumbers/>
        <w:spacing w:before="57" w:after="57"/>
        <w:ind w:left="339" w:right="0" w:hanging="339"/>
        <w:rPr/>
      </w:pPr>
      <w:r>
        <w:rPr>
          <w:rStyle w:val="Caractresdenotedefin"/>
        </w:rPr>
        <w:endnoteRef/>
      </w:r>
      <w:r>
        <w:rPr/>
        <w:tab/>
        <w:t xml:space="preserve"> </w:t>
      </w:r>
      <w:r>
        <w:rPr/>
        <w:t>Az ECP 15. sz. ajánlása 1. A német nemzeti kapcsolattartó pont ajánlása „az uniós szintű tudás- és tapasztalatcsere információs platformjáról”.</w:t>
      </w:r>
    </w:p>
  </w:endnote>
  <w:endnote w:id="186">
    <w:p>
      <w:pPr>
        <w:pStyle w:val="Notedefin"/>
        <w:suppressLineNumbers/>
        <w:spacing w:before="57" w:after="57"/>
        <w:ind w:left="339" w:right="0" w:hanging="339"/>
        <w:rPr/>
      </w:pPr>
      <w:r>
        <w:rPr>
          <w:rStyle w:val="Caractresdenotedefin"/>
        </w:rPr>
        <w:endnoteRef/>
      </w:r>
      <w:r>
        <w:rPr/>
        <w:tab/>
      </w:r>
      <w:r>
        <w:rPr/>
        <w:t>A belga nemzeti kapcsolattartó pont 6.1. ajánlása. Francia PCN, 7-es változás.</w:t>
      </w:r>
    </w:p>
  </w:endnote>
  <w:endnote w:id="187">
    <w:p>
      <w:pPr>
        <w:pStyle w:val="Notedefin"/>
        <w:suppressLineNumbers/>
        <w:spacing w:before="57" w:after="57"/>
        <w:ind w:left="339" w:right="0" w:hanging="339"/>
        <w:rPr/>
      </w:pPr>
      <w:r>
        <w:rPr>
          <w:rStyle w:val="Caractresdenotedefin"/>
        </w:rPr>
        <w:endnoteRef/>
      </w:r>
      <w:r>
        <w:rPr/>
        <w:tab/>
        <w:t xml:space="preserve"> </w:t>
      </w:r>
      <w:r>
        <w:rPr/>
        <w:t>A belga nemzeti kapcsolattartó pont 7.2. ajánlása.</w:t>
      </w:r>
    </w:p>
  </w:endnote>
  <w:endnote w:id="188">
    <w:p>
      <w:pPr>
        <w:pStyle w:val="Notedefin"/>
        <w:suppressLineNumbers/>
        <w:spacing w:before="57" w:after="57"/>
        <w:ind w:left="339" w:right="0" w:hanging="339"/>
        <w:rPr/>
      </w:pPr>
      <w:r>
        <w:rPr>
          <w:rStyle w:val="Caractresdenotedefin"/>
        </w:rPr>
        <w:endnoteRef/>
      </w:r>
      <w:r>
        <w:rPr/>
        <w:tab/>
      </w:r>
      <w:r>
        <w:rPr/>
        <w:t>Az ECP 4. ajánlása 1.</w:t>
      </w:r>
    </w:p>
  </w:endnote>
  <w:endnote w:id="189">
    <w:p>
      <w:pPr>
        <w:pStyle w:val="Notedefin"/>
        <w:suppressLineNumbers/>
        <w:spacing w:before="57" w:after="57"/>
        <w:ind w:left="339" w:right="0" w:hanging="339"/>
        <w:rPr/>
      </w:pPr>
      <w:r>
        <w:rPr>
          <w:rStyle w:val="Caractresdenotedefin"/>
        </w:rPr>
        <w:endnoteRef/>
      </w:r>
      <w:r>
        <w:rPr/>
        <w:tab/>
      </w:r>
      <w:r>
        <w:rPr/>
        <w:t>Javaslat az EKP</w:t>
      </w:r>
      <w:r>
        <w:rPr>
          <w:vertAlign w:val="superscript"/>
        </w:rPr>
        <w:t>1</w:t>
      </w:r>
      <w:r>
        <w:rPr/>
        <w:t xml:space="preserve"> 1. és 30. ajánlásának az erősebb gazdasággal, társadalmi igazságossággal és foglalkoztatással foglalkozó munkacsoport által lefedett kiegészítésére.</w:t>
      </w:r>
    </w:p>
  </w:endnote>
  <w:endnote w:id="190">
    <w:p>
      <w:pPr>
        <w:pStyle w:val="Notedefin"/>
        <w:suppressLineNumbers/>
        <w:spacing w:before="57" w:after="57"/>
        <w:ind w:left="339" w:right="0" w:hanging="339"/>
        <w:rPr/>
      </w:pPr>
      <w:r>
        <w:rPr>
          <w:rStyle w:val="Caractresdenotedefin"/>
        </w:rPr>
        <w:endnoteRef/>
      </w:r>
      <w:r>
        <w:rPr/>
        <w:tab/>
        <w:t xml:space="preserve"> </w:t>
      </w:r>
      <w:r>
        <w:rPr/>
        <w:t>Javaslat az ECP 1 25. ajánlásának kiegészítésére, amely az erősebb gazdasággal, a társadalmi igazságossággal és a foglalkoztatással foglalkozó munkacsoport hatáskörébe tartozik.</w:t>
      </w:r>
    </w:p>
  </w:endnote>
  <w:endnote w:id="191">
    <w:p>
      <w:pPr>
        <w:pStyle w:val="Notedefin"/>
        <w:suppressLineNumbers/>
        <w:spacing w:before="57" w:after="57"/>
        <w:ind w:left="339" w:right="0" w:hanging="339"/>
        <w:rPr/>
      </w:pPr>
      <w:r>
        <w:rPr>
          <w:rStyle w:val="Caractresdenotedefin"/>
        </w:rPr>
        <w:endnoteRef/>
      </w:r>
      <w:r>
        <w:rPr/>
        <w:tab/>
        <w:t xml:space="preserve"> </w:t>
      </w:r>
      <w:r>
        <w:rPr/>
        <w:t>Az ECP 284. ajánlása. Holland nemzeti kapcsolattartó pont („A kultúra, az ifjúság és a sport jövőképe”), 1. ajánlás. Francia PCN, 6-os változás.</w:t>
      </w:r>
    </w:p>
  </w:endnote>
  <w:endnote w:id="192">
    <w:p>
      <w:pPr>
        <w:pStyle w:val="Notedefin"/>
        <w:suppressLineNumbers/>
        <w:spacing w:before="57" w:after="57"/>
        <w:ind w:left="339" w:right="0" w:hanging="339"/>
        <w:rPr/>
      </w:pPr>
      <w:r>
        <w:rPr>
          <w:rStyle w:val="Caractresdenotedefin"/>
        </w:rPr>
        <w:endnoteRef/>
      </w:r>
      <w:r>
        <w:rPr/>
        <w:tab/>
        <w:t xml:space="preserve"> </w:t>
      </w:r>
      <w:r>
        <w:rPr/>
        <w:t>Az ECP 6. ajánlása 1.</w:t>
      </w:r>
    </w:p>
  </w:endnote>
  <w:endnote w:id="193">
    <w:p>
      <w:pPr>
        <w:pStyle w:val="Notedefin"/>
        <w:suppressLineNumbers/>
        <w:spacing w:before="57" w:after="57"/>
        <w:ind w:left="339" w:right="0" w:hanging="339"/>
        <w:rPr/>
      </w:pPr>
      <w:r>
        <w:rPr>
          <w:rStyle w:val="Caractresdenotedefin"/>
        </w:rPr>
        <w:endnoteRef/>
      </w:r>
      <w:r>
        <w:rPr/>
        <w:tab/>
      </w:r>
      <w:r>
        <w:rPr/>
        <w:t>Holland nemzeti kapcsolattartó pont („A kultúra, az ifjúság és a sport jövőképe”), 2. ajánlás.</w:t>
      </w:r>
    </w:p>
  </w:endnote>
  <w:endnote w:id="194">
    <w:p>
      <w:pPr>
        <w:pStyle w:val="Notedefin"/>
        <w:suppressLineNumbers/>
        <w:spacing w:before="57" w:after="57"/>
        <w:ind w:left="339" w:right="0" w:hanging="339"/>
        <w:rPr/>
      </w:pPr>
      <w:r>
        <w:rPr>
          <w:rStyle w:val="Caractresdenotedefin"/>
        </w:rPr>
        <w:endnoteRef/>
      </w:r>
      <w:r>
        <w:rPr/>
        <w:tab/>
      </w:r>
      <w:r>
        <w:rPr/>
        <w:t>Az ECP 36. ajánlása 1. Francia PCN, 6-os változás. A belga nemzeti kapcsolattartó pont 2.10. és 2.11. ajánlása. Német NCP: „Több cserelehetőség megteremtése az európai diákok számára”. Holland nemzeti kapcsolattartó pont („A kultúra, az ifjúság és a sport jövőképe”),</w:t>
      </w:r>
      <w:r>
        <w:rPr>
          <w:vertAlign w:val="superscript"/>
        </w:rPr>
        <w:t>1.</w:t>
      </w:r>
      <w:r>
        <w:rPr/>
        <w:t xml:space="preserve"> és 3. ajánlás. Olasz nemzeti kapcsolattartó pont: „Tegyünk közös irodát Kelet és Nyugat között, előmozdítva a kulturális cseréket és a közös kulturális kezdeményezéseket”.</w:t>
      </w:r>
    </w:p>
  </w:endnote>
  <w:endnote w:id="195">
    <w:p>
      <w:pPr>
        <w:pStyle w:val="Notedefin"/>
        <w:suppressLineNumbers/>
        <w:spacing w:before="57" w:after="57"/>
        <w:ind w:left="339" w:right="0" w:hanging="339"/>
        <w:rPr/>
      </w:pPr>
      <w:r>
        <w:rPr>
          <w:rStyle w:val="Caractresdenotedefin"/>
        </w:rPr>
        <w:endnoteRef/>
      </w:r>
      <w:r>
        <w:rPr/>
        <w:tab/>
        <w:t xml:space="preserve"> </w:t>
      </w:r>
      <w:r>
        <w:rPr>
          <w:vertAlign w:val="superscript"/>
        </w:rPr>
        <w:t>Az ECP 32.</w:t>
      </w:r>
      <w:r>
        <w:rPr/>
        <w:t xml:space="preserve"> és 38 1. ajánlása. Holland nemzeti kapcsolattartó pont („A kultúra, az ifjúság és a sport jövőképe”), 3. ajánlás.</w:t>
      </w:r>
    </w:p>
  </w:endnote>
  <w:endnote w:id="196">
    <w:p>
      <w:pPr>
        <w:pStyle w:val="Notedefin"/>
        <w:suppressLineNumbers/>
        <w:spacing w:before="57" w:after="57"/>
        <w:ind w:left="339" w:right="0" w:hanging="339"/>
        <w:rPr/>
      </w:pPr>
      <w:r>
        <w:rPr>
          <w:rStyle w:val="Caractresdenotedefin"/>
        </w:rPr>
        <w:endnoteRef/>
      </w:r>
      <w:r>
        <w:rPr/>
        <w:tab/>
      </w:r>
      <w:r>
        <w:rPr/>
        <w:t>Az olasz nemzeti kapcsolattartó pont „Európa a világban” című ajánlása</w:t>
      </w:r>
    </w:p>
  </w:endnote>
  <w:endnote w:id="197">
    <w:p>
      <w:pPr>
        <w:pStyle w:val="Notedefin"/>
        <w:suppressLineNumbers/>
        <w:spacing w:before="57" w:after="57"/>
        <w:ind w:left="339" w:right="0" w:hanging="339"/>
        <w:rPr/>
      </w:pPr>
      <w:r>
        <w:rPr>
          <w:rStyle w:val="Caractresdenotedefin"/>
        </w:rPr>
        <w:endnoteRef/>
      </w:r>
      <w:r>
        <w:rPr/>
        <w:tab/>
      </w:r>
      <w:r>
        <w:rPr/>
        <w:t>Francia PCN, 7-es változás. A belga nemzeti</w:t>
      </w:r>
      <w:r>
        <w:rPr>
          <w:vertAlign w:val="superscript"/>
        </w:rPr>
        <w:t>kapcsolattartó</w:t>
      </w:r>
      <w:r>
        <w:rPr/>
        <w:t xml:space="preserve"> pont 2.5., 6.1. és 8.7. ajánlása. Olasz nemzeti kapcsolattartó pont, ajánlás az európai kulturális értékek és jellemzők, valamint a regionális sajátosságok megerősítéséről.</w:t>
      </w:r>
    </w:p>
  </w:endnote>
  <w:endnote w:id="198">
    <w:p>
      <w:pPr>
        <w:pStyle w:val="Notedefin"/>
        <w:suppressLineNumbers/>
        <w:spacing w:before="57" w:after="57"/>
        <w:ind w:left="339" w:right="0" w:hanging="339"/>
        <w:rPr/>
      </w:pPr>
      <w:r>
        <w:rPr>
          <w:rStyle w:val="Caractresdenotedefin"/>
        </w:rPr>
        <w:endnoteRef/>
      </w:r>
      <w:r>
        <w:rPr/>
        <w:tab/>
      </w:r>
      <w:r>
        <w:rPr/>
        <w:t>Holland nemzeti kapcsolattartó pont („A kultúra, az ifjúság és a sport jövőképe”), 2. ajánlás.</w:t>
      </w:r>
    </w:p>
  </w:endnote>
  <w:endnote w:id="199">
    <w:p>
      <w:pPr>
        <w:pStyle w:val="Notedefin"/>
        <w:suppressLineNumbers/>
        <w:spacing w:before="57" w:after="57"/>
        <w:ind w:left="339" w:right="0" w:hanging="339"/>
        <w:rPr/>
      </w:pPr>
      <w:r>
        <w:rPr>
          <w:rStyle w:val="Caractresdenotedefin"/>
        </w:rPr>
        <w:endnoteRef/>
      </w:r>
      <w:r>
        <w:rPr/>
        <w:tab/>
        <w:t xml:space="preserve"> </w:t>
      </w:r>
      <w:r>
        <w:rPr/>
        <w:t>Az olasz nemzeti kapcsolattartó pont ajánlása „az elmúlt század termelési modelljének túllépésére”</w:t>
      </w:r>
    </w:p>
  </w:endnote>
  <w:endnote w:id="200">
    <w:p>
      <w:pPr>
        <w:pStyle w:val="Notedefin"/>
        <w:suppressLineNumbers/>
        <w:spacing w:before="57" w:after="57"/>
        <w:ind w:left="339" w:right="0" w:hanging="339"/>
        <w:rPr/>
      </w:pPr>
      <w:r>
        <w:rPr>
          <w:rStyle w:val="Caractresdenotedefin"/>
        </w:rPr>
        <w:endnoteRef/>
      </w:r>
      <w:r>
        <w:rPr/>
        <w:tab/>
      </w:r>
      <w:r>
        <w:rPr/>
        <w:t>Az ECP 29. sz. ajánlása 1.</w:t>
      </w:r>
    </w:p>
  </w:endnote>
  <w:endnote w:id="201">
    <w:p>
      <w:pPr>
        <w:pStyle w:val="Notedefin"/>
        <w:suppressLineNumbers/>
        <w:spacing w:before="57" w:after="57"/>
        <w:ind w:left="339" w:right="0" w:hanging="339"/>
        <w:rPr/>
      </w:pPr>
      <w:r>
        <w:rPr>
          <w:rStyle w:val="Caractresdenotedefin"/>
        </w:rPr>
        <w:endnoteRef/>
      </w:r>
      <w:r>
        <w:rPr/>
        <w:tab/>
      </w:r>
      <w:r>
        <w:rPr/>
        <w:t>Az ECP 36. ajánlása 1.</w:t>
      </w:r>
    </w:p>
  </w:endnote>
</w:endnotes>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Arial">
    <w:charset w:val="00"/>
    <w:family w:val="roman"/>
    <w:pitch w:val="variable"/>
  </w:font>
  <w:font w:name="Calibri">
    <w:charset w:val="00"/>
    <w:family w:val="roman"/>
    <w:pitch w:val="variable"/>
  </w:font>
  <w:font w:name="Garamond">
    <w:charset w:val="00"/>
    <w:family w:val="roman"/>
    <w:pitch w:val="variable"/>
  </w:font>
  <w:font w:name="Roboto">
    <w:charset w:val="00"/>
    <w:family w:val="roman"/>
    <w:pitch w:val="variable"/>
  </w:font>
  <w:font w:name="Wingdings">
    <w:charset w:val="00"/>
    <w:family w:val="roman"/>
    <w:pitch w:val="variable"/>
  </w:font>
  <w:font w:name="Symbol">
    <w:charset w:val="00"/>
    <w:family w:val="roman"/>
    <w:pitch w:val="variable"/>
  </w:font>
  <w:font w:name="Verdana">
    <w:charset w:val="00"/>
    <w:family w:val="roman"/>
    <w:pitch w:val="variable"/>
  </w:font>
  <w:font w:name="Cambria">
    <w:charset w:val="00"/>
    <w:family w:val="roman"/>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ieddepage"/>
      <w:spacing w:before="57" w:after="57"/>
      <w:jc w:val="center"/>
      <w:rPr/>
    </w:pPr>
    <w:r>
      <w:rPr/>
      <w:fldChar w:fldCharType="begin"/>
    </w:r>
    <w:r>
      <w:rPr/>
      <w:instrText> PAGE </w:instrText>
    </w:r>
    <w:r>
      <w:rPr/>
      <w:fldChar w:fldCharType="separate"/>
    </w:r>
    <w:r>
      <w:rPr/>
      <w:t>300</w:t>
    </w:r>
    <w:r>
      <w:rPr/>
      <w:fldChar w:fldCharType="end"/>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ieddepage"/>
      <w:spacing w:before="57" w:after="57"/>
      <w:jc w:val="center"/>
      <w:rPr/>
    </w:pPr>
    <w:r>
      <w:rPr/>
      <w:fldChar w:fldCharType="begin"/>
    </w:r>
    <w:r>
      <w:rPr/>
      <w:instrText> PAGE </w:instrText>
    </w:r>
    <w:r>
      <w:rPr/>
      <w:fldChar w:fldCharType="separate"/>
    </w:r>
    <w:r>
      <w:rPr/>
      <w:t>299</w:t>
    </w:r>
    <w:r>
      <w:rPr/>
      <w:fldChar w:fldCharType="end"/>
    </w:r>
  </w:p>
</w:ftr>
</file>

<file path=word/footnotes.xml><?xml version="1.0" encoding="utf-8"?>
<w:footnote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footnote w:id="0" w:type="separator">
    <w:p>
      <w:r>
        <w:separator/>
      </w:r>
    </w:p>
  </w:footnote>
  <w:footnote w:id="1" w:type="continuationSeparator">
    <w:p>
      <w:r>
        <w:continuationSeparator/>
      </w:r>
    </w:p>
  </w:footnote>
  <w:footnote w:id="2">
    <w:p>
      <w:pPr>
        <w:pStyle w:val="Notedebasdepage"/>
        <w:suppressLineNumbers/>
        <w:spacing w:before="57" w:after="57"/>
        <w:ind w:left="339" w:right="0" w:hanging="339"/>
        <w:rPr/>
      </w:pPr>
      <w:r>
        <w:rPr>
          <w:rStyle w:val="Caractresdenotedebasdepage"/>
        </w:rPr>
        <w:footnoteRef/>
      </w:r>
      <w:r>
        <w:rPr>
          <w:rStyle w:val="Caractresdenotedebasdepage"/>
        </w:rPr>
        <w:tab/>
      </w:r>
      <w:hyperlink r:id="rId1">
        <w:r>
          <w:rPr>
            <w:rStyle w:val="LienInternet"/>
          </w:rPr>
          <w:t>https://futureu.europa.eu/</w:t>
        </w:r>
      </w:hyperlink>
      <w:r>
        <w:rPr/>
        <w:t xml:space="preserve"> </w:t>
      </w:r>
    </w:p>
  </w:footnote>
  <w:footnote w:id="3">
    <w:p>
      <w:pPr>
        <w:pStyle w:val="Notedebasdepage"/>
        <w:suppressLineNumbers/>
        <w:spacing w:before="57" w:after="57"/>
        <w:ind w:left="339" w:right="0" w:hanging="339"/>
        <w:rPr/>
      </w:pPr>
      <w:r>
        <w:rPr>
          <w:rStyle w:val="Caractresdenotedebasdepage"/>
        </w:rPr>
        <w:footnoteRef/>
      </w:r>
      <w:r>
        <w:rPr>
          <w:rStyle w:val="Caractresdenotedebasdepage"/>
        </w:rPr>
        <w:tab/>
      </w:r>
      <w:hyperlink r:id="rId2">
        <w:r>
          <w:rPr>
            <w:rStyle w:val="LienInternet"/>
          </w:rPr>
          <w:t>https://futureu.europa.eu/uploads/decidim/attachment/file/4595/Conference_Charter_fr.pdf</w:t>
        </w:r>
      </w:hyperlink>
      <w:r>
        <w:rPr/>
        <w:t xml:space="preserve"> </w:t>
      </w:r>
    </w:p>
  </w:footnote>
  <w:footnote w:id="4">
    <w:p>
      <w:pPr>
        <w:pStyle w:val="Notedebasdepage"/>
        <w:suppressLineNumbers/>
        <w:spacing w:before="57" w:after="57"/>
        <w:ind w:left="339" w:right="0" w:hanging="339"/>
        <w:rPr/>
      </w:pPr>
      <w:r>
        <w:rPr>
          <w:rStyle w:val="Caractresdenotedebasdepage"/>
        </w:rPr>
        <w:footnoteRef/>
      </w:r>
      <w:r>
        <w:rPr/>
        <w:tab/>
      </w:r>
      <w:r>
        <w:rPr/>
        <w:t xml:space="preserve">OECD, Innovatív polgári részvétel és új demokratikus intézmények, 2020 - </w:t>
      </w:r>
      <w:hyperlink r:id="rId3">
        <w:r>
          <w:rPr>
            <w:rStyle w:val="LienInternet"/>
          </w:rPr>
          <w:t>https://www.oecd.org/gov/open-government/innovative-citizen-participation-new-democratic-institutions-catching-the-deliberative-wave-highlights.pdf</w:t>
        </w:r>
      </w:hyperlink>
      <w:r>
        <w:rPr/>
        <w:t>.</w:t>
      </w:r>
    </w:p>
  </w:footnote>
  <w:footnote w:id="5">
    <w:p>
      <w:pPr>
        <w:pStyle w:val="Notedebasdepage"/>
        <w:suppressLineNumbers/>
        <w:spacing w:before="57" w:after="57"/>
        <w:ind w:left="339" w:right="0" w:hanging="339"/>
        <w:rPr/>
      </w:pPr>
      <w:r>
        <w:rPr>
          <w:rStyle w:val="Caractresdenotedebasdepage"/>
        </w:rPr>
        <w:footnoteRef/>
      </w:r>
      <w:r>
        <w:rPr/>
        <w:tab/>
        <w:t xml:space="preserve"> </w:t>
      </w:r>
      <w:r>
        <w:rPr/>
        <w:t xml:space="preserve">OECD, Innovatív polgári részvétel és új demokratikus intézmények, 2020 - </w:t>
      </w:r>
      <w:hyperlink r:id="rId4">
        <w:r>
          <w:rPr>
            <w:rStyle w:val="LienInternet"/>
          </w:rPr>
          <w:t>https://www.oecd.org/gov/open-government/innovative-citizen-participation-new-democratic-institutions-catching-the-deliberative-wave-highlights.pdf</w:t>
        </w:r>
      </w:hyperlink>
      <w:r>
        <w:rPr/>
        <w:t xml:space="preserve"> </w:t>
      </w:r>
    </w:p>
  </w:footnote>
  <w:footnote w:id="6">
    <w:p>
      <w:pPr>
        <w:pStyle w:val="Normal"/>
        <w:spacing w:before="57" w:after="57"/>
        <w:rPr/>
      </w:pPr>
      <w:r>
        <w:rPr>
          <w:rStyle w:val="Caractresdenotedebasdepage"/>
        </w:rPr>
        <w:footnoteRef/>
      </w:r>
      <w:r>
        <w:rPr/>
        <w:tab/>
      </w:r>
      <w:r>
        <w:rPr/>
        <w:t>Látogasson el a többnyelvű digitális platformra, hogy hozzáférjen az eseményekkel kapcsolatos összes információhoz.</w:t>
      </w:r>
    </w:p>
  </w:footnote>
  <w:footnote w:id="7">
    <w:p>
      <w:pPr>
        <w:pStyle w:val="Notedebasdepage"/>
        <w:suppressLineNumbers/>
        <w:spacing w:before="57" w:after="57"/>
        <w:ind w:left="339" w:right="0" w:hanging="339"/>
        <w:rPr/>
      </w:pPr>
      <w:r>
        <w:rPr>
          <w:rStyle w:val="Caractresdenotedebasdepage"/>
        </w:rPr>
        <w:footnoteRef/>
      </w:r>
      <w:r>
        <w:rPr/>
        <w:tab/>
      </w:r>
      <w:r>
        <w:rPr/>
        <w:t>Legalább az Európai Parlament, a Tanács, az Európai Bizottság és a nemzeti parlamentek képviselői között legalább egyenrangú konszenzusra volt szükség. Amennyiben a nemzeti rendezvényeken és/vagy az európai vagy nemzeti polgári vitacsoportokban a polgárok képviselőinek álláspontja nyilvánvalóan eltérő volt, ezt az álláspontot bele kell foglalni ebbe a jelentésbe.</w:t>
      </w:r>
    </w:p>
  </w:footnote>
  <w:footnote w:id="8">
    <w:p>
      <w:pPr>
        <w:pStyle w:val="Notedebasdepage"/>
        <w:suppressLineNumbers/>
        <w:spacing w:before="57" w:after="57"/>
        <w:ind w:left="339" w:right="0" w:hanging="339"/>
        <w:rPr/>
      </w:pPr>
      <w:r>
        <w:rPr>
          <w:rStyle w:val="Caractresdenotedebasdepage"/>
        </w:rPr>
        <w:footnoteRef/>
      </w:r>
      <w:r>
        <w:rPr/>
        <w:tab/>
      </w:r>
      <w:r>
        <w:rPr/>
        <w:t>Az Európai Bizottság többi tagját meghívták a plenáris ülésre, különösen a portfóliójukhoz tartozó kérdések megvitatásakor.</w:t>
      </w:r>
    </w:p>
  </w:footnote>
  <w:footnote w:id="9">
    <w:p>
      <w:pPr>
        <w:pStyle w:val="Notedebasdepage"/>
        <w:suppressLineNumbers/>
        <w:spacing w:before="57" w:after="57"/>
        <w:ind w:left="339" w:right="0" w:hanging="339"/>
        <w:rPr/>
      </w:pPr>
      <w:r>
        <w:rPr>
          <w:rStyle w:val="Caractresdenotedebasdepage"/>
        </w:rPr>
        <w:footnoteRef/>
      </w:r>
      <w:r>
        <w:rPr/>
        <w:tab/>
      </w:r>
      <w:r>
        <w:rPr/>
        <w:t>Tagállamonként egy.</w:t>
      </w:r>
    </w:p>
  </w:footnote>
  <w:footnote w:id="10">
    <w:p>
      <w:pPr>
        <w:pStyle w:val="Notedebasdepage"/>
        <w:suppressLineNumbers/>
        <w:spacing w:before="57" w:after="57"/>
        <w:ind w:left="339" w:right="0" w:hanging="339"/>
        <w:rPr/>
      </w:pPr>
      <w:r>
        <w:rPr>
          <w:rStyle w:val="Caractresdenotedebasdepage"/>
        </w:rPr>
        <w:footnoteRef/>
      </w:r>
      <w:r>
        <w:rPr/>
        <w:tab/>
      </w:r>
      <w:r>
        <w:rPr/>
        <w:t>Az európai polgároknak szentelt első rendezvényre 2021. június 17-én került sor Lisszabonban hibrid formában, a június 19-i alakuló plenáris ülés előtt, hogy elindítsák a polgárok részvételét a konferencián.</w:t>
      </w:r>
    </w:p>
  </w:footnote>
  <w:footnote w:id="11">
    <w:p>
      <w:pPr>
        <w:pStyle w:val="Notedebasdepage"/>
        <w:suppressLineNumbers/>
        <w:spacing w:before="57" w:after="57"/>
        <w:ind w:left="339" w:right="0" w:hanging="339"/>
        <w:rPr/>
      </w:pPr>
      <w:r>
        <w:rPr>
          <w:rStyle w:val="Caractresdenotedebasdepage"/>
        </w:rPr>
        <w:footnoteRef/>
      </w:r>
      <w:r>
        <w:rPr/>
        <w:tab/>
        <w:t xml:space="preserve"> </w:t>
      </w:r>
      <w:r>
        <w:rPr/>
        <w:t>Az Európai Bizottság képviselői kifejtették, hogy a túl hirtelen fejlemények elkerülése érdekében átmeneti időszakra van szükség.</w:t>
      </w:r>
    </w:p>
  </w:footnote>
  <w:footnote w:id="12">
    <w:p>
      <w:pPr>
        <w:pStyle w:val="Notedebasdepage"/>
        <w:suppressLineNumbers/>
        <w:spacing w:before="57" w:after="57"/>
        <w:ind w:left="339" w:right="0" w:hanging="339"/>
        <w:rPr/>
      </w:pPr>
      <w:r>
        <w:rPr>
          <w:rStyle w:val="Caractresdenotedebasdepage"/>
        </w:rPr>
        <w:footnoteRef/>
      </w:r>
      <w:r>
        <w:rPr/>
        <w:tab/>
      </w:r>
      <w:r>
        <w:rPr/>
        <w:t xml:space="preserve">A Parlament álláspontja: az európai választásokon a legtöbb szavazatot és az európai parlamenti képviselők többségének támogatását élvező európai politikai párt toplistáját az Európai Bizottság elnökévé kell választani. Abban az esetben, ha nem jön létre koalíciós többség, a posztnak vissza kell térnie a lista következő élére. E célból az európai politikai pártok jelölteket jelölhetnek a Bizottság elnökségére. Paulo Rangel: a vezető jelöltek folyamatának megerősítése érdekében meg kell változtatni az Európai Parlament és az Európai Tanács szerepét, ami magában foglalja a Szerződések módosítását: a Bizottság elnökét a Parlament javasolja és az Európai Tanács hagyja jóvá. PNM (végső Kantar-jelentés: „a hozzájárulások egy csoportja fedezi a Bizottság elnökének megválasztását és a biztosok kinevezését, beleértve a toplistás jelöltek rendszerét is.” EYE, 23. o.: A Bizottság elnöki posztjára jelölteket nem szabad a győztes felek közötti színfalak mögötti tárgyalásokon megválasztani. Alkalmaznunk kell a vezető jelöltek rendszerét, ahol minden párt a választási kampány előtt bejelenti, hogy ki lesz a Bizottság elnöke, ha a párt többséget nyer. A kampányban való aktív részvétel és az európai polgárokkal való közvetlen kapcsolattartás révén a leendő elnök közelebb kerülhet hozzájuk.” beszélgetés a GT-ben. </w:t>
      </w:r>
    </w:p>
  </w:footnote>
  <w:footnote w:id="13">
    <w:p>
      <w:pPr>
        <w:pStyle w:val="Notedebasdepage"/>
        <w:suppressLineNumbers/>
        <w:spacing w:before="57" w:after="57"/>
        <w:ind w:left="339" w:right="0" w:hanging="339"/>
        <w:rPr/>
      </w:pPr>
      <w:r>
        <w:rPr>
          <w:rStyle w:val="Caractresdenotedebasdepage"/>
        </w:rPr>
        <w:footnoteRef/>
      </w:r>
      <w:r>
        <w:rPr/>
        <w:tab/>
      </w:r>
      <w:r>
        <w:rPr/>
        <w:t>A Tanács úgy véli, hogy ez a javaslat nem állampolgári ajánláson alapul. Ezért nincs összhangban az elfogadott módszertannal. Lásd még az állampolgári összetevőnek a 42. oldalon kifejtett álláspontját.</w:t>
      </w:r>
    </w:p>
  </w:footnote>
  <w:footnote w:id="14">
    <w:p>
      <w:pPr>
        <w:pStyle w:val="Notedebasdepage"/>
        <w:suppressLineNumbers/>
        <w:spacing w:before="57" w:after="57"/>
        <w:ind w:left="339" w:right="0" w:hanging="339"/>
        <w:rPr/>
      </w:pPr>
      <w:r>
        <w:rPr>
          <w:rStyle w:val="Caractresdenotedebasdepage"/>
        </w:rPr>
        <w:footnoteRef/>
      </w:r>
      <w:r>
        <w:rPr>
          <w:rStyle w:val="Caractresdenotedebasdepage"/>
        </w:rPr>
        <w:tab/>
      </w:r>
      <w:hyperlink r:id="rId5">
        <w:r>
          <w:rPr>
            <w:rStyle w:val="LienInternet"/>
          </w:rPr>
          <w:t>www.participation-citoyenne.gouv.fr</w:t>
        </w:r>
      </w:hyperlink>
      <w:r>
        <w:rPr/>
        <w:t xml:space="preserve"> </w:t>
      </w:r>
    </w:p>
  </w:footnote>
  <w:footnote w:id="15">
    <w:p>
      <w:pPr>
        <w:pStyle w:val="Notedebasdepage"/>
        <w:suppressLineNumbers/>
        <w:spacing w:before="57" w:after="57"/>
        <w:ind w:left="339" w:right="0" w:hanging="339"/>
        <w:rPr/>
      </w:pPr>
      <w:r>
        <w:rPr>
          <w:rStyle w:val="Caractresdenotedebasdepage"/>
        </w:rPr>
        <w:footnoteRef/>
      </w:r>
      <w:r>
        <w:rPr/>
        <w:tab/>
        <w:t xml:space="preserve"> </w:t>
      </w:r>
      <w:hyperlink r:id="rId6">
        <w:r>
          <w:rPr>
            <w:rStyle w:val="LienInternet"/>
          </w:rPr>
          <w:t>https://futureu.europa.eu/processes?locale=fr</w:t>
        </w:r>
      </w:hyperlink>
      <w:r>
        <w:rPr/>
        <w:t xml:space="preserve"> </w:t>
      </w:r>
    </w:p>
  </w:footnote>
  <w:footnote w:id="16">
    <w:p>
      <w:pPr>
        <w:pStyle w:val="Notedebasdepage"/>
        <w:suppressLineNumbers/>
        <w:spacing w:before="57" w:after="57"/>
        <w:ind w:left="339" w:right="0" w:hanging="339"/>
        <w:rPr/>
      </w:pPr>
      <w:r>
        <w:rPr>
          <w:rStyle w:val="Caractresdenotedebasdepage"/>
        </w:rPr>
        <w:footnoteRef/>
      </w:r>
      <w:r>
        <w:rPr/>
        <w:tab/>
        <w:t xml:space="preserve"> </w:t>
      </w:r>
      <w:r>
        <w:rPr/>
        <w:t xml:space="preserve">A litván statisztikai minisztérium (Lietuvos statistikos departamentas) adatai alapján Vilnius, Kaunas, Panevėžys, Vilnius, Kaunas, Klaipėda, Šiauliai, Panevėžys, Alytus, Marijampolė, Tauragė, Telšiai és Utena körzeteket képviselő polgárok mintája. </w:t>
      </w:r>
    </w:p>
  </w:footnote>
</w:footnotes>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Entte"/>
      <w:spacing w:before="57" w:after="57"/>
      <w:jc w:val="right"/>
      <w:rPr>
        <w:sz w:val="18"/>
      </w:rPr>
    </w:pPr>
    <w:r>
      <w:rPr>
        <w:sz w:val="18"/>
      </w:rPr>
    </w:r>
  </w:p>
</w:hdr>
</file>

<file path=word/header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68B1DB1Entte134"/>
      <w:spacing w:before="57" w:after="57"/>
      <w:jc w:val="right"/>
      <w:rPr>
        <w:sz w:val="18"/>
      </w:rPr>
    </w:pPr>
    <w:r>
      <w:rPr/>
      <w:t>Konferencia Európa jövőjéről | JELENTÉS a végső eredményekről</w:t>
    </w:r>
  </w:p>
</w:hdr>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
      <w:pStyle w:val="Titre1"/>
      <w:numFmt w:val="none"/>
      <w:suff w:val="nothing"/>
      <w:lvlText w:val=""/>
      <w:lvlJc w:val="left"/>
      <w:pPr>
        <w:ind w:left="0" w:hanging="0"/>
      </w:pPr>
    </w:lvl>
    <w:lvl w:ilvl="1">
      <w:start w:val="1"/>
      <w:pStyle w:val="Titre2"/>
      <w:numFmt w:val="none"/>
      <w:suff w:val="nothing"/>
      <w:lvlText w:val=""/>
      <w:lvlJc w:val="left"/>
      <w:pPr>
        <w:ind w:left="0" w:hanging="0"/>
      </w:pPr>
    </w:lvl>
    <w:lvl w:ilvl="2">
      <w:start w:val="1"/>
      <w:pStyle w:val="Titre3"/>
      <w:numFmt w:val="none"/>
      <w:suff w:val="nothing"/>
      <w:lvlText w:val=""/>
      <w:lvlJc w:val="left"/>
      <w:pPr>
        <w:ind w:left="0" w:hanging="0"/>
      </w:pPr>
    </w:lvl>
    <w:lvl w:ilvl="3">
      <w:start w:val="1"/>
      <w:pStyle w:val="Titre4"/>
      <w:numFmt w:val="none"/>
      <w:suff w:val="nothing"/>
      <w:lvlText w:val=""/>
      <w:lvlJc w:val="left"/>
      <w:pPr>
        <w:ind w:left="0" w:hanging="0"/>
      </w:pPr>
    </w:lvl>
    <w:lvl w:ilvl="4">
      <w:start w:val="1"/>
      <w:pStyle w:val="Titre5"/>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abstractNum w:abstractNumId="2">
    <w:lvl w:ilvl="0">
      <w:start w:val="1"/>
      <w:numFmt w:val="none"/>
      <w:suff w:val="nothing"/>
      <w:lvlText w:val=""/>
      <w:lvlJc w:val="left"/>
      <w:pPr>
        <w:ind w:left="0" w:hanging="0"/>
      </w:pPr>
    </w:lvl>
    <w:lvl w:ilvl="1">
      <w:start w:val="1"/>
      <w:numFmt w:val="none"/>
      <w:suff w:val="nothing"/>
      <w:lvlText w:val=""/>
      <w:lvlJc w:val="left"/>
      <w:pPr>
        <w:ind w:left="0" w:hanging="0"/>
      </w:pPr>
    </w:lvl>
    <w:lvl w:ilvl="2">
      <w:start w:val="1"/>
      <w:numFmt w:val="none"/>
      <w:suff w:val="nothing"/>
      <w:lvlText w:val=""/>
      <w:lvlJc w:val="left"/>
      <w:pPr>
        <w:ind w:left="0" w:hanging="0"/>
      </w:pPr>
    </w:lvl>
    <w:lvl w:ilvl="3">
      <w:start w:val="1"/>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abstractNum w:abstractNumId="3">
    <w:lvl w:ilvl="0">
      <w:start w:val="1"/>
      <w:numFmt w:val="bullet"/>
      <w:lvlText w:val=""/>
      <w:lvlJc w:val="left"/>
      <w:pPr>
        <w:tabs>
          <w:tab w:val="num" w:pos="227"/>
        </w:tabs>
        <w:ind w:left="227" w:hanging="227"/>
      </w:pPr>
      <w:rPr>
        <w:rFonts w:ascii="Symbol" w:hAnsi="Symbol" w:cs="Symbol" w:hint="default"/>
        <w:rFonts w:cs="Symbol"/>
      </w:rPr>
    </w:lvl>
    <w:lvl w:ilvl="1">
      <w:start w:val="1"/>
      <w:numFmt w:val="bullet"/>
      <w:lvlText w:val=""/>
      <w:lvlJc w:val="left"/>
      <w:pPr>
        <w:tabs>
          <w:tab w:val="num" w:pos="454"/>
        </w:tabs>
        <w:ind w:left="454" w:hanging="227"/>
      </w:pPr>
      <w:rPr>
        <w:rFonts w:ascii="Symbol" w:hAnsi="Symbol" w:cs="Symbol" w:hint="default"/>
        <w:rFonts w:cs="Symbol"/>
      </w:rPr>
    </w:lvl>
    <w:lvl w:ilvl="2">
      <w:start w:val="1"/>
      <w:numFmt w:val="bullet"/>
      <w:lvlText w:val=""/>
      <w:lvlJc w:val="left"/>
      <w:pPr>
        <w:tabs>
          <w:tab w:val="num" w:pos="680"/>
        </w:tabs>
        <w:ind w:left="680" w:hanging="227"/>
      </w:pPr>
      <w:rPr>
        <w:rFonts w:ascii="Symbol" w:hAnsi="Symbol" w:cs="Symbol" w:hint="default"/>
        <w:rFonts w:cs="Symbol"/>
      </w:rPr>
    </w:lvl>
    <w:lvl w:ilvl="3">
      <w:start w:val="1"/>
      <w:numFmt w:val="bullet"/>
      <w:lvlText w:val=""/>
      <w:lvlJc w:val="left"/>
      <w:pPr>
        <w:tabs>
          <w:tab w:val="num" w:pos="907"/>
        </w:tabs>
        <w:ind w:left="907" w:hanging="227"/>
      </w:pPr>
      <w:rPr>
        <w:rFonts w:ascii="Symbol" w:hAnsi="Symbol" w:cs="Symbol" w:hint="default"/>
        <w:rFonts w:cs="Symbol"/>
      </w:rPr>
    </w:lvl>
    <w:lvl w:ilvl="4">
      <w:start w:val="1"/>
      <w:numFmt w:val="bullet"/>
      <w:lvlText w:val=""/>
      <w:lvlJc w:val="left"/>
      <w:pPr>
        <w:tabs>
          <w:tab w:val="num" w:pos="1134"/>
        </w:tabs>
        <w:ind w:left="1134" w:hanging="227"/>
      </w:pPr>
      <w:rPr>
        <w:rFonts w:ascii="Symbol" w:hAnsi="Symbol" w:cs="Symbol" w:hint="default"/>
        <w:rFonts w:cs="Symbol"/>
      </w:rPr>
    </w:lvl>
    <w:lvl w:ilvl="5">
      <w:start w:val="1"/>
      <w:numFmt w:val="bullet"/>
      <w:lvlText w:val=""/>
      <w:lvlJc w:val="left"/>
      <w:pPr>
        <w:tabs>
          <w:tab w:val="num" w:pos="1361"/>
        </w:tabs>
        <w:ind w:left="1361" w:hanging="227"/>
      </w:pPr>
      <w:rPr>
        <w:rFonts w:ascii="Symbol" w:hAnsi="Symbol" w:cs="Symbol" w:hint="default"/>
        <w:rFonts w:cs="Symbol"/>
      </w:rPr>
    </w:lvl>
    <w:lvl w:ilvl="6">
      <w:start w:val="1"/>
      <w:numFmt w:val="bullet"/>
      <w:lvlText w:val=""/>
      <w:lvlJc w:val="left"/>
      <w:pPr>
        <w:tabs>
          <w:tab w:val="num" w:pos="1587"/>
        </w:tabs>
        <w:ind w:left="1587" w:hanging="227"/>
      </w:pPr>
      <w:rPr>
        <w:rFonts w:ascii="Symbol" w:hAnsi="Symbol" w:cs="Symbol" w:hint="default"/>
        <w:rFonts w:cs="Symbol"/>
      </w:rPr>
    </w:lvl>
    <w:lvl w:ilvl="7">
      <w:start w:val="1"/>
      <w:numFmt w:val="bullet"/>
      <w:lvlText w:val=""/>
      <w:lvlJc w:val="left"/>
      <w:pPr>
        <w:tabs>
          <w:tab w:val="num" w:pos="1814"/>
        </w:tabs>
        <w:ind w:left="1814" w:hanging="227"/>
      </w:pPr>
      <w:rPr>
        <w:rFonts w:ascii="Symbol" w:hAnsi="Symbol" w:cs="Symbol" w:hint="default"/>
        <w:rFonts w:cs="Symbol"/>
      </w:rPr>
    </w:lvl>
    <w:lvl w:ilvl="8">
      <w:start w:val="1"/>
      <w:numFmt w:val="bullet"/>
      <w:lvlText w:val=""/>
      <w:lvlJc w:val="left"/>
      <w:pPr>
        <w:tabs>
          <w:tab w:val="num" w:pos="2041"/>
        </w:tabs>
        <w:ind w:left="2041" w:hanging="227"/>
      </w:pPr>
      <w:rPr>
        <w:rFonts w:ascii="Symbol" w:hAnsi="Symbol" w:cs="Symbol" w:hint="default"/>
        <w:rFonts w:cs="Symbol"/>
      </w:rPr>
    </w:lvl>
  </w:abstractNum>
  <w:num w:numId="1">
    <w:abstractNumId w:val="1"/>
  </w:num>
  <w:num w:numId="2">
    <w:abstractNumId w:val="2"/>
  </w:num>
  <w:num w:numId="3">
    <w:abstractNumId w:val="3"/>
  </w:num>
</w:numbering>
</file>

<file path=word/settings.xml><?xml version="1.0" encoding="utf-8"?>
<w:settings xmlns:w="http://schemas.openxmlformats.org/wordprocessingml/2006/main">
  <w:zoom w:percent="100"/>
  <w:defaultTabStop w:val="720"/>
  <w:autoHyphenation w:val="false"/>
  <w:evenAndOddHeaders/>
  <w:footnotePr>
    <w:numFmt w:val="upperRoman"/>
    <w:footnote w:id="0"/>
    <w:footnote w:id="1"/>
  </w:footnotePr>
  <w:endnotePr>
    <w:numFmt w:val="decimal"/>
    <w:endnote w:id="0"/>
    <w:endnote w:id="1"/>
  </w:endnotePr>
  <w:compat>
    <w:compatSetting w:name="compatibilityMode" w:uri="http://schemas.microsoft.com/office/word" w:val="15"/>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Times New Roman" w:hAnsi="Times New Roman" w:eastAsia="SimSun" w:cs="Mangal"/>
        <w:kern w:val="2"/>
        <w:sz w:val="24"/>
        <w:lang w:val="hu" w:eastAsia="zh-CN" w:bidi="hi-IN"/>
      </w:rPr>
    </w:rPrDefault>
    <w:pPrDefault>
      <w:pPr/>
    </w:pPrDefault>
  </w:docDefaults>
  <w:style w:type="paragraph" w:styleId="Normal">
    <w:name w:val="Normal"/>
    <w:qFormat/>
    <w:pPr>
      <w:widowControl/>
      <w:suppressAutoHyphens w:val="true"/>
      <w:overflowPunct w:val="false"/>
      <w:bidi w:val="0"/>
      <w:spacing w:before="57" w:after="57"/>
      <w:ind w:left="0" w:right="0" w:hanging="0"/>
      <w:jc w:val="left"/>
    </w:pPr>
    <w:rPr>
      <w:rFonts w:ascii="Arial" w:hAnsi="Arial" w:eastAsia="SimSun" w:cs="Mangal"/>
      <w:color w:val="00000A"/>
      <w:kern w:val="2"/>
      <w:sz w:val="22"/>
      <w:szCs w:val="20"/>
      <w:lang w:val="hu" w:eastAsia="zh-CN" w:bidi="hi-IN"/>
    </w:rPr>
  </w:style>
  <w:style w:type="paragraph" w:styleId="Titre1">
    <w:name w:val="Heading 1"/>
    <w:basedOn w:val="Titre"/>
    <w:qFormat/>
    <w:pPr>
      <w:numPr>
        <w:ilvl w:val="0"/>
        <w:numId w:val="1"/>
      </w:numPr>
      <w:spacing w:before="238" w:after="567"/>
      <w:outlineLvl w:val="0"/>
    </w:pPr>
    <w:rPr>
      <w:b w:val="false"/>
      <w:color w:val="0066B3"/>
      <w:sz w:val="64"/>
    </w:rPr>
  </w:style>
  <w:style w:type="paragraph" w:styleId="Titre2">
    <w:name w:val="Heading 2"/>
    <w:basedOn w:val="Titre"/>
    <w:qFormat/>
    <w:pPr>
      <w:numPr>
        <w:ilvl w:val="1"/>
        <w:numId w:val="1"/>
      </w:numPr>
      <w:spacing w:before="200" w:after="120"/>
      <w:outlineLvl w:val="1"/>
    </w:pPr>
    <w:rPr>
      <w:b/>
      <w:sz w:val="28"/>
    </w:rPr>
  </w:style>
  <w:style w:type="paragraph" w:styleId="Titre3">
    <w:name w:val="Heading 3"/>
    <w:basedOn w:val="Titre"/>
    <w:qFormat/>
    <w:pPr>
      <w:numPr>
        <w:ilvl w:val="2"/>
        <w:numId w:val="1"/>
      </w:numPr>
      <w:spacing w:before="140" w:after="120"/>
      <w:outlineLvl w:val="2"/>
    </w:pPr>
    <w:rPr>
      <w:b/>
      <w:sz w:val="28"/>
    </w:rPr>
  </w:style>
  <w:style w:type="paragraph" w:styleId="Titre4">
    <w:name w:val="Heading 4"/>
    <w:basedOn w:val="Titre"/>
    <w:qFormat/>
    <w:pPr>
      <w:numPr>
        <w:ilvl w:val="3"/>
        <w:numId w:val="1"/>
      </w:numPr>
      <w:spacing w:before="120" w:after="120"/>
      <w:outlineLvl w:val="3"/>
    </w:pPr>
    <w:rPr>
      <w:b/>
      <w:i/>
      <w:sz w:val="24"/>
    </w:rPr>
  </w:style>
  <w:style w:type="paragraph" w:styleId="Titre5">
    <w:name w:val="Heading 5"/>
    <w:basedOn w:val="Titre"/>
    <w:qFormat/>
    <w:pPr>
      <w:numPr>
        <w:ilvl w:val="4"/>
        <w:numId w:val="1"/>
      </w:numPr>
      <w:spacing w:before="120" w:after="60"/>
      <w:outlineLvl w:val="4"/>
    </w:pPr>
    <w:rPr>
      <w:b/>
      <w:sz w:val="22"/>
      <w:u w:val="none"/>
    </w:rPr>
  </w:style>
  <w:style w:type="character" w:styleId="Caractresdenotedebasdepage">
    <w:name w:val="Caractères de note de bas de page"/>
    <w:qFormat/>
    <w:rPr/>
  </w:style>
  <w:style w:type="character" w:styleId="Ancredenotedebasdepage">
    <w:name w:val="Ancre de note de bas de page"/>
    <w:rPr>
      <w:vertAlign w:val="superscript"/>
    </w:rPr>
  </w:style>
  <w:style w:type="character" w:styleId="LienInternet">
    <w:name w:val="Lien Internet"/>
    <w:rPr>
      <w:color w:val="000080"/>
      <w:u w:val="single"/>
    </w:rPr>
  </w:style>
  <w:style w:type="character" w:styleId="Caractresdenumrotation">
    <w:name w:val="Caractères de numérotation"/>
    <w:qFormat/>
    <w:rPr/>
  </w:style>
  <w:style w:type="character" w:styleId="Ancredenotedefin">
    <w:name w:val="Ancre de note de fin"/>
    <w:rPr>
      <w:vertAlign w:val="superscript"/>
    </w:rPr>
  </w:style>
  <w:style w:type="character" w:styleId="Caractresdenotedefin">
    <w:name w:val="Caractères de note de fin"/>
    <w:qFormat/>
    <w:rPr/>
  </w:style>
  <w:style w:type="character" w:styleId="Accentuationforte">
    <w:name w:val="Accentuation forte"/>
    <w:qFormat/>
    <w:rPr>
      <w:b/>
    </w:rPr>
  </w:style>
  <w:style w:type="character" w:styleId="Sautdindex">
    <w:name w:val="Saut d'index"/>
    <w:qFormat/>
    <w:rPr/>
  </w:style>
  <w:style w:type="character" w:styleId="ListLabel1">
    <w:name w:val="ListLabel 1"/>
    <w:qFormat/>
    <w:rPr>
      <w:rFonts w:cs="Symbol"/>
    </w:rPr>
  </w:style>
  <w:style w:type="character" w:styleId="ListLabel2">
    <w:name w:val="ListLabel 2"/>
    <w:qFormat/>
    <w:rPr>
      <w:rFonts w:cs="Symbol"/>
    </w:rPr>
  </w:style>
  <w:style w:type="character" w:styleId="ListLabel3">
    <w:name w:val="ListLabel 3"/>
    <w:qFormat/>
    <w:rPr>
      <w:rFonts w:cs="Symbol"/>
    </w:rPr>
  </w:style>
  <w:style w:type="character" w:styleId="ListLabel4">
    <w:name w:val="ListLabel 4"/>
    <w:qFormat/>
    <w:rPr>
      <w:rFonts w:cs="Symbol"/>
    </w:rPr>
  </w:style>
  <w:style w:type="character" w:styleId="ListLabel5">
    <w:name w:val="ListLabel 5"/>
    <w:qFormat/>
    <w:rPr>
      <w:rFonts w:cs="Symbol"/>
    </w:rPr>
  </w:style>
  <w:style w:type="character" w:styleId="ListLabel6">
    <w:name w:val="ListLabel 6"/>
    <w:qFormat/>
    <w:rPr>
      <w:rFonts w:cs="Symbol"/>
    </w:rPr>
  </w:style>
  <w:style w:type="character" w:styleId="ListLabel7">
    <w:name w:val="ListLabel 7"/>
    <w:qFormat/>
    <w:rPr>
      <w:rFonts w:cs="Symbol"/>
    </w:rPr>
  </w:style>
  <w:style w:type="character" w:styleId="ListLabel8">
    <w:name w:val="ListLabel 8"/>
    <w:qFormat/>
    <w:rPr>
      <w:rFonts w:cs="Symbol"/>
    </w:rPr>
  </w:style>
  <w:style w:type="character" w:styleId="ListLabel9">
    <w:name w:val="ListLabel 9"/>
    <w:qFormat/>
    <w:rPr>
      <w:rFonts w:cs="Symbol"/>
    </w:rPr>
  </w:style>
  <w:style w:type="character" w:styleId="ListLabel10">
    <w:name w:val="ListLabel 10"/>
    <w:qFormat/>
    <w:rPr>
      <w:rFonts w:ascii="Times New Roman" w:hAnsi="Times New Roman"/>
      <w:sz w:val="24"/>
    </w:rPr>
  </w:style>
  <w:style w:type="character" w:styleId="ListLabel11">
    <w:name w:val="ListLabel 11"/>
    <w:qFormat/>
    <w:rPr/>
  </w:style>
  <w:style w:type="character" w:styleId="ListLabel12">
    <w:name w:val="ListLabel 12"/>
    <w:qFormat/>
    <w:rPr/>
  </w:style>
  <w:style w:type="character" w:styleId="ListLabel13">
    <w:name w:val="ListLabel 13"/>
    <w:qFormat/>
    <w:rPr>
      <w:color w:val="0563C1"/>
    </w:rPr>
  </w:style>
  <w:style w:type="character" w:styleId="ListLabel14">
    <w:name w:val="ListLabel 14"/>
    <w:qFormat/>
    <w:rPr>
      <w:rFonts w:ascii="Times New Roman" w:hAnsi="Times New Roman"/>
      <w:b/>
      <w:color w:val="0000FF"/>
    </w:rPr>
  </w:style>
  <w:style w:type="character" w:styleId="ListLabel15">
    <w:name w:val="ListLabel 15"/>
    <w:qFormat/>
    <w:rPr>
      <w:color w:val="0000FF"/>
      <w:sz w:val="24"/>
    </w:rPr>
  </w:style>
  <w:style w:type="paragraph" w:styleId="Titre">
    <w:name w:val="Titre"/>
    <w:basedOn w:val="Normal"/>
    <w:next w:val="Corpsdetexte"/>
    <w:qFormat/>
    <w:pPr>
      <w:keepNext w:val="true"/>
      <w:spacing w:before="240" w:after="120"/>
    </w:pPr>
    <w:rPr>
      <w:rFonts w:ascii="Arial" w:hAnsi="Arial" w:eastAsia="Microsoft YaHei" w:cs="Lucida Sans"/>
      <w:sz w:val="28"/>
    </w:rPr>
  </w:style>
  <w:style w:type="paragraph" w:styleId="Corpsdetexte">
    <w:name w:val="Body Text"/>
    <w:basedOn w:val="Normal"/>
    <w:pPr>
      <w:spacing w:lineRule="auto" w:line="240" w:before="57" w:after="57"/>
    </w:pPr>
    <w:rPr/>
  </w:style>
  <w:style w:type="paragraph" w:styleId="Liste">
    <w:name w:val="List"/>
    <w:basedOn w:val="Corpsdetexte"/>
    <w:pPr/>
    <w:rPr>
      <w:rFonts w:cs="Lucida Sans"/>
    </w:rPr>
  </w:style>
  <w:style w:type="paragraph" w:styleId="Lgende">
    <w:name w:val="Caption"/>
    <w:basedOn w:val="Normal"/>
    <w:qFormat/>
    <w:pPr>
      <w:suppressLineNumbers/>
      <w:spacing w:before="120" w:after="120"/>
    </w:pPr>
    <w:rPr>
      <w:rFonts w:cs="Lucida Sans"/>
      <w:i/>
      <w:sz w:val="24"/>
    </w:rPr>
  </w:style>
  <w:style w:type="paragraph" w:styleId="Index">
    <w:name w:val="Index"/>
    <w:basedOn w:val="Normal"/>
    <w:qFormat/>
    <w:pPr>
      <w:suppressLineNumbers/>
    </w:pPr>
    <w:rPr>
      <w:rFonts w:cs="Lucida Sans"/>
    </w:rPr>
  </w:style>
  <w:style w:type="paragraph" w:styleId="Contenudecadre">
    <w:name w:val="Contenu de cadre"/>
    <w:basedOn w:val="Normal"/>
    <w:qFormat/>
    <w:pPr/>
    <w:rPr/>
  </w:style>
  <w:style w:type="paragraph" w:styleId="Entteetpieddepage">
    <w:name w:val="En-tête et pied de page"/>
    <w:basedOn w:val="Normal"/>
    <w:qFormat/>
    <w:pPr>
      <w:suppressLineNumbers/>
      <w:tabs>
        <w:tab w:val="center" w:pos="4819" w:leader="none"/>
        <w:tab w:val="right" w:pos="9638" w:leader="none"/>
      </w:tabs>
    </w:pPr>
    <w:rPr/>
  </w:style>
  <w:style w:type="paragraph" w:styleId="Entte">
    <w:name w:val="Header"/>
    <w:basedOn w:val="Entteetpieddepage"/>
    <w:pPr>
      <w:suppressLineNumbers/>
    </w:pPr>
    <w:rPr>
      <w:rFonts w:ascii="Arial" w:hAnsi="Arial"/>
      <w:sz w:val="22"/>
    </w:rPr>
  </w:style>
  <w:style w:type="paragraph" w:styleId="Pieddepage">
    <w:name w:val="Footer"/>
    <w:basedOn w:val="Entteetpieddepage"/>
    <w:pPr>
      <w:suppressLineNumbers/>
    </w:pPr>
    <w:rPr/>
  </w:style>
  <w:style w:type="paragraph" w:styleId="Titre1sansnumro">
    <w:name w:val="Titre 1 sans numéro"/>
    <w:basedOn w:val="Titre1"/>
    <w:qFormat/>
    <w:pPr>
      <w:numPr>
        <w:ilvl w:val="0"/>
        <w:numId w:val="0"/>
      </w:numPr>
      <w:ind w:left="0" w:right="0" w:hanging="0"/>
    </w:pPr>
    <w:rPr>
      <w:color w:val="0066B3"/>
    </w:rPr>
  </w:style>
  <w:style w:type="paragraph" w:styleId="Notedebasdepage">
    <w:name w:val="Footnote Text"/>
    <w:basedOn w:val="Normal"/>
    <w:pPr>
      <w:suppressLineNumbers/>
      <w:ind w:left="339" w:right="0" w:hanging="339"/>
    </w:pPr>
    <w:rPr>
      <w:sz w:val="20"/>
    </w:rPr>
  </w:style>
  <w:style w:type="paragraph" w:styleId="Alinangatif">
    <w:name w:val="Alinéa négatif"/>
    <w:basedOn w:val="Corpsdetexte"/>
    <w:qFormat/>
    <w:pPr>
      <w:tabs>
        <w:tab w:val="left" w:pos="0" w:leader="none"/>
      </w:tabs>
      <w:ind w:left="567" w:right="0" w:hanging="283"/>
    </w:pPr>
    <w:rPr/>
  </w:style>
  <w:style w:type="paragraph" w:styleId="Alineanegatifpuce">
    <w:name w:val="Alinea negatif puce"/>
    <w:basedOn w:val="Normal"/>
    <w:qFormat/>
    <w:pPr/>
    <w:rPr/>
  </w:style>
  <w:style w:type="paragraph" w:styleId="Puce3">
    <w:name w:val="List Bullet 4"/>
    <w:basedOn w:val="Liste"/>
    <w:pPr>
      <w:spacing w:before="0" w:after="120"/>
      <w:ind w:left="360" w:right="0" w:hanging="360"/>
    </w:pPr>
    <w:rPr/>
  </w:style>
  <w:style w:type="paragraph" w:styleId="Contenudetableau">
    <w:name w:val="Contenu de tableau"/>
    <w:basedOn w:val="Normal"/>
    <w:qFormat/>
    <w:pPr>
      <w:widowControl w:val="false"/>
      <w:suppressLineNumbers/>
    </w:pPr>
    <w:rPr/>
  </w:style>
  <w:style w:type="paragraph" w:styleId="Titredetableau">
    <w:name w:val="Titre de tableau"/>
    <w:basedOn w:val="Contenudetableau"/>
    <w:qFormat/>
    <w:pPr>
      <w:suppressLineNumbers/>
      <w:jc w:val="center"/>
    </w:pPr>
    <w:rPr>
      <w:b/>
    </w:rPr>
  </w:style>
  <w:style w:type="paragraph" w:styleId="Notedefin">
    <w:name w:val="Endnote Text"/>
    <w:basedOn w:val="Normal"/>
    <w:pPr>
      <w:suppressLineNumbers/>
      <w:ind w:left="339" w:right="0" w:hanging="339"/>
    </w:pPr>
    <w:rPr>
      <w:sz w:val="20"/>
    </w:rPr>
  </w:style>
  <w:style w:type="paragraph" w:styleId="StyleParDefautjustifie">
    <w:name w:val="StyleParDefaut_justifie"/>
    <w:basedOn w:val="Normal"/>
    <w:qFormat/>
    <w:pPr>
      <w:jc w:val="both"/>
    </w:pPr>
    <w:rPr/>
  </w:style>
  <w:style w:type="paragraph" w:styleId="Indexlexicaltitre">
    <w:name w:val="Index Heading"/>
    <w:basedOn w:val="Titre"/>
    <w:pPr>
      <w:suppressLineNumbers/>
      <w:ind w:left="0" w:right="0" w:hanging="0"/>
    </w:pPr>
    <w:rPr>
      <w:b/>
      <w:sz w:val="32"/>
    </w:rPr>
  </w:style>
  <w:style w:type="paragraph" w:styleId="TOAHeading">
    <w:name w:val="TOA Heading"/>
    <w:basedOn w:val="Titre"/>
    <w:qFormat/>
    <w:pPr>
      <w:suppressLineNumbers/>
      <w:ind w:left="0" w:right="0" w:hanging="0"/>
    </w:pPr>
    <w:rPr>
      <w:b/>
      <w:sz w:val="32"/>
    </w:rPr>
  </w:style>
  <w:style w:type="paragraph" w:styleId="Tabledesmatiresniveau1">
    <w:name w:val="TOC 1"/>
    <w:basedOn w:val="Index"/>
    <w:pPr>
      <w:tabs>
        <w:tab w:val="right" w:pos="9638" w:leader="dot"/>
      </w:tabs>
      <w:ind w:left="0" w:right="0" w:hanging="0"/>
    </w:pPr>
    <w:rPr/>
  </w:style>
  <w:style w:type="paragraph" w:styleId="Tabledesmatiresniveau2">
    <w:name w:val="TOC 2"/>
    <w:basedOn w:val="Index"/>
    <w:pPr>
      <w:tabs>
        <w:tab w:val="right" w:pos="9355" w:leader="dot"/>
      </w:tabs>
      <w:ind w:left="283" w:right="0" w:hanging="0"/>
    </w:pPr>
    <w:rPr/>
  </w:style>
  <w:style w:type="paragraph" w:styleId="Tabledesmatiresniveau3">
    <w:name w:val="TOC 3"/>
    <w:basedOn w:val="Index"/>
    <w:pPr>
      <w:tabs>
        <w:tab w:val="right" w:pos="9072" w:leader="dot"/>
      </w:tabs>
      <w:ind w:left="566" w:right="0" w:hanging="0"/>
    </w:pPr>
    <w:rPr/>
  </w:style>
  <w:style w:type="paragraph" w:styleId="Tabledesmatiresniveau4">
    <w:name w:val="TOC 4"/>
    <w:basedOn w:val="Index"/>
    <w:pPr>
      <w:tabs>
        <w:tab w:val="right" w:pos="8789" w:leader="dot"/>
      </w:tabs>
      <w:ind w:left="849" w:right="0" w:hanging="0"/>
    </w:pPr>
    <w:rPr/>
  </w:style>
  <w:style w:type="paragraph" w:styleId="Tabledesmatiresniveau5">
    <w:name w:val="TOC 5"/>
    <w:basedOn w:val="Index"/>
    <w:pPr>
      <w:tabs>
        <w:tab w:val="right" w:pos="8506" w:leader="dot"/>
      </w:tabs>
      <w:ind w:left="1132" w:right="0" w:hanging="0"/>
    </w:pPr>
    <w:rPr/>
  </w:style>
  <w:style w:type="paragraph" w:styleId="P68B1DB1Normal1">
    <w:name w:val="P68B1DB1-Normal1"/>
    <w:basedOn w:val="Normal"/>
    <w:qFormat/>
    <w:pPr/>
    <w:rPr>
      <w:rFonts w:ascii="Arial" w:hAnsi="Arial"/>
      <w:b/>
      <w:color w:val="000000"/>
      <w:sz w:val="76"/>
    </w:rPr>
  </w:style>
  <w:style w:type="paragraph" w:styleId="P68B1DB1Normal2">
    <w:name w:val="P68B1DB1-Normal2"/>
    <w:basedOn w:val="Normal"/>
    <w:qFormat/>
    <w:pPr/>
    <w:rPr>
      <w:rFonts w:ascii="Arial" w:hAnsi="Arial"/>
      <w:color w:val="0000BE"/>
      <w:sz w:val="44"/>
    </w:rPr>
  </w:style>
  <w:style w:type="paragraph" w:styleId="P68B1DB1Normal3">
    <w:name w:val="P68B1DB1-Normal3"/>
    <w:basedOn w:val="Normal"/>
    <w:qFormat/>
    <w:pPr/>
    <w:rPr>
      <w:color w:val="0000BE"/>
      <w:sz w:val="28"/>
    </w:rPr>
  </w:style>
  <w:style w:type="paragraph" w:styleId="P68B1DB1Normal4">
    <w:name w:val="P68B1DB1-Normal4"/>
    <w:basedOn w:val="Normal"/>
    <w:qFormat/>
    <w:pPr/>
    <w:rPr>
      <w:rFonts w:ascii="Arial" w:hAnsi="Arial"/>
      <w:color w:val="414345"/>
      <w:sz w:val="32"/>
    </w:rPr>
  </w:style>
  <w:style w:type="paragraph" w:styleId="P68B1DB1Normal5">
    <w:name w:val="P68B1DB1-Normal5"/>
    <w:basedOn w:val="Normal"/>
    <w:qFormat/>
    <w:pPr/>
    <w:rPr>
      <w:rFonts w:ascii="Arial" w:hAnsi="Arial"/>
      <w:b/>
      <w:color w:val="0000BE"/>
      <w:sz w:val="48"/>
    </w:rPr>
  </w:style>
  <w:style w:type="paragraph" w:styleId="P68B1DB1Normal6">
    <w:name w:val="P68B1DB1-Normal6"/>
    <w:basedOn w:val="Normal"/>
    <w:qFormat/>
    <w:pPr/>
    <w:rPr>
      <w:rFonts w:ascii="Times New Roman" w:hAnsi="Times New Roman"/>
      <w:b/>
      <w:sz w:val="24"/>
    </w:rPr>
  </w:style>
  <w:style w:type="paragraph" w:styleId="P68B1DB1Normal7">
    <w:name w:val="P68B1DB1-Normal7"/>
    <w:basedOn w:val="Normal"/>
    <w:qFormat/>
    <w:pPr/>
    <w:rPr>
      <w:rFonts w:ascii="Times New Roman" w:hAnsi="Times New Roman"/>
      <w:sz w:val="24"/>
    </w:rPr>
  </w:style>
  <w:style w:type="paragraph" w:styleId="P68B1DB1Contenudetableau8">
    <w:name w:val="P68B1DB1-Contenudetableau8"/>
    <w:basedOn w:val="Contenudetableau"/>
    <w:qFormat/>
    <w:pPr/>
    <w:rPr>
      <w:sz w:val="32"/>
    </w:rPr>
  </w:style>
  <w:style w:type="paragraph" w:styleId="P68B1DB1Contenudetableau9">
    <w:name w:val="P68B1DB1-Contenudetableau9"/>
    <w:basedOn w:val="Contenudetableau"/>
    <w:qFormat/>
    <w:pPr/>
    <w:rPr>
      <w:sz w:val="16"/>
    </w:rPr>
  </w:style>
  <w:style w:type="paragraph" w:styleId="P68B1DB1Contenudetableau10">
    <w:name w:val="P68B1DB1-Contenudetableau10"/>
    <w:basedOn w:val="Contenudetableau"/>
    <w:qFormat/>
    <w:pPr/>
    <w:rPr>
      <w:b/>
    </w:rPr>
  </w:style>
  <w:style w:type="paragraph" w:styleId="P68B1DB1Lgende11">
    <w:name w:val="P68B1DB1-Lgende11"/>
    <w:basedOn w:val="Lgende"/>
    <w:qFormat/>
    <w:pPr/>
    <w:rPr>
      <w:sz w:val="18"/>
    </w:rPr>
  </w:style>
  <w:style w:type="paragraph" w:styleId="P68B1DB1Corpsdetexte12">
    <w:name w:val="P68B1DB1-Corpsdetexte12"/>
    <w:basedOn w:val="Corpsdetexte"/>
    <w:qFormat/>
    <w:pPr/>
    <w:rPr>
      <w:b/>
      <w:i/>
      <w:u w:val="single"/>
    </w:rPr>
  </w:style>
  <w:style w:type="paragraph" w:styleId="P68B1DB1Normal13">
    <w:name w:val="P68B1DB1-Normal13"/>
    <w:basedOn w:val="Normal"/>
    <w:qFormat/>
    <w:pPr/>
    <w:rPr>
      <w:i/>
      <w:sz w:val="20"/>
    </w:rPr>
  </w:style>
  <w:style w:type="paragraph" w:styleId="P68B1DB1Normal14">
    <w:name w:val="P68B1DB1-Normal14"/>
    <w:basedOn w:val="Normal"/>
    <w:qFormat/>
    <w:pPr/>
    <w:rPr>
      <w:sz w:val="20"/>
    </w:rPr>
  </w:style>
  <w:style w:type="paragraph" w:styleId="P68B1DB1Normal15">
    <w:name w:val="P68B1DB1-Normal15"/>
    <w:basedOn w:val="Normal"/>
    <w:qFormat/>
    <w:pPr/>
    <w:rPr>
      <w:b/>
    </w:rPr>
  </w:style>
  <w:style w:type="paragraph" w:styleId="P68B1DB1Normal16">
    <w:name w:val="P68B1DB1-Normal16"/>
    <w:basedOn w:val="Normal"/>
    <w:qFormat/>
    <w:pPr/>
    <w:rPr>
      <w:color w:val="FFFFFF"/>
      <w:sz w:val="72"/>
    </w:rPr>
  </w:style>
  <w:style w:type="paragraph" w:styleId="P68B1DB1Normal17">
    <w:name w:val="P68B1DB1-Normal17"/>
    <w:basedOn w:val="Normal"/>
    <w:qFormat/>
    <w:pPr/>
    <w:rPr>
      <w:color w:val="FFFFFF"/>
    </w:rPr>
  </w:style>
  <w:style w:type="paragraph" w:styleId="P68B1DB1Normal18">
    <w:name w:val="P68B1DB1-Normal18"/>
    <w:basedOn w:val="Normal"/>
    <w:qFormat/>
    <w:pPr/>
    <w:rPr>
      <w:rFonts w:ascii="Calibri" w:hAnsi="Calibri"/>
      <w:sz w:val="28"/>
    </w:rPr>
  </w:style>
  <w:style w:type="paragraph" w:styleId="P68B1DB1Normal19">
    <w:name w:val="P68B1DB1-Normal19"/>
    <w:basedOn w:val="Normal"/>
    <w:qFormat/>
    <w:pPr/>
    <w:rPr>
      <w:rFonts w:ascii="Times New Roman" w:hAnsi="Times New Roman"/>
      <w:color w:val="000000"/>
      <w:sz w:val="24"/>
    </w:rPr>
  </w:style>
  <w:style w:type="paragraph" w:styleId="P68B1DB1Normal20">
    <w:name w:val="P68B1DB1-Normal20"/>
    <w:basedOn w:val="Normal"/>
    <w:qFormat/>
    <w:pPr/>
    <w:rPr>
      <w:rFonts w:ascii="Calibri" w:hAnsi="Calibri"/>
      <w:color w:val="000000"/>
      <w:sz w:val="24"/>
    </w:rPr>
  </w:style>
  <w:style w:type="paragraph" w:styleId="P68B1DB1Normal21">
    <w:name w:val="P68B1DB1-Normal21"/>
    <w:basedOn w:val="Normal"/>
    <w:qFormat/>
    <w:pPr/>
    <w:rPr>
      <w:rFonts w:ascii="Calibri" w:hAnsi="Calibri"/>
      <w:sz w:val="24"/>
    </w:rPr>
  </w:style>
  <w:style w:type="paragraph" w:styleId="P68B1DB1Contenudecadre22">
    <w:name w:val="P68B1DB1-Contenudecadre22"/>
    <w:basedOn w:val="Contenudecadre"/>
    <w:qFormat/>
    <w:pPr/>
    <w:rPr>
      <w:color w:val="FFFFFF"/>
    </w:rPr>
  </w:style>
  <w:style w:type="paragraph" w:styleId="P68B1DB1Normal23">
    <w:name w:val="P68B1DB1-Normal23"/>
    <w:basedOn w:val="Normal"/>
    <w:qFormat/>
    <w:pPr/>
    <w:rPr>
      <w:rFonts w:ascii="Times New Roman" w:hAnsi="Times New Roman"/>
      <w:color w:val="000000"/>
      <w:sz w:val="24"/>
      <w:u w:val="single"/>
    </w:rPr>
  </w:style>
  <w:style w:type="paragraph" w:styleId="P68B1DB1Normal24">
    <w:name w:val="P68B1DB1-Normal24"/>
    <w:basedOn w:val="Normal"/>
    <w:qFormat/>
    <w:pPr/>
    <w:rPr>
      <w:rFonts w:ascii="Times New Roman" w:hAnsi="Times New Roman"/>
      <w:color w:val="000000"/>
    </w:rPr>
  </w:style>
  <w:style w:type="paragraph" w:styleId="P68B1DB1style25">
    <w:name w:val="P68B1DB1-style25"/>
    <w:qFormat/>
    <w:pPr>
      <w:widowControl/>
      <w:bidi w:val="0"/>
      <w:jc w:val="left"/>
    </w:pPr>
    <w:rPr>
      <w:rFonts w:ascii="Arial" w:hAnsi="Arial" w:eastAsia="Microsoft YaHei" w:cs="Mangal"/>
      <w:color w:val="00000A"/>
      <w:kern w:val="2"/>
      <w:sz w:val="52"/>
      <w:szCs w:val="20"/>
      <w:lang w:val="hu" w:eastAsia="zh-CN" w:bidi="hi-IN"/>
    </w:rPr>
  </w:style>
  <w:style w:type="paragraph" w:styleId="P68B1DB1style26">
    <w:name w:val="P68B1DB1-style26"/>
    <w:qFormat/>
    <w:pPr>
      <w:widowControl/>
      <w:bidi w:val="0"/>
      <w:jc w:val="left"/>
    </w:pPr>
    <w:rPr>
      <w:rFonts w:ascii="Arial" w:hAnsi="Arial" w:eastAsia="Microsoft YaHei" w:cs="Mangal"/>
      <w:color w:val="00000A"/>
      <w:kern w:val="2"/>
      <w:sz w:val="36"/>
      <w:szCs w:val="20"/>
      <w:lang w:val="hu" w:eastAsia="zh-CN" w:bidi="hi-IN"/>
    </w:rPr>
  </w:style>
  <w:style w:type="paragraph" w:styleId="P68B1DB1style27">
    <w:name w:val="P68B1DB1-style27"/>
    <w:qFormat/>
    <w:pPr>
      <w:widowControl/>
      <w:bidi w:val="0"/>
      <w:jc w:val="left"/>
    </w:pPr>
    <w:rPr>
      <w:rFonts w:ascii="Arial" w:hAnsi="Arial" w:eastAsia="Microsoft YaHei" w:cs="Mangal"/>
      <w:color w:val="00000A"/>
      <w:kern w:val="2"/>
      <w:sz w:val="21"/>
      <w:szCs w:val="20"/>
      <w:lang w:val="hu" w:eastAsia="zh-CN" w:bidi="hi-IN"/>
    </w:rPr>
  </w:style>
  <w:style w:type="paragraph" w:styleId="P68B1DB1style28">
    <w:name w:val="P68B1DB1-style28"/>
    <w:qFormat/>
    <w:pPr>
      <w:widowControl/>
      <w:bidi w:val="0"/>
      <w:jc w:val="left"/>
    </w:pPr>
    <w:rPr>
      <w:rFonts w:ascii="Arial" w:hAnsi="Arial" w:eastAsia="Microsoft YaHei" w:cs="Mangal"/>
      <w:color w:val="00000A"/>
      <w:kern w:val="2"/>
      <w:sz w:val="48"/>
      <w:szCs w:val="20"/>
      <w:lang w:val="hu" w:eastAsia="zh-CN" w:bidi="hi-IN"/>
    </w:rPr>
  </w:style>
  <w:style w:type="paragraph" w:styleId="P68B1DB1style29">
    <w:name w:val="P68B1DB1-style29"/>
    <w:qFormat/>
    <w:pPr>
      <w:widowControl/>
      <w:bidi w:val="0"/>
      <w:jc w:val="left"/>
    </w:pPr>
    <w:rPr>
      <w:rFonts w:ascii="Arial" w:hAnsi="Arial" w:eastAsia="Microsoft YaHei" w:cs="Mangal"/>
      <w:color w:val="CE181E"/>
      <w:kern w:val="2"/>
      <w:sz w:val="44"/>
      <w:szCs w:val="20"/>
      <w:lang w:val="hu" w:eastAsia="zh-CN" w:bidi="hi-IN"/>
    </w:rPr>
  </w:style>
  <w:style w:type="paragraph" w:styleId="P68B1DB1style30">
    <w:name w:val="P68B1DB1-style30"/>
    <w:qFormat/>
    <w:pPr>
      <w:widowControl/>
      <w:bidi w:val="0"/>
      <w:jc w:val="left"/>
    </w:pPr>
    <w:rPr>
      <w:rFonts w:ascii="Arial" w:hAnsi="Arial" w:eastAsia="Microsoft YaHei" w:cs="Mangal"/>
      <w:color w:val="00000A"/>
      <w:kern w:val="2"/>
      <w:sz w:val="28"/>
      <w:szCs w:val="20"/>
      <w:lang w:val="hu" w:eastAsia="zh-CN" w:bidi="hi-IN"/>
    </w:rPr>
  </w:style>
  <w:style w:type="paragraph" w:styleId="P68B1DB1style31">
    <w:name w:val="P68B1DB1-style31"/>
    <w:qFormat/>
    <w:pPr>
      <w:widowControl/>
      <w:bidi w:val="0"/>
      <w:jc w:val="left"/>
    </w:pPr>
    <w:rPr>
      <w:rFonts w:ascii="Arial" w:hAnsi="Arial" w:eastAsia="Microsoft YaHei" w:cs="Mangal"/>
      <w:b/>
      <w:color w:val="00000A"/>
      <w:kern w:val="2"/>
      <w:sz w:val="36"/>
      <w:szCs w:val="20"/>
      <w:lang w:val="hu" w:eastAsia="zh-CN" w:bidi="hi-IN"/>
    </w:rPr>
  </w:style>
  <w:style w:type="paragraph" w:styleId="P68B1DB1Normal32">
    <w:name w:val="P68B1DB1-Normal32"/>
    <w:basedOn w:val="Normal"/>
    <w:qFormat/>
    <w:pPr/>
    <w:rPr>
      <w:b/>
      <w:color w:val="000000"/>
      <w:sz w:val="24"/>
    </w:rPr>
  </w:style>
  <w:style w:type="paragraph" w:styleId="P68B1DB1Normal33">
    <w:name w:val="P68B1DB1-Normal33"/>
    <w:basedOn w:val="Normal"/>
    <w:qFormat/>
    <w:pPr/>
    <w:rPr>
      <w:rFonts w:ascii="Times New Roman" w:hAnsi="Times New Roman"/>
      <w:b/>
      <w:color w:val="000000"/>
      <w:sz w:val="24"/>
    </w:rPr>
  </w:style>
  <w:style w:type="paragraph" w:styleId="P68B1DB1Normal34">
    <w:name w:val="P68B1DB1-Normal34"/>
    <w:basedOn w:val="Normal"/>
    <w:qFormat/>
    <w:pPr/>
    <w:rPr>
      <w:color w:val="000000"/>
      <w:sz w:val="24"/>
    </w:rPr>
  </w:style>
  <w:style w:type="paragraph" w:styleId="P68B1DB1Normal35">
    <w:name w:val="P68B1DB1-Normal35"/>
    <w:basedOn w:val="Normal"/>
    <w:qFormat/>
    <w:pPr/>
    <w:rPr>
      <w:b/>
      <w:color w:val="000000"/>
    </w:rPr>
  </w:style>
  <w:style w:type="paragraph" w:styleId="P68B1DB1Titre236">
    <w:name w:val="P68B1DB1-Titre236"/>
    <w:basedOn w:val="Titre2"/>
    <w:qFormat/>
    <w:pPr>
      <w:numPr>
        <w:ilvl w:val="0"/>
        <w:numId w:val="0"/>
      </w:numPr>
      <w:ind w:left="0" w:right="0" w:hanging="0"/>
    </w:pPr>
    <w:rPr>
      <w:rFonts w:ascii="Times New Roman" w:hAnsi="Times New Roman"/>
      <w:color w:val="000070"/>
      <w:sz w:val="36"/>
    </w:rPr>
  </w:style>
  <w:style w:type="paragraph" w:styleId="P68B1DB1style37">
    <w:name w:val="P68B1DB1-style37"/>
    <w:qFormat/>
    <w:pPr>
      <w:widowControl/>
      <w:bidi w:val="0"/>
      <w:jc w:val="left"/>
    </w:pPr>
    <w:rPr>
      <w:rFonts w:ascii="Arial" w:hAnsi="Arial" w:eastAsia="Microsoft YaHei" w:cs="Mangal"/>
      <w:color w:val="FFFFFF"/>
      <w:kern w:val="2"/>
      <w:sz w:val="24"/>
      <w:szCs w:val="20"/>
      <w:lang w:val="hu" w:eastAsia="zh-CN" w:bidi="hi-IN"/>
    </w:rPr>
  </w:style>
  <w:style w:type="paragraph" w:styleId="P68B1DB1style38">
    <w:name w:val="P68B1DB1-style38"/>
    <w:qFormat/>
    <w:pPr>
      <w:widowControl/>
      <w:bidi w:val="0"/>
      <w:jc w:val="left"/>
    </w:pPr>
    <w:rPr>
      <w:rFonts w:ascii="Arial" w:hAnsi="Arial" w:eastAsia="Microsoft YaHei" w:cs="Mangal"/>
      <w:color w:val="00000A"/>
      <w:kern w:val="2"/>
      <w:sz w:val="18"/>
      <w:szCs w:val="20"/>
      <w:lang w:val="hu" w:eastAsia="zh-CN" w:bidi="hi-IN"/>
    </w:rPr>
  </w:style>
  <w:style w:type="paragraph" w:styleId="P68B1DB1Normal39">
    <w:name w:val="P68B1DB1-Normal39"/>
    <w:basedOn w:val="Normal"/>
    <w:qFormat/>
    <w:pPr/>
    <w:rPr>
      <w:rFonts w:ascii="Times New Roman" w:hAnsi="Times New Roman"/>
      <w:b/>
      <w:color w:val="000000"/>
      <w:sz w:val="12"/>
    </w:rPr>
  </w:style>
  <w:style w:type="paragraph" w:styleId="P68B1DB1Normal40">
    <w:name w:val="P68B1DB1-Normal40"/>
    <w:basedOn w:val="Normal"/>
    <w:qFormat/>
    <w:pPr/>
    <w:rPr>
      <w:color w:val="273375"/>
    </w:rPr>
  </w:style>
  <w:style w:type="paragraph" w:styleId="P68B1DB1Normal41">
    <w:name w:val="P68B1DB1-Normal41"/>
    <w:basedOn w:val="Normal"/>
    <w:qFormat/>
    <w:pPr/>
    <w:rPr>
      <w:sz w:val="18"/>
    </w:rPr>
  </w:style>
  <w:style w:type="paragraph" w:styleId="P68B1DB1Normal42">
    <w:name w:val="P68B1DB1-Normal42"/>
    <w:basedOn w:val="Normal"/>
    <w:qFormat/>
    <w:pPr/>
    <w:rPr>
      <w:rFonts w:ascii="Times New Roman" w:hAnsi="Times New Roman"/>
      <w:b/>
      <w:color w:val="000000"/>
      <w:sz w:val="28"/>
    </w:rPr>
  </w:style>
  <w:style w:type="paragraph" w:styleId="P68B1DB1Normal43">
    <w:name w:val="P68B1DB1-Normal43"/>
    <w:basedOn w:val="Normal"/>
    <w:qFormat/>
    <w:pPr/>
    <w:rPr>
      <w:rFonts w:ascii="Times New Roman" w:hAnsi="Times New Roman"/>
      <w:b/>
      <w:i/>
      <w:color w:val="808080"/>
      <w:sz w:val="24"/>
    </w:rPr>
  </w:style>
  <w:style w:type="paragraph" w:styleId="P68B1DB1Normal44">
    <w:name w:val="P68B1DB1-Normal44"/>
    <w:basedOn w:val="Normal"/>
    <w:qFormat/>
    <w:pPr/>
    <w:rPr>
      <w:rFonts w:ascii="Times New Roman" w:hAnsi="Times New Roman"/>
      <w:i/>
      <w:color w:val="000000"/>
      <w:sz w:val="24"/>
    </w:rPr>
  </w:style>
  <w:style w:type="paragraph" w:styleId="P68B1DB1Normal45">
    <w:name w:val="P68B1DB1-Normal45"/>
    <w:basedOn w:val="Normal"/>
    <w:qFormat/>
    <w:pPr/>
    <w:rPr>
      <w:rFonts w:ascii="Times New Roman" w:hAnsi="Times New Roman"/>
      <w:color w:val="000000"/>
      <w:sz w:val="20"/>
    </w:rPr>
  </w:style>
  <w:style w:type="paragraph" w:styleId="P68B1DB1Normal46">
    <w:name w:val="P68B1DB1-Normal46"/>
    <w:basedOn w:val="Normal"/>
    <w:qFormat/>
    <w:pPr/>
    <w:rPr>
      <w:rFonts w:ascii="Times New Roman" w:hAnsi="Times New Roman"/>
      <w:b/>
      <w:color w:val="F79646"/>
      <w:sz w:val="24"/>
    </w:rPr>
  </w:style>
  <w:style w:type="paragraph" w:styleId="P68B1DB1Normal47">
    <w:name w:val="P68B1DB1-Normal47"/>
    <w:basedOn w:val="Normal"/>
    <w:qFormat/>
    <w:pPr/>
    <w:rPr>
      <w:rFonts w:ascii="Times New Roman" w:hAnsi="Times New Roman"/>
      <w:b/>
      <w:color w:val="1F497D"/>
      <w:sz w:val="12"/>
    </w:rPr>
  </w:style>
  <w:style w:type="paragraph" w:styleId="P68B1DB1Normal48">
    <w:name w:val="P68B1DB1-Normal48"/>
    <w:basedOn w:val="Normal"/>
    <w:qFormat/>
    <w:pPr/>
    <w:rPr>
      <w:rFonts w:ascii="Times New Roman" w:hAnsi="Times New Roman"/>
      <w:color w:val="F79646"/>
      <w:sz w:val="24"/>
    </w:rPr>
  </w:style>
  <w:style w:type="paragraph" w:styleId="P68B1DB1Normal49">
    <w:name w:val="P68B1DB1-Normal49"/>
    <w:basedOn w:val="Normal"/>
    <w:qFormat/>
    <w:pPr/>
    <w:rPr>
      <w:rFonts w:ascii="Times New Roman" w:hAnsi="Times New Roman"/>
      <w:color w:val="000000"/>
      <w:sz w:val="12"/>
    </w:rPr>
  </w:style>
  <w:style w:type="paragraph" w:styleId="P68B1DB1Normal50">
    <w:name w:val="P68B1DB1-Normal50"/>
    <w:basedOn w:val="Normal"/>
    <w:qFormat/>
    <w:pPr/>
    <w:rPr>
      <w:rFonts w:ascii="Times New Roman" w:hAnsi="Times New Roman"/>
      <w:color w:val="222222"/>
      <w:sz w:val="24"/>
    </w:rPr>
  </w:style>
  <w:style w:type="paragraph" w:styleId="P68B1DB1Normal51">
    <w:name w:val="P68B1DB1-Normal51"/>
    <w:basedOn w:val="Normal"/>
    <w:qFormat/>
    <w:pPr/>
    <w:rPr>
      <w:rFonts w:ascii="Times New Roman" w:hAnsi="Times New Roman"/>
      <w:b/>
      <w:color w:val="222222"/>
      <w:sz w:val="24"/>
    </w:rPr>
  </w:style>
  <w:style w:type="paragraph" w:styleId="P68B1DB1Normal52">
    <w:name w:val="P68B1DB1-Normal52"/>
    <w:basedOn w:val="Normal"/>
    <w:qFormat/>
    <w:pPr/>
    <w:rPr>
      <w:rFonts w:ascii="Times New Roman" w:hAnsi="Times New Roman"/>
      <w:i/>
      <w:sz w:val="24"/>
    </w:rPr>
  </w:style>
  <w:style w:type="paragraph" w:styleId="P68B1DB1Contenudetableau53">
    <w:name w:val="P68B1DB1-Contenudetableau53"/>
    <w:basedOn w:val="Contenudetableau"/>
    <w:qFormat/>
    <w:pPr/>
    <w:rPr>
      <w:color w:val="FFFFFF"/>
      <w:sz w:val="18"/>
      <w:shd w:fill="00A65D" w:val="clear"/>
    </w:rPr>
  </w:style>
  <w:style w:type="paragraph" w:styleId="P68B1DB1Contenudetableau54">
    <w:name w:val="P68B1DB1-Contenudetableau54"/>
    <w:basedOn w:val="Contenudetableau"/>
    <w:qFormat/>
    <w:pPr/>
    <w:rPr>
      <w:sz w:val="18"/>
    </w:rPr>
  </w:style>
  <w:style w:type="paragraph" w:styleId="P68B1DB1Contenudetableau55">
    <w:name w:val="P68B1DB1-Contenudetableau55"/>
    <w:basedOn w:val="Contenudetableau"/>
    <w:qFormat/>
    <w:pPr/>
    <w:rPr>
      <w:color w:val="FFFFFF"/>
      <w:sz w:val="18"/>
      <w:shd w:fill="0066B3" w:val="clear"/>
    </w:rPr>
  </w:style>
  <w:style w:type="paragraph" w:styleId="P68B1DB1Contenudetableau56">
    <w:name w:val="P68B1DB1-Contenudetableau56"/>
    <w:basedOn w:val="Contenudetableau"/>
    <w:qFormat/>
    <w:pPr/>
    <w:rPr>
      <w:color w:val="FFFFFF"/>
      <w:sz w:val="18"/>
      <w:shd w:fill="ED1C24" w:val="clear"/>
    </w:rPr>
  </w:style>
  <w:style w:type="paragraph" w:styleId="P68B1DB1Contenudetableau57">
    <w:name w:val="P68B1DB1-Contenudetableau57"/>
    <w:basedOn w:val="Contenudetableau"/>
    <w:qFormat/>
    <w:pPr/>
    <w:rPr>
      <w:rFonts w:ascii="Arial" w:hAnsi="Arial"/>
      <w:color w:val="FFFFFF"/>
      <w:sz w:val="18"/>
      <w:shd w:fill="7DA7D8" w:val="clear"/>
    </w:rPr>
  </w:style>
  <w:style w:type="paragraph" w:styleId="P68B1DB1Contenudetableau58">
    <w:name w:val="P68B1DB1-Contenudetableau58"/>
    <w:basedOn w:val="Contenudetableau"/>
    <w:qFormat/>
    <w:pPr/>
    <w:rPr>
      <w:rFonts w:ascii="Arial" w:hAnsi="Arial"/>
      <w:color w:val="FFFFFF"/>
      <w:sz w:val="18"/>
      <w:shd w:fill="A3238E" w:val="clear"/>
    </w:rPr>
  </w:style>
  <w:style w:type="paragraph" w:styleId="P68B1DB1Contenudetableau59">
    <w:name w:val="P68B1DB1-Contenudetableau59"/>
    <w:basedOn w:val="Contenudetableau"/>
    <w:qFormat/>
    <w:pPr/>
    <w:rPr>
      <w:color w:val="F58220"/>
      <w:sz w:val="18"/>
    </w:rPr>
  </w:style>
  <w:style w:type="paragraph" w:styleId="P68B1DB1Contenudetableau60">
    <w:name w:val="P68B1DB1-Contenudetableau60"/>
    <w:basedOn w:val="Contenudetableau"/>
    <w:qFormat/>
    <w:pPr/>
    <w:rPr>
      <w:rFonts w:ascii="Arial" w:hAnsi="Arial"/>
      <w:color w:val="FFFFFF"/>
      <w:sz w:val="18"/>
      <w:shd w:fill="ADC5E7" w:val="clear"/>
    </w:rPr>
  </w:style>
  <w:style w:type="paragraph" w:styleId="P68B1DB1Contenudetableau61">
    <w:name w:val="P68B1DB1-Contenudetableau61"/>
    <w:basedOn w:val="Contenudetableau"/>
    <w:qFormat/>
    <w:pPr/>
    <w:rPr>
      <w:rFonts w:ascii="Arial" w:hAnsi="Arial"/>
      <w:color w:val="FFFFFF"/>
      <w:sz w:val="18"/>
      <w:shd w:fill="21409A" w:val="clear"/>
    </w:rPr>
  </w:style>
  <w:style w:type="paragraph" w:styleId="P68B1DB1Contenudetableau62">
    <w:name w:val="P68B1DB1-Contenudetableau62"/>
    <w:basedOn w:val="Contenudetableau"/>
    <w:qFormat/>
    <w:pPr/>
    <w:rPr>
      <w:rFonts w:ascii="Arial" w:hAnsi="Arial"/>
      <w:color w:val="FFFFFF"/>
      <w:sz w:val="18"/>
      <w:shd w:fill="8CCFB7" w:val="clear"/>
    </w:rPr>
  </w:style>
  <w:style w:type="paragraph" w:styleId="P68B1DB1Contenudetableau63">
    <w:name w:val="P68B1DB1-Contenudetableau63"/>
    <w:basedOn w:val="Contenudetableau"/>
    <w:qFormat/>
    <w:pPr/>
    <w:rPr>
      <w:rFonts w:ascii="Arial" w:hAnsi="Arial"/>
      <w:color w:val="FFFFFF"/>
      <w:sz w:val="18"/>
      <w:shd w:fill="F58220" w:val="clear"/>
    </w:rPr>
  </w:style>
  <w:style w:type="paragraph" w:styleId="P68B1DB1Contenudetableau64">
    <w:name w:val="P68B1DB1-Contenudetableau64"/>
    <w:basedOn w:val="Contenudetableau"/>
    <w:qFormat/>
    <w:pPr/>
    <w:rPr>
      <w:color w:val="000000"/>
      <w:sz w:val="18"/>
    </w:rPr>
  </w:style>
  <w:style w:type="paragraph" w:styleId="P68B1DB1Normal65">
    <w:name w:val="P68B1DB1-Normal65"/>
    <w:basedOn w:val="Normal"/>
    <w:qFormat/>
    <w:pPr/>
    <w:rPr>
      <w:rFonts w:ascii="Times New Roman" w:hAnsi="Times New Roman"/>
      <w:b/>
      <w:i/>
      <w:color w:val="273375"/>
      <w:sz w:val="26"/>
    </w:rPr>
  </w:style>
  <w:style w:type="paragraph" w:styleId="P68B1DB1Normal66">
    <w:name w:val="P68B1DB1-Normal66"/>
    <w:basedOn w:val="Normal"/>
    <w:qFormat/>
    <w:pPr/>
    <w:rPr>
      <w:rFonts w:ascii="Times New Roman" w:hAnsi="Times New Roman"/>
      <w:i/>
      <w:color w:val="632423"/>
      <w:sz w:val="24"/>
    </w:rPr>
  </w:style>
  <w:style w:type="paragraph" w:styleId="P68B1DB1Normal67">
    <w:name w:val="P68B1DB1-Normal67"/>
    <w:basedOn w:val="Normal"/>
    <w:qFormat/>
    <w:pPr/>
    <w:rPr>
      <w:rFonts w:ascii="Calibri" w:hAnsi="Calibri"/>
      <w:b/>
      <w:color w:val="000000"/>
      <w:sz w:val="36"/>
    </w:rPr>
  </w:style>
  <w:style w:type="paragraph" w:styleId="P68B1DB1Normal68">
    <w:name w:val="P68B1DB1-Normal68"/>
    <w:basedOn w:val="Normal"/>
    <w:qFormat/>
    <w:pPr/>
    <w:rPr>
      <w:rFonts w:ascii="Calibri" w:hAnsi="Calibri"/>
      <w:b/>
      <w:color w:val="000000"/>
      <w:sz w:val="24"/>
    </w:rPr>
  </w:style>
  <w:style w:type="paragraph" w:styleId="P68B1DB1Normal69">
    <w:name w:val="P68B1DB1-Normal69"/>
    <w:basedOn w:val="Normal"/>
    <w:qFormat/>
    <w:pPr/>
    <w:rPr>
      <w:rFonts w:ascii="Calibri" w:hAnsi="Calibri"/>
      <w:b/>
      <w:color w:val="000000"/>
      <w:sz w:val="20"/>
    </w:rPr>
  </w:style>
  <w:style w:type="paragraph" w:styleId="P68B1DB1Normal70">
    <w:name w:val="P68B1DB1-Normal70"/>
    <w:basedOn w:val="Normal"/>
    <w:qFormat/>
    <w:pPr/>
    <w:rPr>
      <w:color w:val="000000"/>
      <w:sz w:val="44"/>
    </w:rPr>
  </w:style>
  <w:style w:type="paragraph" w:styleId="P68B1DB1Normal71">
    <w:name w:val="P68B1DB1-Normal71"/>
    <w:basedOn w:val="Normal"/>
    <w:qFormat/>
    <w:pPr/>
    <w:rPr>
      <w:color w:val="BD1271"/>
      <w:sz w:val="56"/>
    </w:rPr>
  </w:style>
  <w:style w:type="paragraph" w:styleId="P68B1DB1Normal72">
    <w:name w:val="P68B1DB1-Normal72"/>
    <w:basedOn w:val="Normal"/>
    <w:qFormat/>
    <w:pPr/>
    <w:rPr>
      <w:color w:val="BD1271"/>
      <w:sz w:val="44"/>
    </w:rPr>
  </w:style>
  <w:style w:type="paragraph" w:styleId="P68B1DB1Titre273">
    <w:name w:val="P68B1DB1-Titre273"/>
    <w:basedOn w:val="Titre2"/>
    <w:qFormat/>
    <w:pPr>
      <w:numPr>
        <w:ilvl w:val="0"/>
        <w:numId w:val="0"/>
      </w:numPr>
      <w:ind w:left="0" w:right="0" w:hanging="0"/>
    </w:pPr>
    <w:rPr>
      <w:rFonts w:ascii="Arial" w:hAnsi="Arial"/>
      <w:color w:val="BD1271"/>
      <w:sz w:val="34"/>
    </w:rPr>
  </w:style>
  <w:style w:type="paragraph" w:styleId="P68B1DB1Normal74">
    <w:name w:val="P68B1DB1-Normal74"/>
    <w:basedOn w:val="Normal"/>
    <w:qFormat/>
    <w:pPr/>
    <w:rPr>
      <w:color w:val="2E74B5"/>
    </w:rPr>
  </w:style>
  <w:style w:type="paragraph" w:styleId="P68B1DB1Normal75">
    <w:name w:val="P68B1DB1-Normal75"/>
    <w:basedOn w:val="Normal"/>
    <w:qFormat/>
    <w:pPr/>
    <w:rPr>
      <w:sz w:val="24"/>
    </w:rPr>
  </w:style>
  <w:style w:type="paragraph" w:styleId="P68B1DB1Normal76">
    <w:name w:val="P68B1DB1-Normal76"/>
    <w:basedOn w:val="Normal"/>
    <w:qFormat/>
    <w:pPr/>
    <w:rPr>
      <w:color w:val="000000"/>
    </w:rPr>
  </w:style>
  <w:style w:type="paragraph" w:styleId="P68B1DB1Titre277">
    <w:name w:val="P68B1DB1-Titre277"/>
    <w:basedOn w:val="Titre2"/>
    <w:qFormat/>
    <w:pPr>
      <w:numPr>
        <w:ilvl w:val="0"/>
        <w:numId w:val="0"/>
      </w:numPr>
      <w:ind w:left="0" w:right="0" w:hanging="0"/>
    </w:pPr>
    <w:rPr>
      <w:color w:val="BD1271"/>
    </w:rPr>
  </w:style>
  <w:style w:type="paragraph" w:styleId="P68B1DB1style78">
    <w:name w:val="P68B1DB1-style78"/>
    <w:qFormat/>
    <w:pPr>
      <w:widowControl/>
      <w:bidi w:val="0"/>
      <w:jc w:val="left"/>
    </w:pPr>
    <w:rPr>
      <w:rFonts w:ascii="Arial" w:hAnsi="Arial" w:eastAsia="Microsoft YaHei" w:cs="Mangal"/>
      <w:color w:val="00000A"/>
      <w:kern w:val="2"/>
      <w:sz w:val="24"/>
      <w:szCs w:val="20"/>
      <w:lang w:val="hu" w:eastAsia="zh-CN" w:bidi="hi-IN"/>
    </w:rPr>
  </w:style>
  <w:style w:type="paragraph" w:styleId="P68B1DB1style79">
    <w:name w:val="P68B1DB1-style79"/>
    <w:qFormat/>
    <w:pPr>
      <w:widowControl/>
      <w:bidi w:val="0"/>
      <w:jc w:val="left"/>
    </w:pPr>
    <w:rPr>
      <w:rFonts w:ascii="Arial" w:hAnsi="Arial" w:eastAsia="Microsoft YaHei" w:cs="Mangal"/>
      <w:i/>
      <w:color w:val="00000A"/>
      <w:kern w:val="2"/>
      <w:sz w:val="24"/>
      <w:szCs w:val="20"/>
      <w:lang w:val="hu" w:eastAsia="zh-CN" w:bidi="hi-IN"/>
    </w:rPr>
  </w:style>
  <w:style w:type="paragraph" w:styleId="P68B1DB1Normal80">
    <w:name w:val="P68B1DB1-Normal80"/>
    <w:basedOn w:val="Normal"/>
    <w:qFormat/>
    <w:pPr/>
    <w:rPr>
      <w:color w:val="116E9A"/>
      <w:sz w:val="24"/>
    </w:rPr>
  </w:style>
  <w:style w:type="paragraph" w:styleId="P68B1DB1Titre481">
    <w:name w:val="P68B1DB1-Titre481"/>
    <w:basedOn w:val="Titre4"/>
    <w:qFormat/>
    <w:pPr>
      <w:numPr>
        <w:ilvl w:val="0"/>
        <w:numId w:val="0"/>
      </w:numPr>
      <w:ind w:left="0" w:right="0" w:hanging="0"/>
    </w:pPr>
    <w:rPr>
      <w:color w:val="0066B3"/>
    </w:rPr>
  </w:style>
  <w:style w:type="paragraph" w:styleId="P68B1DB1Normal82">
    <w:name w:val="P68B1DB1-Normal82"/>
    <w:basedOn w:val="Normal"/>
    <w:qFormat/>
    <w:pPr/>
    <w:rPr>
      <w:color w:val="2E74B5"/>
      <w:sz w:val="24"/>
    </w:rPr>
  </w:style>
  <w:style w:type="paragraph" w:styleId="P68B1DB1Normal83">
    <w:name w:val="P68B1DB1-Normal83"/>
    <w:basedOn w:val="Normal"/>
    <w:qFormat/>
    <w:pPr/>
    <w:rPr>
      <w:b/>
      <w:color w:val="2E74B5"/>
      <w:sz w:val="24"/>
    </w:rPr>
  </w:style>
  <w:style w:type="paragraph" w:styleId="P68B1DB1Normal84">
    <w:name w:val="P68B1DB1-Normal84"/>
    <w:basedOn w:val="Normal"/>
    <w:qFormat/>
    <w:pPr/>
    <w:rPr>
      <w:b/>
      <w:sz w:val="24"/>
    </w:rPr>
  </w:style>
  <w:style w:type="paragraph" w:styleId="P68B1DB1Normal85">
    <w:name w:val="P68B1DB1-Normal85"/>
    <w:basedOn w:val="Normal"/>
    <w:qFormat/>
    <w:pPr/>
    <w:rPr>
      <w:color w:val="FFFFFF"/>
      <w:sz w:val="28"/>
    </w:rPr>
  </w:style>
  <w:style w:type="paragraph" w:styleId="P68B1DB1Normal86">
    <w:name w:val="P68B1DB1-Normal86"/>
    <w:basedOn w:val="Normal"/>
    <w:qFormat/>
    <w:pPr/>
    <w:rPr>
      <w:color w:val="2E74B5"/>
      <w:sz w:val="28"/>
    </w:rPr>
  </w:style>
  <w:style w:type="paragraph" w:styleId="P68B1DB1Titre487">
    <w:name w:val="P68B1DB1-Titre487"/>
    <w:basedOn w:val="Titre4"/>
    <w:qFormat/>
    <w:pPr>
      <w:numPr>
        <w:ilvl w:val="0"/>
        <w:numId w:val="0"/>
      </w:numPr>
      <w:ind w:left="0" w:right="0" w:hanging="0"/>
    </w:pPr>
    <w:rPr>
      <w:rFonts w:ascii="Arial" w:hAnsi="Arial"/>
      <w:color w:val="365F91"/>
    </w:rPr>
  </w:style>
  <w:style w:type="paragraph" w:styleId="P68B1DB1Normal88">
    <w:name w:val="P68B1DB1-Normal88"/>
    <w:basedOn w:val="Normal"/>
    <w:qFormat/>
    <w:pPr/>
    <w:rPr>
      <w:color w:val="000000"/>
      <w:sz w:val="18"/>
    </w:rPr>
  </w:style>
  <w:style w:type="paragraph" w:styleId="P68B1DB1Normal89">
    <w:name w:val="P68B1DB1-Normal89"/>
    <w:basedOn w:val="Normal"/>
    <w:qFormat/>
    <w:pPr/>
    <w:rPr>
      <w:b/>
      <w:color w:val="BD1271"/>
      <w:sz w:val="24"/>
    </w:rPr>
  </w:style>
  <w:style w:type="paragraph" w:styleId="P68B1DB1Normal90">
    <w:name w:val="P68B1DB1-Normal90"/>
    <w:basedOn w:val="Normal"/>
    <w:qFormat/>
    <w:pPr/>
    <w:rPr>
      <w:color w:val="000000"/>
      <w:sz w:val="16"/>
    </w:rPr>
  </w:style>
  <w:style w:type="paragraph" w:styleId="P68B1DB1Normal91">
    <w:name w:val="P68B1DB1-Normal91"/>
    <w:basedOn w:val="Normal"/>
    <w:qFormat/>
    <w:pPr/>
    <w:rPr>
      <w:color w:val="000000"/>
      <w:sz w:val="28"/>
    </w:rPr>
  </w:style>
  <w:style w:type="paragraph" w:styleId="P68B1DB1Titre392">
    <w:name w:val="P68B1DB1-Titre392"/>
    <w:basedOn w:val="Titre3"/>
    <w:qFormat/>
    <w:pPr>
      <w:numPr>
        <w:ilvl w:val="0"/>
        <w:numId w:val="0"/>
      </w:numPr>
      <w:ind w:left="0" w:right="0" w:hanging="0"/>
    </w:pPr>
    <w:rPr>
      <w:color w:val="FFFFFF"/>
      <w:shd w:fill="0066B3" w:val="clear"/>
    </w:rPr>
  </w:style>
  <w:style w:type="paragraph" w:styleId="P68B1DB1style93">
    <w:name w:val="P68B1DB1-style93"/>
    <w:qFormat/>
    <w:pPr>
      <w:widowControl/>
      <w:bidi w:val="0"/>
      <w:jc w:val="left"/>
    </w:pPr>
    <w:rPr>
      <w:rFonts w:ascii="Times New Roman" w:hAnsi="Times New Roman" w:eastAsia="Microsoft YaHei" w:cs="Mangal"/>
      <w:color w:val="00000A"/>
      <w:kern w:val="2"/>
      <w:sz w:val="26"/>
      <w:szCs w:val="20"/>
      <w:lang w:val="hu" w:eastAsia="zh-CN" w:bidi="hi-IN"/>
    </w:rPr>
  </w:style>
  <w:style w:type="paragraph" w:styleId="P68B1DB1style94">
    <w:name w:val="P68B1DB1-style94"/>
    <w:qFormat/>
    <w:pPr>
      <w:widowControl/>
      <w:bidi w:val="0"/>
      <w:jc w:val="left"/>
    </w:pPr>
    <w:rPr>
      <w:rFonts w:ascii="Arial" w:hAnsi="Arial" w:eastAsia="Microsoft YaHei" w:cs="Mangal"/>
      <w:color w:val="00000A"/>
      <w:kern w:val="2"/>
      <w:sz w:val="20"/>
      <w:szCs w:val="20"/>
      <w:lang w:val="hu" w:eastAsia="zh-CN" w:bidi="hi-IN"/>
    </w:rPr>
  </w:style>
  <w:style w:type="paragraph" w:styleId="P68B1DB1Normal95">
    <w:name w:val="P68B1DB1-Normal95"/>
    <w:basedOn w:val="Normal"/>
    <w:qFormat/>
    <w:pPr/>
    <w:rPr>
      <w:color w:val="5A5A5A"/>
      <w:sz w:val="28"/>
    </w:rPr>
  </w:style>
  <w:style w:type="paragraph" w:styleId="P68B1DB1Normal96">
    <w:name w:val="P68B1DB1-Normal96"/>
    <w:basedOn w:val="Normal"/>
    <w:qFormat/>
    <w:pPr/>
    <w:rPr>
      <w:i/>
      <w:color w:val="404040"/>
      <w:sz w:val="32"/>
    </w:rPr>
  </w:style>
  <w:style w:type="paragraph" w:styleId="P68B1DB1Normal97">
    <w:name w:val="P68B1DB1-Normal97"/>
    <w:basedOn w:val="Normal"/>
    <w:qFormat/>
    <w:pPr/>
    <w:rPr>
      <w:rFonts w:ascii="Garamond" w:hAnsi="Garamond"/>
      <w:color w:val="000000"/>
    </w:rPr>
  </w:style>
  <w:style w:type="paragraph" w:styleId="P68B1DB1Normal98">
    <w:name w:val="P68B1DB1-Normal98"/>
    <w:basedOn w:val="Normal"/>
    <w:qFormat/>
    <w:pPr/>
    <w:rPr>
      <w:color w:val="404040"/>
      <w:sz w:val="32"/>
    </w:rPr>
  </w:style>
  <w:style w:type="paragraph" w:styleId="P68B1DB1Normal99">
    <w:name w:val="P68B1DB1-Normal99"/>
    <w:basedOn w:val="Normal"/>
    <w:qFormat/>
    <w:pPr/>
    <w:rPr>
      <w:color w:val="000000"/>
      <w:sz w:val="20"/>
    </w:rPr>
  </w:style>
  <w:style w:type="paragraph" w:styleId="P68B1DB1Normal100">
    <w:name w:val="P68B1DB1-Normal100"/>
    <w:basedOn w:val="Normal"/>
    <w:qFormat/>
    <w:pPr/>
    <w:rPr>
      <w:b/>
      <w:i/>
      <w:color w:val="000000"/>
    </w:rPr>
  </w:style>
  <w:style w:type="paragraph" w:styleId="P68B1DB1Contenudetableau101">
    <w:name w:val="P68B1DB1-Contenudetableau101"/>
    <w:basedOn w:val="Contenudetableau"/>
    <w:qFormat/>
    <w:pPr/>
    <w:rPr>
      <w:rFonts w:ascii="Garamond" w:hAnsi="Garamond"/>
      <w:b/>
      <w:color w:val="000000"/>
    </w:rPr>
  </w:style>
  <w:style w:type="paragraph" w:styleId="P68B1DB1Contenudetableau102">
    <w:name w:val="P68B1DB1-Contenudetableau102"/>
    <w:basedOn w:val="Contenudetableau"/>
    <w:qFormat/>
    <w:pPr/>
    <w:rPr>
      <w:rFonts w:ascii="Garamond" w:hAnsi="Garamond"/>
      <w:color w:val="000000"/>
    </w:rPr>
  </w:style>
  <w:style w:type="paragraph" w:styleId="P68B1DB1Normal103">
    <w:name w:val="P68B1DB1-Normal103"/>
    <w:basedOn w:val="Normal"/>
    <w:qFormat/>
    <w:pPr/>
    <w:rPr>
      <w:rFonts w:ascii="Calibri" w:hAnsi="Calibri"/>
      <w:i/>
      <w:color w:val="000000"/>
      <w:sz w:val="32"/>
    </w:rPr>
  </w:style>
  <w:style w:type="paragraph" w:styleId="P68B1DB1Normal104">
    <w:name w:val="P68B1DB1-Normal104"/>
    <w:basedOn w:val="Normal"/>
    <w:qFormat/>
    <w:pPr/>
    <w:rPr>
      <w:rFonts w:ascii="Calibri" w:hAnsi="Calibri"/>
      <w:color w:val="000000"/>
      <w:sz w:val="21"/>
    </w:rPr>
  </w:style>
  <w:style w:type="paragraph" w:styleId="P68B1DB1Normal105">
    <w:name w:val="P68B1DB1-Normal105"/>
    <w:basedOn w:val="Normal"/>
    <w:qFormat/>
    <w:pPr/>
    <w:rPr>
      <w:color w:val="000000"/>
      <w:sz w:val="21"/>
    </w:rPr>
  </w:style>
  <w:style w:type="paragraph" w:styleId="P68B1DB1Normal106">
    <w:name w:val="P68B1DB1-Normal106"/>
    <w:basedOn w:val="Normal"/>
    <w:qFormat/>
    <w:pPr/>
    <w:rPr>
      <w:rFonts w:ascii="Calibri" w:hAnsi="Calibri"/>
      <w:b/>
      <w:i/>
      <w:color w:val="000000"/>
      <w:sz w:val="36"/>
    </w:rPr>
  </w:style>
  <w:style w:type="paragraph" w:styleId="P68B1DB1Normal107">
    <w:name w:val="P68B1DB1-Normal107"/>
    <w:basedOn w:val="Normal"/>
    <w:qFormat/>
    <w:pPr/>
    <w:rPr>
      <w:rFonts w:ascii="Calibri" w:hAnsi="Calibri"/>
      <w:i/>
      <w:color w:val="000000"/>
      <w:sz w:val="24"/>
    </w:rPr>
  </w:style>
  <w:style w:type="paragraph" w:styleId="P68B1DB1Normal108">
    <w:name w:val="P68B1DB1-Normal108"/>
    <w:basedOn w:val="Normal"/>
    <w:qFormat/>
    <w:pPr/>
    <w:rPr>
      <w:rFonts w:ascii="Calibri" w:hAnsi="Calibri"/>
      <w:b/>
      <w:i/>
      <w:color w:val="000000"/>
      <w:sz w:val="24"/>
    </w:rPr>
  </w:style>
  <w:style w:type="paragraph" w:styleId="P68B1DB1Normal109">
    <w:name w:val="P68B1DB1-Normal109"/>
    <w:basedOn w:val="Normal"/>
    <w:qFormat/>
    <w:pPr/>
    <w:rPr>
      <w:rFonts w:ascii="Calibri" w:hAnsi="Calibri"/>
      <w:b/>
      <w:i/>
      <w:color w:val="000000"/>
      <w:sz w:val="32"/>
    </w:rPr>
  </w:style>
  <w:style w:type="paragraph" w:styleId="P68B1DB1Normal110">
    <w:name w:val="P68B1DB1-Normal110"/>
    <w:basedOn w:val="Normal"/>
    <w:qFormat/>
    <w:pPr/>
    <w:rPr>
      <w:rFonts w:ascii="Calibri" w:hAnsi="Calibri"/>
      <w:color w:val="000000"/>
    </w:rPr>
  </w:style>
  <w:style w:type="paragraph" w:styleId="P68B1DB1Normal111">
    <w:name w:val="P68B1DB1-Normal111"/>
    <w:basedOn w:val="Normal"/>
    <w:qFormat/>
    <w:pPr/>
    <w:rPr>
      <w:rFonts w:ascii="Calibri" w:hAnsi="Calibri"/>
      <w:b/>
      <w:color w:val="000000"/>
    </w:rPr>
  </w:style>
  <w:style w:type="paragraph" w:styleId="P68B1DB1Normal112">
    <w:name w:val="P68B1DB1-Normal112"/>
    <w:basedOn w:val="Normal"/>
    <w:qFormat/>
    <w:pPr/>
    <w:rPr>
      <w:rFonts w:ascii="Times New Roman" w:hAnsi="Times New Roman"/>
      <w:color w:val="000000"/>
      <w:sz w:val="16"/>
    </w:rPr>
  </w:style>
  <w:style w:type="paragraph" w:styleId="P68B1DB1Normal113">
    <w:name w:val="P68B1DB1-Normal113"/>
    <w:basedOn w:val="Normal"/>
    <w:qFormat/>
    <w:pPr/>
    <w:rPr>
      <w:rFonts w:ascii="Calibri" w:hAnsi="Calibri"/>
      <w:i/>
      <w:color w:val="000000"/>
      <w:sz w:val="26"/>
    </w:rPr>
  </w:style>
  <w:style w:type="paragraph" w:styleId="P68B1DB1Normal114">
    <w:name w:val="P68B1DB1-Normal114"/>
    <w:basedOn w:val="Normal"/>
    <w:qFormat/>
    <w:pPr/>
    <w:rPr>
      <w:rFonts w:ascii="Calibri" w:hAnsi="Calibri"/>
      <w:b/>
      <w:color w:val="000000"/>
      <w:sz w:val="21"/>
    </w:rPr>
  </w:style>
  <w:style w:type="paragraph" w:styleId="P68B1DB1Contenudetableau115">
    <w:name w:val="P68B1DB1-Contenudetableau115"/>
    <w:basedOn w:val="Contenudetableau"/>
    <w:qFormat/>
    <w:pPr/>
    <w:rPr>
      <w:rFonts w:ascii="Times New Roman" w:hAnsi="Times New Roman"/>
      <w:color w:val="000000"/>
      <w:sz w:val="16"/>
    </w:rPr>
  </w:style>
  <w:style w:type="paragraph" w:styleId="P68B1DB1Contenudetableau116">
    <w:name w:val="P68B1DB1-Contenudetableau116"/>
    <w:basedOn w:val="Contenudetableau"/>
    <w:qFormat/>
    <w:pPr/>
    <w:rPr>
      <w:color w:val="000000"/>
      <w:sz w:val="16"/>
    </w:rPr>
  </w:style>
  <w:style w:type="paragraph" w:styleId="P68B1DB1Normal117">
    <w:name w:val="P68B1DB1-Normal117"/>
    <w:basedOn w:val="Normal"/>
    <w:qFormat/>
    <w:pPr/>
    <w:rPr>
      <w:rFonts w:ascii="Calibri" w:hAnsi="Calibri"/>
      <w:b/>
      <w:i/>
      <w:color w:val="000000"/>
      <w:sz w:val="28"/>
    </w:rPr>
  </w:style>
  <w:style w:type="paragraph" w:styleId="P68B1DB1Normal118">
    <w:name w:val="P68B1DB1-Normal118"/>
    <w:basedOn w:val="Normal"/>
    <w:qFormat/>
    <w:pPr/>
    <w:rPr>
      <w:rFonts w:ascii="Calibri" w:hAnsi="Calibri"/>
      <w:i/>
      <w:color w:val="000000"/>
      <w:sz w:val="21"/>
    </w:rPr>
  </w:style>
  <w:style w:type="paragraph" w:styleId="P68B1DB1Normal119">
    <w:name w:val="P68B1DB1-Normal119"/>
    <w:basedOn w:val="Normal"/>
    <w:qFormat/>
    <w:pPr/>
    <w:rPr>
      <w:b/>
      <w:color w:val="000000"/>
      <w:sz w:val="21"/>
    </w:rPr>
  </w:style>
  <w:style w:type="paragraph" w:styleId="P68B1DB1Normal120">
    <w:name w:val="P68B1DB1-Normal120"/>
    <w:basedOn w:val="Normal"/>
    <w:qFormat/>
    <w:pPr/>
    <w:rPr>
      <w:rFonts w:ascii="Calibri" w:hAnsi="Calibri"/>
      <w:b/>
      <w:color w:val="000000"/>
      <w:sz w:val="21"/>
    </w:rPr>
  </w:style>
  <w:style w:type="paragraph" w:styleId="P68B1DB1Contenudetableau121">
    <w:name w:val="P68B1DB1-Contenudetableau121"/>
    <w:basedOn w:val="Contenudetableau"/>
    <w:qFormat/>
    <w:pPr/>
    <w:rPr>
      <w:color w:val="000000"/>
    </w:rPr>
  </w:style>
  <w:style w:type="paragraph" w:styleId="P68B1DB1Contenudetableau122">
    <w:name w:val="P68B1DB1-Contenudetableau122"/>
    <w:basedOn w:val="Contenudetableau"/>
    <w:qFormat/>
    <w:pPr/>
    <w:rPr>
      <w:b/>
      <w:color w:val="000000"/>
    </w:rPr>
  </w:style>
  <w:style w:type="paragraph" w:styleId="P68B1DB1Normal123">
    <w:name w:val="P68B1DB1-Normal123"/>
    <w:basedOn w:val="Normal"/>
    <w:qFormat/>
    <w:pPr/>
    <w:rPr>
      <w:rFonts w:ascii="Calibri" w:hAnsi="Calibri"/>
      <w:color w:val="000000"/>
      <w:sz w:val="32"/>
    </w:rPr>
  </w:style>
  <w:style w:type="paragraph" w:styleId="P68B1DB1Normal124">
    <w:name w:val="P68B1DB1-Normal124"/>
    <w:basedOn w:val="Normal"/>
    <w:qFormat/>
    <w:pPr/>
    <w:rPr>
      <w:rFonts w:ascii="Calibri" w:hAnsi="Calibri"/>
      <w:b/>
      <w:color w:val="0070C0"/>
      <w:sz w:val="72"/>
    </w:rPr>
  </w:style>
  <w:style w:type="paragraph" w:styleId="P68B1DB1Normal125">
    <w:name w:val="P68B1DB1-Normal125"/>
    <w:basedOn w:val="Normal"/>
    <w:qFormat/>
    <w:pPr/>
    <w:rPr>
      <w:rFonts w:ascii="Calibri" w:hAnsi="Calibri"/>
      <w:b/>
      <w:color w:val="0070C0"/>
      <w:sz w:val="32"/>
    </w:rPr>
  </w:style>
  <w:style w:type="paragraph" w:styleId="P68B1DB1Normal126">
    <w:name w:val="P68B1DB1-Normal126"/>
    <w:basedOn w:val="Normal"/>
    <w:qFormat/>
    <w:pPr/>
    <w:rPr>
      <w:rFonts w:ascii="Calibri" w:hAnsi="Calibri"/>
      <w:color w:val="0070C0"/>
      <w:sz w:val="24"/>
    </w:rPr>
  </w:style>
  <w:style w:type="paragraph" w:styleId="P68B1DB1Normal127">
    <w:name w:val="P68B1DB1-Normal127"/>
    <w:basedOn w:val="Normal"/>
    <w:qFormat/>
    <w:pPr/>
    <w:rPr>
      <w:rFonts w:ascii="Calibri" w:hAnsi="Calibri"/>
    </w:rPr>
  </w:style>
  <w:style w:type="paragraph" w:styleId="P68B1DB1Contenudetableau128">
    <w:name w:val="P68B1DB1-Contenudetableau128"/>
    <w:basedOn w:val="Contenudetableau"/>
    <w:qFormat/>
    <w:pPr/>
    <w:rPr>
      <w:color w:val="000000"/>
      <w:sz w:val="14"/>
    </w:rPr>
  </w:style>
  <w:style w:type="paragraph" w:styleId="P68B1DB1Normal129">
    <w:name w:val="P68B1DB1-Normal129"/>
    <w:basedOn w:val="Normal"/>
    <w:qFormat/>
    <w:pPr/>
    <w:rPr>
      <w:rFonts w:ascii="Calibri" w:hAnsi="Calibri"/>
      <w:i/>
      <w:color w:val="000000"/>
    </w:rPr>
  </w:style>
  <w:style w:type="paragraph" w:styleId="P68B1DB1Normal130">
    <w:name w:val="P68B1DB1-Normal130"/>
    <w:basedOn w:val="Normal"/>
    <w:qFormat/>
    <w:pPr/>
    <w:rPr>
      <w:rFonts w:ascii="Calibri" w:hAnsi="Calibri"/>
      <w:color w:val="0070C0"/>
      <w:sz w:val="21"/>
    </w:rPr>
  </w:style>
  <w:style w:type="paragraph" w:styleId="P68B1DB1Normal131">
    <w:name w:val="P68B1DB1-Normal131"/>
    <w:basedOn w:val="Normal"/>
    <w:qFormat/>
    <w:pPr/>
    <w:rPr>
      <w:color w:val="0000FF"/>
      <w:sz w:val="24"/>
    </w:rPr>
  </w:style>
  <w:style w:type="paragraph" w:styleId="P68B1DB1Normal132">
    <w:name w:val="P68B1DB1-Normal132"/>
    <w:basedOn w:val="Normal"/>
    <w:qFormat/>
    <w:pPr/>
    <w:rPr>
      <w:rFonts w:ascii="Roboto" w:hAnsi="Roboto"/>
      <w:color w:val="000000"/>
      <w:sz w:val="16"/>
    </w:rPr>
  </w:style>
  <w:style w:type="paragraph" w:styleId="P68B1DB1style133">
    <w:name w:val="P68B1DB1-style133"/>
    <w:qFormat/>
    <w:pPr>
      <w:widowControl/>
      <w:bidi w:val="0"/>
      <w:jc w:val="left"/>
    </w:pPr>
    <w:rPr>
      <w:rFonts w:ascii="Times New Roman" w:hAnsi="Times New Roman" w:eastAsia="SimSun" w:cs="Mangal"/>
      <w:color w:val="00000A"/>
      <w:kern w:val="2"/>
      <w:sz w:val="20"/>
      <w:szCs w:val="20"/>
      <w:lang w:val="hu" w:eastAsia="zh-CN" w:bidi="hi-IN"/>
    </w:rPr>
  </w:style>
  <w:style w:type="paragraph" w:styleId="P68B1DB1Entte134">
    <w:name w:val="P68B1DB1-Entte134"/>
    <w:basedOn w:val="Entte"/>
    <w:qFormat/>
    <w:pPr/>
    <w:rPr>
      <w:sz w:val="18"/>
    </w:rPr>
  </w:style>
  <w:style w:type="numbering" w:styleId="Puce">
    <w:name w:val="Puce •"/>
    <w:qFormat/>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image" Target="media/image2.png"/><Relationship Id="rId4" Type="http://schemas.openxmlformats.org/officeDocument/2006/relationships/image" Target="media/image3.png"/><Relationship Id="rId5" Type="http://schemas.openxmlformats.org/officeDocument/2006/relationships/hyperlink" Target="https://futureu.europa.eu/rails/active_storage/blobs/redirect/eyJfcmFpbHMiOnsibWVzc2FnZSI6IkJBaHBBMEl0QVE9PSIsImV4cCI6bnVsbCwicHVyIjoiYmxvYl9pZCJ9fQ==--f1e6ee90810e761866cf2b290e381a77ea51de72/CoFE_Report_FR_with annexes.pdf" TargetMode="External"/><Relationship Id="rId6" Type="http://schemas.openxmlformats.org/officeDocument/2006/relationships/hyperlink" Target="https://webgate.ec.europa.eu/etranslation" TargetMode="External"/><Relationship Id="rId7" Type="http://schemas.openxmlformats.org/officeDocument/2006/relationships/hyperlink" Target="https://e-d-e.org/" TargetMode="External"/><Relationship Id="rId8" Type="http://schemas.openxmlformats.org/officeDocument/2006/relationships/hyperlink" Target="http://www.demokratio.eu/" TargetMode="External"/><Relationship Id="rId9" Type="http://schemas.openxmlformats.org/officeDocument/2006/relationships/hyperlink" Target="https://e-d-e.fr/" TargetMode="External"/><Relationship Id="rId10" Type="http://schemas.openxmlformats.org/officeDocument/2006/relationships/hyperlink" Target="http://www.europokune.eu/" TargetMode="External"/><Relationship Id="rId11" Type="http://schemas.openxmlformats.org/officeDocument/2006/relationships/hyperlink" Target="https://futureu.europa.eu/rails/active_storage/blobs/redirect/eyJfcmFpbHMiOnsibWVzc2FnZSI6IkJBaHBBMEl0QVE9PSIsImV4cCI6bnVsbCwicHVyIjoiYmxvYl9pZCJ9fQ==--f1e6ee90810e761866cf2b290e381a77ea51de72/CoFE_Report_FR_with annexes.pdf" TargetMode="External"/><Relationship Id="rId12" Type="http://schemas.openxmlformats.org/officeDocument/2006/relationships/hyperlink" Target="https://webgate.ec.europa.eu/etranslation" TargetMode="External"/><Relationship Id="rId13" Type="http://schemas.openxmlformats.org/officeDocument/2006/relationships/hyperlink" Target="https://e-d-e.org/" TargetMode="External"/><Relationship Id="rId14" Type="http://schemas.openxmlformats.org/officeDocument/2006/relationships/hyperlink" Target="http://www.demokratio.eu/" TargetMode="External"/><Relationship Id="rId15" Type="http://schemas.openxmlformats.org/officeDocument/2006/relationships/hyperlink" Target="https://e-d-e.fr/" TargetMode="External"/><Relationship Id="rId16" Type="http://schemas.openxmlformats.org/officeDocument/2006/relationships/hyperlink" Target="http://www.europokune.eu/" TargetMode="External"/><Relationship Id="rId17" Type="http://schemas.openxmlformats.org/officeDocument/2006/relationships/image" Target="media/image4.png"/><Relationship Id="rId18" Type="http://schemas.openxmlformats.org/officeDocument/2006/relationships/header" Target="header1.xml"/><Relationship Id="rId19" Type="http://schemas.openxmlformats.org/officeDocument/2006/relationships/header" Target="header2.xml"/><Relationship Id="rId20" Type="http://schemas.openxmlformats.org/officeDocument/2006/relationships/footer" Target="footer1.xml"/><Relationship Id="rId21" Type="http://schemas.openxmlformats.org/officeDocument/2006/relationships/footer" Target="footer2.xml"/><Relationship Id="rId22" Type="http://schemas.openxmlformats.org/officeDocument/2006/relationships/image" Target="media/image5.png"/><Relationship Id="rId23" Type="http://schemas.openxmlformats.org/officeDocument/2006/relationships/hyperlink" Target="https://futureu.europa.eu/pages/our-guides" TargetMode="External"/><Relationship Id="rId24" Type="http://schemas.openxmlformats.org/officeDocument/2006/relationships/hyperlink" Target="https://futureu.europa.eu/pages/information-material" TargetMode="External"/><Relationship Id="rId25" Type="http://schemas.openxmlformats.org/officeDocument/2006/relationships/hyperlink" Target="https://futureu.europa.eu/assemblies/citizens-panels" TargetMode="External"/><Relationship Id="rId26" Type="http://schemas.openxmlformats.org/officeDocument/2006/relationships/hyperlink" Target="https://futureu.europa.eu/pages/executive-board" TargetMode="External"/><Relationship Id="rId27" Type="http://schemas.openxmlformats.org/officeDocument/2006/relationships/hyperlink" Target="https://futureu.europa.eu/rails/active_storage/blobs/eyJfcmFpbHMiOnsibWVzc2FnZSI6IkJBaHBBcEVXIiwiZXhwIjpudWxsLCJwdXIiOiJibG9iX2lkIn19--ccb2609f3433ec020b3055170aacd363d84503e7/sn03411-re01.en21(1).pdf" TargetMode="External"/><Relationship Id="rId28" Type="http://schemas.openxmlformats.org/officeDocument/2006/relationships/hyperlink" Target="https://futureu.europa.eu/rails/active_storage/blobs/eyJfcmFpbHMiOnsibWVzc2FnZSI6IkJBaHBBbjFCIiwiZXhwIjpudWxsLCJwdXIiOiJibG9iX2lkIn19--f97dae84e07fcf9ea4e9276dd4b33fb3fd823dd6/COFE Second Interim Report September Kantar final.pdf" TargetMode="External"/><Relationship Id="rId29" Type="http://schemas.openxmlformats.org/officeDocument/2006/relationships/hyperlink" Target="https://futureu.europa.eu/rails/active_storage/blobs/eyJfcmFpbHMiOnsibWVzc2FnZSI6IkJBaHBBdWlFIiwiZXhwIjpudWxsLCJwdXIiOiJibG9iX2lkIn19--3fe1bd5c838d6e007a595afd9beefa8b4df1fb3f/Kantar Third Interim Report final version EN.pdf" TargetMode="External"/><Relationship Id="rId30" Type="http://schemas.openxmlformats.org/officeDocument/2006/relationships/image" Target="media/image6.png"/><Relationship Id="rId31" Type="http://schemas.openxmlformats.org/officeDocument/2006/relationships/hyperlink" Target="https://futureu.europa.eu/?locale=fr" TargetMode="External"/><Relationship Id="rId32" Type="http://schemas.openxmlformats.org/officeDocument/2006/relationships/hyperlink" Target="https://futureu.europa.eu/?locale=fr" TargetMode="External"/><Relationship Id="rId33" Type="http://schemas.openxmlformats.org/officeDocument/2006/relationships/hyperlink" Target="https://futureu.europa.eu/pages/charter" TargetMode="External"/><Relationship Id="rId34" Type="http://schemas.openxmlformats.org/officeDocument/2006/relationships/hyperlink" Target="https://futureu.europa.eu/pages/rules-of-participation" TargetMode="External"/><Relationship Id="rId35" Type="http://schemas.openxmlformats.org/officeDocument/2006/relationships/hyperlink" Target="https://futureu.europa.eu/pages/faq" TargetMode="External"/><Relationship Id="rId36" Type="http://schemas.openxmlformats.org/officeDocument/2006/relationships/image" Target="media/image7.png"/><Relationship Id="rId37" Type="http://schemas.openxmlformats.org/officeDocument/2006/relationships/image" Target="media/image8.png"/><Relationship Id="rId38" Type="http://schemas.openxmlformats.org/officeDocument/2006/relationships/image" Target="media/image9.png"/><Relationship Id="rId39" Type="http://schemas.openxmlformats.org/officeDocument/2006/relationships/image" Target="media/image10.png"/><Relationship Id="rId40" Type="http://schemas.openxmlformats.org/officeDocument/2006/relationships/image" Target="media/image11.png"/><Relationship Id="rId41" Type="http://schemas.openxmlformats.org/officeDocument/2006/relationships/image" Target="media/image12.png"/><Relationship Id="rId42" Type="http://schemas.openxmlformats.org/officeDocument/2006/relationships/image" Target="media/image13.png"/><Relationship Id="rId43" Type="http://schemas.openxmlformats.org/officeDocument/2006/relationships/image" Target="media/image14.png"/><Relationship Id="rId44" Type="http://schemas.openxmlformats.org/officeDocument/2006/relationships/image" Target="media/image15.png"/><Relationship Id="rId45" Type="http://schemas.openxmlformats.org/officeDocument/2006/relationships/image" Target="media/image16.png"/><Relationship Id="rId46" Type="http://schemas.openxmlformats.org/officeDocument/2006/relationships/image" Target="media/image17.png"/><Relationship Id="rId47" Type="http://schemas.openxmlformats.org/officeDocument/2006/relationships/hyperlink" Target="https://futureu.europa.eu/pages/ms-section" TargetMode="External"/><Relationship Id="rId48" Type="http://schemas.openxmlformats.org/officeDocument/2006/relationships/hyperlink" Target="https://futureu.europa.eu/pages/reporting" TargetMode="External"/><Relationship Id="rId49" Type="http://schemas.openxmlformats.org/officeDocument/2006/relationships/image" Target="media/image18.png"/><Relationship Id="rId50" Type="http://schemas.openxmlformats.org/officeDocument/2006/relationships/image" Target="media/image19.png"/><Relationship Id="rId51" Type="http://schemas.openxmlformats.org/officeDocument/2006/relationships/hyperlink" Target="http://www.eye2021.eu/" TargetMode="External"/><Relationship Id="rId52" Type="http://schemas.openxmlformats.org/officeDocument/2006/relationships/image" Target="media/image20.png"/><Relationship Id="rId53" Type="http://schemas.openxmlformats.org/officeDocument/2006/relationships/hyperlink" Target="https://european-youth-event.europarl.europa.eu/wp-content/uploads/2021/10/2021_EYE_Report-Booklet_A5_20-10-Accessible.pdf" TargetMode="External"/><Relationship Id="rId54" Type="http://schemas.openxmlformats.org/officeDocument/2006/relationships/hyperlink" Target="https://search.youthideas.eu/" TargetMode="External"/><Relationship Id="rId55" Type="http://schemas.openxmlformats.org/officeDocument/2006/relationships/hyperlink" Target="https://www.eesc.europa.eu/en/agenda/our-events/events/kickoff-event-conference-future-europe" TargetMode="External"/><Relationship Id="rId56" Type="http://schemas.openxmlformats.org/officeDocument/2006/relationships/hyperlink" Target="https://www.eesc.europa.eu/en/agenda/our-events/events/shaping-europe-together" TargetMode="External"/><Relationship Id="rId57" Type="http://schemas.openxmlformats.org/officeDocument/2006/relationships/hyperlink" Target="https://cor.europa.eu/en/our-work/Pages/EURegionalBarometer-Survey-2021.aspx" TargetMode="External"/><Relationship Id="rId58" Type="http://schemas.openxmlformats.org/officeDocument/2006/relationships/hyperlink" Target="https://futureu.europa.eu/profiles/EU_COMMITTEE_REGIONS/activity" TargetMode="External"/><Relationship Id="rId59" Type="http://schemas.openxmlformats.org/officeDocument/2006/relationships/hyperlink" Target="https://cor.europa.eu/en/news/Pages/Report-of-the-High-Level-Group-on-European-Democracy.aspx" TargetMode="External"/><Relationship Id="rId60" Type="http://schemas.openxmlformats.org/officeDocument/2006/relationships/hyperlink" Target="https://cor.europa.eu/en/summits/2022" TargetMode="External"/><Relationship Id="rId61" Type="http://schemas.openxmlformats.org/officeDocument/2006/relationships/hyperlink" Target="https://cor.europa.eu/en/engage/brochures/Documents/The Marseille Manifesto of local and regional leaders - Europe starts in its regions, cities and villages/4560 CoR Summit 2022 Manifesto EN.pdf" TargetMode="External"/><Relationship Id="rId62" Type="http://schemas.openxmlformats.org/officeDocument/2006/relationships/hyperlink" Target="https://cor.europa.eu/en/engage/brochures/Documents/Citizens, local politicians and the future of Europe/4666-final report lowres FIN.pdf" TargetMode="External"/><Relationship Id="rId63" Type="http://schemas.openxmlformats.org/officeDocument/2006/relationships/hyperlink" Target="https://urldefense.com/v3/__https:/eur01.safelinks.protection.outlook.com/?url=https*3A*2F*2Fwww.businesseurope.eu*2Fpublications*2Fconference-future-europe&amp;data=05*7C01*7Clrepetti*40etuc.org*7Cd0bf6bce94584f609b7f08da2436f672*7C7a57d45075f34a4da90dac04a367b91a*7C0*7C0*7C637862115734132632*7CUnknown*7CTWFpbGZsb3d8eyJWIjoiMC4wLjAwMDAiLCJQIjoiV2luMzIiLCJBTiI6Ik1haWwiLCJXVCI6Mn0*3D*7C3000*7C*7C*7C&amp;sdata=R0ZPyMIpzVtyVKxslbwXDoXM*2BAyxIZsOnd1d87UgzYk*3D&amp;reserved=0__;JSUlJSUlJSUlJSUlJSUlJSUlJSUlJQ!!DOxrgLBm!EVXnpmdPMnr1b8zwRLNfRbrIUw0-wYmbVL-_FRTf4p4-H6cCU3xBRXl67BONxyxUt7bSc5ygS0GnATILPoBus7eKzgaBFQ$" TargetMode="External"/><Relationship Id="rId64" Type="http://schemas.openxmlformats.org/officeDocument/2006/relationships/hyperlink" Target="https://urldefense.com/v3/__https:/eur01.safelinks.protection.outlook.com/?url=https*3A*2F*2Fsgieurope.org*2Fnews*2Fsgi-europe-contributions-to-the-digital-platform-of-the-conference-on-the-future-of-europe*2F&amp;data=05*7C01*7Clrepetti*40etuc.org*7Cd0bf6bce94584f609b7f08da2436f672*7C7a57d45075f34a4da90dac04a367b91a*7C0*7C0*7C637862115734132632*7CUnknown*7CTWFpbGZsb3d8eyJWIjoiMC4wLjAwMDAiLCJQIjoiV2luMzIiLCJBTiI6Ik1haWwiLCJXVCI6Mn0*3D*7C3000*7C*7C*7C&amp;sdata=*2FkaIN9DU1n02W6lwYRXRWxjl3k3NXQfTh4MXMd9o5ec*3D&amp;reserved=0__;JSUlJSUlJSUlJSUlJSUlJSUlJSUlJSU!!DOxrgLBm!EVXnpmdPMnr1b8zwRLNfRbrIUw0-wYmbVL-_FRTf4p4-H6cCU3xBRXl67BONxyxUt7bSc5ygS0GnATILPoBus7eSbklT4g$" TargetMode="External"/><Relationship Id="rId65" Type="http://schemas.openxmlformats.org/officeDocument/2006/relationships/hyperlink" Target="https://urldefense.com/v3/__https:/eur01.safelinks.protection.outlook.com/?url=https*3A*2F*2Fwww.smeunited.eu*2Fnews*2Fsmes-set-priorities-to-empower-the-future-of-europe&amp;data=05*7C01*7Clrepetti*40etuc.org*7Cd0bf6bce94584f609b7f08da2436f672*7C7a57d45075f34a4da90dac04a367b91a*7C0*7C0*7C637862115734132632*7CUnknown*7CTWFpbGZsb3d8eyJWIjoiMC4wLjAwMDAiLCJQIjoiV2luMzIiLCJBTiI6Ik1haWwiLCJXVCI6Mn0*3D*7C3000*7C*7C*7C&amp;sdata=UDlDXYbVN5kYwkeyMWsIBYVF*2BdigrVxYhjV2WuFcn4M*3D&amp;reserved=0__;JSUlJSUlJSUlJSUlJSUlJSUlJSUlJQ!!DOxrgLBm!EVXnpmdPMnr1b8zwRLNfRbrIUw0-wYmbVL-_FRTf4p4-H6cCU3xBRXl67BONxyxUt7bSc5ygS0GnATILPoBus7furzkJBA$" TargetMode="External"/><Relationship Id="rId66" Type="http://schemas.openxmlformats.org/officeDocument/2006/relationships/hyperlink" Target="https://urldefense.com/v3/__http:/civilsocietyeurope.eu/civil-society-convention-on-the-future-of-europe/__;!!DOxrgLBm!USrgw0ykk4Rr_7OEucFYoNO-h98D1sH5xfD-7Qmm48-t_TKrps6LcRBXC7_VkAjjVVGY7-clIExnQQ$" TargetMode="External"/><Relationship Id="rId67" Type="http://schemas.openxmlformats.org/officeDocument/2006/relationships/hyperlink" Target="https://urldefense.com/v3/__https:/europeanmovement.eu/__;!!DOxrgLBm!USrgw0ykk4Rr_7OEucFYoNO-h98D1sH5xfD-7Qmm48-t_TKrps6LcRBXC7_VkAjjVVGY7-cLezPKmw$" TargetMode="External"/><Relationship Id="rId68" Type="http://schemas.openxmlformats.org/officeDocument/2006/relationships/hyperlink" Target="https://urldefense.com/v3/__https:/europeanmovement.eu/event-category/emi-events/?content_type=event&amp;tax_id=44&amp;showpastevents=1&amp;eventdatedesc=1__;!!DOxrgLBm!USrgw0ykk4Rr_7OEucFYoNO-h98D1sH5xfD-7Qmm48-t_TKrps6LcRBXC7_VkAjjVVGY7-duHAsLmg$" TargetMode="External"/><Relationship Id="rId69" Type="http://schemas.openxmlformats.org/officeDocument/2006/relationships/hyperlink" Target="https://urldefense.com/v3/__http:/civilsocietyeurope.eu/4th-conference-on-the-future-of-europe-plenary/__;!!DOxrgLBm!USrgw0ykk4Rr_7OEucFYoNO-h98D1sH5xfD-7Qmm48-t_TKrps6LcRBXC7_VkAjjVVGY7-fF2tswkA$" TargetMode="External"/><Relationship Id="rId70" Type="http://schemas.openxmlformats.org/officeDocument/2006/relationships/hyperlink" Target="https://urldefense.com/v3/__http:/civilsocietyeurope.eu/civil-society-convention-on-the-future-of-europe/thematic-clusters/__;!!DOxrgLBm!USrgw0ykk4Rr_7OEucFYoNO-h98D1sH5xfD-7Qmm48-t_TKrps6LcRBXC7_VkAjjVVGY7-fwba3XGA$" TargetMode="External"/><Relationship Id="rId71" Type="http://schemas.openxmlformats.org/officeDocument/2006/relationships/hyperlink" Target="https://urldefense.com/v3/__https:/europeanmovement.eu/conference-on-the-future-of-europe/__;!!DOxrgLBm!USrgw0ykk4Rr_7OEucFYoNO-h98D1sH5xfD-7Qmm48-t_TKrps6LcRBXC7_VkAjjVVGY7-coTvKNzA$" TargetMode="External"/><Relationship Id="rId72" Type="http://schemas.openxmlformats.org/officeDocument/2006/relationships/image" Target="media/image21.png"/><Relationship Id="rId73" Type="http://schemas.openxmlformats.org/officeDocument/2006/relationships/image" Target="media/image22.png"/><Relationship Id="rId74" Type="http://schemas.openxmlformats.org/officeDocument/2006/relationships/image" Target="media/image23.png"/><Relationship Id="rId75" Type="http://schemas.openxmlformats.org/officeDocument/2006/relationships/image" Target="media/image24.png"/><Relationship Id="rId76" Type="http://schemas.openxmlformats.org/officeDocument/2006/relationships/image" Target="media/image25.png"/><Relationship Id="rId77" Type="http://schemas.openxmlformats.org/officeDocument/2006/relationships/image" Target="media/image26.png"/><Relationship Id="rId78" Type="http://schemas.openxmlformats.org/officeDocument/2006/relationships/image" Target="media/image27.png"/><Relationship Id="rId79" Type="http://schemas.openxmlformats.org/officeDocument/2006/relationships/image" Target="media/image28.png"/><Relationship Id="rId80" Type="http://schemas.openxmlformats.org/officeDocument/2006/relationships/image" Target="media/image29.png"/><Relationship Id="rId81" Type="http://schemas.openxmlformats.org/officeDocument/2006/relationships/image" Target="media/image30.png"/><Relationship Id="rId82" Type="http://schemas.openxmlformats.org/officeDocument/2006/relationships/image" Target="media/image31.png"/><Relationship Id="rId83" Type="http://schemas.openxmlformats.org/officeDocument/2006/relationships/image" Target="media/image32.png"/><Relationship Id="rId84" Type="http://schemas.openxmlformats.org/officeDocument/2006/relationships/image" Target="media/image33.png"/><Relationship Id="rId85" Type="http://schemas.openxmlformats.org/officeDocument/2006/relationships/hyperlink" Target="https://participation-citoyenne.gouv.fr/sites/default/files/2021-11/20211126 - COFE - Rapport final.pdf" TargetMode="External"/><Relationship Id="rId86" Type="http://schemas.openxmlformats.org/officeDocument/2006/relationships/hyperlink" Target="https://participation-citoyenne.gouv.fr/sites/default/files/2021-11/20211126 - COFE - Rapport final.pdf" TargetMode="External"/><Relationship Id="rId87" Type="http://schemas.openxmlformats.org/officeDocument/2006/relationships/image" Target="media/image34.png"/><Relationship Id="rId88" Type="http://schemas.openxmlformats.org/officeDocument/2006/relationships/image" Target="media/image35.png"/><Relationship Id="rId89" Type="http://schemas.openxmlformats.org/officeDocument/2006/relationships/image" Target="media/image36.png"/><Relationship Id="rId90" Type="http://schemas.openxmlformats.org/officeDocument/2006/relationships/image" Target="media/image37.png"/><Relationship Id="rId91" Type="http://schemas.openxmlformats.org/officeDocument/2006/relationships/image" Target="media/image38.png"/><Relationship Id="rId92" Type="http://schemas.openxmlformats.org/officeDocument/2006/relationships/image" Target="media/image39.png"/><Relationship Id="rId93" Type="http://schemas.openxmlformats.org/officeDocument/2006/relationships/image" Target="media/image40.png"/><Relationship Id="rId94" Type="http://schemas.openxmlformats.org/officeDocument/2006/relationships/image" Target="media/image41.png"/><Relationship Id="rId95" Type="http://schemas.openxmlformats.org/officeDocument/2006/relationships/image" Target="media/image42.png"/><Relationship Id="rId96" Type="http://schemas.openxmlformats.org/officeDocument/2006/relationships/image" Target="media/image43.png"/><Relationship Id="rId97" Type="http://schemas.openxmlformats.org/officeDocument/2006/relationships/image" Target="media/image44.png"/><Relationship Id="rId98" Type="http://schemas.openxmlformats.org/officeDocument/2006/relationships/image" Target="media/image45.wmf"/><Relationship Id="rId99" Type="http://schemas.openxmlformats.org/officeDocument/2006/relationships/image" Target="media/image46.png"/><Relationship Id="rId100" Type="http://schemas.openxmlformats.org/officeDocument/2006/relationships/image" Target="media/image47.png"/><Relationship Id="rId101" Type="http://schemas.openxmlformats.org/officeDocument/2006/relationships/image" Target="media/image48.png"/><Relationship Id="rId102" Type="http://schemas.openxmlformats.org/officeDocument/2006/relationships/image" Target="media/image49.png"/><Relationship Id="rId103" Type="http://schemas.openxmlformats.org/officeDocument/2006/relationships/image" Target="media/image50.png"/><Relationship Id="rId104" Type="http://schemas.openxmlformats.org/officeDocument/2006/relationships/image" Target="media/image51.png"/><Relationship Id="rId105" Type="http://schemas.openxmlformats.org/officeDocument/2006/relationships/image" Target="media/image52.png"/><Relationship Id="rId106" Type="http://schemas.openxmlformats.org/officeDocument/2006/relationships/image" Target="media/image53.png"/><Relationship Id="rId107" Type="http://schemas.openxmlformats.org/officeDocument/2006/relationships/image" Target="media/image54.png"/><Relationship Id="rId108" Type="http://schemas.openxmlformats.org/officeDocument/2006/relationships/image" Target="media/image55.png"/><Relationship Id="rId109" Type="http://schemas.openxmlformats.org/officeDocument/2006/relationships/image" Target="media/image56.png"/><Relationship Id="rId110" Type="http://schemas.openxmlformats.org/officeDocument/2006/relationships/image" Target="media/image57.png"/><Relationship Id="rId111" Type="http://schemas.openxmlformats.org/officeDocument/2006/relationships/image" Target="media/image58.png"/><Relationship Id="rId112" Type="http://schemas.openxmlformats.org/officeDocument/2006/relationships/image" Target="media/image59.png"/><Relationship Id="rId113" Type="http://schemas.openxmlformats.org/officeDocument/2006/relationships/hyperlink" Target="https://europa.eu/eurobarometer/surveys/detail/2256" TargetMode="External"/><Relationship Id="rId114" Type="http://schemas.openxmlformats.org/officeDocument/2006/relationships/hyperlink" Target="https://europa.eu/eurobarometer/surveys/detail/2256" TargetMode="External"/><Relationship Id="rId115" Type="http://schemas.openxmlformats.org/officeDocument/2006/relationships/hyperlink" Target="https://europa.eu/eurobarometer/surveys/detail/2256" TargetMode="External"/><Relationship Id="rId116" Type="http://schemas.openxmlformats.org/officeDocument/2006/relationships/hyperlink" Target="https://europa.eu/eurobarometer/surveys/detail/2532" TargetMode="External"/><Relationship Id="rId117" Type="http://schemas.openxmlformats.org/officeDocument/2006/relationships/image" Target="media/image60.png"/><Relationship Id="rId118" Type="http://schemas.openxmlformats.org/officeDocument/2006/relationships/hyperlink" Target="http://www.kijkopeuropa.nl/" TargetMode="External"/><Relationship Id="rId119" Type="http://schemas.openxmlformats.org/officeDocument/2006/relationships/image" Target="media/image61.png"/><Relationship Id="rId120" Type="http://schemas.openxmlformats.org/officeDocument/2006/relationships/hyperlink" Target="https://futureu.europa.eu/pages/belgium" TargetMode="External"/><Relationship Id="rId121" Type="http://schemas.openxmlformats.org/officeDocument/2006/relationships/hyperlink" Target="https://futureu.europa.eu/pages/bulgaria" TargetMode="External"/><Relationship Id="rId122" Type="http://schemas.openxmlformats.org/officeDocument/2006/relationships/hyperlink" Target="https://futureu.europa.eu/pages/czechia" TargetMode="External"/><Relationship Id="rId123" Type="http://schemas.openxmlformats.org/officeDocument/2006/relationships/hyperlink" Target="https://futureu.europa.eu/pages/czechia" TargetMode="External"/><Relationship Id="rId124" Type="http://schemas.openxmlformats.org/officeDocument/2006/relationships/hyperlink" Target="https://futureu.europa.eu/pages/denmark" TargetMode="External"/><Relationship Id="rId125" Type="http://schemas.openxmlformats.org/officeDocument/2006/relationships/hyperlink" Target="https://futureu.europa.eu/pages/germany" TargetMode="External"/><Relationship Id="rId126" Type="http://schemas.openxmlformats.org/officeDocument/2006/relationships/hyperlink" Target="https://futureu.europa.eu/pages/germany" TargetMode="External"/><Relationship Id="rId127" Type="http://schemas.openxmlformats.org/officeDocument/2006/relationships/hyperlink" Target="https://futureu.europa.eu/pages/estonia" TargetMode="External"/><Relationship Id="rId128" Type="http://schemas.openxmlformats.org/officeDocument/2006/relationships/hyperlink" Target="https://futureu.europa.eu/pages/ireland" TargetMode="External"/><Relationship Id="rId129" Type="http://schemas.openxmlformats.org/officeDocument/2006/relationships/hyperlink" Target="https://futureu.europa.eu/pages/greece" TargetMode="External"/><Relationship Id="rId130" Type="http://schemas.openxmlformats.org/officeDocument/2006/relationships/hyperlink" Target="https://futureu.europa.eu/pages/spain" TargetMode="External"/><Relationship Id="rId131" Type="http://schemas.openxmlformats.org/officeDocument/2006/relationships/hyperlink" Target="https://futureu.europa.eu/pages/france" TargetMode="External"/><Relationship Id="rId132" Type="http://schemas.openxmlformats.org/officeDocument/2006/relationships/hyperlink" Target="https://futureu.europa.eu/pages/croatia" TargetMode="External"/><Relationship Id="rId133" Type="http://schemas.openxmlformats.org/officeDocument/2006/relationships/hyperlink" Target="https://futureu.europa.eu/pages/italy" TargetMode="External"/><Relationship Id="rId134" Type="http://schemas.openxmlformats.org/officeDocument/2006/relationships/hyperlink" Target="https://futureu.europa.eu/pages/cyprus" TargetMode="External"/><Relationship Id="rId135" Type="http://schemas.openxmlformats.org/officeDocument/2006/relationships/hyperlink" Target="https://futureu.europa.eu/pages/latvia" TargetMode="External"/><Relationship Id="rId136" Type="http://schemas.openxmlformats.org/officeDocument/2006/relationships/hyperlink" Target="https://futureu.europa.eu/pages/lithuania" TargetMode="External"/><Relationship Id="rId137" Type="http://schemas.openxmlformats.org/officeDocument/2006/relationships/hyperlink" Target="https://futureu.europa.eu/pages/luxembourg" TargetMode="External"/><Relationship Id="rId138" Type="http://schemas.openxmlformats.org/officeDocument/2006/relationships/hyperlink" Target="https://futureu.europa.eu/pages/hungary" TargetMode="External"/><Relationship Id="rId139" Type="http://schemas.openxmlformats.org/officeDocument/2006/relationships/hyperlink" Target="https://futureu.europa.eu/pages/malta" TargetMode="External"/><Relationship Id="rId140" Type="http://schemas.openxmlformats.org/officeDocument/2006/relationships/hyperlink" Target="https://futureu.europa.eu/pages/netherlands" TargetMode="External"/><Relationship Id="rId141" Type="http://schemas.openxmlformats.org/officeDocument/2006/relationships/hyperlink" Target="https://futureu.europa.eu/pages/austria" TargetMode="External"/><Relationship Id="rId142" Type="http://schemas.openxmlformats.org/officeDocument/2006/relationships/hyperlink" Target="https://futureu.europa.eu/pages/poland" TargetMode="External"/><Relationship Id="rId143" Type="http://schemas.openxmlformats.org/officeDocument/2006/relationships/hyperlink" Target="https://futureu.europa.eu/pages/portugal" TargetMode="External"/><Relationship Id="rId144" Type="http://schemas.openxmlformats.org/officeDocument/2006/relationships/hyperlink" Target="https://futureu.europa.eu/pages/romania" TargetMode="External"/><Relationship Id="rId145" Type="http://schemas.openxmlformats.org/officeDocument/2006/relationships/hyperlink" Target="https://futureu.europa.eu/pages/slovenia" TargetMode="External"/><Relationship Id="rId146" Type="http://schemas.openxmlformats.org/officeDocument/2006/relationships/hyperlink" Target="https://futureu.europa.eu/pages/slovakia" TargetMode="External"/><Relationship Id="rId147" Type="http://schemas.openxmlformats.org/officeDocument/2006/relationships/hyperlink" Target="https://futureu.europa.eu/pages/finland" TargetMode="External"/><Relationship Id="rId148" Type="http://schemas.openxmlformats.org/officeDocument/2006/relationships/hyperlink" Target="https://futureu.europa.eu/pages/sweden" TargetMode="External"/><Relationship Id="rId149" Type="http://schemas.openxmlformats.org/officeDocument/2006/relationships/hyperlink" Target="https://futureu.europa.eu/rails/active_storage/blobs/eyJfcmFpbHMiOnsibWVzc2FnZSI6IkJBaHBBcm4rIiwiZXhwIjpudWxsLCJwdXIiOiJibG9iX2lkIn19--1ea88b90a6936d6de6f7774d037d12937083f5a2/Kantar Report March 2022 Final.en22.pdf" TargetMode="External"/><Relationship Id="rId150" Type="http://schemas.openxmlformats.org/officeDocument/2006/relationships/hyperlink" Target="https://futureu.europa.eu/rails/active_storage/blobs/eyJfcmFpbHMiOnsibWVzc2FnZSI6IkJBaHBBcm4rIiwiZXhwIjpudWxsLCJwdXIiOiJibG9iX2lkIn19--1ea88b90a6936d6de6f7774d037d12937083f5a2/Kantar Report March 2022 Final.en22.pdf" TargetMode="External"/><Relationship Id="rId151" Type="http://schemas.openxmlformats.org/officeDocument/2006/relationships/image" Target="media/image62.png"/><Relationship Id="rId152" Type="http://schemas.openxmlformats.org/officeDocument/2006/relationships/footnotes" Target="footnotes.xml"/><Relationship Id="rId153" Type="http://schemas.openxmlformats.org/officeDocument/2006/relationships/endnotes" Target="endnotes.xml"/><Relationship Id="rId154" Type="http://schemas.openxmlformats.org/officeDocument/2006/relationships/comments" Target="comments.xml"/><Relationship Id="rId155" Type="http://schemas.openxmlformats.org/officeDocument/2006/relationships/numbering" Target="numbering.xml"/><Relationship Id="rId156" Type="http://schemas.openxmlformats.org/officeDocument/2006/relationships/fontTable" Target="fontTable.xml"/><Relationship Id="rId157" Type="http://schemas.openxmlformats.org/officeDocument/2006/relationships/settings" Target="settings.xml"/>
</Relationships>
</file>

<file path=word/_rels/endnotes.xml.rels><?xml version="1.0" encoding="UTF-8"?>
<Relationships xmlns="http://schemas.openxmlformats.org/package/2006/relationships"><Relationship Id="rId1" Type="http://schemas.openxmlformats.org/officeDocument/2006/relationships/hyperlink" Target="https://futureu.europa.eu/processes/EUInTheWorld/f/16/proposals/197870?locale=fr" TargetMode="External"/>
</Relationships>
</file>

<file path=word/_rels/footnotes.xml.rels><?xml version="1.0" encoding="UTF-8"?>
<Relationships xmlns="http://schemas.openxmlformats.org/package/2006/relationships"><Relationship Id="rId1" Type="http://schemas.openxmlformats.org/officeDocument/2006/relationships/hyperlink" Target="https://futureu.europa.eu/" TargetMode="External"/><Relationship Id="rId2" Type="http://schemas.openxmlformats.org/officeDocument/2006/relationships/hyperlink" Target="https://futureu.europa.eu/uploads/decidim/attachment/file/4595/Conference_Charter_fr.pdf" TargetMode="External"/><Relationship Id="rId3" Type="http://schemas.openxmlformats.org/officeDocument/2006/relationships/hyperlink" Target="https://www.oecd.org/gov/open-government/innovative-citizen-participation-new-democratic-institutions-catching-the-deliberative-wave-highlights.pdf" TargetMode="External"/><Relationship Id="rId4" Type="http://schemas.openxmlformats.org/officeDocument/2006/relationships/hyperlink" Target="https://www.oecd.org/gov/open-government/innovative-citizen-participation-new-democratic-institutions-catching-the-deliberative-wave-highlights.pdf" TargetMode="External"/><Relationship Id="rId5" Type="http://schemas.openxmlformats.org/officeDocument/2006/relationships/hyperlink" Target="http://www.participation-citoyenne.gouv.fr/" TargetMode="External"/><Relationship Id="rId6" Type="http://schemas.openxmlformats.org/officeDocument/2006/relationships/hyperlink" Target="https://futureu.europa.eu/processes?locale=fr" TargetMode="External"/>
</Relationships>
</file>

<file path=docProps/app.xml><?xml version="1.0" encoding="utf-8"?>
<Properties xmlns="http://schemas.openxmlformats.org/officeDocument/2006/extended-properties" xmlns:vt="http://schemas.openxmlformats.org/officeDocument/2006/docPropsVTypes">
  <Template/>
  <TotalTime>2158</TotalTime>
  <Application>LibreOffice/6.0.2.1$Windows_x86 LibreOffice_project/f7f06a8f319e4b62f9bc5095aa112a65d2f3ac89</Application>
  <Pages>306</Pages>
  <Words>95750</Words>
  <Characters>653497</Characters>
  <CharactersWithSpaces>746183</CharactersWithSpaces>
  <Paragraphs>6027</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2022-05-31T09:31:16Z</dcterms:created>
  <dc:creator>Pierre Dieumegard</dc:creator>
  <dc:description/>
  <dc:language>fr-FR</dc:language>
  <cp:lastModifiedBy>Pierre Dieumegard</cp:lastModifiedBy>
  <dcterms:modified xsi:type="dcterms:W3CDTF">2022-09-01T16:41:39Z</dcterms:modified>
  <cp:revision>68</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15.0000</vt:lpwstr>
  </property>
</Properties>
</file>