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1.xml" ContentType="application/vnd.openxmlformats-officedocument.wordprocessingml.footer+xml"/>
  <Override PartName="/word/document.xml" ContentType="application/vnd.openxmlformats-officedocument.wordprocessingml.document.main+xml"/>
  <Override PartName="/word/styles.xml" ContentType="application/vnd.openxmlformats-officedocument.wordprocessingml.styles+xml"/>
  <Override PartName="/word/footnotes.xml" ContentType="application/vnd.openxmlformats-officedocument.wordprocessingml.footnotes+xml"/>
  <Override PartName="/word/comments.xml" ContentType="application/vnd.openxmlformats-officedocument.wordprocessingml.comments+xml"/>
  <Override PartName="/word/header2.xml" ContentType="application/vnd.openxmlformats-officedocument.wordprocessingml.header+xml"/>
  <Override PartName="/word/media/image9.png" ContentType="image/png"/>
  <Override PartName="/word/media/image57.png" ContentType="image/png"/>
  <Override PartName="/word/media/image1.png" ContentType="image/png"/>
  <Override PartName="/word/media/image58.png" ContentType="image/png"/>
  <Override PartName="/word/media/image2.png" ContentType="image/png"/>
  <Override PartName="/word/media/image59.png" ContentType="image/png"/>
  <Override PartName="/word/media/image3.png" ContentType="image/png"/>
  <Override PartName="/word/media/image4.png" ContentType="image/png"/>
  <Override PartName="/word/media/image5.png" ContentType="image/png"/>
  <Override PartName="/word/media/image6.png" ContentType="image/png"/>
  <Override PartName="/word/media/image7.png" ContentType="image/png"/>
  <Override PartName="/word/media/image8.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1.png" ContentType="image/pn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28.png" ContentType="image/png"/>
  <Override PartName="/word/media/image29.png" ContentType="image/png"/>
  <Override PartName="/word/media/image30.png" ContentType="image/png"/>
  <Override PartName="/word/media/image31.png" ContentType="image/png"/>
  <Override PartName="/word/media/image32.png" ContentType="image/png"/>
  <Override PartName="/word/media/image45.wmf" ContentType="image/x-wmf"/>
  <Override PartName="/word/media/image33.png" ContentType="image/png"/>
  <Override PartName="/word/media/image34.png" ContentType="image/png"/>
  <Override PartName="/word/media/image35.png" ContentType="image/png"/>
  <Override PartName="/word/media/image36.png" ContentType="image/png"/>
  <Override PartName="/word/media/image37.png" ContentType="image/png"/>
  <Override PartName="/word/media/image38.png" ContentType="image/png"/>
  <Override PartName="/word/media/image39.png" ContentType="image/png"/>
  <Override PartName="/word/media/image40.png" ContentType="image/png"/>
  <Override PartName="/word/media/image41.png" ContentType="image/png"/>
  <Override PartName="/word/media/image42.png" ContentType="image/png"/>
  <Override PartName="/word/media/image43.png" ContentType="image/png"/>
  <Override PartName="/word/media/image44.png" ContentType="image/png"/>
  <Override PartName="/word/media/image46.png" ContentType="image/png"/>
  <Override PartName="/word/media/image47.png" ContentType="image/png"/>
  <Override PartName="/word/media/image48.png" ContentType="image/png"/>
  <Override PartName="/word/media/image49.png" ContentType="image/png"/>
  <Override PartName="/word/media/image50.png" ContentType="image/png"/>
  <Override PartName="/word/media/image51.png" ContentType="image/png"/>
  <Override PartName="/word/media/image52.png" ContentType="image/png"/>
  <Override PartName="/word/media/image53.png" ContentType="image/png"/>
  <Override PartName="/word/media/image54.png" ContentType="image/png"/>
  <Override PartName="/word/media/image55.png" ContentType="image/png"/>
  <Override PartName="/word/media/image56.png" ContentType="image/png"/>
  <Override PartName="/word/media/image60.png" ContentType="image/png"/>
  <Override PartName="/word/media/image61.png" ContentType="image/png"/>
  <Override PartName="/word/media/image62.png" ContentType="image/png"/>
  <Override PartName="/word/header1.xml" ContentType="application/vnd.openxmlformats-officedocument.wordprocessingml.header+xml"/>
  <Override PartName="/word/footer2.xml" ContentType="application/vnd.openxmlformats-officedocument.wordprocessingml.footer+xml"/>
  <Override PartName="/word/endnotes.xml" ContentType="application/vnd.openxmlformats-officedocument.wordprocessingml.endnotes+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_rels/document.xml.rels" ContentType="application/vnd.openxmlformats-package.relationships+xml"/>
  <Override PartName="/word/_rels/footnotes.xml.rels" ContentType="application/vnd.openxmlformats-package.relationships+xml"/>
  <Override PartName="/word/_rels/endnotes.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P68B1DB1Normal1"/>
        <w:widowControl w:val="false"/>
        <w:spacing w:lineRule="exact" w:line="860" w:before="57" w:after="57"/>
        <w:ind w:left="0" w:right="0" w:hanging="0"/>
        <w:jc w:val="left"/>
        <w:rPr>
          <w:rFonts w:ascii="Arial" w:hAnsi="Arial"/>
        </w:rPr>
      </w:pPr>
      <w:r>
        <w:rPr>
          <w:position w:val="6"/>
        </w:rPr>
        <w:t xml:space="preserve">Konference na téma </w:t>
      </w:r>
      <w:r>
        <w:rPr/>
        <w:br/>
        <w:t>budoucnost Evropy</w:t>
      </w:r>
    </w:p>
    <w:p>
      <w:pPr>
        <w:pStyle w:val="P68B1DB1Normal2"/>
        <w:widowControl w:val="false"/>
        <w:spacing w:lineRule="exact" w:line="557"/>
        <w:ind w:left="56" w:right="1390" w:firstLine="8"/>
        <w:jc w:val="left"/>
        <w:rPr>
          <w:rFonts w:ascii="Arial" w:hAnsi="Arial"/>
          <w:color w:val="0000BE"/>
          <w:sz w:val="44"/>
        </w:rPr>
      </w:pPr>
      <w:r>
        <w:rPr/>
        <w:t xml:space="preserve">ZÁVĚREČNÁ ZPRÁVA O VÝSLEDCÍCH </w:t>
      </w:r>
    </w:p>
    <w:p>
      <w:pPr>
        <w:pStyle w:val="P68B1DB1Normal3"/>
        <w:widowControl w:val="false"/>
        <w:spacing w:lineRule="exact" w:line="557"/>
        <w:ind w:left="56" w:right="1390" w:hanging="0"/>
        <w:jc w:val="left"/>
        <w:rPr>
          <w:rFonts w:ascii="Roboto" w:hAnsi="Roboto"/>
          <w:color w:val="0000BE"/>
          <w:sz w:val="28"/>
        </w:rPr>
      </w:pPr>
      <w:r>
        <w:rPr/>
        <w:t>květen 2022</w:t>
      </w:r>
      <w:r>
        <w:rPr>
          <w:rFonts w:ascii="Roboto" w:hAnsi="Roboto"/>
        </w:rPr>
        <w:t xml:space="preserve"> </w:t>
      </w:r>
    </w:p>
    <w:p>
      <w:pPr>
        <w:pStyle w:val="Normal"/>
        <w:rPr/>
      </w:pPr>
      <w:r>
        <w:rPr/>
        <w:drawing>
          <wp:anchor behindDoc="0" distT="0" distB="0" distL="0" distR="0" simplePos="0" locked="0" layoutInCell="1" allowOverlap="1" relativeHeight="65">
            <wp:simplePos x="0" y="0"/>
            <wp:positionH relativeFrom="column">
              <wp:posOffset>88265</wp:posOffset>
            </wp:positionH>
            <wp:positionV relativeFrom="paragraph">
              <wp:posOffset>52070</wp:posOffset>
            </wp:positionV>
            <wp:extent cx="5660390" cy="4556125"/>
            <wp:effectExtent l="0" t="0" r="0" b="0"/>
            <wp:wrapTopAndBottom/>
            <wp:docPr id="1" name="1 Obrázek"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 Obrázek" descr=""/>
                    <pic:cNvPicPr>
                      <a:picLocks noChangeAspect="1" noChangeArrowheads="1"/>
                    </pic:cNvPicPr>
                  </pic:nvPicPr>
                  <pic:blipFill>
                    <a:blip r:embed="rId2"/>
                    <a:stretch>
                      <a:fillRect/>
                    </a:stretch>
                  </pic:blipFill>
                  <pic:spPr bwMode="auto">
                    <a:xfrm>
                      <a:off x="0" y="0"/>
                      <a:ext cx="5660390" cy="4556125"/>
                    </a:xfrm>
                    <a:prstGeom prst="rect">
                      <a:avLst/>
                    </a:prstGeom>
                  </pic:spPr>
                </pic:pic>
              </a:graphicData>
            </a:graphic>
          </wp:anchor>
        </w:drawing>
      </w:r>
    </w:p>
    <w:p>
      <w:pPr>
        <w:pStyle w:val="Normal"/>
        <w:rPr/>
      </w:pPr>
      <w:r>
        <w:rPr/>
      </w:r>
    </w:p>
    <w:p>
      <w:pPr>
        <w:pStyle w:val="Normal"/>
        <w:widowControl w:val="false"/>
        <w:spacing w:lineRule="exact" w:line="576"/>
        <w:ind w:left="51" w:right="0" w:hanging="0"/>
        <w:jc w:val="left"/>
        <w:rPr>
          <w:rFonts w:ascii="Arial" w:hAnsi="Arial"/>
        </w:rPr>
      </w:pPr>
      <w:r>
        <mc:AlternateContent>
          <mc:Choice Requires="wps">
            <w:drawing>
              <wp:anchor behindDoc="0" distT="72390" distB="72390" distL="72390" distR="72390" simplePos="0" locked="0" layoutInCell="1" allowOverlap="1" relativeHeight="10">
                <wp:simplePos x="0" y="0"/>
                <wp:positionH relativeFrom="column">
                  <wp:posOffset>3199765</wp:posOffset>
                </wp:positionH>
                <wp:positionV relativeFrom="paragraph">
                  <wp:posOffset>219710</wp:posOffset>
                </wp:positionV>
                <wp:extent cx="2675890" cy="1109980"/>
                <wp:effectExtent l="0" t="0" r="0" b="0"/>
                <wp:wrapSquare wrapText="bothSides"/>
                <wp:docPr id="2" name="Rámeček1"/>
                <a:graphic xmlns:a="http://schemas.openxmlformats.org/drawingml/2006/main">
                  <a:graphicData uri="http://schemas.microsoft.com/office/word/2010/wordprocessingShape">
                    <wps:wsp>
                      <wps:cNvSpPr/>
                      <wps:spPr>
                        <a:xfrm>
                          <a:off x="0" y="0"/>
                          <a:ext cx="2675160" cy="1109520"/>
                        </a:xfrm>
                        <a:prstGeom prst="rect">
                          <a:avLst/>
                        </a:prstGeom>
                        <a:solidFill>
                          <a:srgbClr val="ffffff"/>
                        </a:solidFill>
                        <a:ln>
                          <a:noFill/>
                        </a:ln>
                      </wps:spPr>
                      <wps:style>
                        <a:lnRef idx="0"/>
                        <a:fillRef idx="0"/>
                        <a:effectRef idx="0"/>
                        <a:fontRef idx="minor"/>
                      </wps:style>
                      <wps:txbx>
                        <w:txbxContent>
                          <w:p>
                            <w:pPr>
                              <w:pStyle w:val="P68B1DB1Normal4"/>
                              <w:widowControl w:val="false"/>
                              <w:spacing w:lineRule="exact" w:line="370" w:before="57" w:after="57"/>
                              <w:ind w:left="113" w:right="113" w:hanging="0"/>
                              <w:jc w:val="left"/>
                              <w:rPr/>
                            </w:pPr>
                            <w:r>
                              <w:rPr/>
                              <w:drawing>
                                <wp:inline distT="0" distB="0" distL="0" distR="0">
                                  <wp:extent cx="1072515" cy="661670"/>
                                  <wp:effectExtent l="0" t="0" r="0" b="0"/>
                                  <wp:docPr id="4" name="Obrázek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2" descr=""/>
                                          <pic:cNvPicPr>
                                            <a:picLocks noChangeAspect="1" noChangeArrowheads="1"/>
                                          </pic:cNvPicPr>
                                        </pic:nvPicPr>
                                        <pic:blipFill>
                                          <a:blip r:embed="rId3"/>
                                          <a:stretch>
                                            <a:fillRect/>
                                          </a:stretch>
                                        </pic:blipFill>
                                        <pic:spPr bwMode="auto">
                                          <a:xfrm>
                                            <a:off x="0" y="0"/>
                                            <a:ext cx="1072515" cy="661670"/>
                                          </a:xfrm>
                                          <a:prstGeom prst="rect">
                                            <a:avLst/>
                                          </a:prstGeom>
                                        </pic:spPr>
                                      </pic:pic>
                                    </a:graphicData>
                                  </a:graphic>
                                </wp:inline>
                              </w:drawing>
                            </w:r>
                            <w:r>
                              <w:rPr/>
                              <w:t>Konference o</w:t>
                            </w:r>
                            <w:r>
                              <w:rPr>
                                <w:b/>
                              </w:rPr>
                              <w:t>budoucnosti</w:t>
                            </w:r>
                            <w:r>
                              <w:rPr/>
                              <w:t xml:space="preserve"> </w:t>
                            </w:r>
                            <w:r>
                              <w:rPr>
                                <w:b/>
                              </w:rPr>
                              <w:t>Evropy</w:t>
                            </w:r>
                          </w:p>
                        </w:txbxContent>
                      </wps:txbx>
                      <wps:bodyPr lIns="54000" rIns="54000" tIns="54000" bIns="54000">
                        <a:noAutofit/>
                      </wps:bodyPr>
                    </wps:wsp>
                  </a:graphicData>
                </a:graphic>
              </wp:anchor>
            </w:drawing>
          </mc:Choice>
          <mc:Fallback>
            <w:pict>
              <v:rect id="shape_0" ID="Rámeček1" fillcolor="white" stroked="f" style="position:absolute;margin-left:251.95pt;margin-top:17.3pt;width:210.6pt;height:87.3pt">
                <w10:wrap type="square"/>
                <v:fill o:detectmouseclick="t" type="solid" color2="black"/>
                <v:stroke color="#3465a4" joinstyle="round" endcap="flat"/>
                <v:textbox>
                  <w:txbxContent>
                    <w:p>
                      <w:pPr>
                        <w:pStyle w:val="P68B1DB1Normal4"/>
                        <w:widowControl w:val="false"/>
                        <w:spacing w:lineRule="exact" w:line="370" w:before="57" w:after="57"/>
                        <w:ind w:left="113" w:right="113" w:hanging="0"/>
                        <w:jc w:val="left"/>
                        <w:rPr/>
                      </w:pPr>
                      <w:r>
                        <w:rPr/>
                        <w:drawing>
                          <wp:inline distT="0" distB="0" distL="0" distR="0">
                            <wp:extent cx="1072515" cy="661670"/>
                            <wp:effectExtent l="0" t="0" r="0" b="0"/>
                            <wp:docPr id="5" name="Obrázek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2" descr=""/>
                                    <pic:cNvPicPr>
                                      <a:picLocks noChangeAspect="1" noChangeArrowheads="1"/>
                                    </pic:cNvPicPr>
                                  </pic:nvPicPr>
                                  <pic:blipFill>
                                    <a:blip r:embed="rId3"/>
                                    <a:stretch>
                                      <a:fillRect/>
                                    </a:stretch>
                                  </pic:blipFill>
                                  <pic:spPr bwMode="auto">
                                    <a:xfrm>
                                      <a:off x="0" y="0"/>
                                      <a:ext cx="1072515" cy="661670"/>
                                    </a:xfrm>
                                    <a:prstGeom prst="rect">
                                      <a:avLst/>
                                    </a:prstGeom>
                                  </pic:spPr>
                                </pic:pic>
                              </a:graphicData>
                            </a:graphic>
                          </wp:inline>
                        </w:drawing>
                      </w:r>
                      <w:r>
                        <w:rPr/>
                        <w:t>Konference o</w:t>
                      </w:r>
                      <w:r>
                        <w:rPr>
                          <w:b/>
                        </w:rPr>
                        <w:t>budoucnosti</w:t>
                      </w:r>
                      <w:r>
                        <w:rPr/>
                        <w:t xml:space="preserve"> </w:t>
                      </w:r>
                      <w:r>
                        <w:rPr>
                          <w:b/>
                        </w:rPr>
                        <w:t>Evropy</w:t>
                      </w:r>
                    </w:p>
                  </w:txbxContent>
                </v:textbox>
              </v:rect>
            </w:pict>
          </mc:Fallback>
        </mc:AlternateContent>
      </w:r>
      <w:r>
        <w:rPr>
          <w:b/>
          <w:color w:val="0000BE"/>
          <w:sz w:val="48"/>
        </w:rPr>
        <w:t>Budoucnost</w:t>
      </w:r>
      <w:r>
        <w:rPr>
          <w:color w:val="0000BE"/>
          <w:sz w:val="48"/>
        </w:rPr>
        <w:t xml:space="preserve"> je</w:t>
      </w:r>
      <w:r>
        <w:rPr/>
        <w:t xml:space="preserve"> </w:t>
      </w:r>
    </w:p>
    <w:p>
      <w:pPr>
        <w:pStyle w:val="P68B1DB1Normal5"/>
        <w:widowControl w:val="false"/>
        <w:spacing w:lineRule="exact" w:line="576"/>
        <w:ind w:left="51" w:right="0" w:hanging="0"/>
        <w:jc w:val="left"/>
        <w:rPr>
          <w:rFonts w:ascii="Arial" w:hAnsi="Arial"/>
        </w:rPr>
      </w:pPr>
      <w:r>
        <w:rPr/>
        <w:t>ve vašich rukou</w:t>
      </w:r>
    </w:p>
    <w:p>
      <w:pPr>
        <w:pStyle w:val="Normal"/>
        <w:rPr/>
      </w:pPr>
      <w:r>
        <w:rPr/>
      </w:r>
      <w:r>
        <w:br w:type="page"/>
      </w:r>
    </w:p>
    <w:p>
      <w:pPr>
        <w:pStyle w:val="Normal"/>
        <w:rPr/>
      </w:pPr>
      <w:r>
        <w:rPr/>
        <mc:AlternateContent>
          <mc:Choice Requires="wps">
            <w:drawing>
              <wp:anchor behindDoc="0" distT="72390" distB="72390" distL="72390" distR="72390" simplePos="0" locked="0" layoutInCell="1" allowOverlap="1" relativeHeight="63">
                <wp:simplePos x="0" y="0"/>
                <wp:positionH relativeFrom="column">
                  <wp:posOffset>4445</wp:posOffset>
                </wp:positionH>
                <wp:positionV relativeFrom="paragraph">
                  <wp:posOffset>85725</wp:posOffset>
                </wp:positionV>
                <wp:extent cx="6020435" cy="8688070"/>
                <wp:effectExtent l="0" t="0" r="0" b="0"/>
                <wp:wrapSquare wrapText="bothSides"/>
                <wp:docPr id="6" name="Rámeček16"/>
                <a:graphic xmlns:a="http://schemas.openxmlformats.org/drawingml/2006/main">
                  <a:graphicData uri="http://schemas.microsoft.com/office/word/2010/wordprocessingShape">
                    <wps:wsp>
                      <wps:cNvSpPr/>
                      <wps:spPr>
                        <a:xfrm>
                          <a:off x="0" y="0"/>
                          <a:ext cx="6019920" cy="8687520"/>
                        </a:xfrm>
                        <a:prstGeom prst="rect">
                          <a:avLst/>
                        </a:prstGeom>
                        <a:solidFill>
                          <a:srgbClr val="ffffff"/>
                        </a:solidFill>
                        <a:ln w="720">
                          <a:solidFill>
                            <a:srgbClr val="000000"/>
                          </a:solidFill>
                          <a:round/>
                        </a:ln>
                      </wps:spPr>
                      <wps:style>
                        <a:lnRef idx="0"/>
                        <a:fillRef idx="0"/>
                        <a:effectRef idx="0"/>
                        <a:fontRef idx="minor"/>
                      </wps:style>
                      <wps:txbx>
                        <w:txbxContent>
                          <w:p>
                            <w:pPr>
                              <w:pStyle w:val="P68B1DB1Normal6"/>
                              <w:spacing w:before="57" w:after="57"/>
                              <w:rPr>
                                <w:rFonts w:ascii="Times New Roman" w:hAnsi="Times New Roman"/>
                                <w:b/>
                                <w:b/>
                                <w:sz w:val="24"/>
                              </w:rPr>
                            </w:pPr>
                            <w:r>
                              <w:rPr>
                                <w:color w:val="auto"/>
                              </w:rPr>
                              <w:t>Dokument připravený Pierrem Dieumegardem</w:t>
                            </w:r>
                            <w:r>
                              <w:rPr>
                                <w:color w:val="auto"/>
                              </w:rPr>
                              <w:drawing>
                                <wp:inline distT="0" distB="0" distL="0" distR="0">
                                  <wp:extent cx="2494280" cy="765175"/>
                                  <wp:effectExtent l="0" t="0" r="0" b="0"/>
                                  <wp:docPr id="8" name="Fotografie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otografie49" descr=""/>
                                          <pic:cNvPicPr>
                                            <a:picLocks noChangeAspect="1" noChangeArrowheads="1"/>
                                          </pic:cNvPicPr>
                                        </pic:nvPicPr>
                                        <pic:blipFill>
                                          <a:blip r:embed="rId4"/>
                                          <a:stretch>
                                            <a:fillRect/>
                                          </a:stretch>
                                        </pic:blipFill>
                                        <pic:spPr bwMode="auto">
                                          <a:xfrm>
                                            <a:off x="0" y="0"/>
                                            <a:ext cx="2494280" cy="765175"/>
                                          </a:xfrm>
                                          <a:prstGeom prst="rect">
                                            <a:avLst/>
                                          </a:prstGeom>
                                        </pic:spPr>
                                      </pic:pic>
                                    </a:graphicData>
                                  </a:graphic>
                                </wp:inline>
                              </w:drawing>
                            </w:r>
                          </w:p>
                          <w:p>
                            <w:pPr>
                              <w:pStyle w:val="P68B1DB1Normal6"/>
                              <w:rPr>
                                <w:rFonts w:ascii="Times New Roman" w:hAnsi="Times New Roman"/>
                                <w:b/>
                                <w:b/>
                                <w:sz w:val="24"/>
                              </w:rPr>
                            </w:pPr>
                            <w:r>
                              <w:rPr>
                                <w:color w:val="auto"/>
                              </w:rPr>
                              <w:t xml:space="preserve"> </w:t>
                            </w:r>
                            <w:r>
                              <w:rPr>
                                <w:color w:val="auto"/>
                              </w:rPr>
                              <w:t>pro Evropu-demokracii-Esperanto</w:t>
                            </w:r>
                          </w:p>
                          <w:p>
                            <w:pPr>
                              <w:pStyle w:val="P68B1DB1Normal7"/>
                              <w:rPr>
                                <w:rFonts w:ascii="Times New Roman" w:hAnsi="Times New Roman"/>
                                <w:sz w:val="24"/>
                              </w:rPr>
                            </w:pPr>
                            <w:r>
                              <w:rPr>
                                <w:color w:val="auto"/>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pPr>
                            <w:r>
                              <w:rPr>
                                <w:rFonts w:ascii="Times New Roman" w:hAnsi="Times New Roman"/>
                                <w:color w:val="auto"/>
                                <w:sz w:val="24"/>
                              </w:rPr>
                              <w:t xml:space="preserve">Cílem tohoto „prozatímního“ dokumentu je umožnit více lidem v Evropské unii pochopit dokumenty vytvořené pro Evropskou unii (a financované z jejich příspěvků). </w:t>
                            </w:r>
                            <w:hyperlink r:id="rId5">
                              <w:r>
                                <w:rPr>
                                  <w:rStyle w:val="LienInternet"/>
                                  <w:rFonts w:ascii="Times New Roman" w:hAnsi="Times New Roman"/>
                                  <w:color w:val="auto"/>
                                  <w:sz w:val="24"/>
                                </w:rPr>
                                <w:t xml:space="preserve">Původní dokumentve francouzštině ve formátu pdf </w:t>
                              </w:r>
                            </w:hyperlink>
                            <w:r>
                              <w:rPr>
                                <w:rFonts w:ascii="Times New Roman" w:hAnsi="Times New Roman"/>
                                <w:color w:val="auto"/>
                                <w:sz w:val="24"/>
                              </w:rPr>
                              <w:t xml:space="preserve">byl formátován pomocí softwaru Libre Office. Překlad do všech úředních jazyků Evropské unie se provádí prostřednictvím </w:t>
                            </w:r>
                            <w:hyperlink r:id="rId6">
                              <w:r>
                                <w:rPr>
                                  <w:rStyle w:val="LienInternet"/>
                                  <w:rFonts w:ascii="Times New Roman" w:hAnsi="Times New Roman"/>
                                  <w:color w:val="auto"/>
                                  <w:sz w:val="24"/>
                                </w:rPr>
                                <w:t>https://webgate.ec.europa.eu/etranslation</w:t>
                              </w:r>
                            </w:hyperlink>
                            <w:r>
                              <w:rPr>
                                <w:rFonts w:ascii="Times New Roman" w:hAnsi="Times New Roman"/>
                                <w:color w:val="auto"/>
                                <w:sz w:val="24"/>
                              </w:rPr>
                              <w:t>.</w:t>
                            </w:r>
                          </w:p>
                          <w:p>
                            <w:pPr>
                              <w:pStyle w:val="P68B1DB1Normal7"/>
                              <w:rPr>
                                <w:rFonts w:ascii="Times New Roman" w:hAnsi="Times New Roman"/>
                                <w:sz w:val="24"/>
                              </w:rPr>
                            </w:pPr>
                            <w:r>
                              <w:rPr>
                                <w:color w:val="auto"/>
                              </w:rPr>
                              <w:t xml:space="preserve">Tuto práci jsme odvedli z důvodu potřeby lepší mnohojazyčnosti v Evropské unii: bez překladů je velká část obyvatelstva z diskuse vyloučena. </w:t>
                            </w:r>
                            <w:r>
                              <w:rPr>
                                <w:b/>
                                <w:color w:val="auto"/>
                              </w:rPr>
                              <w:t>Je žádoucí, aby správa Evropské unie převzala překlad důležitých dokumentů, aby všichni Evropané mohli pochopit, o co jde, a společně diskutovat o své společné budoucnosti.</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Pro dobrou přímou komunikaci mezi evropskými občany, pro spolehlivé překlady by byl mezinárodní esperantský jazyk velmi užitečný kvůli jeho jednoduchosti, správnosti a přesnosti. </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 </w:t>
                            </w:r>
                            <w:r>
                              <w:rPr>
                                <w:color w:val="auto"/>
                              </w:rPr>
                              <w:t xml:space="preserve">Na internetu: </w:t>
                            </w:r>
                          </w:p>
                          <w:p>
                            <w:pPr>
                              <w:pStyle w:val="Normal"/>
                              <w:rPr/>
                            </w:pPr>
                            <w:r>
                              <w:rPr>
                                <w:rFonts w:ascii="Times New Roman" w:hAnsi="Times New Roman"/>
                                <w:color w:val="auto"/>
                                <w:sz w:val="24"/>
                              </w:rPr>
                              <w:t xml:space="preserve"> </w:t>
                            </w:r>
                            <w:r>
                              <w:rPr>
                                <w:rFonts w:ascii="Times New Roman" w:hAnsi="Times New Roman"/>
                                <w:color w:val="auto"/>
                                <w:sz w:val="24"/>
                              </w:rPr>
                              <w:t>Federace E</w:t>
                            </w:r>
                            <w:r>
                              <w:rPr>
                                <w:rFonts w:ascii="Times New Roman" w:hAnsi="Times New Roman"/>
                                <w:color w:val="auto"/>
                                <w:sz w:val="24"/>
                              </w:rPr>
                              <w:t>ŭ</w:t>
                            </w:r>
                            <w:r>
                              <w:rPr>
                                <w:rFonts w:ascii="Times New Roman" w:hAnsi="Times New Roman"/>
                                <w:color w:val="auto"/>
                                <w:sz w:val="24"/>
                              </w:rPr>
                              <w:t xml:space="preserve">ropo-Demokratio-Esperanto:   </w:t>
                            </w:r>
                            <w:hyperlink r:id="rId7">
                              <w:r>
                                <w:rPr>
                                  <w:rStyle w:val="LienInternet"/>
                                  <w:rFonts w:ascii="Times New Roman" w:hAnsi="Times New Roman"/>
                                  <w:color w:val="auto"/>
                                  <w:sz w:val="24"/>
                                </w:rPr>
                                <w:t>https://e-d-e.org/</w:t>
                              </w:r>
                            </w:hyperlink>
                            <w:r>
                              <w:rPr>
                                <w:rFonts w:ascii="Times New Roman" w:hAnsi="Times New Roman"/>
                                <w:color w:val="auto"/>
                                <w:sz w:val="24"/>
                              </w:rPr>
                              <w:t xml:space="preserve"> (nebo </w:t>
                            </w:r>
                            <w:hyperlink r:id="rId8">
                              <w:r>
                                <w:rPr>
                                  <w:rStyle w:val="LienInternet"/>
                                  <w:rFonts w:ascii="Times New Roman" w:hAnsi="Times New Roman"/>
                                  <w:color w:val="auto"/>
                                  <w:sz w:val="24"/>
                                </w:rPr>
                                <w:t>www.demokratio.eu</w:t>
                              </w:r>
                            </w:hyperlink>
                            <w:r>
                              <w:rPr>
                                <w:rFonts w:ascii="Times New Roman" w:hAnsi="Times New Roman"/>
                                <w:color w:val="auto"/>
                                <w:sz w:val="24"/>
                              </w:rPr>
                              <w:t>)</w:t>
                            </w:r>
                          </w:p>
                          <w:p>
                            <w:pPr>
                              <w:pStyle w:val="Normal"/>
                              <w:spacing w:before="62" w:after="62"/>
                              <w:rPr/>
                            </w:pPr>
                            <w:r>
                              <w:rPr>
                                <w:rFonts w:ascii="Times New Roman" w:hAnsi="Times New Roman"/>
                                <w:color w:val="auto"/>
                                <w:sz w:val="24"/>
                              </w:rPr>
                              <w:t xml:space="preserve">Asociace Europe-Demokracie-Esperanto (Francie):   </w:t>
                            </w:r>
                            <w:hyperlink r:id="rId9">
                              <w:r>
                                <w:rPr>
                                  <w:rStyle w:val="LienInternet"/>
                                  <w:rFonts w:ascii="Times New Roman" w:hAnsi="Times New Roman"/>
                                  <w:color w:val="auto"/>
                                  <w:sz w:val="24"/>
                                </w:rPr>
                                <w:t>https://e-d-e.fr/</w:t>
                              </w:r>
                            </w:hyperlink>
                            <w:r>
                              <w:rPr>
                                <w:rFonts w:ascii="Times New Roman" w:hAnsi="Times New Roman"/>
                                <w:color w:val="auto"/>
                                <w:sz w:val="24"/>
                              </w:rPr>
                              <w:t xml:space="preserve"> </w:t>
                            </w:r>
                          </w:p>
                          <w:p>
                            <w:pPr>
                              <w:pStyle w:val="Normal"/>
                              <w:spacing w:before="62" w:after="62"/>
                              <w:rPr/>
                            </w:pPr>
                            <w:r>
                              <w:rPr>
                                <w:rFonts w:ascii="Times New Roman" w:hAnsi="Times New Roman"/>
                                <w:color w:val="auto"/>
                                <w:sz w:val="24"/>
                              </w:rPr>
                              <w:t xml:space="preserve">Evropské dokumenty ve všech úředních jazycích: </w:t>
                            </w:r>
                            <w:hyperlink r:id="rId10">
                              <w:r>
                                <w:rPr>
                                  <w:rStyle w:val="LienInternet"/>
                                  <w:rFonts w:ascii="Times New Roman" w:hAnsi="Times New Roman"/>
                                  <w:color w:val="auto"/>
                                  <w:sz w:val="24"/>
                                </w:rPr>
                                <w:t>http://www.europokune.eu/</w:t>
                              </w:r>
                            </w:hyperlink>
                            <w:r>
                              <w:rPr>
                                <w:rFonts w:ascii="Times New Roman" w:hAnsi="Times New Roman"/>
                                <w:color w:val="auto"/>
                                <w:sz w:val="24"/>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rFonts w:ascii="Times New Roman" w:hAnsi="Times New Roman"/>
                                <w:color w:val="auto"/>
                                <w:sz w:val="24"/>
                              </w:rPr>
                            </w:pPr>
                            <w:r>
                              <w:rPr>
                                <w:rFonts w:ascii="Times New Roman" w:hAnsi="Times New Roman"/>
                                <w:color w:val="auto"/>
                                <w:sz w:val="24"/>
                              </w:rPr>
                            </w:r>
                          </w:p>
                          <w:p>
                            <w:pPr>
                              <w:pStyle w:val="P68B1DB1Normal7"/>
                              <w:rPr>
                                <w:rFonts w:ascii="Times New Roman" w:hAnsi="Times New Roman"/>
                                <w:sz w:val="24"/>
                              </w:rPr>
                            </w:pPr>
                            <w:r>
                              <w:rPr>
                                <w:color w:val="auto"/>
                              </w:rPr>
                              <w:t xml:space="preserve">Oproti původnímu dokumentu dochází k určitým změnám (zlepšení?): </w:t>
                            </w:r>
                          </w:p>
                          <w:p>
                            <w:pPr>
                              <w:pStyle w:val="P68B1DB1Normal7"/>
                              <w:rPr>
                                <w:rFonts w:ascii="Times New Roman" w:hAnsi="Times New Roman"/>
                                <w:sz w:val="24"/>
                              </w:rPr>
                            </w:pPr>
                            <w:r>
                              <w:rPr>
                                <w:color w:val="auto"/>
                              </w:rPr>
                              <w:t>některé pravopisné chyby byly opraveny. Možná došlo k dalším chybám.</w:t>
                            </w:r>
                          </w:p>
                          <w:p>
                            <w:pPr>
                              <w:pStyle w:val="P68B1DB1Normal7"/>
                              <w:rPr>
                                <w:rFonts w:ascii="Times New Roman" w:hAnsi="Times New Roman"/>
                                <w:sz w:val="24"/>
                              </w:rPr>
                            </w:pPr>
                            <w:r>
                              <w:rPr>
                                <w:color w:val="auto"/>
                              </w:rPr>
                              <w:t xml:space="preserve">— </w:t>
                            </w:r>
                            <w:r>
                              <w:rPr>
                                <w:color w:val="auto"/>
                              </w:rPr>
                              <w:t>rozložení bylo harmonizováno a všechny stránky jsou odpovídajícím způsobem číslovány (původní dokument byl kombinací samostatných PDF souborů s nezávislými číslováním).</w:t>
                            </w:r>
                          </w:p>
                          <w:p>
                            <w:pPr>
                              <w:pStyle w:val="P68B1DB1Normal7"/>
                              <w:rPr>
                                <w:rFonts w:ascii="Times New Roman" w:hAnsi="Times New Roman"/>
                                <w:sz w:val="24"/>
                              </w:rPr>
                            </w:pPr>
                            <w:r>
                              <w:rPr>
                                <w:color w:val="auto"/>
                              </w:rPr>
                              <w:t xml:space="preserve">— </w:t>
                            </w:r>
                            <w:r>
                              <w:rPr>
                                <w:color w:val="auto"/>
                              </w:rPr>
                              <w:t>závěrečné poznámky byly přeměněny na poznámky ke konci sekce (v dolní části stránek).</w:t>
                            </w:r>
                          </w:p>
                          <w:p>
                            <w:pPr>
                              <w:pStyle w:val="P68B1DB1Normal7"/>
                              <w:spacing w:before="57" w:after="57"/>
                              <w:rPr>
                                <w:color w:val="auto"/>
                              </w:rPr>
                            </w:pPr>
                            <w:r>
                              <w:rPr>
                                <w:color w:val="auto"/>
                              </w:rPr>
                              <w:t xml:space="preserve">— </w:t>
                            </w:r>
                            <w:r>
                              <w:rPr>
                                <w:color w:val="auto"/>
                              </w:rPr>
                              <w:t>dokumenty původně ve formě obrázků byly přeměněny na tabulky, aby mohly být snadno přeloženy.</w:t>
                            </w:r>
                          </w:p>
                        </w:txbxContent>
                      </wps:txbx>
                      <wps:bodyPr lIns="54000" rIns="54000" tIns="54000" bIns="54000">
                        <a:noAutofit/>
                      </wps:bodyPr>
                    </wps:wsp>
                  </a:graphicData>
                </a:graphic>
              </wp:anchor>
            </w:drawing>
          </mc:Choice>
          <mc:Fallback>
            <w:pict>
              <v:rect id="shape_0" ID="Rámeček16" fillcolor="white" stroked="t" style="position:absolute;margin-left:0.35pt;margin-top:6.75pt;width:473.95pt;height:684pt">
                <w10:wrap type="square"/>
                <v:fill o:detectmouseclick="t" type="solid" color2="black"/>
                <v:stroke color="black" weight="720" joinstyle="round" endcap="flat"/>
                <v:textbox>
                  <w:txbxContent>
                    <w:p>
                      <w:pPr>
                        <w:pStyle w:val="P68B1DB1Normal6"/>
                        <w:spacing w:before="57" w:after="57"/>
                        <w:rPr>
                          <w:rFonts w:ascii="Times New Roman" w:hAnsi="Times New Roman"/>
                          <w:b/>
                          <w:b/>
                          <w:sz w:val="24"/>
                        </w:rPr>
                      </w:pPr>
                      <w:r>
                        <w:rPr>
                          <w:color w:val="auto"/>
                        </w:rPr>
                        <w:t>Dokument připravený Pierrem Dieumegardem</w:t>
                      </w:r>
                      <w:r>
                        <w:rPr>
                          <w:color w:val="auto"/>
                        </w:rPr>
                        <w:drawing>
                          <wp:inline distT="0" distB="0" distL="0" distR="0">
                            <wp:extent cx="2494280" cy="765175"/>
                            <wp:effectExtent l="0" t="0" r="0" b="0"/>
                            <wp:docPr id="9" name="Fotografie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otografie49" descr=""/>
                                    <pic:cNvPicPr>
                                      <a:picLocks noChangeAspect="1" noChangeArrowheads="1"/>
                                    </pic:cNvPicPr>
                                  </pic:nvPicPr>
                                  <pic:blipFill>
                                    <a:blip r:embed="rId4"/>
                                    <a:stretch>
                                      <a:fillRect/>
                                    </a:stretch>
                                  </pic:blipFill>
                                  <pic:spPr bwMode="auto">
                                    <a:xfrm>
                                      <a:off x="0" y="0"/>
                                      <a:ext cx="2494280" cy="765175"/>
                                    </a:xfrm>
                                    <a:prstGeom prst="rect">
                                      <a:avLst/>
                                    </a:prstGeom>
                                  </pic:spPr>
                                </pic:pic>
                              </a:graphicData>
                            </a:graphic>
                          </wp:inline>
                        </w:drawing>
                      </w:r>
                    </w:p>
                    <w:p>
                      <w:pPr>
                        <w:pStyle w:val="P68B1DB1Normal6"/>
                        <w:rPr>
                          <w:rFonts w:ascii="Times New Roman" w:hAnsi="Times New Roman"/>
                          <w:b/>
                          <w:b/>
                          <w:sz w:val="24"/>
                        </w:rPr>
                      </w:pPr>
                      <w:r>
                        <w:rPr>
                          <w:color w:val="auto"/>
                        </w:rPr>
                        <w:t xml:space="preserve"> </w:t>
                      </w:r>
                      <w:r>
                        <w:rPr>
                          <w:color w:val="auto"/>
                        </w:rPr>
                        <w:t>pro Evropu-demokracii-Esperanto</w:t>
                      </w:r>
                    </w:p>
                    <w:p>
                      <w:pPr>
                        <w:pStyle w:val="P68B1DB1Normal7"/>
                        <w:rPr>
                          <w:rFonts w:ascii="Times New Roman" w:hAnsi="Times New Roman"/>
                          <w:sz w:val="24"/>
                        </w:rPr>
                      </w:pPr>
                      <w:r>
                        <w:rPr>
                          <w:color w:val="auto"/>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pPr>
                      <w:r>
                        <w:rPr>
                          <w:rFonts w:ascii="Times New Roman" w:hAnsi="Times New Roman"/>
                          <w:color w:val="auto"/>
                          <w:sz w:val="24"/>
                        </w:rPr>
                        <w:t xml:space="preserve">Cílem tohoto „prozatímního“ dokumentu je umožnit více lidem v Evropské unii pochopit dokumenty vytvořené pro Evropskou unii (a financované z jejich příspěvků). </w:t>
                      </w:r>
                      <w:hyperlink r:id="rId11">
                        <w:r>
                          <w:rPr>
                            <w:rStyle w:val="LienInternet"/>
                            <w:rFonts w:ascii="Times New Roman" w:hAnsi="Times New Roman"/>
                            <w:color w:val="auto"/>
                            <w:sz w:val="24"/>
                          </w:rPr>
                          <w:t xml:space="preserve">Původní dokumentve francouzštině ve formátu pdf </w:t>
                        </w:r>
                      </w:hyperlink>
                      <w:r>
                        <w:rPr>
                          <w:rFonts w:ascii="Times New Roman" w:hAnsi="Times New Roman"/>
                          <w:color w:val="auto"/>
                          <w:sz w:val="24"/>
                        </w:rPr>
                        <w:t xml:space="preserve">byl formátován pomocí softwaru Libre Office. Překlad do všech úředních jazyků Evropské unie se provádí prostřednictvím </w:t>
                      </w:r>
                      <w:hyperlink r:id="rId12">
                        <w:r>
                          <w:rPr>
                            <w:rStyle w:val="LienInternet"/>
                            <w:rFonts w:ascii="Times New Roman" w:hAnsi="Times New Roman"/>
                            <w:color w:val="auto"/>
                            <w:sz w:val="24"/>
                          </w:rPr>
                          <w:t>https://webgate.ec.europa.eu/etranslation</w:t>
                        </w:r>
                      </w:hyperlink>
                      <w:r>
                        <w:rPr>
                          <w:rFonts w:ascii="Times New Roman" w:hAnsi="Times New Roman"/>
                          <w:color w:val="auto"/>
                          <w:sz w:val="24"/>
                        </w:rPr>
                        <w:t>.</w:t>
                      </w:r>
                    </w:p>
                    <w:p>
                      <w:pPr>
                        <w:pStyle w:val="P68B1DB1Normal7"/>
                        <w:rPr>
                          <w:rFonts w:ascii="Times New Roman" w:hAnsi="Times New Roman"/>
                          <w:sz w:val="24"/>
                        </w:rPr>
                      </w:pPr>
                      <w:r>
                        <w:rPr>
                          <w:color w:val="auto"/>
                        </w:rPr>
                        <w:t xml:space="preserve">Tuto práci jsme odvedli z důvodu potřeby lepší mnohojazyčnosti v Evropské unii: bez překladů je velká část obyvatelstva z diskuse vyloučena. </w:t>
                      </w:r>
                      <w:r>
                        <w:rPr>
                          <w:b/>
                          <w:color w:val="auto"/>
                        </w:rPr>
                        <w:t>Je žádoucí, aby správa Evropské unie převzala překlad důležitých dokumentů, aby všichni Evropané mohli pochopit, o co jde, a společně diskutovat o své společné budoucnosti.</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Pro dobrou přímou komunikaci mezi evropskými občany, pro spolehlivé překlady by byl mezinárodní esperantský jazyk velmi užitečný kvůli jeho jednoduchosti, správnosti a přesnosti. </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 </w:t>
                      </w:r>
                      <w:r>
                        <w:rPr>
                          <w:color w:val="auto"/>
                        </w:rPr>
                        <w:t xml:space="preserve">Na internetu: </w:t>
                      </w:r>
                    </w:p>
                    <w:p>
                      <w:pPr>
                        <w:pStyle w:val="Normal"/>
                        <w:rPr/>
                      </w:pPr>
                      <w:r>
                        <w:rPr>
                          <w:rFonts w:ascii="Times New Roman" w:hAnsi="Times New Roman"/>
                          <w:color w:val="auto"/>
                          <w:sz w:val="24"/>
                        </w:rPr>
                        <w:t xml:space="preserve"> </w:t>
                      </w:r>
                      <w:r>
                        <w:rPr>
                          <w:rFonts w:ascii="Times New Roman" w:hAnsi="Times New Roman"/>
                          <w:color w:val="auto"/>
                          <w:sz w:val="24"/>
                        </w:rPr>
                        <w:t>Federace E</w:t>
                      </w:r>
                      <w:r>
                        <w:rPr>
                          <w:rFonts w:ascii="Times New Roman" w:hAnsi="Times New Roman"/>
                          <w:color w:val="auto"/>
                          <w:sz w:val="24"/>
                        </w:rPr>
                        <w:t>ŭ</w:t>
                      </w:r>
                      <w:r>
                        <w:rPr>
                          <w:rFonts w:ascii="Times New Roman" w:hAnsi="Times New Roman"/>
                          <w:color w:val="auto"/>
                          <w:sz w:val="24"/>
                        </w:rPr>
                        <w:t xml:space="preserve">ropo-Demokratio-Esperanto:   </w:t>
                      </w:r>
                      <w:hyperlink r:id="rId13">
                        <w:r>
                          <w:rPr>
                            <w:rStyle w:val="LienInternet"/>
                            <w:rFonts w:ascii="Times New Roman" w:hAnsi="Times New Roman"/>
                            <w:color w:val="auto"/>
                            <w:sz w:val="24"/>
                          </w:rPr>
                          <w:t>https://e-d-e.org/</w:t>
                        </w:r>
                      </w:hyperlink>
                      <w:r>
                        <w:rPr>
                          <w:rFonts w:ascii="Times New Roman" w:hAnsi="Times New Roman"/>
                          <w:color w:val="auto"/>
                          <w:sz w:val="24"/>
                        </w:rPr>
                        <w:t xml:space="preserve"> (nebo </w:t>
                      </w:r>
                      <w:hyperlink r:id="rId14">
                        <w:r>
                          <w:rPr>
                            <w:rStyle w:val="LienInternet"/>
                            <w:rFonts w:ascii="Times New Roman" w:hAnsi="Times New Roman"/>
                            <w:color w:val="auto"/>
                            <w:sz w:val="24"/>
                          </w:rPr>
                          <w:t>www.demokratio.eu</w:t>
                        </w:r>
                      </w:hyperlink>
                      <w:r>
                        <w:rPr>
                          <w:rFonts w:ascii="Times New Roman" w:hAnsi="Times New Roman"/>
                          <w:color w:val="auto"/>
                          <w:sz w:val="24"/>
                        </w:rPr>
                        <w:t>)</w:t>
                      </w:r>
                    </w:p>
                    <w:p>
                      <w:pPr>
                        <w:pStyle w:val="Normal"/>
                        <w:spacing w:before="62" w:after="62"/>
                        <w:rPr/>
                      </w:pPr>
                      <w:r>
                        <w:rPr>
                          <w:rFonts w:ascii="Times New Roman" w:hAnsi="Times New Roman"/>
                          <w:color w:val="auto"/>
                          <w:sz w:val="24"/>
                        </w:rPr>
                        <w:t xml:space="preserve">Asociace Europe-Demokracie-Esperanto (Francie):   </w:t>
                      </w:r>
                      <w:hyperlink r:id="rId15">
                        <w:r>
                          <w:rPr>
                            <w:rStyle w:val="LienInternet"/>
                            <w:rFonts w:ascii="Times New Roman" w:hAnsi="Times New Roman"/>
                            <w:color w:val="auto"/>
                            <w:sz w:val="24"/>
                          </w:rPr>
                          <w:t>https://e-d-e.fr/</w:t>
                        </w:r>
                      </w:hyperlink>
                      <w:r>
                        <w:rPr>
                          <w:rFonts w:ascii="Times New Roman" w:hAnsi="Times New Roman"/>
                          <w:color w:val="auto"/>
                          <w:sz w:val="24"/>
                        </w:rPr>
                        <w:t xml:space="preserve"> </w:t>
                      </w:r>
                    </w:p>
                    <w:p>
                      <w:pPr>
                        <w:pStyle w:val="Normal"/>
                        <w:spacing w:before="62" w:after="62"/>
                        <w:rPr/>
                      </w:pPr>
                      <w:r>
                        <w:rPr>
                          <w:rFonts w:ascii="Times New Roman" w:hAnsi="Times New Roman"/>
                          <w:color w:val="auto"/>
                          <w:sz w:val="24"/>
                        </w:rPr>
                        <w:t xml:space="preserve">Evropské dokumenty ve všech úředních jazycích: </w:t>
                      </w:r>
                      <w:hyperlink r:id="rId16">
                        <w:r>
                          <w:rPr>
                            <w:rStyle w:val="LienInternet"/>
                            <w:rFonts w:ascii="Times New Roman" w:hAnsi="Times New Roman"/>
                            <w:color w:val="auto"/>
                            <w:sz w:val="24"/>
                          </w:rPr>
                          <w:t>http://www.europokune.eu/</w:t>
                        </w:r>
                      </w:hyperlink>
                      <w:r>
                        <w:rPr>
                          <w:rFonts w:ascii="Times New Roman" w:hAnsi="Times New Roman"/>
                          <w:color w:val="auto"/>
                          <w:sz w:val="24"/>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rFonts w:ascii="Times New Roman" w:hAnsi="Times New Roman"/>
                          <w:color w:val="auto"/>
                          <w:sz w:val="24"/>
                        </w:rPr>
                      </w:pPr>
                      <w:r>
                        <w:rPr>
                          <w:rFonts w:ascii="Times New Roman" w:hAnsi="Times New Roman"/>
                          <w:color w:val="auto"/>
                          <w:sz w:val="24"/>
                        </w:rPr>
                      </w:r>
                    </w:p>
                    <w:p>
                      <w:pPr>
                        <w:pStyle w:val="P68B1DB1Normal7"/>
                        <w:rPr>
                          <w:rFonts w:ascii="Times New Roman" w:hAnsi="Times New Roman"/>
                          <w:sz w:val="24"/>
                        </w:rPr>
                      </w:pPr>
                      <w:r>
                        <w:rPr>
                          <w:color w:val="auto"/>
                        </w:rPr>
                        <w:t xml:space="preserve">Oproti původnímu dokumentu dochází k určitým změnám (zlepšení?): </w:t>
                      </w:r>
                    </w:p>
                    <w:p>
                      <w:pPr>
                        <w:pStyle w:val="P68B1DB1Normal7"/>
                        <w:rPr>
                          <w:rFonts w:ascii="Times New Roman" w:hAnsi="Times New Roman"/>
                          <w:sz w:val="24"/>
                        </w:rPr>
                      </w:pPr>
                      <w:r>
                        <w:rPr>
                          <w:color w:val="auto"/>
                        </w:rPr>
                        <w:t>některé pravopisné chyby byly opraveny. Možná došlo k dalším chybám.</w:t>
                      </w:r>
                    </w:p>
                    <w:p>
                      <w:pPr>
                        <w:pStyle w:val="P68B1DB1Normal7"/>
                        <w:rPr>
                          <w:rFonts w:ascii="Times New Roman" w:hAnsi="Times New Roman"/>
                          <w:sz w:val="24"/>
                        </w:rPr>
                      </w:pPr>
                      <w:r>
                        <w:rPr>
                          <w:color w:val="auto"/>
                        </w:rPr>
                        <w:t xml:space="preserve">— </w:t>
                      </w:r>
                      <w:r>
                        <w:rPr>
                          <w:color w:val="auto"/>
                        </w:rPr>
                        <w:t>rozložení bylo harmonizováno a všechny stránky jsou odpovídajícím způsobem číslovány (původní dokument byl kombinací samostatných PDF souborů s nezávislými číslováním).</w:t>
                      </w:r>
                    </w:p>
                    <w:p>
                      <w:pPr>
                        <w:pStyle w:val="P68B1DB1Normal7"/>
                        <w:rPr>
                          <w:rFonts w:ascii="Times New Roman" w:hAnsi="Times New Roman"/>
                          <w:sz w:val="24"/>
                        </w:rPr>
                      </w:pPr>
                      <w:r>
                        <w:rPr>
                          <w:color w:val="auto"/>
                        </w:rPr>
                        <w:t xml:space="preserve">— </w:t>
                      </w:r>
                      <w:r>
                        <w:rPr>
                          <w:color w:val="auto"/>
                        </w:rPr>
                        <w:t>závěrečné poznámky byly přeměněny na poznámky ke konci sekce (v dolní části stránek).</w:t>
                      </w:r>
                    </w:p>
                    <w:p>
                      <w:pPr>
                        <w:pStyle w:val="P68B1DB1Normal7"/>
                        <w:spacing w:before="57" w:after="57"/>
                        <w:rPr>
                          <w:color w:val="auto"/>
                        </w:rPr>
                      </w:pPr>
                      <w:r>
                        <w:rPr>
                          <w:color w:val="auto"/>
                        </w:rPr>
                        <w:t xml:space="preserve">— </w:t>
                      </w:r>
                      <w:r>
                        <w:rPr>
                          <w:color w:val="auto"/>
                        </w:rPr>
                        <w:t>dokumenty původně ve formě obrázků byly přeměněny na tabulky, aby mohly být snadno přeloženy.</w:t>
                      </w:r>
                    </w:p>
                  </w:txbxContent>
                </v:textbox>
              </v:rect>
            </w:pict>
          </mc:Fallback>
        </mc:AlternateContent>
      </w:r>
    </w:p>
    <w:p>
      <w:pPr>
        <w:pStyle w:val="Normal"/>
        <w:rPr/>
      </w:pPr>
      <w:r>
        <w:rPr/>
      </w:r>
      <w:r>
        <w:br w:type="page"/>
      </w:r>
    </w:p>
    <w:sdt>
      <w:sdtPr>
        <w:docPartObj>
          <w:docPartGallery w:val="Table of Contents"/>
          <w:docPartUnique w:val="true"/>
        </w:docPartObj>
      </w:sdtPr>
      <w:sdtContent>
        <w:p>
          <w:pPr>
            <w:pStyle w:val="TOAHeading"/>
            <w:rPr/>
          </w:pPr>
          <w:r>
            <w:rPr/>
            <w:t>Tabulka obsahu</w:t>
          </w:r>
        </w:p>
        <w:p>
          <w:pPr>
            <w:pStyle w:val="Tabledesmatiresniveau1"/>
            <w:tabs>
              <w:tab w:val="right" w:pos="9638" w:leader="dot"/>
            </w:tabs>
            <w:rPr/>
          </w:pPr>
          <w:r>
            <w:fldChar w:fldCharType="begin"/>
          </w:r>
          <w:r>
            <w:rPr>
              <w:rStyle w:val="Sautdindex"/>
            </w:rPr>
            <w:instrText> TOC \f \o "1-2" \h</w:instrText>
          </w:r>
          <w:r>
            <w:rPr>
              <w:rStyle w:val="Sautdindex"/>
            </w:rPr>
            <w:fldChar w:fldCharType="separate"/>
          </w:r>
          <w:hyperlink w:anchor="__RefHeading___Toc298046_1346298689">
            <w:r>
              <w:rPr>
                <w:rStyle w:val="Sautdindex"/>
              </w:rPr>
              <w:t>I. Architektura konference</w:t>
              <w:tab/>
              <w:t>7</w:t>
            </w:r>
          </w:hyperlink>
        </w:p>
        <w:p>
          <w:pPr>
            <w:pStyle w:val="Tabledesmatiresniveau2"/>
            <w:tabs>
              <w:tab w:val="right" w:pos="9638" w:leader="dot"/>
            </w:tabs>
            <w:rPr/>
          </w:pPr>
          <w:hyperlink w:anchor="__RefHeading___Toc298048_1346298689">
            <w:r>
              <w:rPr>
                <w:rStyle w:val="Sautdindex"/>
              </w:rPr>
              <w:t>1. Společné prohlášení</w:t>
              <w:tab/>
              <w:t>8</w:t>
            </w:r>
          </w:hyperlink>
        </w:p>
        <w:p>
          <w:pPr>
            <w:pStyle w:val="Tabledesmatiresniveau2"/>
            <w:tabs>
              <w:tab w:val="right" w:pos="9638" w:leader="dot"/>
            </w:tabs>
            <w:rPr/>
          </w:pPr>
          <w:hyperlink w:anchor="__RefHeading___Toc298050_1346298689">
            <w:r>
              <w:rPr>
                <w:rStyle w:val="Sautdindex"/>
              </w:rPr>
              <w:t>2. Jednací řád</w:t>
              <w:tab/>
              <w:t>9</w:t>
            </w:r>
          </w:hyperlink>
        </w:p>
        <w:p>
          <w:pPr>
            <w:pStyle w:val="Tabledesmatiresniveau2"/>
            <w:tabs>
              <w:tab w:val="right" w:pos="9638" w:leader="dot"/>
            </w:tabs>
            <w:rPr/>
          </w:pPr>
          <w:hyperlink w:anchor="__RefHeading___Toc298052_1346298689">
            <w:r>
              <w:rPr>
                <w:rStyle w:val="Sautdindex"/>
              </w:rPr>
              <w:t>3. Akce související s konferencí</w:t>
              <w:tab/>
              <w:t>9</w:t>
            </w:r>
          </w:hyperlink>
        </w:p>
        <w:p>
          <w:pPr>
            <w:pStyle w:val="Tabledesmatiresniveau2"/>
            <w:tabs>
              <w:tab w:val="right" w:pos="9638" w:leader="dot"/>
            </w:tabs>
            <w:rPr/>
          </w:pPr>
          <w:hyperlink w:anchor="__RefHeading___Toc298054_1346298689">
            <w:r>
              <w:rPr>
                <w:rStyle w:val="Sautdindex"/>
              </w:rPr>
              <w:t>4. Provádění vícejazyčné digitální platformy</w:t>
              <w:tab/>
              <w:t>9</w:t>
            </w:r>
          </w:hyperlink>
        </w:p>
        <w:p>
          <w:pPr>
            <w:pStyle w:val="Tabledesmatiresniveau2"/>
            <w:tabs>
              <w:tab w:val="right" w:pos="9638" w:leader="dot"/>
            </w:tabs>
            <w:rPr/>
          </w:pPr>
          <w:hyperlink w:anchor="__RefHeading___Toc298056_1346298689">
            <w:r>
              <w:rPr>
                <w:rStyle w:val="Sautdindex"/>
              </w:rPr>
              <w:t>5. Evropské panelové diskuse občanů</w:t>
              <w:tab/>
              <w:t>10</w:t>
            </w:r>
          </w:hyperlink>
        </w:p>
        <w:p>
          <w:pPr>
            <w:pStyle w:val="Tabledesmatiresniveau2"/>
            <w:tabs>
              <w:tab w:val="right" w:pos="9638" w:leader="dot"/>
            </w:tabs>
            <w:rPr/>
          </w:pPr>
          <w:hyperlink w:anchor="__RefHeading___Toc298058_1346298689">
            <w:r>
              <w:rPr>
                <w:rStyle w:val="Sautdindex"/>
              </w:rPr>
              <w:t>6. Národní panely občanů</w:t>
              <w:tab/>
              <w:t>10</w:t>
            </w:r>
          </w:hyperlink>
        </w:p>
        <w:p>
          <w:pPr>
            <w:pStyle w:val="Tabledesmatiresniveau1"/>
            <w:tabs>
              <w:tab w:val="right" w:pos="9638" w:leader="dot"/>
            </w:tabs>
            <w:rPr/>
          </w:pPr>
          <w:hyperlink w:anchor="__RefHeading___Toc298188_1346298689">
            <w:r>
              <w:rPr>
                <w:rStyle w:val="Sautdindex"/>
              </w:rPr>
              <w:t>NE, NE, NE, NE, NE. Příspěvky občanů na konferenci</w:t>
              <w:tab/>
              <w:t>11</w:t>
            </w:r>
          </w:hyperlink>
        </w:p>
        <w:p>
          <w:pPr>
            <w:pStyle w:val="Tabledesmatiresniveau2"/>
            <w:tabs>
              <w:tab w:val="right" w:pos="9638" w:leader="dot"/>
            </w:tabs>
            <w:rPr/>
          </w:pPr>
          <w:hyperlink w:anchor="__RefHeading___Toc298190_1346298689">
            <w:r>
              <w:rPr>
                <w:rStyle w:val="Sautdindex"/>
              </w:rPr>
              <w:t>A. Vícejazyčná digitální platforma</w:t>
              <w:tab/>
              <w:t>12</w:t>
            </w:r>
          </w:hyperlink>
        </w:p>
        <w:p>
          <w:pPr>
            <w:pStyle w:val="Tabledesmatiresniveau2"/>
            <w:tabs>
              <w:tab w:val="right" w:pos="9638" w:leader="dot"/>
            </w:tabs>
            <w:rPr/>
          </w:pPr>
          <w:hyperlink w:anchor="__RefHeading___Toc298192_1346298689">
            <w:r>
              <w:rPr>
                <w:rStyle w:val="Sautdindex"/>
              </w:rPr>
              <w:t>B. Občanské panely</w:t>
              <w:tab/>
              <w:t>17</w:t>
            </w:r>
          </w:hyperlink>
        </w:p>
        <w:p>
          <w:pPr>
            <w:pStyle w:val="Tabledesmatiresniveau2"/>
            <w:tabs>
              <w:tab w:val="right" w:pos="9638" w:leader="dot"/>
            </w:tabs>
            <w:rPr/>
          </w:pPr>
          <w:hyperlink w:anchor="__RefHeading___Toc298228_1346298689">
            <w:r>
              <w:rPr>
                <w:rStyle w:val="Sautdindex"/>
              </w:rPr>
              <w:t>C. Akce pořádané v rámci konference</w:t>
              <w:tab/>
              <w:t>27</w:t>
            </w:r>
          </w:hyperlink>
        </w:p>
        <w:p>
          <w:pPr>
            <w:pStyle w:val="Tabledesmatiresniveau1"/>
            <w:tabs>
              <w:tab w:val="right" w:pos="9638" w:leader="dot"/>
            </w:tabs>
            <w:rPr/>
          </w:pPr>
          <w:hyperlink w:anchor="__RefHeading___Toc298238_1346298689">
            <w:r>
              <w:rPr>
                <w:rStyle w:val="Sautdindex"/>
              </w:rPr>
              <w:t>III. Plenární shromáždění konference</w:t>
              <w:tab/>
              <w:t>36</w:t>
            </w:r>
          </w:hyperlink>
        </w:p>
        <w:p>
          <w:pPr>
            <w:pStyle w:val="Tabledesmatiresniveau2"/>
            <w:tabs>
              <w:tab w:val="right" w:pos="9638" w:leader="dot"/>
            </w:tabs>
            <w:rPr/>
          </w:pPr>
          <w:hyperlink w:anchor="__RefHeading___Toc298240_1346298689">
            <w:r>
              <w:rPr>
                <w:rStyle w:val="Sautdindex"/>
              </w:rPr>
              <w:t>A. Úloha a fungování plenárního shromáždění</w:t>
              <w:tab/>
              <w:t>37</w:t>
            </w:r>
          </w:hyperlink>
        </w:p>
        <w:p>
          <w:pPr>
            <w:pStyle w:val="Tabledesmatiresniveau2"/>
            <w:tabs>
              <w:tab w:val="right" w:pos="9638" w:leader="dot"/>
            </w:tabs>
            <w:rPr/>
          </w:pPr>
          <w:hyperlink w:anchor="__RefHeading___Toc298242_1346298689">
            <w:r>
              <w:rPr>
                <w:rStyle w:val="Sautdindex"/>
              </w:rPr>
              <w:t>B. Pracovní skupiny</w:t>
              <w:tab/>
              <w:t>38</w:t>
            </w:r>
          </w:hyperlink>
        </w:p>
        <w:p>
          <w:pPr>
            <w:pStyle w:val="Tabledesmatiresniveau2"/>
            <w:tabs>
              <w:tab w:val="right" w:pos="9638" w:leader="dot"/>
            </w:tabs>
            <w:rPr/>
          </w:pPr>
          <w:hyperlink w:anchor="__RefHeading___Toc298244_1346298689">
            <w:r>
              <w:rPr>
                <w:rStyle w:val="Sautdindex"/>
              </w:rPr>
              <w:t>C. Chronologické shrnutí</w:t>
              <w:tab/>
              <w:t>39</w:t>
            </w:r>
          </w:hyperlink>
        </w:p>
        <w:p>
          <w:pPr>
            <w:pStyle w:val="Tabledesmatiresniveau1"/>
            <w:tabs>
              <w:tab w:val="right" w:pos="9638" w:leader="dot"/>
            </w:tabs>
            <w:rPr/>
          </w:pPr>
          <w:hyperlink w:anchor="__RefHeading___Toc298246_1346298689">
            <w:r>
              <w:rPr>
                <w:rStyle w:val="Sautdindex"/>
              </w:rPr>
              <w:t>IV. Návrhy plenárního shromáždění</w:t>
              <w:tab/>
              <w:t>45</w:t>
            </w:r>
          </w:hyperlink>
        </w:p>
        <w:p>
          <w:pPr>
            <w:pStyle w:val="Tabledesmatiresniveau2"/>
            <w:tabs>
              <w:tab w:val="right" w:pos="9638" w:leader="dot"/>
            </w:tabs>
            <w:rPr/>
          </w:pPr>
          <w:hyperlink w:anchor="__RefHeading___Toc298248_1346298689">
            <w:r>
              <w:rPr>
                <w:rStyle w:val="Sautdindex"/>
              </w:rPr>
              <w:t>Změna klimatu a životní prostředí</w:t>
              <w:tab/>
              <w:t>46</w:t>
            </w:r>
          </w:hyperlink>
        </w:p>
        <w:p>
          <w:pPr>
            <w:pStyle w:val="Tabledesmatiresniveau2"/>
            <w:tabs>
              <w:tab w:val="right" w:pos="9638" w:leader="dot"/>
            </w:tabs>
            <w:rPr/>
          </w:pPr>
          <w:hyperlink w:anchor="__RefHeading___Toc298272_1346298689">
            <w:r>
              <w:rPr>
                <w:rStyle w:val="Sautdindex"/>
              </w:rPr>
              <w:t>„</w:t>
            </w:r>
            <w:r>
              <w:rPr>
                <w:rStyle w:val="Sautdindex"/>
              </w:rPr>
              <w:t>Zdraví“</w:t>
              <w:tab/>
              <w:t>52</w:t>
            </w:r>
          </w:hyperlink>
        </w:p>
        <w:p>
          <w:pPr>
            <w:pStyle w:val="Tabledesmatiresniveau2"/>
            <w:tabs>
              <w:tab w:val="right" w:pos="9638" w:leader="dot"/>
            </w:tabs>
            <w:rPr/>
          </w:pPr>
          <w:hyperlink w:anchor="__RefHeading___Toc298288_1346298689">
            <w:r>
              <w:rPr>
                <w:rStyle w:val="Sautdindex"/>
              </w:rPr>
              <w:t>Silnější ekonomika, sociální spravedlnost a zaměstnanost</w:t>
              <w:tab/>
              <w:t>56</w:t>
            </w:r>
          </w:hyperlink>
        </w:p>
        <w:p>
          <w:pPr>
            <w:pStyle w:val="Tabledesmatiresniveau2"/>
            <w:tabs>
              <w:tab w:val="right" w:pos="9638" w:leader="dot"/>
            </w:tabs>
            <w:rPr/>
          </w:pPr>
          <w:hyperlink w:anchor="__RefHeading___Toc298302_1346298689">
            <w:r>
              <w:rPr>
                <w:rStyle w:val="Sautdindex"/>
              </w:rPr>
              <w:t>„</w:t>
            </w:r>
            <w:r>
              <w:rPr>
                <w:rStyle w:val="Sautdindex"/>
              </w:rPr>
              <w:t>EU ve světě“</w:t>
              <w:tab/>
              <w:t>65</w:t>
            </w:r>
          </w:hyperlink>
        </w:p>
        <w:p>
          <w:pPr>
            <w:pStyle w:val="Tabledesmatiresniveau2"/>
            <w:tabs>
              <w:tab w:val="right" w:pos="9638" w:leader="dot"/>
            </w:tabs>
            <w:rPr/>
          </w:pPr>
          <w:hyperlink w:anchor="__RefHeading___Toc298320_1346298689">
            <w:r>
              <w:rPr>
                <w:rStyle w:val="Sautdindex"/>
              </w:rPr>
              <w:t>Hodnoty a práva, právní stát, bezpečnost</w:t>
              <w:tab/>
              <w:t>72</w:t>
            </w:r>
          </w:hyperlink>
        </w:p>
        <w:p>
          <w:pPr>
            <w:pStyle w:val="Tabledesmatiresniveau2"/>
            <w:tabs>
              <w:tab w:val="right" w:pos="9638" w:leader="dot"/>
            </w:tabs>
            <w:rPr/>
          </w:pPr>
          <w:hyperlink w:anchor="__RefHeading___Toc298334_1346298689">
            <w:r>
              <w:rPr>
                <w:rStyle w:val="Sautdindex"/>
              </w:rPr>
              <w:t>„</w:t>
            </w:r>
            <w:r>
              <w:rPr>
                <w:rStyle w:val="Sautdindex"/>
              </w:rPr>
              <w:t>Digitální transformace“</w:t>
              <w:tab/>
              <w:t>76</w:t>
            </w:r>
          </w:hyperlink>
        </w:p>
        <w:p>
          <w:pPr>
            <w:pStyle w:val="Tabledesmatiresniveau2"/>
            <w:tabs>
              <w:tab w:val="right" w:pos="9638" w:leader="dot"/>
            </w:tabs>
            <w:rPr/>
          </w:pPr>
          <w:hyperlink w:anchor="__RefHeading___Toc298346_1346298689">
            <w:r>
              <w:rPr>
                <w:rStyle w:val="Sautdindex"/>
              </w:rPr>
              <w:t>„</w:t>
            </w:r>
            <w:r>
              <w:rPr>
                <w:rStyle w:val="Sautdindex"/>
              </w:rPr>
              <w:t>Evropská demokracie“</w:t>
              <w:tab/>
              <w:t>81</w:t>
            </w:r>
          </w:hyperlink>
        </w:p>
        <w:p>
          <w:pPr>
            <w:pStyle w:val="Tabledesmatiresniveau2"/>
            <w:tabs>
              <w:tab w:val="right" w:pos="9638" w:leader="dot"/>
            </w:tabs>
            <w:rPr/>
          </w:pPr>
          <w:hyperlink w:anchor="__RefHeading___Toc298358_1346298689">
            <w:r>
              <w:rPr>
                <w:rStyle w:val="Sautdindex"/>
              </w:rPr>
              <w:t>„</w:t>
            </w:r>
            <w:r>
              <w:rPr>
                <w:rStyle w:val="Sautdindex"/>
              </w:rPr>
              <w:t>Migrace“</w:t>
              <w:tab/>
              <w:t>87</w:t>
            </w:r>
          </w:hyperlink>
        </w:p>
        <w:p>
          <w:pPr>
            <w:pStyle w:val="Tabledesmatiresniveau2"/>
            <w:tabs>
              <w:tab w:val="right" w:pos="9638" w:leader="dot"/>
            </w:tabs>
            <w:rPr/>
          </w:pPr>
          <w:hyperlink w:anchor="__RefHeading___Toc298370_1346298689">
            <w:r>
              <w:rPr>
                <w:rStyle w:val="Sautdindex"/>
              </w:rPr>
              <w:t>Vzdělávání, kultura, mládež a sport</w:t>
              <w:tab/>
              <w:t>91</w:t>
            </w:r>
          </w:hyperlink>
        </w:p>
        <w:p>
          <w:pPr>
            <w:pStyle w:val="Tabledesmatiresniveau1"/>
            <w:tabs>
              <w:tab w:val="right" w:pos="9638" w:leader="dot"/>
            </w:tabs>
            <w:rPr/>
          </w:pPr>
          <w:hyperlink w:anchor="__RefHeading___Toc298380_1346298689">
            <w:r>
              <w:rPr>
                <w:rStyle w:val="Sautdindex"/>
              </w:rPr>
              <w:t>Závěrečné úvahy Výkonné rady</w:t>
              <w:tab/>
              <w:t>95</w:t>
            </w:r>
          </w:hyperlink>
        </w:p>
        <w:p>
          <w:pPr>
            <w:pStyle w:val="Tabledesmatiresniveau1"/>
            <w:tabs>
              <w:tab w:val="right" w:pos="9638" w:leader="dot"/>
            </w:tabs>
            <w:rPr/>
          </w:pPr>
          <w:hyperlink w:anchor="__RefHeading___Toc297141_1346298689">
            <w:r>
              <w:rPr>
                <w:rStyle w:val="Sautdindex"/>
              </w:rPr>
              <w:t>Příloha I – Doporučení čtyř evropských panelových diskusí občanů</w:t>
              <w:tab/>
              <w:t>98</w:t>
            </w:r>
          </w:hyperlink>
        </w:p>
        <w:p>
          <w:pPr>
            <w:pStyle w:val="Tabledesmatiresniveau2"/>
            <w:tabs>
              <w:tab w:val="right" w:pos="9638" w:leader="dot"/>
            </w:tabs>
            <w:rPr/>
          </w:pPr>
          <w:hyperlink w:anchor="__RefHeading___Toc297143_1346298689">
            <w:r>
              <w:rPr>
                <w:rStyle w:val="Sautdindex"/>
              </w:rPr>
              <w:t>Evropský panel občanů 1: Silnější ekonomika, sociální spravedlnost a zaměstnanost/vzdělávání, kultura, mládež a sport/digitální transformace</w:t>
              <w:tab/>
              <w:t>99</w:t>
            </w:r>
          </w:hyperlink>
        </w:p>
        <w:p>
          <w:pPr>
            <w:pStyle w:val="Tabledesmatiresniveau2"/>
            <w:tabs>
              <w:tab w:val="right" w:pos="9638" w:leader="dot"/>
            </w:tabs>
            <w:rPr/>
          </w:pPr>
          <w:hyperlink w:anchor="__RefHeading___Toc297195_1346298689">
            <w:r>
              <w:rPr>
                <w:rStyle w:val="Sautdindex"/>
              </w:rPr>
              <w:t>Evropský panel občanů 2: „Evropská demokracie; hodnoty a práva, právní stát, bezpečnost</w:t>
              <w:tab/>
              <w:t>116</w:t>
            </w:r>
          </w:hyperlink>
        </w:p>
        <w:p>
          <w:pPr>
            <w:pStyle w:val="Tabledesmatiresniveau2"/>
            <w:tabs>
              <w:tab w:val="right" w:pos="9638" w:leader="dot"/>
            </w:tabs>
            <w:rPr/>
          </w:pPr>
          <w:hyperlink w:anchor="__RefHeading___Toc297245_1346298689">
            <w:r>
              <w:rPr>
                <w:rStyle w:val="Sautdindex"/>
              </w:rPr>
              <w:t>Evropský panel občanů 3: Změna klimatu a životní prostředí/zdraví</w:t>
              <w:tab/>
              <w:t>129</w:t>
            </w:r>
          </w:hyperlink>
        </w:p>
        <w:p>
          <w:pPr>
            <w:pStyle w:val="Tabledesmatiresniveau2"/>
            <w:tabs>
              <w:tab w:val="right" w:pos="9638" w:leader="dot"/>
            </w:tabs>
            <w:rPr/>
          </w:pPr>
          <w:hyperlink w:anchor="__RefHeading___Toc297297_1346298689">
            <w:r>
              <w:rPr>
                <w:rStyle w:val="Sautdindex"/>
              </w:rPr>
              <w:t>Evropský panel občanů 4: „EU ve světě/migrace“</w:t>
              <w:tab/>
              <w:t>146</w:t>
            </w:r>
          </w:hyperlink>
        </w:p>
        <w:p>
          <w:pPr>
            <w:pStyle w:val="Tabledesmatiresniveau1"/>
            <w:tabs>
              <w:tab w:val="right" w:pos="9638" w:leader="dot"/>
            </w:tabs>
            <w:rPr/>
          </w:pPr>
          <w:hyperlink w:anchor="__RefHeading___Toc297345_1346298689">
            <w:r>
              <w:rPr>
                <w:rStyle w:val="Sautdindex"/>
              </w:rPr>
              <w:t>II A – Vnitrostátní panely: Belgie</w:t>
              <w:tab/>
              <w:t>158</w:t>
            </w:r>
          </w:hyperlink>
        </w:p>
        <w:p>
          <w:pPr>
            <w:pStyle w:val="Tabledesmatiresniveau1"/>
            <w:tabs>
              <w:tab w:val="right" w:pos="9638" w:leader="dot"/>
            </w:tabs>
            <w:rPr/>
          </w:pPr>
          <w:hyperlink w:anchor="__RefHeading___Toc297349_1346298689">
            <w:r>
              <w:rPr>
                <w:rStyle w:val="Sautdindex"/>
              </w:rPr>
              <w:t>II B Národní panely: Francie</w:t>
              <w:tab/>
              <w:t>172</w:t>
            </w:r>
          </w:hyperlink>
        </w:p>
        <w:p>
          <w:pPr>
            <w:pStyle w:val="Tabledesmatiresniveau2"/>
            <w:tabs>
              <w:tab w:val="right" w:pos="9638" w:leader="dot"/>
            </w:tabs>
            <w:rPr/>
          </w:pPr>
          <w:hyperlink w:anchor="__RefHeading___Toc300448_1346298689">
            <w:r>
              <w:rPr>
                <w:rStyle w:val="Sautdindex"/>
              </w:rPr>
              <w:t>Úvod</w:t>
              <w:tab/>
              <w:t>175</w:t>
            </w:r>
          </w:hyperlink>
        </w:p>
        <w:p>
          <w:pPr>
            <w:pStyle w:val="Tabledesmatiresniveau2"/>
            <w:tabs>
              <w:tab w:val="right" w:pos="9638" w:leader="dot"/>
            </w:tabs>
            <w:rPr/>
          </w:pPr>
          <w:hyperlink w:anchor="__RefHeading___Toc300450_1346298689">
            <w:r>
              <w:rPr>
                <w:rStyle w:val="Sautdindex"/>
              </w:rPr>
              <w:t>Prezentace hlavních výsledků</w:t>
              <w:tab/>
              <w:t>178</w:t>
            </w:r>
          </w:hyperlink>
        </w:p>
        <w:p>
          <w:pPr>
            <w:pStyle w:val="Tabledesmatiresniveau2"/>
            <w:tabs>
              <w:tab w:val="right" w:pos="9638" w:leader="dot"/>
            </w:tabs>
            <w:rPr/>
          </w:pPr>
          <w:hyperlink w:anchor="__RefHeading___Toc300452_1346298689">
            <w:r>
              <w:rPr>
                <w:rStyle w:val="Sautdindex"/>
              </w:rPr>
              <w:t>Prezentace panelů regionálních konferencí</w:t>
              <w:tab/>
              <w:t>180</w:t>
            </w:r>
          </w:hyperlink>
        </w:p>
        <w:p>
          <w:pPr>
            <w:pStyle w:val="Tabledesmatiresniveau2"/>
            <w:tabs>
              <w:tab w:val="right" w:pos="9638" w:leader="dot"/>
            </w:tabs>
            <w:rPr/>
          </w:pPr>
          <w:hyperlink w:anchor="__RefHeading___Toc300454_1346298689">
            <w:r>
              <w:rPr>
                <w:rStyle w:val="Sautdindex"/>
              </w:rPr>
              <w:t>Metodické závazky a předsudky</w:t>
              <w:tab/>
              <w:t>182</w:t>
            </w:r>
          </w:hyperlink>
        </w:p>
        <w:p>
          <w:pPr>
            <w:pStyle w:val="Tabledesmatiresniveau2"/>
            <w:tabs>
              <w:tab w:val="right" w:pos="9638" w:leader="dot"/>
            </w:tabs>
            <w:rPr/>
          </w:pPr>
          <w:hyperlink w:anchor="__RefHeading___Toc297351_1346298689">
            <w:r>
              <w:rPr>
                <w:rStyle w:val="Sautdindex"/>
              </w:rPr>
              <w:t>Druhá část: prezentace výsledků konzultace „Slova pro mládež“</w:t>
              <w:tab/>
              <w:t>198</w:t>
            </w:r>
          </w:hyperlink>
        </w:p>
        <w:p>
          <w:pPr>
            <w:pStyle w:val="Tabledesmatiresniveau2"/>
            <w:tabs>
              <w:tab w:val="right" w:pos="9638" w:leader="dot"/>
            </w:tabs>
            <w:rPr/>
          </w:pPr>
          <w:hyperlink w:anchor="__RefHeading___Toc300458_1346298689">
            <w:r>
              <w:rPr>
                <w:rStyle w:val="Sautdindex"/>
              </w:rPr>
              <w:t>Závěr</w:t>
              <w:tab/>
              <w:t>201</w:t>
            </w:r>
          </w:hyperlink>
        </w:p>
        <w:p>
          <w:pPr>
            <w:pStyle w:val="Tabledesmatiresniveau1"/>
            <w:tabs>
              <w:tab w:val="right" w:pos="9638" w:leader="dot"/>
            </w:tabs>
            <w:rPr/>
          </w:pPr>
          <w:hyperlink w:anchor="__RefHeading___Toc297353_1346298689">
            <w:r>
              <w:rPr>
                <w:rStyle w:val="Sautdindex"/>
              </w:rPr>
              <w:t>II C Národní panely: Německo</w:t>
              <w:tab/>
              <w:t>202</w:t>
            </w:r>
          </w:hyperlink>
        </w:p>
        <w:p>
          <w:pPr>
            <w:pStyle w:val="Tabledesmatiresniveau1"/>
            <w:tabs>
              <w:tab w:val="right" w:pos="9638" w:leader="dot"/>
            </w:tabs>
            <w:rPr/>
          </w:pPr>
          <w:hyperlink w:anchor="__RefHeading___Toc297355_1346298689">
            <w:r>
              <w:rPr>
                <w:rStyle w:val="Sautdindex"/>
              </w:rPr>
              <w:t>II D Národní panely: Itálie</w:t>
              <w:tab/>
              <w:t>208</w:t>
            </w:r>
          </w:hyperlink>
        </w:p>
        <w:p>
          <w:pPr>
            <w:pStyle w:val="Tabledesmatiresniveau2"/>
            <w:tabs>
              <w:tab w:val="right" w:pos="9638" w:leader="dot"/>
            </w:tabs>
            <w:rPr/>
          </w:pPr>
          <w:hyperlink w:anchor="__RefHeading___Toc300314_1346298689">
            <w:r>
              <w:rPr>
                <w:rStyle w:val="Sautdindex"/>
              </w:rPr>
              <w:t>4. Pracovní program</w:t>
              <w:tab/>
              <w:t>214</w:t>
            </w:r>
          </w:hyperlink>
        </w:p>
        <w:p>
          <w:pPr>
            <w:pStyle w:val="Tabledesmatiresniveau2"/>
            <w:tabs>
              <w:tab w:val="right" w:pos="9638" w:leader="dot"/>
            </w:tabs>
            <w:rPr/>
          </w:pPr>
          <w:hyperlink w:anchor="__RefHeading___Toc300322_1346298689">
            <w:r>
              <w:rPr>
                <w:rStyle w:val="Sautdindex"/>
              </w:rPr>
              <w:t>6. Závěrečné hodnocení účastníků</w:t>
              <w:tab/>
              <w:t>223</w:t>
            </w:r>
          </w:hyperlink>
        </w:p>
        <w:p>
          <w:pPr>
            <w:pStyle w:val="Tabledesmatiresniveau1"/>
            <w:tabs>
              <w:tab w:val="right" w:pos="9638" w:leader="dot"/>
            </w:tabs>
            <w:rPr/>
          </w:pPr>
          <w:hyperlink w:anchor="__RefHeading___Toc298382_1346298689">
            <w:r>
              <w:rPr>
                <w:rStyle w:val="Sautdindex"/>
              </w:rPr>
              <w:t>II E Národní panely: Litva</w:t>
              <w:tab/>
              <w:t>226</w:t>
            </w:r>
          </w:hyperlink>
        </w:p>
        <w:p>
          <w:pPr>
            <w:pStyle w:val="Tabledesmatiresniveau1"/>
            <w:tabs>
              <w:tab w:val="right" w:pos="9638" w:leader="dot"/>
            </w:tabs>
            <w:rPr/>
          </w:pPr>
          <w:hyperlink w:anchor="__RefHeading___Toc297357_1346298689">
            <w:r>
              <w:rPr>
                <w:rStyle w:val="Sautdindex"/>
              </w:rPr>
              <w:t>II F Národní panely: Nizozemsko</w:t>
              <w:tab/>
              <w:t>234</w:t>
            </w:r>
          </w:hyperlink>
        </w:p>
        <w:p>
          <w:pPr>
            <w:pStyle w:val="Tabledesmatiresniveau1"/>
            <w:tabs>
              <w:tab w:val="right" w:pos="9638" w:leader="dot"/>
            </w:tabs>
            <w:rPr/>
          </w:pPr>
          <w:hyperlink w:anchor="__RefHeading___Toc297359_1346298689">
            <w:r>
              <w:rPr>
                <w:rStyle w:val="Sautdindex"/>
              </w:rPr>
              <w:t>III – Odkazy na výsledky vnitrostátních akcí</w:t>
              <w:tab/>
              <w:t>286</w:t>
            </w:r>
          </w:hyperlink>
        </w:p>
        <w:p>
          <w:pPr>
            <w:pStyle w:val="Tabledesmatiresniveau1"/>
            <w:tabs>
              <w:tab w:val="right" w:pos="9638" w:leader="dot"/>
            </w:tabs>
            <w:rPr/>
          </w:pPr>
          <w:hyperlink w:anchor="__RefHeading___Toc344888_2081073262">
            <w:r>
              <w:rPr>
                <w:rStyle w:val="Sautdindex"/>
              </w:rPr>
              <w:t>IV – Odkaz na zprávu vícejazyčné digitální platformy</w:t>
              <w:tab/>
              <w:t>287</w:t>
            </w:r>
          </w:hyperlink>
        </w:p>
      </w:sdtContent>
    </w:sdt>
    <w:p>
      <w:pPr>
        <w:pStyle w:val="Normal"/>
        <w:spacing w:before="57" w:after="57"/>
        <w:ind w:left="0" w:right="0" w:hanging="0"/>
        <w:rPr>
          <w:rFonts w:ascii="Arial" w:hAnsi="Arial"/>
          <w:sz w:val="22"/>
        </w:rPr>
      </w:pPr>
      <w:r>
        <w:rPr>
          <w:sz w:val="22"/>
        </w:rPr>
      </w:r>
      <w:r>
        <w:rPr>
          <w:sz w:val="22"/>
        </w:rPr>
        <w:fldChar w:fldCharType="end"/>
      </w:r>
    </w:p>
    <w:p>
      <w:pPr>
        <w:pStyle w:val="Normal"/>
        <w:rPr/>
      </w:pPr>
      <w:r>
        <w:rPr/>
      </w:r>
    </w:p>
    <w:p>
      <w:pPr>
        <w:pStyle w:val="Normal"/>
        <w:rPr/>
      </w:pPr>
      <w:r>
        <w:rPr/>
      </w:r>
      <w:r>
        <w:br w:type="page"/>
      </w:r>
    </w:p>
    <w:p>
      <w:pPr>
        <w:pStyle w:val="Normal"/>
        <w:spacing w:before="13643" w:after="57"/>
        <w:rPr/>
      </w:pPr>
      <w:r>
        <w:rPr/>
        <w:drawing>
          <wp:anchor behindDoc="0" distT="0" distB="0" distL="0" distR="0" simplePos="0" locked="0" layoutInCell="1" allowOverlap="1" relativeHeight="66">
            <wp:simplePos x="0" y="0"/>
            <wp:positionH relativeFrom="column">
              <wp:align>center</wp:align>
            </wp:positionH>
            <wp:positionV relativeFrom="paragraph">
              <wp:posOffset>635</wp:posOffset>
            </wp:positionV>
            <wp:extent cx="6120130" cy="8663305"/>
            <wp:effectExtent l="0" t="0" r="0" b="0"/>
            <wp:wrapSquare wrapText="largest"/>
            <wp:docPr id="10" name="Obrázek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ek3" descr=""/>
                    <pic:cNvPicPr>
                      <a:picLocks noChangeAspect="1" noChangeArrowheads="1"/>
                    </pic:cNvPicPr>
                  </pic:nvPicPr>
                  <pic:blipFill>
                    <a:blip r:embed="rId17"/>
                    <a:stretch>
                      <a:fillRect/>
                    </a:stretch>
                  </pic:blipFill>
                  <pic:spPr bwMode="auto">
                    <a:xfrm>
                      <a:off x="0" y="0"/>
                      <a:ext cx="6120130" cy="8663305"/>
                    </a:xfrm>
                    <a:prstGeom prst="rect">
                      <a:avLst/>
                    </a:prstGeom>
                  </pic:spPr>
                </pic:pic>
              </a:graphicData>
            </a:graphic>
          </wp:anchor>
        </w:drawing>
      </w:r>
      <w:r>
        <w:br w:type="page"/>
      </w:r>
    </w:p>
    <w:p>
      <w:pPr>
        <w:pStyle w:val="Titre1sansnumro"/>
        <w:ind w:left="0" w:right="0" w:hanging="0"/>
        <w:rPr/>
      </w:pPr>
      <w:r>
        <w:rPr/>
        <w:t>Úvod</w:t>
      </w:r>
    </w:p>
    <w:p>
      <w:pPr>
        <w:sectPr>
          <w:headerReference w:type="even" r:id="rId18"/>
          <w:headerReference w:type="default" r:id="rId19"/>
          <w:footerReference w:type="even" r:id="rId20"/>
          <w:footerReference w:type="default" r:id="rId21"/>
          <w:type w:val="nextPage"/>
          <w:pgSz w:w="11906" w:h="16838"/>
          <w:pgMar w:left="1134" w:right="1134" w:header="1134" w:top="1700" w:footer="1134" w:bottom="1727" w:gutter="0"/>
          <w:pgNumType w:fmt="decimal"/>
          <w:formProt w:val="false"/>
          <w:titlePg/>
          <w:textDirection w:val="lrTb"/>
          <w:docGrid w:type="default" w:linePitch="312" w:charSpace="0"/>
        </w:sectPr>
      </w:pPr>
    </w:p>
    <w:p>
      <w:pPr>
        <w:pStyle w:val="Normal"/>
        <w:rPr/>
      </w:pPr>
      <w:r>
        <w:rPr/>
        <w:t>Dne 10. března 2021 podepsali předseda Evropského parlamentu David Sassoli, portugalský premiér António Costa, jménem Rady EU a předsedkyně Evropské komise Ursula von der Leyenová společné prohlášení o konferenci o budoucnosti Evropy. Závazek, který učinili, byl jednoduchý: jednalo se o proces zaměřený na občany založený na přístupu zdola nahoru s cílem zajistit, aby všichni Evropané měli možnost vyjádřit se k tomu, co od Evropské unie očekávají, a hrát větší úlohu při utváření budoucnosti Unie. Jejich úkol byl na druhé straně velmi obtížný: cílem bylo poprvé uspořádat nadnárodní, mnohojazyčný a interinstitucionální výkon poradní demokracie, do něhož budou zapojeny tisíce evropských občanů, jakož i političtí aktéři, sociální partneři, zástupci občanské společnosti a klíčové zúčastněné strany ve smyslu článku 16 jednacího řádu konference.</w:t>
      </w:r>
    </w:p>
    <w:p>
      <w:pPr>
        <w:pStyle w:val="Normal"/>
        <w:rPr/>
      </w:pPr>
      <w:r>
        <w:rPr/>
        <w:t>Dne 9. května 2022, po měsících intenzivních jednání, dokončila konference svou práci a předložila těmto třem orgánům EU zprávu o svých konečných výsledcích se 49 návrhy. Tyto návrhy odpovídají očekáváním evropských občanů v devíti tématech: Silnější hospodářství, sociální spravedlnost a zaměstnanost; Vzdělávání, kultura, mládež a sport; Digitální transformace; Evropská demokracie; Hodnoty a práva, právní stát, bezpečnost; Změna klimatu a životní prostředí; Zdraví; EU ve světě; a migrace. Všechna tato témata jsou uvedena v této závěrečné zprávě, jejímž cílem je rovněž poskytnout přehled o různých činnostech prováděných v souvislosti s tímto jedinečným procesem, Konferencí o budoucnosti Evropy.</w:t>
      </w:r>
    </w:p>
    <w:p>
      <w:pPr>
        <w:pStyle w:val="Corpsdetexte"/>
        <w:rPr/>
      </w:pPr>
      <w:r>
        <w:rPr/>
        <w:t>Pod vedením tří spolupředsedů (Guy Verhofstadt za Evropský parlament; Ana Paula Zacarias, Gašper Dovžan a Clément Beaune, postupně pro Radu EU; a Dubravka Šuica pro Evropskou komisi) a vedená výkonnou radou (stejně složenou ze zástupců tří orgánů a pozorovatelů z hlavních zúčastněných stran) byla konference bezprecedentní zkušeností s nadnárodní deliberativní demokracií. Prokázala rovněž svůj historický význam a význam v souvislosti s pandemií COVID-19 a ruskou agresí proti Ukrajině. Konference o budoucnosti Evropy vyústila v vytvoření vícejazyčné digitální platformy pro evropské občany, která bude přispívat ve všech 24 jazycích EU, a k uspořádání čtyř evropských panelových diskusí občanů, šesti panelových panelů občanů členských států, tisíců národních a místních akcí a sedmi plenárních shromáždění konference. Je výsledkem bezprecedentní ochoty orgánů EU, členských států, ale také a především evropských občanů, diskutovat o prioritách Evropské unie a o výzvách, kterým čelí, a přijmout nový přístup k evropskému projektu.</w:t>
      </w:r>
    </w:p>
    <w:p>
      <w:pPr>
        <w:pStyle w:val="Corpsdetexte"/>
        <w:rPr/>
      </w:pPr>
      <w:r>
        <w:rPr/>
        <w:t>Ale to je jen začátek. V souladu se zakládajícím zněním konference nyní tři orgány rychle zváží, jak tuto zprávu účinně provést, a to v rámci své působnosti a v souladu se Smlouvami. Určení těchto tří orgánů je v tomto ohledu prvořadé.</w:t>
      </w:r>
    </w:p>
    <w:p>
      <w:pPr>
        <w:sect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1"/>
        <w:numPr>
          <w:ilvl w:val="0"/>
          <w:numId w:val="2"/>
        </w:numPr>
        <w:rPr/>
      </w:pPr>
      <w:bookmarkStart w:id="0" w:name="__RefHeading___Toc298046_1346298689"/>
      <w:bookmarkEnd w:id="0"/>
      <w:r>
        <w:rPr/>
        <w:t>I. Architektura konference</w:t>
      </w:r>
    </w:p>
    <w:p>
      <w:pPr>
        <w:pStyle w:val="Corpsdetexte"/>
        <w:rPr>
          <w:sz w:val="40"/>
        </w:rPr>
      </w:pPr>
      <w:r>
        <w:rPr>
          <w:sz w:val="40"/>
        </w:rPr>
        <w:t>Konference o budoucnosti Evropy</w:t>
      </w:r>
      <w:r>
        <w:rPr>
          <w:rStyle w:val="Ancredenotedebasdepage"/>
          <w:rStyle w:val="Ancredenotedebasdepage"/>
          <w:sz w:val="40"/>
        </w:rPr>
        <w:footnoteReference w:id="2"/>
      </w:r>
      <w:r>
        <w:rPr>
          <w:sz w:val="40"/>
        </w:rPr>
        <w:t xml:space="preserve"> byla novým a inovativním procesem, který otevřel nový prostor pro diskusi s občany s cílem posoudit priority a výzvy Evropy s cílem vytvořit demokratickou legitimitu evropského projektu a podpořit dodržování našich společných hodnot a cílů ze strany občanů. Konference byla cvičením zaměřeným na občany, založeným na přístupu zdola nahoru, jehož cílem bylo zajistit, aby se Evropané mohli vyjádřit k tomu, co od Evropské unie očekávají. Jednalo se o společnou iniciativu Evropského parlamentu, Rady a Evropské komise, která jednala za stejných podmínek jako členské státy Evropské unie.</w:t>
      </w:r>
    </w:p>
    <w:p>
      <w:pPr>
        <w:pStyle w:val="Normal"/>
        <w:rPr/>
      </w:pPr>
      <w:r>
        <w:rPr/>
      </w:r>
    </w:p>
    <w:p>
      <w:pPr>
        <w:pStyle w:val="Normal"/>
        <w:rPr/>
      </w:pPr>
      <w:r>
        <w:rPr/>
      </w:r>
    </w:p>
    <w:p>
      <w:pPr>
        <w:pStyle w:val="Normal"/>
        <w:rPr/>
      </w:pPr>
      <w:r>
        <w:rPr/>
      </w:r>
    </w:p>
    <w:p>
      <w:pPr>
        <w:pStyle w:val="Normal"/>
        <w:rPr/>
      </w:pPr>
      <w:r>
        <w:rPr/>
      </w:r>
    </w:p>
    <w:p>
      <w:pPr>
        <w:pStyle w:val="Normal"/>
        <w:rPr/>
      </w:pPr>
      <w:r>
        <w:rPr/>
      </w:r>
      <w:r>
        <w:br w:type="page"/>
      </w:r>
    </w:p>
    <w:p>
      <w:pPr>
        <w:pStyle w:val="Titre2"/>
        <w:numPr>
          <w:ilvl w:val="1"/>
          <w:numId w:val="2"/>
        </w:numPr>
        <w:rPr/>
      </w:pPr>
      <w:bookmarkStart w:id="1" w:name="__RefHeading___Toc298048_1346298689"/>
      <w:bookmarkEnd w:id="1"/>
      <w:r>
        <w:rPr/>
        <w:t>1. Společné prohlášení</w:t>
      </w:r>
    </w:p>
    <w:p>
      <w:pPr>
        <w:pStyle w:val="Normal"/>
        <w:rPr/>
      </w:pPr>
      <w:r>
        <w:rPr/>
      </w:r>
    </w:p>
    <w:p>
      <w:pPr>
        <w:pStyle w:val="Normal"/>
        <w:rPr/>
      </w:pPr>
      <w:r>
        <w:rPr/>
        <w:t>Dne 10. března 2021 podepsali zesnulý předseda Evropského parlamentu David Sassoli, portugalský premiér António Costa jménem Rady EU a předsedkyně Evropské komise Ursula von der Leyenová společné prohlášení o konferenci o budoucnosti Evropy, které připravilo půdu pro toto bezprecedentní, otevřené a inkluzivní evropské demokratické cvičení, které dává občanům ústřední místo.</w:t>
      </w:r>
    </w:p>
    <w:p>
      <w:pPr>
        <w:pStyle w:val="Normal"/>
        <w:rPr/>
      </w:pPr>
      <w:r>
        <w:rPr/>
        <w:t>Konference byla podřízena předsedům tří orgánů, kteří působili jako společné předsednictví. Společnému předsednictví byla nápomocna výkonná rada, které společně předsedal jeden člen z každého ze tří orgánů EU.</w:t>
      </w:r>
    </w:p>
    <w:p>
      <w:pPr>
        <w:pStyle w:val="Normal"/>
        <w:rPr/>
      </w:pPr>
      <w:r>
        <w:rPr/>
        <w:t xml:space="preserve">V souladu se společným prohlášením byly zřízeny tyto struktury: </w:t>
      </w:r>
    </w:p>
    <w:p>
      <w:pPr>
        <w:pStyle w:val="Alineanegatifpuce"/>
        <w:numPr>
          <w:ilvl w:val="0"/>
          <w:numId w:val="3"/>
        </w:numPr>
        <w:rPr/>
      </w:pPr>
      <w:r>
        <w:rPr/>
        <w:t>výkonná rada, která dohlížela na organizaci konference. Byl složen ze zástupců tří orgánů EU (tři členové a čtyři pozorovatelé) a pozorovatelů z prezidentské trojky Konference orgánů pro záležitosti Společenství (COSAC) vnitrostátních parlamentů Evropské unie. Výbor regionů, Evropský hospodářský a sociální výbor a zástupci sociálních partnerů byli pozváni jako pozorovatelé;</w:t>
      </w:r>
    </w:p>
    <w:p>
      <w:pPr>
        <w:pStyle w:val="Alineanegatifpuce"/>
        <w:numPr>
          <w:ilvl w:val="0"/>
          <w:numId w:val="3"/>
        </w:numPr>
        <w:rPr/>
      </w:pPr>
      <w:r>
        <w:rPr/>
        <w:t>společný sekretariát zajišťující rovné zastoupení všech tří orgánů, který podporoval práci výkonné rady. Zejména dohlížel na organizaci a přípravu zasedání výkonné rady, plenárních shromáždění konference a panelů evropských občanů, a to pod vedením tří spolupředsedů těchto tří orgánů. Ve spolupráci s poskytovateli služeb byla odpovědná za správu vícejazyčné digitální platformy a za podávání zpráv o klíčových milníkech v průběhu celého procesu.</w:t>
        <w:br/>
        <w:t xml:space="preserve">Jedinečné složení tohoto týmu umožnilo stálou kolegialitu práce a zajistilo součinnost a zvýšení efektivity ve všech oblastech; </w:t>
      </w:r>
    </w:p>
    <w:p>
      <w:pPr>
        <w:pStyle w:val="Alineanegatifpuce"/>
        <w:numPr>
          <w:ilvl w:val="0"/>
          <w:numId w:val="3"/>
        </w:numPr>
        <w:rPr/>
      </w:pPr>
      <w:r>
        <w:rPr/>
        <w:t>plenární shromáždění konference (více informací viz kapitola III), které umožnilo projednat doporučení vnitrostátních a evropských panelů občanů seskupených podle témat, a to při plném respektování hodnot EU a charty konference,</w:t>
      </w:r>
      <w:r>
        <w:rPr>
          <w:rStyle w:val="Ancredenotedebasdepage"/>
          <w:rStyle w:val="Ancredenotedebasdepage"/>
        </w:rPr>
        <w:footnoteReference w:id="3"/>
      </w:r>
      <w:r>
        <w:rPr/>
        <w:t>a aniž by byl předem stanoven výsledek diskusí nebo jejich rozsah byl omezen na předem vymezené oblasti politiky. Ve vhodných případech byly rovněž projednány příspěvky shromážděné na vícejazyčné digitální platformě. Bylo zřízeno devět tematických pracovních skupin, které poskytují podklady pro přípravu rozprav a návrhů v plénu.</w:t>
      </w:r>
    </w:p>
    <w:p>
      <w:pPr>
        <w:pStyle w:val="Alineanegatifpuce"/>
        <w:numPr>
          <w:ilvl w:val="0"/>
          <w:numId w:val="0"/>
        </w:numPr>
        <w:ind w:left="0" w:right="0" w:hanging="0"/>
        <w:rPr/>
      </w:pPr>
      <w:r>
        <w:rPr/>
      </w:r>
      <w:r>
        <w:br w:type="page"/>
      </w:r>
    </w:p>
    <w:p>
      <w:pPr>
        <w:pStyle w:val="Titre2"/>
        <w:numPr>
          <w:ilvl w:val="1"/>
          <w:numId w:val="2"/>
        </w:numPr>
        <w:rPr/>
      </w:pPr>
      <w:bookmarkStart w:id="2" w:name="__RefHeading___Toc298050_1346298689"/>
      <w:bookmarkEnd w:id="2"/>
      <w:r>
        <w:drawing>
          <wp:anchor behindDoc="0" distT="0" distB="0" distL="0" distR="0" simplePos="0" locked="0" layoutInCell="1" allowOverlap="1" relativeHeight="28">
            <wp:simplePos x="0" y="0"/>
            <wp:positionH relativeFrom="column">
              <wp:posOffset>0</wp:posOffset>
            </wp:positionH>
            <wp:positionV relativeFrom="paragraph">
              <wp:posOffset>99695</wp:posOffset>
            </wp:positionV>
            <wp:extent cx="2970530" cy="8561705"/>
            <wp:effectExtent l="0" t="0" r="0" b="0"/>
            <wp:wrapSquare wrapText="largest"/>
            <wp:docPr id="11" name="Obrázek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ázek4" descr=""/>
                    <pic:cNvPicPr>
                      <a:picLocks noChangeAspect="1" noChangeArrowheads="1"/>
                    </pic:cNvPicPr>
                  </pic:nvPicPr>
                  <pic:blipFill>
                    <a:blip r:embed="rId22"/>
                    <a:stretch>
                      <a:fillRect/>
                    </a:stretch>
                  </pic:blipFill>
                  <pic:spPr bwMode="auto">
                    <a:xfrm>
                      <a:off x="0" y="0"/>
                      <a:ext cx="2970530" cy="8561705"/>
                    </a:xfrm>
                    <a:prstGeom prst="rect">
                      <a:avLst/>
                    </a:prstGeom>
                  </pic:spPr>
                </pic:pic>
              </a:graphicData>
            </a:graphic>
          </wp:anchor>
        </w:drawing>
      </w:r>
      <w:r>
        <w:rPr/>
        <w:t>2</w:t>
      </w:r>
      <w:r>
        <w:rPr/>
        <w:t>. Jednací řád</w:t>
      </w:r>
    </w:p>
    <w:p>
      <w:pPr>
        <w:pStyle w:val="Normal"/>
        <w:rPr/>
      </w:pPr>
      <w:r>
        <w:rPr/>
        <w:t>Dne 9. května 2021 schválila výkonná rada jednací řád konference, který byl stanoven v souladu se společným prohlášením o konferenci o budoucnosti Evropy, které stanoví základy a zásady konference.</w:t>
      </w:r>
    </w:p>
    <w:p>
      <w:pPr>
        <w:pStyle w:val="Normal"/>
        <w:rPr/>
      </w:pPr>
      <w:r>
        <w:rPr/>
        <w:t>Jednací řád stanoví rámec pro práci různých konferenčních struktur a jejich vzájemné působení.</w:t>
      </w:r>
    </w:p>
    <w:p>
      <w:pPr>
        <w:pStyle w:val="Titre2"/>
        <w:numPr>
          <w:ilvl w:val="1"/>
          <w:numId w:val="2"/>
        </w:numPr>
        <w:rPr/>
      </w:pPr>
      <w:bookmarkStart w:id="3" w:name="__RefHeading___Toc298052_1346298689"/>
      <w:bookmarkEnd w:id="3"/>
      <w:r>
        <w:rPr/>
        <w:t>3. Akce související s konferencí</w:t>
      </w:r>
    </w:p>
    <w:p>
      <w:pPr>
        <w:pStyle w:val="Corpsdetexte"/>
        <w:rPr/>
      </w:pPr>
      <w:r>
        <w:rPr/>
        <w:t>Podle společného prohlášení by každý členský stát nebo orgán EU mohl pořádat akce pod záštitou konference v závislosti na svých vnitrostátních nebo institucionálních zvláštnostech a dále přispívat ke konferenci (více informací viz kapitola II.C).</w:t>
      </w:r>
    </w:p>
    <w:p>
      <w:pPr>
        <w:pStyle w:val="Corpsdetexte"/>
        <w:rPr/>
      </w:pPr>
      <w:r>
        <w:rPr/>
        <w:t>Orgány a instituce EU, členské státy, regionální a místní orgány, organizovaná občanská společnost, sociální partneři a občané byli proto vyzváni k pořádání akcí ve spolupráci s občanskou společností a zúčastněnými stranami na evropské, vnitrostátní, regionální a místní úrovni v široké škále formátů v celé Evropě a aby výsledky těchto akcí zveřejnili na digitální platformě. Uskutečnilo se několik tisíc takových akcí, kterých se zúčastnilo asi 650 000 účastníků.</w:t>
      </w:r>
    </w:p>
    <w:p>
      <w:pPr>
        <w:pStyle w:val="Titre2"/>
        <w:numPr>
          <w:ilvl w:val="1"/>
          <w:numId w:val="2"/>
        </w:numPr>
        <w:rPr/>
      </w:pPr>
      <w:bookmarkStart w:id="4" w:name="__RefHeading___Toc298054_1346298689"/>
      <w:bookmarkEnd w:id="4"/>
      <w:r>
        <w:rPr/>
        <w:t>4.</w:t>
        <w:tab/>
        <w:t>Provádění vícejazyčné digitální platformy</w:t>
      </w:r>
    </w:p>
    <w:p>
      <w:pPr>
        <w:pStyle w:val="Normal"/>
        <w:rPr/>
      </w:pPr>
      <w:r>
        <w:rPr/>
        <w:t>V souladu se společným prohlášením byla zřízena vícejazyčná digitální platforma (více informací viz kapitola II.A) s cílem umožnit občanům sdílet své nápady a posílat příspěvky on-line. Byl hlavním centrem pro příspěvky a informování občanů o různých částech konference a interaktivním nástrojem pro sdílení a diskusi o myšlenkách a přínosech mnoha akcí pořádaných v rámci konference. Platforma byla oficiálně spuštěna dne 19. dubna 2021. Na platformě bylo zveřejněno více než 17 000 nápadů.</w:t>
      </w:r>
    </w:p>
    <w:p>
      <w:pPr>
        <w:pStyle w:val="Corpsdetexte"/>
        <w:rPr/>
      </w:pPr>
      <w:r>
        <w:rPr/>
        <w:t>V průběhu konference byly vypracovány zprávy o příspěvcích prezentovaných na platformě.</w:t>
      </w:r>
    </w:p>
    <w:p>
      <w:pPr>
        <w:pStyle w:val="Normal"/>
        <w:rPr/>
      </w:pPr>
      <w:r>
        <w:rPr/>
        <w:t>Příspěvky shromážděné prostřednictvím platformy zohlednily evropské panelové diskuse občanů a byly projednány a projednány na plenárním zasedání konference.</w:t>
      </w:r>
    </w:p>
    <w:p>
      <w:pPr>
        <w:pStyle w:val="Titre2"/>
        <w:numPr>
          <w:ilvl w:val="1"/>
          <w:numId w:val="2"/>
        </w:numPr>
        <w:rPr/>
      </w:pPr>
      <w:bookmarkStart w:id="5" w:name="__RefHeading___Toc298056_1346298689"/>
      <w:bookmarkEnd w:id="5"/>
      <w:r>
        <w:rPr/>
        <w:t>5.</w:t>
        <w:tab/>
        <w:t>Evropské panelové diskuse občanů</w:t>
      </w:r>
    </w:p>
    <w:p>
      <w:pPr>
        <w:pStyle w:val="Normal"/>
        <w:rPr/>
      </w:pPr>
      <w:r>
        <w:rPr/>
        <w:t>V souladu se společným prohlášením byly evropské panelové diskuse občanů pořádané podle hlavních témat konference ústředním a obzvláště inovativním prvkem konference (více informací viz kapitola II.B).</w:t>
      </w:r>
    </w:p>
    <w:p>
      <w:pPr>
        <w:pStyle w:val="Normal"/>
        <w:rPr/>
      </w:pPr>
      <w:r>
        <w:rPr/>
        <w:t>Celkem 800 náhodně vybraných občanů zastupujících sociologickou a geografickou rozmanitost EU a seskupených do čtyř panelů 200 občanů se sešlo na třech poradních zasedáních na panel. Evropské panelové diskuse občanů předložily doporučení, která byla podkladem pro všeobecná jednání konference, zejména na plenárních zasedáních konference.</w:t>
      </w:r>
    </w:p>
    <w:p>
      <w:pPr>
        <w:pStyle w:val="Normal"/>
        <w:rPr/>
      </w:pPr>
      <w:r>
        <w:rPr/>
        <w:t>Spolupředsedové výkonné rady společně stanovili praktická opatření pro organizaci evropských panelů občanů v souladu se společným prohlášením a jednacím řádem a předem informovali výkonnou radu.</w:t>
      </w:r>
    </w:p>
    <w:p>
      <w:pPr>
        <w:pStyle w:val="Normal"/>
        <w:rPr/>
      </w:pPr>
      <w:r>
        <w:rPr/>
        <w:t>Výkonná rada byla pravidelně informována o pokroku při zřizování a organizaci evropských panelových diskusí občanů.</w:t>
      </w:r>
    </w:p>
    <w:p>
      <w:pPr>
        <w:pStyle w:val="Normal"/>
        <w:rPr/>
      </w:pPr>
      <w:r>
        <w:rPr/>
      </w:r>
    </w:p>
    <w:p>
      <w:pPr>
        <w:pStyle w:val="Titre2"/>
        <w:numPr>
          <w:ilvl w:val="1"/>
          <w:numId w:val="2"/>
        </w:numPr>
        <w:rPr/>
      </w:pPr>
      <w:bookmarkStart w:id="6" w:name="__RefHeading___Toc298058_1346298689"/>
      <w:bookmarkEnd w:id="6"/>
      <w:r>
        <w:rPr/>
        <w:t>6.</w:t>
        <w:tab/>
        <w:t>Národní panely občanů</w:t>
      </w:r>
    </w:p>
    <w:p>
      <w:pPr>
        <w:pStyle w:val="Normal"/>
        <w:rPr/>
      </w:pPr>
      <w:r>
        <w:rPr/>
        <w:t>Podle společného prohlášení by členské státy mohly organizovat vnitrostátní panely. S cílem pomoci členským státům, které plánují organizovat vnitrostátní panely občanů, schválili spolupředsedové pokyny a dne 26. května 2021 je předali výkonné radě, aby bylo zajištěno, že vnitrostátní panely budou organizovány podle stejných zásad jako panely evropských občanů. Tyto pokyny zahrnovaly zásady řádného jednání na základě pokynů OECD</w:t>
      </w:r>
      <w:r>
        <w:rPr>
          <w:rStyle w:val="Ancredenotedebasdepage"/>
          <w:rStyle w:val="Ancredenotedebasdepage"/>
        </w:rPr>
        <w:footnoteReference w:id="4"/>
      </w:r>
      <w:r>
        <w:rPr/>
        <w:t>. Každý členský stát by se mohl rozhodnout, zda zorganizuje či nezorganizuje panel vnitrostátních občanů. Celkem šest členských států zorganizovalo jeden (Belgie, Francie, Německo, Itálie, Litva a Nizozemsko).</w:t>
      </w:r>
    </w:p>
    <w:p>
      <w:pPr>
        <w:pStyle w:val="Normal"/>
        <w:rPr/>
      </w:pPr>
      <w:r>
        <w:rPr/>
        <w:t>V souladu se společným prohlášením byla doporučení národních panelových diskusí občanů předložena a projednána na plenárním zasedání konference souběžně s doporučeními evropských panelových diskusí občanů.</w:t>
      </w:r>
    </w:p>
    <w:p>
      <w:pPr>
        <w:pStyle w:val="Normal"/>
        <w:rPr/>
      </w:pPr>
      <w:r>
        <w:rPr/>
      </w:r>
      <w:r>
        <w:br w:type="page"/>
      </w:r>
    </w:p>
    <w:p>
      <w:pPr>
        <w:pStyle w:val="Normal"/>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1"/>
        <w:numPr>
          <w:ilvl w:val="0"/>
          <w:numId w:val="2"/>
        </w:numPr>
        <w:rPr/>
      </w:pPr>
      <w:bookmarkStart w:id="7" w:name="__RefHeading___Toc298188_1346298689"/>
      <w:bookmarkEnd w:id="7"/>
      <w:r>
        <w:rPr/>
        <w:t>NE, NE, NE, NE, NE. Příspěvky občanů na konferenci</w:t>
      </w:r>
    </w:p>
    <w:p>
      <w:pPr>
        <w:pStyle w:val="Normal"/>
        <w:rPr/>
      </w:pPr>
      <w:r>
        <w:rPr/>
      </w:r>
      <w:r>
        <w:br w:type="page"/>
      </w:r>
    </w:p>
    <w:p>
      <w:pPr>
        <w:pStyle w:val="Titre2"/>
        <w:numPr>
          <w:ilvl w:val="1"/>
          <w:numId w:val="2"/>
        </w:numPr>
        <w:rPr/>
      </w:pPr>
      <w:bookmarkStart w:id="8" w:name="__RefHeading___Toc298190_1346298689"/>
      <w:bookmarkEnd w:id="8"/>
      <w:r>
        <w:rPr/>
        <w:t>A. Vícejazyčná digitální platforma</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Vícejazyčná digitální platforma byla spuštěna dne 19. dubna 2021 a byla ústředním kontaktním místem konference. Díky tomu se všichni mohli zúčastnit konference: všichni občané v EU i jinde, občanská společnost, sociální partneři a různé další zúčastněné strany.</w:t>
      </w:r>
    </w:p>
    <w:p>
      <w:pPr>
        <w:pStyle w:val="Normal"/>
        <w:rPr/>
      </w:pPr>
      <w:r>
        <w:rPr/>
        <w:t>Platforma byla vyvinuta speciálně pro konferenci s využitím evropského svobodného softwaru Decidim věnovaného účasti občanů. V takovém rozsahu a míře interaktivity a mnohojazyčnosti byl tento úspěch prvním, nejen evropským, ale i celosvětovým. Všechny příspěvky byly k dispozici ve všech 24 úředních jazycích EU prostřednictvím strojového překladu. Rozprava byla rozdělena do deseti témat: „Změna klimatu a životní prostředí“, „Zdraví“, „Silnější ekonomika, sociální spravedlnost a zaměstnanost“, „EU ve světě“, „hodnoty a práva, právní stát, bezpečnost“, „digitální transformace“, „evropská demokracie“, „Migrace“, „vzdělávání, kultura, mládež a sport“ a „Ostatní myšlenky“.</w:t>
      </w:r>
    </w:p>
    <w:p>
      <w:pPr>
        <w:pStyle w:val="Normal"/>
        <w:rPr/>
      </w:pPr>
      <w:r>
        <w:rPr/>
        <w:t>Na platformě bylo možné se zúčastnit několika různými způsoby.</w:t>
      </w:r>
    </w:p>
    <w:p>
      <w:pPr>
        <w:pStyle w:val="Normal"/>
        <w:rPr/>
      </w:pPr>
      <w:r>
        <w:rPr/>
        <w:t>Každý, kdo to chtěl, mohl sdílet své představy o jednom z deseti témat. Bylo také možné komentovat myšlenky druhých. Platforma tak umožnila skutečnou celoevropskou diskusi mezi občany.</w:t>
      </w:r>
    </w:p>
    <w:p>
      <w:pPr>
        <w:pStyle w:val="Normal"/>
        <w:rPr/>
      </w:pPr>
      <w:r>
        <w:rPr/>
        <w:t>Účastníci mohou také podpořit nápady, které naznačují, že podporují vstupy od jiného uživatele.</w:t>
      </w:r>
    </w:p>
    <w:p>
      <w:pPr>
        <w:pStyle w:val="Normal"/>
        <w:rPr/>
      </w:pPr>
      <w:r>
        <w:rPr/>
        <w:t xml:space="preserve">Dalším důležitým způsobem, jak na konferenci přispět, bylo uspořádat akce (virtuální, osobní nebo hybridní), oznámit je na platformě, informovat o jejich výsledcích a propojit je s nápady. Na platformě </w:t>
      </w:r>
      <w:hyperlink r:id="rId23">
        <w:r>
          <w:rPr>
            <w:rStyle w:val="LienInternet"/>
          </w:rPr>
          <w:t>byly organizátorům zpřístupněnypříručky a informační materiály</w:t>
        </w:r>
      </w:hyperlink>
      <w:r>
        <w:rPr/>
        <w:t xml:space="preserve"> na podporu participativní a inkluzivní povahy akcí.</w:t>
      </w:r>
    </w:p>
    <w:p>
      <w:pPr>
        <w:pStyle w:val="Normal"/>
        <w:rPr/>
      </w:pPr>
      <w:r>
        <w:rPr/>
        <w:t xml:space="preserve">Platforma hrála zásadní úlohu v transparentnosti celého procesu a přístupu všech k informacím souvisejícím s konferencí. To bylo místo, kde každý mohl najít informace o pracovních metodách a organizaci samotné konference, například o samotném procesu konference (plénu konference a jeho pracovní skupiny, </w:t>
      </w:r>
      <w:hyperlink r:id="rId24">
        <w:r>
          <w:rPr>
            <w:rStyle w:val="LienInternet"/>
          </w:rPr>
          <w:t>panelové panely evropských občanů</w:t>
        </w:r>
      </w:hyperlink>
      <w:r>
        <w:rPr/>
        <w:t xml:space="preserve">, </w:t>
      </w:r>
      <w:hyperlink r:id="rId25">
        <w:r>
          <w:rPr>
            <w:rStyle w:val="LienInternet"/>
          </w:rPr>
          <w:t>vnitrostátní panely a akce a</w:t>
        </w:r>
      </w:hyperlink>
      <w:r>
        <w:rPr/>
        <w:t xml:space="preserve"> </w:t>
      </w:r>
      <w:hyperlink r:id="rId26">
        <w:r>
          <w:rPr>
            <w:rStyle w:val="LienInternet"/>
          </w:rPr>
          <w:t>výkonná rada</w:t>
        </w:r>
      </w:hyperlink>
      <w:r>
        <w:rPr/>
        <w:t>). Diskuse plenárního zasedání a jeho pracovních skupin byly vysílány živě na internetu, stejně jako schůze evropských panelových diskusí občanů. Všechny tyto informace zůstanou na platformě k dispozici.</w:t>
      </w:r>
    </w:p>
    <w:p>
      <w:pPr>
        <w:pStyle w:val="Normal"/>
        <w:rPr/>
      </w:pPr>
      <w:r>
        <w:rPr/>
        <w:t>Během celé práce byla platforma provedena vylepšení, kdykoli to bylo možné, například přidáním funkcí nebo vizuálních médií. V průběhu času byla platforma také přístupnější pro osoby se zdravotním postižením.</w:t>
      </w:r>
    </w:p>
    <w:p>
      <w:pPr>
        <w:pStyle w:val="Normal"/>
        <w:rPr/>
      </w:pPr>
      <w:r>
        <w:rPr/>
        <w:t>Všechny příspěvky na platformě byly veřejné: přístup k nim měl každý, stejně jako otevřené datové soubory spojené s digitální platformou, která zajistila plnou transparentnost. S cílem usnadnit sběr a analýzu příspěvků vyvinulo Společné výzkumné středisko Komise nástroj pro automatizovanou analýzu textů a platformu pro analýzu, která umožnila vícejazyčný výklad a hloubkovou analýzu obsahu platformy. Platforma pro analýzu je nástrojem, který se ukázal jako nezbytný pro poskytování pravidelných zpráv o jednotné úrovni kvality ve všech jazycích. Kromě toho „dataton“, který v březnu 2022 uspořádala Evropská komise, podpořil nové přístupy v analýze otevřených datových řad a přispěl k transparentnosti procesu analýzy údajů.</w:t>
      </w:r>
    </w:p>
    <w:p>
      <w:pPr>
        <w:pStyle w:val="Normal"/>
        <w:rPr/>
      </w:pPr>
      <w:r>
        <w:rPr/>
        <w:t>S cílem poskytnout přehled o příspěvcích na platformě vypracoval externí poskytovatel služeb zprávy, které byly zveřejněny na samotné platformě.</w:t>
      </w:r>
    </w:p>
    <w:p>
      <w:pPr>
        <w:pStyle w:val="Normal"/>
        <w:rPr/>
      </w:pPr>
      <w:hyperlink r:id="rId27">
        <w:r>
          <w:rPr>
            <w:rStyle w:val="LienInternet"/>
          </w:rPr>
          <w:t>První průběžná zpráva</w:t>
        </w:r>
      </w:hyperlink>
      <w:r>
        <w:rPr/>
        <w:t xml:space="preserve"> byla zveřejněna v září: zaměřuje se na příspěvky</w:t>
      </w:r>
    </w:p>
    <w:p>
      <w:pPr>
        <w:pStyle w:val="Normal"/>
        <w:rPr/>
      </w:pPr>
      <w:r>
        <w:rPr/>
        <w:t xml:space="preserve">doručeno do 2. srpna 2021. </w:t>
      </w:r>
      <w:hyperlink r:id="rId28">
        <w:r>
          <w:rPr>
            <w:rStyle w:val="LienInternet"/>
          </w:rPr>
          <w:t>Druhá průběžná zpráva</w:t>
        </w:r>
      </w:hyperlink>
      <w:r>
        <w:rPr/>
        <w:t xml:space="preserve">byla zveřejněna v polovině října 2021 a týkala se příspěvků předložených do 7. září 2021. </w:t>
      </w:r>
      <w:hyperlink r:id="rId29">
        <w:r>
          <w:rPr>
            <w:rStyle w:val="LienInternet"/>
          </w:rPr>
          <w:t>Třetí průběžná zpráva</w:t>
        </w:r>
      </w:hyperlink>
      <w:r>
        <w:rPr/>
        <w:t xml:space="preserve"> byla zveřejněna v prosinci 2021 a týkala se příspěvků do 3. listopadu 2021. Vzhledem k tomu, že práce na konferenci vstoupila do závěrečné fáze, byla v polovině března 2022 zveřejněna poslední zpráva, která inspirovala činnost plenárních shromáždění konference, přičemž byly zohledněny příspěvky předložené na digitální platformě do 20. února 2022. Tento kalendář byl jasně oznámen na platformě i jinde, což vedlo ke zvýšení příspěvků v lednu a únoru 2022. Příspěvky obdržené do 9. května budou projednány v dodatečné zprávě. Současně se zprávami ze září a prosince 2021 a března 2022 byly rovněž zpřístupněny další zprávy o příspěvcích předložených na platformě podle členských států.</w:t>
      </w:r>
    </w:p>
    <w:p>
      <w:pPr>
        <w:pStyle w:val="Normal"/>
        <w:rPr/>
      </w:pPr>
      <w:r>
        <w:rPr/>
        <w:t xml:space="preserve">Hlavní důraz těchto zpráv byl kladen na kvalitativní analýzu příspěvků zveřejněných na platformě s cílem poskytnout obecný přehled o rozsahu a rozmanitosti </w:t>
      </w:r>
      <w:r>
        <w:drawing>
          <wp:anchor behindDoc="0" distT="0" distB="0" distL="0" distR="0" simplePos="0" locked="0" layoutInCell="1" allowOverlap="1" relativeHeight="19">
            <wp:simplePos x="0" y="0"/>
            <wp:positionH relativeFrom="column">
              <wp:posOffset>60325</wp:posOffset>
            </wp:positionH>
            <wp:positionV relativeFrom="paragraph">
              <wp:posOffset>1607820</wp:posOffset>
            </wp:positionV>
            <wp:extent cx="5779135" cy="3321685"/>
            <wp:effectExtent l="0" t="0" r="0" b="0"/>
            <wp:wrapTopAndBottom/>
            <wp:docPr id="12" name="Obrázek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ázek5" descr=""/>
                    <pic:cNvPicPr>
                      <a:picLocks noChangeAspect="1" noChangeArrowheads="1"/>
                    </pic:cNvPicPr>
                  </pic:nvPicPr>
                  <pic:blipFill>
                    <a:blip r:embed="rId30"/>
                    <a:stretch>
                      <a:fillRect/>
                    </a:stretch>
                  </pic:blipFill>
                  <pic:spPr bwMode="auto">
                    <a:xfrm>
                      <a:off x="0" y="0"/>
                      <a:ext cx="5779135" cy="3321685"/>
                    </a:xfrm>
                    <a:prstGeom prst="rect">
                      <a:avLst/>
                    </a:prstGeom>
                  </pic:spPr>
                </pic:pic>
              </a:graphicData>
            </a:graphic>
          </wp:anchor>
        </w:drawing>
      </w:r>
      <w:r>
        <w:rPr/>
        <w:t>n</w:t>
      </w:r>
      <w:r>
        <w:rPr/>
        <w:t>ápadů navržených na platformě a diskutovaných na akcích. Za tímto účelem provedl výzkumný tým manuální textovou analýzu a sdružování příspěvků za použití analytických nástrojů poskytnutých Společným výzkumným střediskem Komise. To umožnilo identifikovat společná témata a podkategorie témat, které byly podrobně popsány pod každým tématem a syntetizovány v koncepčních schématech, které jim umožňují rychle vizualizovat. Aby byl tento kvalitativní přístup doplněn kvantitativními prvky, tématy, podtématy nebo myšlenkami, které se často vrátily nebo které byly vysoce komentovány nebo podporovány, byly zmíněny v každé z těchto zpráv. Cílem bylo reflektovat stav diskusí v různých fázích konference, včetně vysoké úrovně zájmu nebo debaty generované určitými myšlenkami. Zprávy rovněž poskytly přehled sociodemografických údajů účastníků. Přispěvatelé byli požádáni, aby poskytli informace o zemi svého bydliště, úrovni vzdělání, věku, pohlaví a profesním postavení; volitelná povaha těchto informací však omezuje srozumitelnost, kterou lze vyvodit, pokud jde o profil účastníků. Například 26,9 % všech příspěvků pocházelo od účastníků, kteří neuvedli zemi svého bydliště.</w:t>
      </w:r>
    </w:p>
    <w:p>
      <w:pPr>
        <w:pStyle w:val="Normal"/>
        <w:rPr/>
      </w:pPr>
      <w:r>
        <w:rPr/>
      </w:r>
      <w:r>
        <w:br w:type="page"/>
      </w:r>
    </w:p>
    <w:p>
      <w:pPr>
        <w:pStyle w:val="Normal"/>
        <w:rPr/>
      </w:pPr>
      <w:r>
        <w:rPr/>
        <w:t>Od spuštění platformy je tématem „Evropská demokracie“ téma, pro které byl zaznamenán největší počet příspěvků (myšlenky, komentáře a události). Druhým tématem je „Změna klimatu a životní prostředí“. Příspěvky předložené v rámci „Ostatní myšlenky“ se umístily na třetím místě před „hodnotami a právy, právním státem, bezpečností“ a „Silnější ekonomikou, sociální spravedlností a zaměstnaností“.</w:t>
      </w:r>
    </w:p>
    <w:p>
      <w:pPr>
        <w:pStyle w:val="Normal"/>
        <w:rPr/>
      </w:pPr>
      <w:r>
        <w:rPr/>
        <w:t>Zprávy o příspěvcích shromážděných na platformě, včetně koncepčních režimů, významně přispěly k práci evropských panelových diskusí občanů. Na začátku každého ze tří zasedání panelu byly panelům, které obdržely odkazy na úplné zprávy, předloženy hlavní závěry zprávy a koncepční schémata. Tolik nápadů, které se objevily na platformě, se odráží v doporučeních evropských panelových diskusí občanů.</w:t>
      </w:r>
    </w:p>
    <w:p>
      <w:pPr>
        <w:pStyle w:val="Normal"/>
        <w:spacing w:before="2802" w:after="57"/>
        <w:rPr/>
      </w:pPr>
      <w:r>
        <mc:AlternateContent>
          <mc:Choice Requires="wps">
            <w:drawing>
              <wp:anchor behindDoc="0" distT="72390" distB="72390" distL="72390" distR="72390" simplePos="0" locked="0" layoutInCell="1" allowOverlap="1" relativeHeight="27">
                <wp:simplePos x="0" y="0"/>
                <wp:positionH relativeFrom="column">
                  <wp:posOffset>22860</wp:posOffset>
                </wp:positionH>
                <wp:positionV relativeFrom="paragraph">
                  <wp:posOffset>2617470</wp:posOffset>
                </wp:positionV>
                <wp:extent cx="6036310" cy="1779905"/>
                <wp:effectExtent l="0" t="0" r="0" b="0"/>
                <wp:wrapSquare wrapText="bothSides"/>
                <wp:docPr id="13" name="Rámec2"/>
                <a:graphic xmlns:a="http://schemas.openxmlformats.org/drawingml/2006/main">
                  <a:graphicData uri="http://schemas.microsoft.com/office/word/2010/wordprocessingShape">
                    <wps:wsp>
                      <wps:cNvSpPr/>
                      <wps:spPr>
                        <a:xfrm>
                          <a:off x="0" y="0"/>
                          <a:ext cx="6035760" cy="1779120"/>
                        </a:xfrm>
                        <a:prstGeom prst="rect">
                          <a:avLst/>
                        </a:prstGeom>
                        <a:solidFill>
                          <a:srgbClr val="ffffff"/>
                        </a:solidFill>
                        <a:ln w="720">
                          <a:solidFill>
                            <a:srgbClr val="000000"/>
                          </a:solidFill>
                          <a:round/>
                        </a:ln>
                      </wps:spPr>
                      <wps:style>
                        <a:lnRef idx="0"/>
                        <a:fillRef idx="0"/>
                        <a:effectRef idx="0"/>
                        <a:fontRef idx="minor"/>
                      </wps:style>
                      <wps:txbx>
                        <w:txbxContent>
                          <w:tbl>
                            <w:tblPr>
                              <w:tblW w:w="9333" w:type="dxa"/>
                              <w:jc w:val="left"/>
                              <w:tblInd w:w="0" w:type="dxa"/>
                              <w:tblBorders/>
                              <w:tblCellMar>
                                <w:top w:w="0" w:type="dxa"/>
                                <w:left w:w="0" w:type="dxa"/>
                                <w:bottom w:w="0" w:type="dxa"/>
                                <w:right w:w="0" w:type="dxa"/>
                              </w:tblCellMar>
                            </w:tblPr>
                            <w:tblGrid>
                              <w:gridCol w:w="3111"/>
                              <w:gridCol w:w="3111"/>
                              <w:gridCol w:w="3111"/>
                            </w:tblGrid>
                            <w:tr>
                              <w:trPr/>
                              <w:tc>
                                <w:tcPr>
                                  <w:tcW w:w="9333" w:type="dxa"/>
                                  <w:gridSpan w:val="3"/>
                                  <w:tcBorders/>
                                  <w:shd w:fill="auto" w:val="clear"/>
                                </w:tcPr>
                                <w:p>
                                  <w:pPr>
                                    <w:pStyle w:val="Contenudetableau"/>
                                    <w:spacing w:before="57" w:after="57"/>
                                    <w:jc w:val="center"/>
                                    <w:rPr/>
                                  </w:pPr>
                                  <w:r>
                                    <w:rPr/>
                                    <w:t>Co se děje na konferenci o budoucnosti Evropy?</w:t>
                                  </w:r>
                                </w:p>
                              </w:tc>
                            </w:tr>
                            <w:tr>
                              <w:trPr/>
                              <w:tc>
                                <w:tcPr>
                                  <w:tcW w:w="3111" w:type="dxa"/>
                                  <w:tcBorders/>
                                  <w:shd w:fill="auto" w:val="clear"/>
                                </w:tcPr>
                                <w:p>
                                  <w:pPr>
                                    <w:pStyle w:val="P68B1DB1Contenudetableau8"/>
                                    <w:spacing w:before="57" w:after="57"/>
                                    <w:jc w:val="center"/>
                                    <w:rPr>
                                      <w:sz w:val="32"/>
                                    </w:rPr>
                                  </w:pPr>
                                  <w:r>
                                    <w:rPr/>
                                    <w:t xml:space="preserve">52 346 </w:t>
                                  </w:r>
                                </w:p>
                                <w:p>
                                  <w:pPr>
                                    <w:pStyle w:val="Contenudetableau"/>
                                    <w:spacing w:before="57" w:after="57"/>
                                    <w:jc w:val="center"/>
                                    <w:rPr/>
                                  </w:pPr>
                                  <w:r>
                                    <w:rPr/>
                                    <w:t>účastníci konference</w:t>
                                  </w:r>
                                </w:p>
                              </w:tc>
                              <w:tc>
                                <w:tcPr>
                                  <w:tcW w:w="3111" w:type="dxa"/>
                                  <w:tcBorders/>
                                  <w:shd w:fill="auto" w:val="clear"/>
                                </w:tcPr>
                                <w:p>
                                  <w:pPr>
                                    <w:pStyle w:val="P68B1DB1Contenudetableau8"/>
                                    <w:spacing w:before="57" w:after="57"/>
                                    <w:jc w:val="center"/>
                                    <w:rPr>
                                      <w:sz w:val="32"/>
                                    </w:rPr>
                                  </w:pPr>
                                  <w:r>
                                    <w:rPr/>
                                    <w:t xml:space="preserve">652 532 </w:t>
                                  </w:r>
                                </w:p>
                                <w:p>
                                  <w:pPr>
                                    <w:pStyle w:val="Contenudetableau"/>
                                    <w:spacing w:before="57" w:after="57"/>
                                    <w:jc w:val="center"/>
                                    <w:rPr/>
                                  </w:pPr>
                                  <w:r>
                                    <w:rPr/>
                                    <w:t>účastníci akce</w:t>
                                  </w:r>
                                </w:p>
                              </w:tc>
                              <w:tc>
                                <w:tcPr>
                                  <w:tcW w:w="3111" w:type="dxa"/>
                                  <w:tcBorders/>
                                  <w:shd w:fill="auto" w:val="clear"/>
                                </w:tcPr>
                                <w:p>
                                  <w:pPr>
                                    <w:pStyle w:val="P68B1DB1Contenudetableau8"/>
                                    <w:spacing w:before="57" w:after="57"/>
                                    <w:jc w:val="center"/>
                                    <w:rPr>
                                      <w:sz w:val="32"/>
                                    </w:rPr>
                                  </w:pPr>
                                  <w:r>
                                    <w:rPr/>
                                    <w:t xml:space="preserve">17671 </w:t>
                                  </w:r>
                                </w:p>
                                <w:p>
                                  <w:pPr>
                                    <w:pStyle w:val="Contenudetableau"/>
                                    <w:spacing w:before="57" w:after="57"/>
                                    <w:jc w:val="center"/>
                                    <w:rPr/>
                                  </w:pPr>
                                  <w:r>
                                    <w:rPr/>
                                    <w:t>nápady</w:t>
                                  </w:r>
                                </w:p>
                              </w:tc>
                            </w:tr>
                            <w:tr>
                              <w:trPr/>
                              <w:tc>
                                <w:tcPr>
                                  <w:tcW w:w="3111" w:type="dxa"/>
                                  <w:tcBorders/>
                                  <w:shd w:fill="auto" w:val="clear"/>
                                </w:tcPr>
                                <w:p>
                                  <w:pPr>
                                    <w:pStyle w:val="Contenudetableau"/>
                                    <w:spacing w:before="57" w:after="57"/>
                                    <w:jc w:val="center"/>
                                    <w:rPr/>
                                  </w:pPr>
                                  <w:r>
                                    <w:rPr>
                                      <w:sz w:val="32"/>
                                    </w:rPr>
                                    <w:t>21877</w:t>
                                  </w:r>
                                  <w:r>
                                    <w:rPr/>
                                    <w:t xml:space="preserve"> </w:t>
                                  </w:r>
                                </w:p>
                                <w:p>
                                  <w:pPr>
                                    <w:pStyle w:val="Contenudetableau"/>
                                    <w:spacing w:before="57" w:after="57"/>
                                    <w:jc w:val="center"/>
                                    <w:rPr/>
                                  </w:pPr>
                                  <w:r>
                                    <w:rPr/>
                                    <w:t>komentáře</w:t>
                                  </w:r>
                                </w:p>
                              </w:tc>
                              <w:tc>
                                <w:tcPr>
                                  <w:tcW w:w="3111" w:type="dxa"/>
                                  <w:tcBorders/>
                                  <w:shd w:fill="auto" w:val="clear"/>
                                </w:tcPr>
                                <w:p>
                                  <w:pPr>
                                    <w:pStyle w:val="P68B1DB1Contenudetableau8"/>
                                    <w:spacing w:before="57" w:after="57"/>
                                    <w:jc w:val="center"/>
                                    <w:rPr>
                                      <w:sz w:val="32"/>
                                    </w:rPr>
                                  </w:pPr>
                                  <w:r>
                                    <w:rPr/>
                                    <w:t xml:space="preserve">6465 </w:t>
                                  </w:r>
                                </w:p>
                                <w:p>
                                  <w:pPr>
                                    <w:pStyle w:val="Contenudetableau"/>
                                    <w:spacing w:before="57" w:after="57"/>
                                    <w:jc w:val="center"/>
                                    <w:rPr/>
                                  </w:pPr>
                                  <w:r>
                                    <w:rPr/>
                                    <w:t>akce</w:t>
                                  </w:r>
                                </w:p>
                              </w:tc>
                              <w:tc>
                                <w:tcPr>
                                  <w:tcW w:w="3111" w:type="dxa"/>
                                  <w:tcBorders/>
                                  <w:shd w:fill="auto" w:val="clear"/>
                                </w:tcPr>
                                <w:p>
                                  <w:pPr>
                                    <w:pStyle w:val="P68B1DB1Contenudetableau8"/>
                                    <w:spacing w:before="57" w:after="57"/>
                                    <w:jc w:val="center"/>
                                    <w:rPr>
                                      <w:sz w:val="32"/>
                                    </w:rPr>
                                  </w:pPr>
                                  <w:r>
                                    <w:rPr/>
                                    <w:t xml:space="preserve">72528 </w:t>
                                  </w:r>
                                </w:p>
                                <w:p>
                                  <w:pPr>
                                    <w:pStyle w:val="Contenudetableau"/>
                                    <w:spacing w:before="57" w:after="57"/>
                                    <w:jc w:val="center"/>
                                    <w:rPr/>
                                  </w:pPr>
                                  <w:r>
                                    <w:rPr/>
                                    <w:t>schválení</w:t>
                                  </w:r>
                                </w:p>
                              </w:tc>
                            </w:tr>
                          </w:tbl>
                          <w:p>
                            <w:pPr>
                              <w:pStyle w:val="Contenudecadre"/>
                              <w:spacing w:before="57" w:after="57"/>
                              <w:rPr/>
                            </w:pPr>
                            <w:r>
                              <w:rPr>
                                <w:color w:val="auto"/>
                              </w:rPr>
                              <w:t xml:space="preserve">Stav účasti k 20. dubnu 2022 (zdroj: </w:t>
                            </w:r>
                            <w:hyperlink r:id="rId31">
                              <w:r>
                                <w:rPr>
                                  <w:rStyle w:val="LienInternet"/>
                                  <w:color w:val="auto"/>
                                </w:rPr>
                                <w:t>Konference o budoucnosti Evropy (europa.eu</w:t>
                              </w:r>
                            </w:hyperlink>
                            <w:r>
                              <w:rPr>
                                <w:color w:val="auto"/>
                              </w:rPr>
                              <w:t>)</w:t>
                            </w:r>
                          </w:p>
                        </w:txbxContent>
                      </wps:txbx>
                      <wps:bodyPr lIns="54000" rIns="54000" tIns="54000" bIns="54000">
                        <a:noAutofit/>
                      </wps:bodyPr>
                    </wps:wsp>
                  </a:graphicData>
                </a:graphic>
              </wp:anchor>
            </w:drawing>
          </mc:Choice>
          <mc:Fallback>
            <w:pict>
              <v:rect id="shape_0" ID="Rámec2" fillcolor="white" stroked="t" style="position:absolute;margin-left:1.8pt;margin-top:206.1pt;width:475.2pt;height:140.05pt">
                <w10:wrap type="square"/>
                <v:fill o:detectmouseclick="t" type="solid" color2="black"/>
                <v:stroke color="black" weight="720" joinstyle="round" endcap="flat"/>
                <v:textbox>
                  <w:txbxContent>
                    <w:tbl>
                      <w:tblPr>
                        <w:tblW w:w="9333" w:type="dxa"/>
                        <w:jc w:val="left"/>
                        <w:tblInd w:w="0" w:type="dxa"/>
                        <w:tblBorders/>
                        <w:tblCellMar>
                          <w:top w:w="0" w:type="dxa"/>
                          <w:left w:w="0" w:type="dxa"/>
                          <w:bottom w:w="0" w:type="dxa"/>
                          <w:right w:w="0" w:type="dxa"/>
                        </w:tblCellMar>
                      </w:tblPr>
                      <w:tblGrid>
                        <w:gridCol w:w="3111"/>
                        <w:gridCol w:w="3111"/>
                        <w:gridCol w:w="3111"/>
                      </w:tblGrid>
                      <w:tr>
                        <w:trPr/>
                        <w:tc>
                          <w:tcPr>
                            <w:tcW w:w="9333" w:type="dxa"/>
                            <w:gridSpan w:val="3"/>
                            <w:tcBorders/>
                            <w:shd w:fill="auto" w:val="clear"/>
                          </w:tcPr>
                          <w:p>
                            <w:pPr>
                              <w:pStyle w:val="Contenudetableau"/>
                              <w:spacing w:before="57" w:after="57"/>
                              <w:jc w:val="center"/>
                              <w:rPr/>
                            </w:pPr>
                            <w:r>
                              <w:rPr/>
                              <w:t>Co se děje na konferenci o budoucnosti Evropy?</w:t>
                            </w:r>
                          </w:p>
                        </w:tc>
                      </w:tr>
                      <w:tr>
                        <w:trPr/>
                        <w:tc>
                          <w:tcPr>
                            <w:tcW w:w="3111" w:type="dxa"/>
                            <w:tcBorders/>
                            <w:shd w:fill="auto" w:val="clear"/>
                          </w:tcPr>
                          <w:p>
                            <w:pPr>
                              <w:pStyle w:val="P68B1DB1Contenudetableau8"/>
                              <w:spacing w:before="57" w:after="57"/>
                              <w:jc w:val="center"/>
                              <w:rPr>
                                <w:sz w:val="32"/>
                              </w:rPr>
                            </w:pPr>
                            <w:r>
                              <w:rPr/>
                              <w:t xml:space="preserve">52 346 </w:t>
                            </w:r>
                          </w:p>
                          <w:p>
                            <w:pPr>
                              <w:pStyle w:val="Contenudetableau"/>
                              <w:spacing w:before="57" w:after="57"/>
                              <w:jc w:val="center"/>
                              <w:rPr/>
                            </w:pPr>
                            <w:r>
                              <w:rPr/>
                              <w:t>účastníci konference</w:t>
                            </w:r>
                          </w:p>
                        </w:tc>
                        <w:tc>
                          <w:tcPr>
                            <w:tcW w:w="3111" w:type="dxa"/>
                            <w:tcBorders/>
                            <w:shd w:fill="auto" w:val="clear"/>
                          </w:tcPr>
                          <w:p>
                            <w:pPr>
                              <w:pStyle w:val="P68B1DB1Contenudetableau8"/>
                              <w:spacing w:before="57" w:after="57"/>
                              <w:jc w:val="center"/>
                              <w:rPr>
                                <w:sz w:val="32"/>
                              </w:rPr>
                            </w:pPr>
                            <w:r>
                              <w:rPr/>
                              <w:t xml:space="preserve">652 532 </w:t>
                            </w:r>
                          </w:p>
                          <w:p>
                            <w:pPr>
                              <w:pStyle w:val="Contenudetableau"/>
                              <w:spacing w:before="57" w:after="57"/>
                              <w:jc w:val="center"/>
                              <w:rPr/>
                            </w:pPr>
                            <w:r>
                              <w:rPr/>
                              <w:t>účastníci akce</w:t>
                            </w:r>
                          </w:p>
                        </w:tc>
                        <w:tc>
                          <w:tcPr>
                            <w:tcW w:w="3111" w:type="dxa"/>
                            <w:tcBorders/>
                            <w:shd w:fill="auto" w:val="clear"/>
                          </w:tcPr>
                          <w:p>
                            <w:pPr>
                              <w:pStyle w:val="P68B1DB1Contenudetableau8"/>
                              <w:spacing w:before="57" w:after="57"/>
                              <w:jc w:val="center"/>
                              <w:rPr>
                                <w:sz w:val="32"/>
                              </w:rPr>
                            </w:pPr>
                            <w:r>
                              <w:rPr/>
                              <w:t xml:space="preserve">17671 </w:t>
                            </w:r>
                          </w:p>
                          <w:p>
                            <w:pPr>
                              <w:pStyle w:val="Contenudetableau"/>
                              <w:spacing w:before="57" w:after="57"/>
                              <w:jc w:val="center"/>
                              <w:rPr/>
                            </w:pPr>
                            <w:r>
                              <w:rPr/>
                              <w:t>nápady</w:t>
                            </w:r>
                          </w:p>
                        </w:tc>
                      </w:tr>
                      <w:tr>
                        <w:trPr/>
                        <w:tc>
                          <w:tcPr>
                            <w:tcW w:w="3111" w:type="dxa"/>
                            <w:tcBorders/>
                            <w:shd w:fill="auto" w:val="clear"/>
                          </w:tcPr>
                          <w:p>
                            <w:pPr>
                              <w:pStyle w:val="Contenudetableau"/>
                              <w:spacing w:before="57" w:after="57"/>
                              <w:jc w:val="center"/>
                              <w:rPr/>
                            </w:pPr>
                            <w:r>
                              <w:rPr>
                                <w:sz w:val="32"/>
                              </w:rPr>
                              <w:t>21877</w:t>
                            </w:r>
                            <w:r>
                              <w:rPr/>
                              <w:t xml:space="preserve"> </w:t>
                            </w:r>
                          </w:p>
                          <w:p>
                            <w:pPr>
                              <w:pStyle w:val="Contenudetableau"/>
                              <w:spacing w:before="57" w:after="57"/>
                              <w:jc w:val="center"/>
                              <w:rPr/>
                            </w:pPr>
                            <w:r>
                              <w:rPr/>
                              <w:t>komentáře</w:t>
                            </w:r>
                          </w:p>
                        </w:tc>
                        <w:tc>
                          <w:tcPr>
                            <w:tcW w:w="3111" w:type="dxa"/>
                            <w:tcBorders/>
                            <w:shd w:fill="auto" w:val="clear"/>
                          </w:tcPr>
                          <w:p>
                            <w:pPr>
                              <w:pStyle w:val="P68B1DB1Contenudetableau8"/>
                              <w:spacing w:before="57" w:after="57"/>
                              <w:jc w:val="center"/>
                              <w:rPr>
                                <w:sz w:val="32"/>
                              </w:rPr>
                            </w:pPr>
                            <w:r>
                              <w:rPr/>
                              <w:t xml:space="preserve">6465 </w:t>
                            </w:r>
                          </w:p>
                          <w:p>
                            <w:pPr>
                              <w:pStyle w:val="Contenudetableau"/>
                              <w:spacing w:before="57" w:after="57"/>
                              <w:jc w:val="center"/>
                              <w:rPr/>
                            </w:pPr>
                            <w:r>
                              <w:rPr/>
                              <w:t>akce</w:t>
                            </w:r>
                          </w:p>
                        </w:tc>
                        <w:tc>
                          <w:tcPr>
                            <w:tcW w:w="3111" w:type="dxa"/>
                            <w:tcBorders/>
                            <w:shd w:fill="auto" w:val="clear"/>
                          </w:tcPr>
                          <w:p>
                            <w:pPr>
                              <w:pStyle w:val="P68B1DB1Contenudetableau8"/>
                              <w:spacing w:before="57" w:after="57"/>
                              <w:jc w:val="center"/>
                              <w:rPr>
                                <w:sz w:val="32"/>
                              </w:rPr>
                            </w:pPr>
                            <w:r>
                              <w:rPr/>
                              <w:t xml:space="preserve">72528 </w:t>
                            </w:r>
                          </w:p>
                          <w:p>
                            <w:pPr>
                              <w:pStyle w:val="Contenudetableau"/>
                              <w:spacing w:before="57" w:after="57"/>
                              <w:jc w:val="center"/>
                              <w:rPr/>
                            </w:pPr>
                            <w:r>
                              <w:rPr/>
                              <w:t>schválení</w:t>
                            </w:r>
                          </w:p>
                        </w:tc>
                      </w:tr>
                    </w:tbl>
                    <w:p>
                      <w:pPr>
                        <w:pStyle w:val="Contenudecadre"/>
                        <w:spacing w:before="57" w:after="57"/>
                        <w:rPr/>
                      </w:pPr>
                      <w:r>
                        <w:rPr>
                          <w:color w:val="auto"/>
                        </w:rPr>
                        <w:t xml:space="preserve">Stav účasti k 20. dubnu 2022 (zdroj: </w:t>
                      </w:r>
                      <w:hyperlink r:id="rId32">
                        <w:r>
                          <w:rPr>
                            <w:rStyle w:val="LienInternet"/>
                            <w:color w:val="auto"/>
                          </w:rPr>
                          <w:t>Konference o budoucnosti Evropy (europa.eu</w:t>
                        </w:r>
                      </w:hyperlink>
                      <w:r>
                        <w:rPr>
                          <w:color w:val="auto"/>
                        </w:rPr>
                        <w:t>)</w:t>
                      </w:r>
                    </w:p>
                  </w:txbxContent>
                </v:textbox>
              </v:rect>
            </w:pict>
          </mc:Fallback>
        </mc:AlternateContent>
      </w:r>
      <w:r>
        <w:rPr/>
        <w:t>Zprávy byly rovněž projednány na plenárních zasedáních konference, počínaje plenárním zasedáním dne 23. října 2021, jakož i na předchozích schůzích pracovních skupin. Příspěvky platformy proto nadále obohacovaly návrhy vypracované na plenárním zasedání konference.</w:t>
      </w:r>
    </w:p>
    <w:p>
      <w:pPr>
        <w:pStyle w:val="Normal"/>
        <w:rPr/>
      </w:pPr>
      <w:r>
        <w:rPr/>
        <w:t>Od 20. dubna 2022 navštívilo vícejazyčnou digitální platformu téměř pět milionů unikátních návštěvníků, na níž bylo aktivní více než 50 000 účastníků, diskutovalo se o 17 000 nápadech a více než 6 000 registrovaných akcí. Za těmito údaji stojí tisíce angažovaných občanů, kteří sdílejí a diskutují o mnoha myšlenkách a organizují řadu originálních a inovativních akcí v různých členských státech.</w:t>
      </w:r>
    </w:p>
    <w:p>
      <w:pPr>
        <w:pStyle w:val="Normal"/>
        <w:rPr/>
      </w:pPr>
      <w:r>
        <w:rPr/>
        <w:t xml:space="preserve">Aby se zajistilo, že platforma bude místem, kde se občané ze všech oblastí života a ze všech koutů Evropy cítí pohodlně a povzbuzováni k tomu, aby přispěli k diskusi, musel se každý, kdo platformu používá, připojit k </w:t>
      </w:r>
      <w:hyperlink r:id="rId33">
        <w:r>
          <w:rPr>
            <w:rStyle w:val="LienInternet"/>
          </w:rPr>
          <w:t>chartě konference</w:t>
        </w:r>
      </w:hyperlink>
      <w:r>
        <w:rPr/>
        <w:t xml:space="preserve"> a </w:t>
      </w:r>
      <w:hyperlink r:id="rId34">
        <w:r>
          <w:rPr>
            <w:rStyle w:val="LienInternet"/>
          </w:rPr>
          <w:t>pravidlům pro účast</w:t>
        </w:r>
      </w:hyperlink>
      <w:r>
        <w:rPr/>
        <w:t>. Byl zřízen tým pro umírněnost, který pracuje po celou dobu konference pod dohledem společného sekretariátu jménem výkonné rady, aby zajistil soulad s Listinou a pravidly účasti. Nedošlo k žádnému předchozímu moderování obsahu. Když byl příspěvek skryt, uživatel obdržel zprávu od moderátorského týmu vysvětlující důvod. Podrobnosti o zásadách a procesu moderování byly k dispozici v</w:t>
      </w:r>
      <w:hyperlink r:id="rId35">
        <w:r>
          <w:rPr>
            <w:rStyle w:val="LienInternet"/>
          </w:rPr>
          <w:t>sekci Často kladené</w:t>
        </w:r>
      </w:hyperlink>
      <w:r>
        <w:rPr/>
        <w:t xml:space="preserve"> otázky (FAQ) platformy.</w:t>
      </w:r>
    </w:p>
    <w:p>
      <w:pPr>
        <w:pStyle w:val="Normal"/>
        <w:rPr/>
      </w:pPr>
      <w:r>
        <w:rPr/>
        <w:t>Mezi 19. dubnem 2021 a 20. dubnem 2022 bylo maskováno 430 nápadů (2,4 %), 312 komentářů (1,4 %) a 396 akcí (6,0 %). Asi 71 % nápadů bylo maskováno, protože neobsahovaly návrhy, ať už se jednalo o spam, uživatelské požadavky, nebo proto, že obsahovaly osobní informace nebo nevhodný související obraz; asi 17 % skrytých nápadů bylo duplicitní. Pouze 11 % skrytých myšlenek bylo způsobeno jejich urážlivým obsahem. Drtivá většina akcí, 76 %, byla maskována, protože se jednalo o duplikáty nebo proto, že informace o akci byly neúplné, na žádost organizátorů nebo proto, že s konferencí nesouvisely.</w:t>
      </w:r>
    </w:p>
    <w:p>
      <w:pPr>
        <w:pStyle w:val="Normal"/>
        <w:rPr/>
      </w:pPr>
      <w:r>
        <w:rPr/>
        <w:t>Možnost přispívat do platformy zůstala otevřená až do 9. května 2022. Po tomto datu je naplánována dodatečná zpráva, která doplní souhrn všech příspěvků obdržených během konference.</w:t>
      </w:r>
    </w:p>
    <w:p>
      <w:pPr>
        <w:pStyle w:val="Normal"/>
        <w:rPr/>
      </w:pPr>
      <w:r>
        <w:rPr/>
        <w:t>Účast na platformě se v průběhu konference i nadále zvyšovala, ale v členských státech zůstala nerovnoměrná a sociálně-demografické profily účastníků zůstaly nerovnoměrné. Platforma obecně poskytla inovativní prostor pro jednání, který umožnil několika tisícům občanů a různých zúčastněných stran z celé Evropy i mimo ni účastnit se on-line vícejazyčné diskuse o evropských otázkách ve všech členských státech. Ukázalo se, že je cenným nástrojem pro deliberativní demokracii na úrovni EU.</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drawing>
          <wp:anchor behindDoc="0" distT="0" distB="0" distL="0" distR="0" simplePos="0" locked="0" layoutInCell="1" allowOverlap="1" relativeHeight="17">
            <wp:simplePos x="0" y="0"/>
            <wp:positionH relativeFrom="column">
              <wp:align>center</wp:align>
            </wp:positionH>
            <wp:positionV relativeFrom="paragraph">
              <wp:posOffset>635</wp:posOffset>
            </wp:positionV>
            <wp:extent cx="5691505" cy="4577080"/>
            <wp:effectExtent l="0" t="0" r="0" b="0"/>
            <wp:wrapSquare wrapText="largest"/>
            <wp:docPr id="15" name="Obrázek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ázek6" descr=""/>
                    <pic:cNvPicPr>
                      <a:picLocks noChangeAspect="1" noChangeArrowheads="1"/>
                    </pic:cNvPicPr>
                  </pic:nvPicPr>
                  <pic:blipFill>
                    <a:blip r:embed="rId36"/>
                    <a:stretch>
                      <a:fillRect/>
                    </a:stretch>
                  </pic:blipFill>
                  <pic:spPr bwMode="auto">
                    <a:xfrm>
                      <a:off x="0" y="0"/>
                      <a:ext cx="5691505" cy="4577080"/>
                    </a:xfrm>
                    <a:prstGeom prst="rect">
                      <a:avLst/>
                    </a:prstGeom>
                  </pic:spPr>
                </pic:pic>
              </a:graphicData>
            </a:graphic>
          </wp:anchor>
        </w:drawing>
      </w:r>
    </w:p>
    <w:p>
      <w:pPr>
        <w:pStyle w:val="Normal"/>
        <w:rPr/>
      </w:pPr>
      <w:r>
        <w:rPr/>
      </w:r>
      <w:r>
        <w:br w:type="page"/>
      </w:r>
    </w:p>
    <w:p>
      <w:pPr>
        <w:pStyle w:val="Titre2"/>
        <w:numPr>
          <w:ilvl w:val="1"/>
          <w:numId w:val="2"/>
        </w:numPr>
        <w:rPr/>
      </w:pPr>
      <w:bookmarkStart w:id="9" w:name="__RefHeading___Toc298192_1346298689"/>
      <w:bookmarkEnd w:id="9"/>
      <w:r>
        <w:rPr/>
        <w:t>B. Občanské panely</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3"/>
        <w:numPr>
          <w:ilvl w:val="2"/>
          <w:numId w:val="2"/>
        </w:numPr>
        <w:rPr/>
      </w:pPr>
      <w:bookmarkStart w:id="10" w:name="__RefHeading___Toc298194_1346298689"/>
      <w:bookmarkEnd w:id="10"/>
      <w:r>
        <w:rPr/>
        <w:t>1. Evropské panelové diskuse občanů</w:t>
      </w:r>
    </w:p>
    <w:p>
      <w:pPr>
        <w:pStyle w:val="Corpsdetexte"/>
        <w:rPr/>
      </w:pPr>
      <w:r>
        <w:rPr/>
        <w:t>Evropské panelové diskuse občanů byly jedním z hlavních pilířů konference s národními panely, vícejazyčnou digitální platformou a plenárním zasedáním konference. Jsou ústředním bodem konference o budoucnosti Evropy a sdružují přibližně 800 občanů ze všech prostředí a regionů Evropské unie. Zatímco koncepce občanských panelů nebo shromáždění se používá po desetiletí na obecní úrovni a je stále viditelnější na vnitrostátní nebo regionální úrovni, celoevropský rozměr zůstává v této oblasti z velké části neprozkoumaný. Evropské panelové diskuse občanů byly prvními nadnárodními a mnohojazyčnými zkušenostmi tohoto rozsahu a úrovně ambicí. Pozoruhodný systém výkladu, který tento proces doprovázel, vedl k inkluzivnímu, uctivému a účinnému dialogu mezi zúčastněnými stranami, který zajistil respektování mnohojazyčnosti.</w:t>
      </w:r>
    </w:p>
    <w:p>
      <w:pPr>
        <w:pStyle w:val="Corpsdetexte"/>
        <w:rPr/>
      </w:pPr>
      <w:r>
        <w:rPr/>
        <w:t>Evropské panelové diskuse občanů byly organizovány třemi orgány na základě společného prohlášení, jednacího řádu a ujednání stanovených spolupředsedy pod dohledem výkonné rady. Podpořilo je konsorcium externích poskytovatelů služeb složené z různých odborníků v oblasti deliberativní demokracie a týmu pro podporu logistiky. Výkonná rada byla průběžně informována o práci panelů, byla poskytnuta aktualizovaná praktická opatření a podle potřeby upravila předběžný harmonogram zasedání evropských panelových diskusí občanů.</w:t>
      </w:r>
    </w:p>
    <w:p>
      <w:pPr>
        <w:pStyle w:val="Corpsdetexte"/>
        <w:rPr/>
      </w:pPr>
      <w:r>
        <w:rPr/>
        <w:t>Účastníci evropských panelových diskusí občanů byli vybráni v létě 2021. Občané EU byli náhodně vybráni (především kontaktováni 27 vnitrostátními průzkumnými ústavy koordinovanými externím poskytovatelem služeb) s cílem vytvořit „panely“, které jsou reprezentativní pro rozmanitost EU, a to na základě pěti kritérií: pohlaví, věk, zeměpisný původ (státní příslušnost, jakož i městské/venkovské prostředí), socioekonomické zázemí a úroveň vzdělání. Počet občanů v jednotlivých členských státech byl vypočten podle zásady sestupné proporcionality uplatňované na složení Evropského parlamentu s přihlédnutím k tomu, že každý panel by měl zahrnovat alespoň jednoho občana a jednoho občana z každého členského státu. Vzhledem k tomu, že konference věnovala zvláštní pozornost mladým lidem, jedna třetina občanů v každém panelu byla ve věku 16 až 24 let. Pro každou skupinu 200 osob bylo vybráno dalších 50 občanů, kteří zřídili rezervu.</w:t>
      </w:r>
    </w:p>
    <w:p>
      <w:pPr>
        <w:pStyle w:val="Corpsdetexte"/>
        <w:rPr/>
      </w:pPr>
      <w:r>
        <w:rPr/>
        <w:t>Byly uspořádány čtyři panely evropských občanů. U každého z nich odpovídala diskusní témata tématům uvedeným na vícejazyčné digitální platformě a byla seskupena takto:</w:t>
      </w:r>
    </w:p>
    <w:p>
      <w:pPr>
        <w:pStyle w:val="Puce3"/>
        <w:rPr/>
      </w:pPr>
      <w:r>
        <w:rPr/>
        <w:t>1. Silnější hospodářství, sociální spravedlnost a zaměstnanost; vzdělávání, kultura, mládež a sport; digitální transformace;</w:t>
      </w:r>
    </w:p>
    <w:p>
      <w:pPr>
        <w:pStyle w:val="Puce3"/>
        <w:rPr/>
      </w:pPr>
      <w:r>
        <w:rPr/>
        <w:t>2. Evropská demokracie; hodnoty a práva, právní stát, bezpečnost;</w:t>
      </w:r>
    </w:p>
    <w:p>
      <w:pPr>
        <w:pStyle w:val="Puce3"/>
        <w:rPr/>
      </w:pPr>
      <w:r>
        <w:rPr/>
        <w:t>3.Změna klimatu a životní prostředí; zdraví;</w:t>
      </w:r>
    </w:p>
    <w:p>
      <w:pPr>
        <w:pStyle w:val="Puce3"/>
        <w:tabs>
          <w:tab w:val="clear" w:pos="720"/>
        </w:tabs>
        <w:rPr/>
      </w:pPr>
      <w:r>
        <w:rPr/>
        <w:t>4.EU ve světě; migrace.</w:t>
      </w:r>
    </w:p>
    <w:p>
      <w:pPr>
        <w:pStyle w:val="Corpsdetexte"/>
        <w:rPr/>
      </w:pPr>
      <w:r>
        <w:rPr/>
        <w:t>Každý panel se sešel na tři víkendy. První série zasedání se konala ve Štrasburku, druhé on-line a třetí ve čtyřech městech (Dublin, Florencie, Varšava/Natolin a Maastricht), ve veřejných vysokoškolských institucích a s podporou místních orgánů.</w:t>
      </w:r>
    </w:p>
    <w:p>
      <w:pPr>
        <w:pStyle w:val="Titre4"/>
        <w:numPr>
          <w:ilvl w:val="3"/>
          <w:numId w:val="2"/>
        </w:numPr>
        <w:rPr/>
      </w:pPr>
      <w:bookmarkStart w:id="11" w:name="__RefHeading___Toc298196_1346298689"/>
      <w:bookmarkEnd w:id="11"/>
      <w:r>
        <w:rPr/>
        <w:t>PRVNÍ KOLO PANELOVÝCH ZASEDÁNÍ</w:t>
      </w:r>
    </w:p>
    <w:p>
      <w:pPr>
        <w:pStyle w:val="Corpsdetexte"/>
        <w:rPr/>
      </w:pPr>
      <w:r>
        <w:rPr/>
        <w:t>Během prvního zasedání každého panelu se účastníci fyzicky setkali ve Štrasburku. Cílem zasedání bylo vymezit pořad jednání pro jednání. Občané, kteří se zúčastnili panelů, začali reflektovat a rozvíjet svou vizi Evropy, počínaje prázdnou stránkou a určením otázek, které je třeba projednat, v rámci hlavních témat panelu. Poté upřednostnili témata, na něž se chtěli více zaměřit, s cílem předložit orgánům EU konkrétní doporučení pro následná opatření. Diskuse a kolektivní práce probíhaly v těchto dvou formátech:</w:t>
      </w:r>
    </w:p>
    <w:p>
      <w:pPr>
        <w:pStyle w:val="Alineanegatifpuce"/>
        <w:numPr>
          <w:ilvl w:val="0"/>
          <w:numId w:val="3"/>
        </w:numPr>
        <w:rPr/>
      </w:pPr>
      <w:r>
        <w:rPr/>
        <w:t xml:space="preserve"> </w:t>
      </w:r>
      <w:r>
        <w:rPr/>
        <w:t>v podskupinách složených z 12 až 14 občanů. V každé podskupině se hovořilo čtyřmi až pěti jazyky, ve kterých se občané mohli vyjadřovat ve svém vlastním jazyce. Činnost podskupin se řídila profesionálními facilitátory vybranými konsorciem externích poskytovatelů služeb.</w:t>
      </w:r>
    </w:p>
    <w:p>
      <w:pPr>
        <w:pStyle w:val="Alineanegatifpuce"/>
        <w:numPr>
          <w:ilvl w:val="0"/>
          <w:numId w:val="3"/>
        </w:numPr>
        <w:spacing w:before="3929" w:after="57"/>
        <w:rPr/>
      </w:pPr>
      <w:r>
        <mc:AlternateContent>
          <mc:Choice Requires="wps">
            <w:drawing>
              <wp:anchor behindDoc="0" distT="72390" distB="72390" distL="72390" distR="72390" simplePos="0" locked="0" layoutInCell="1" allowOverlap="1" relativeHeight="6">
                <wp:simplePos x="0" y="0"/>
                <wp:positionH relativeFrom="column">
                  <wp:posOffset>105410</wp:posOffset>
                </wp:positionH>
                <wp:positionV relativeFrom="paragraph">
                  <wp:posOffset>2555875</wp:posOffset>
                </wp:positionV>
                <wp:extent cx="6053455" cy="2495550"/>
                <wp:effectExtent l="0" t="0" r="0" b="0"/>
                <wp:wrapSquare wrapText="bothSides"/>
                <wp:docPr id="16" name="Rámeček3"/>
                <a:graphic xmlns:a="http://schemas.openxmlformats.org/drawingml/2006/main">
                  <a:graphicData uri="http://schemas.microsoft.com/office/word/2010/wordprocessingShape">
                    <wps:wsp>
                      <wps:cNvSpPr/>
                      <wps:spPr>
                        <a:xfrm>
                          <a:off x="0" y="0"/>
                          <a:ext cx="6052680" cy="2494800"/>
                        </a:xfrm>
                        <a:prstGeom prst="rect">
                          <a:avLst/>
                        </a:prstGeom>
                        <a:solidFill>
                          <a:srgbClr val="ffffff"/>
                        </a:solidFill>
                        <a:ln w="720">
                          <a:solidFill>
                            <a:srgbClr val="000000"/>
                          </a:solidFill>
                          <a:round/>
                        </a:ln>
                      </wps:spPr>
                      <wps:style>
                        <a:lnRef idx="0"/>
                        <a:fillRef idx="0"/>
                        <a:effectRef idx="0"/>
                        <a:fontRef idx="minor"/>
                      </wps:style>
                      <wps:txbx>
                        <w:txbxContent>
                          <w:tbl>
                            <w:tblPr>
                              <w:tblW w:w="9360" w:type="dxa"/>
                              <w:jc w:val="left"/>
                              <w:tblInd w:w="0" w:type="dxa"/>
                              <w:tblBorders/>
                              <w:tblCellMar>
                                <w:top w:w="0" w:type="dxa"/>
                                <w:left w:w="0" w:type="dxa"/>
                                <w:bottom w:w="0" w:type="dxa"/>
                                <w:right w:w="0" w:type="dxa"/>
                              </w:tblCellMar>
                            </w:tblPr>
                            <w:tblGrid>
                              <w:gridCol w:w="2774"/>
                              <w:gridCol w:w="345"/>
                              <w:gridCol w:w="2778"/>
                              <w:gridCol w:w="342"/>
                              <w:gridCol w:w="2719"/>
                              <w:gridCol w:w="401"/>
                            </w:tblGrid>
                            <w:tr>
                              <w:trPr/>
                              <w:tc>
                                <w:tcPr>
                                  <w:tcW w:w="9359" w:type="dxa"/>
                                  <w:gridSpan w:val="6"/>
                                  <w:tcBorders/>
                                  <w:shd w:fill="auto" w:val="clear"/>
                                </w:tcPr>
                                <w:p>
                                  <w:pPr>
                                    <w:pStyle w:val="P68B1DB1Contenudetableau9"/>
                                    <w:spacing w:before="57" w:after="57"/>
                                    <w:jc w:val="center"/>
                                    <w:rPr>
                                      <w:sz w:val="16"/>
                                    </w:rPr>
                                  </w:pPr>
                                  <w:r>
                                    <w:rPr/>
                                    <w:t>ČÁST 2</w:t>
                                  </w:r>
                                </w:p>
                              </w:tc>
                            </w:tr>
                            <w:tr>
                              <w:trPr/>
                              <w:tc>
                                <w:tcPr>
                                  <w:tcW w:w="3119"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DEN 1 </w:t>
                                  </w:r>
                                </w:p>
                                <w:p>
                                  <w:pPr>
                                    <w:pStyle w:val="P68B1DB1Contenudetableau9"/>
                                    <w:spacing w:before="57" w:after="57"/>
                                    <w:jc w:val="center"/>
                                    <w:rPr>
                                      <w:sz w:val="16"/>
                                    </w:rPr>
                                  </w:pPr>
                                  <w:r>
                                    <w:rPr/>
                                    <w:t>Nové setkání pro porotu a příprava na víkend</w:t>
                                  </w:r>
                                </w:p>
                              </w:tc>
                              <w:tc>
                                <w:tcPr>
                                  <w:tcW w:w="3120"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DEN 2 </w:t>
                                  </w:r>
                                </w:p>
                                <w:p>
                                  <w:pPr>
                                    <w:pStyle w:val="P68B1DB1Contenudetableau9"/>
                                    <w:spacing w:before="57" w:after="57"/>
                                    <w:jc w:val="center"/>
                                    <w:rPr>
                                      <w:sz w:val="16"/>
                                    </w:rPr>
                                  </w:pPr>
                                  <w:r>
                                    <w:rPr/>
                                    <w:t>Expertní vstup, identifikace problémů, výroba pokynů</w:t>
                                  </w:r>
                                </w:p>
                              </w:tc>
                              <w:tc>
                                <w:tcPr>
                                  <w:tcW w:w="3120" w:type="dxa"/>
                                  <w:gridSpan w:val="2"/>
                                  <w:tcBorders>
                                    <w:top w:val="single" w:sz="4" w:space="0" w:color="0000FF"/>
                                    <w:left w:val="single" w:sz="4" w:space="0" w:color="0000FF"/>
                                    <w:bottom w:val="single" w:sz="4" w:space="0" w:color="0000FF"/>
                                    <w:right w:val="single" w:sz="4" w:space="0" w:color="0000FF"/>
                                    <w:insideH w:val="single" w:sz="4" w:space="0" w:color="0000FF"/>
                                    <w:insideV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DEN 3 </w:t>
                                  </w:r>
                                </w:p>
                                <w:p>
                                  <w:pPr>
                                    <w:pStyle w:val="P68B1DB1Contenudetableau9"/>
                                    <w:spacing w:before="57" w:after="57"/>
                                    <w:jc w:val="center"/>
                                    <w:rPr>
                                      <w:sz w:val="16"/>
                                    </w:rPr>
                                  </w:pPr>
                                  <w:r>
                                    <w:rPr/>
                                    <w:t>Finalizace pokynů, závěrečné poznámky</w:t>
                                  </w:r>
                                </w:p>
                              </w:tc>
                            </w:tr>
                            <w:tr>
                              <w:trPr/>
                              <w:tc>
                                <w:tcPr>
                                  <w:tcW w:w="3119" w:type="dxa"/>
                                  <w:gridSpan w:val="2"/>
                                  <w:tcBorders/>
                                  <w:shd w:fill="auto" w:val="clear"/>
                                </w:tcPr>
                                <w:p>
                                  <w:pPr>
                                    <w:pStyle w:val="Contenudetableau"/>
                                    <w:spacing w:before="57" w:after="57"/>
                                    <w:jc w:val="center"/>
                                    <w:rPr>
                                      <w:sz w:val="16"/>
                                    </w:rPr>
                                  </w:pPr>
                                  <w:r>
                                    <w:rPr>
                                      <w:sz w:val="16"/>
                                    </w:rPr>
                                  </w:r>
                                </w:p>
                              </w:tc>
                              <w:tc>
                                <w:tcPr>
                                  <w:tcW w:w="3120" w:type="dxa"/>
                                  <w:gridSpan w:val="2"/>
                                  <w:tcBorders/>
                                  <w:shd w:fill="0000FF" w:val="clear"/>
                                </w:tcPr>
                                <w:p>
                                  <w:pPr>
                                    <w:pStyle w:val="P68B1DB1Contenudetableau9"/>
                                    <w:spacing w:before="57" w:after="57"/>
                                    <w:jc w:val="center"/>
                                    <w:rPr>
                                      <w:sz w:val="16"/>
                                    </w:rPr>
                                  </w:pPr>
                                  <w:r>
                                    <w:rPr/>
                                    <w:t>Příspěvky odborníků na dílčí témata</w:t>
                                  </w:r>
                                </w:p>
                              </w:tc>
                              <w:tc>
                                <w:tcPr>
                                  <w:tcW w:w="3120" w:type="dxa"/>
                                  <w:gridSpan w:val="2"/>
                                  <w:tcBorders/>
                                  <w:shd w:fill="0000FF" w:val="clear"/>
                                </w:tcPr>
                                <w:p>
                                  <w:pPr>
                                    <w:pStyle w:val="P68B1DB1Contenudetableau9"/>
                                    <w:spacing w:before="57" w:after="57"/>
                                    <w:jc w:val="center"/>
                                    <w:rPr>
                                      <w:sz w:val="16"/>
                                    </w:rPr>
                                  </w:pPr>
                                  <w:r>
                                    <w:rPr/>
                                    <w:t>Dodatečné příspěvky odborníků</w:t>
                                  </w:r>
                                </w:p>
                              </w:tc>
                            </w:tr>
                            <w:tr>
                              <w:trPr/>
                              <w:tc>
                                <w:tcPr>
                                  <w:tcW w:w="3119" w:type="dxa"/>
                                  <w:gridSpan w:val="2"/>
                                  <w:vMerge w:val="restart"/>
                                  <w:tcBorders/>
                                  <w:shd w:fill="800000" w:val="clear"/>
                                </w:tcPr>
                                <w:p>
                                  <w:pPr>
                                    <w:pStyle w:val="P68B1DB1Contenudetableau9"/>
                                    <w:spacing w:before="57" w:after="57"/>
                                    <w:jc w:val="center"/>
                                    <w:rPr>
                                      <w:sz w:val="16"/>
                                    </w:rPr>
                                  </w:pPr>
                                  <w:r>
                                    <w:rPr/>
                                    <w:t xml:space="preserve">Vítejte, </w:t>
                                  </w:r>
                                </w:p>
                                <w:p>
                                  <w:pPr>
                                    <w:pStyle w:val="P68B1DB1Contenudetableau9"/>
                                    <w:spacing w:before="57" w:after="57"/>
                                    <w:jc w:val="center"/>
                                    <w:rPr>
                                      <w:sz w:val="16"/>
                                    </w:rPr>
                                  </w:pPr>
                                  <w:r>
                                    <w:rPr/>
                                    <w:t xml:space="preserve">Slova pro velvyslance občanů za jejich zpětnou vazbu, </w:t>
                                    <w:br/>
                                    <w:t>Aktualizace platformy, Agenda</w:t>
                                  </w:r>
                                </w:p>
                              </w:tc>
                              <w:tc>
                                <w:tcPr>
                                  <w:tcW w:w="3120" w:type="dxa"/>
                                  <w:gridSpan w:val="2"/>
                                  <w:tcBorders/>
                                  <w:shd w:fill="00FF00" w:val="clear"/>
                                </w:tcPr>
                                <w:p>
                                  <w:pPr>
                                    <w:pStyle w:val="P68B1DB1Contenudetableau9"/>
                                    <w:spacing w:before="57" w:after="57"/>
                                    <w:jc w:val="center"/>
                                    <w:rPr>
                                      <w:sz w:val="16"/>
                                    </w:rPr>
                                  </w:pPr>
                                  <w:r>
                                    <w:rPr/>
                                    <w:t>Vypracování pokynů</w:t>
                                  </w:r>
                                </w:p>
                              </w:tc>
                              <w:tc>
                                <w:tcPr>
                                  <w:tcW w:w="3120" w:type="dxa"/>
                                  <w:gridSpan w:val="2"/>
                                  <w:tcBorders/>
                                  <w:shd w:fill="00FF00" w:val="clear"/>
                                </w:tcPr>
                                <w:p>
                                  <w:pPr>
                                    <w:pStyle w:val="P68B1DB1Contenudetableau9"/>
                                    <w:spacing w:before="57" w:after="57"/>
                                    <w:jc w:val="center"/>
                                    <w:rPr>
                                      <w:sz w:val="16"/>
                                    </w:rPr>
                                  </w:pPr>
                                  <w:r>
                                    <w:rPr/>
                                    <w:t xml:space="preserve"> </w:t>
                                  </w:r>
                                  <w:r>
                                    <w:rPr/>
                                    <w:t>Finalizace pokynů</w:t>
                                  </w:r>
                                </w:p>
                              </w:tc>
                            </w:tr>
                            <w:tr>
                              <w:trPr/>
                              <w:tc>
                                <w:tcPr>
                                  <w:tcW w:w="3119" w:type="dxa"/>
                                  <w:gridSpan w:val="2"/>
                                  <w:vMerge w:val="continue"/>
                                  <w:tcBorders/>
                                  <w:shd w:fill="800000" w:val="clear"/>
                                </w:tcPr>
                                <w:p>
                                  <w:pPr>
                                    <w:pStyle w:val="Normal"/>
                                    <w:spacing w:before="57" w:after="57"/>
                                    <w:ind w:left="0" w:right="0" w:hanging="0"/>
                                    <w:rPr/>
                                  </w:pPr>
                                  <w:r>
                                    <w:rPr/>
                                  </w:r>
                                </w:p>
                              </w:tc>
                              <w:tc>
                                <w:tcPr>
                                  <w:tcW w:w="3120" w:type="dxa"/>
                                  <w:gridSpan w:val="2"/>
                                  <w:tcBorders/>
                                  <w:shd w:fill="auto" w:val="clear"/>
                                </w:tcPr>
                                <w:p>
                                  <w:pPr>
                                    <w:pStyle w:val="Contenudetableau"/>
                                    <w:spacing w:before="57" w:after="57"/>
                                    <w:jc w:val="center"/>
                                    <w:rPr>
                                      <w:sz w:val="16"/>
                                    </w:rPr>
                                  </w:pPr>
                                  <w:r>
                                    <w:rPr>
                                      <w:sz w:val="16"/>
                                    </w:rPr>
                                  </w:r>
                                </w:p>
                              </w:tc>
                              <w:tc>
                                <w:tcPr>
                                  <w:tcW w:w="3120" w:type="dxa"/>
                                  <w:gridSpan w:val="2"/>
                                  <w:tcBorders/>
                                  <w:shd w:fill="800000" w:val="clear"/>
                                </w:tcPr>
                                <w:p>
                                  <w:pPr>
                                    <w:pStyle w:val="P68B1DB1Contenudetableau9"/>
                                    <w:spacing w:before="57" w:after="57"/>
                                    <w:jc w:val="center"/>
                                    <w:rPr>
                                      <w:sz w:val="16"/>
                                    </w:rPr>
                                  </w:pPr>
                                  <w:r>
                                    <w:rPr/>
                                    <w:t xml:space="preserve">Sdílení určitých směrů, </w:t>
                                    <w:br/>
                                    <w:t>Závěrečné poznámky</w:t>
                                  </w:r>
                                </w:p>
                              </w:tc>
                            </w:tr>
                            <w:tr>
                              <w:trPr/>
                              <w:tc>
                                <w:tcPr>
                                  <w:tcW w:w="2774" w:type="dxa"/>
                                  <w:tcBorders/>
                                  <w:shd w:fill="auto" w:val="clear"/>
                                </w:tcPr>
                                <w:p>
                                  <w:pPr>
                                    <w:pStyle w:val="Contenudetableau"/>
                                    <w:widowControl w:val="false"/>
                                    <w:suppressLineNumbers/>
                                    <w:spacing w:before="57" w:after="57"/>
                                    <w:rPr/>
                                  </w:pPr>
                                  <w:r>
                                    <w:rPr/>
                                  </w:r>
                                </w:p>
                              </w:tc>
                              <w:tc>
                                <w:tcPr>
                                  <w:tcW w:w="345" w:type="dxa"/>
                                  <w:tcBorders/>
                                  <w:shd w:fill="auto" w:val="clear"/>
                                </w:tcPr>
                                <w:p>
                                  <w:pPr>
                                    <w:pStyle w:val="Contenudetableau"/>
                                    <w:widowControl w:val="false"/>
                                    <w:suppressLineNumbers/>
                                    <w:spacing w:before="57" w:after="57"/>
                                    <w:rPr/>
                                  </w:pPr>
                                  <w:r>
                                    <w:rPr/>
                                  </w:r>
                                </w:p>
                              </w:tc>
                              <w:tc>
                                <w:tcPr>
                                  <w:tcW w:w="2778" w:type="dxa"/>
                                  <w:tcBorders/>
                                  <w:shd w:fill="auto" w:val="clear"/>
                                </w:tcPr>
                                <w:p>
                                  <w:pPr>
                                    <w:pStyle w:val="Contenudetableau"/>
                                    <w:widowControl w:val="false"/>
                                    <w:suppressLineNumbers/>
                                    <w:spacing w:before="57" w:after="57"/>
                                    <w:rPr/>
                                  </w:pPr>
                                  <w:r>
                                    <w:rPr/>
                                  </w:r>
                                </w:p>
                              </w:tc>
                              <w:tc>
                                <w:tcPr>
                                  <w:tcW w:w="342" w:type="dxa"/>
                                  <w:tcBorders/>
                                  <w:shd w:fill="auto" w:val="clear"/>
                                </w:tcPr>
                                <w:p>
                                  <w:pPr>
                                    <w:pStyle w:val="Contenudetableau"/>
                                    <w:widowControl w:val="false"/>
                                    <w:suppressLineNumbers/>
                                    <w:spacing w:before="57" w:after="57"/>
                                    <w:rPr/>
                                  </w:pPr>
                                  <w:r>
                                    <w:rPr/>
                                  </w:r>
                                </w:p>
                              </w:tc>
                              <w:tc>
                                <w:tcPr>
                                  <w:tcW w:w="2719" w:type="dxa"/>
                                  <w:tcBorders/>
                                  <w:shd w:fill="auto" w:val="clear"/>
                                </w:tcPr>
                                <w:p>
                                  <w:pPr>
                                    <w:pStyle w:val="Contenudetableau"/>
                                    <w:widowControl w:val="false"/>
                                    <w:suppressLineNumbers/>
                                    <w:spacing w:before="57" w:after="57"/>
                                    <w:rPr/>
                                  </w:pPr>
                                  <w:r>
                                    <w:rPr/>
                                  </w:r>
                                </w:p>
                              </w:tc>
                              <w:tc>
                                <w:tcPr>
                                  <w:tcW w:w="401" w:type="dxa"/>
                                  <w:tcBorders/>
                                  <w:shd w:fill="auto" w:val="clear"/>
                                </w:tcPr>
                                <w:p>
                                  <w:pPr>
                                    <w:pStyle w:val="Contenudetableau"/>
                                    <w:spacing w:before="57" w:after="57"/>
                                    <w:rPr>
                                      <w:sz w:val="16"/>
                                    </w:rPr>
                                  </w:pPr>
                                  <w:r>
                                    <w:rPr>
                                      <w:sz w:val="16"/>
                                    </w:rPr>
                                  </w:r>
                                </w:p>
                              </w:tc>
                            </w:tr>
                            <w:tr>
                              <w:trPr/>
                              <w:tc>
                                <w:tcPr>
                                  <w:tcW w:w="2774" w:type="dxa"/>
                                  <w:tcBorders/>
                                  <w:shd w:fill="auto" w:val="clear"/>
                                </w:tcPr>
                                <w:p>
                                  <w:pPr>
                                    <w:pStyle w:val="P68B1DB1Contenudetableau9"/>
                                    <w:spacing w:before="57" w:after="57"/>
                                    <w:jc w:val="right"/>
                                    <w:rPr>
                                      <w:sz w:val="16"/>
                                    </w:rPr>
                                  </w:pPr>
                                  <w:r>
                                    <w:rPr/>
                                    <w:t>Plenární zasedání</w:t>
                                  </w:r>
                                </w:p>
                              </w:tc>
                              <w:tc>
                                <w:tcPr>
                                  <w:tcW w:w="345" w:type="dxa"/>
                                  <w:tcBorders/>
                                  <w:shd w:fill="800000" w:val="clear"/>
                                </w:tcPr>
                                <w:p>
                                  <w:pPr>
                                    <w:pStyle w:val="Contenudetableau"/>
                                    <w:spacing w:before="57" w:after="57"/>
                                    <w:jc w:val="right"/>
                                    <w:rPr>
                                      <w:sz w:val="16"/>
                                    </w:rPr>
                                  </w:pPr>
                                  <w:r>
                                    <w:rPr>
                                      <w:sz w:val="16"/>
                                    </w:rPr>
                                  </w:r>
                                </w:p>
                              </w:tc>
                              <w:tc>
                                <w:tcPr>
                                  <w:tcW w:w="2778" w:type="dxa"/>
                                  <w:tcBorders/>
                                  <w:shd w:fill="auto" w:val="clear"/>
                                </w:tcPr>
                                <w:p>
                                  <w:pPr>
                                    <w:pStyle w:val="P68B1DB1Contenudetableau9"/>
                                    <w:spacing w:before="57" w:after="57"/>
                                    <w:jc w:val="right"/>
                                    <w:rPr>
                                      <w:sz w:val="16"/>
                                    </w:rPr>
                                  </w:pPr>
                                  <w:r>
                                    <w:rPr/>
                                    <w:t>Plenární zasedání tématu</w:t>
                                  </w:r>
                                </w:p>
                              </w:tc>
                              <w:tc>
                                <w:tcPr>
                                  <w:tcW w:w="342" w:type="dxa"/>
                                  <w:tcBorders/>
                                  <w:shd w:fill="0000FF" w:val="clear"/>
                                </w:tcPr>
                                <w:p>
                                  <w:pPr>
                                    <w:pStyle w:val="Contenudetableau"/>
                                    <w:spacing w:before="57" w:after="57"/>
                                    <w:jc w:val="right"/>
                                    <w:rPr>
                                      <w:sz w:val="16"/>
                                    </w:rPr>
                                  </w:pPr>
                                  <w:r>
                                    <w:rPr>
                                      <w:sz w:val="16"/>
                                    </w:rPr>
                                  </w:r>
                                </w:p>
                              </w:tc>
                              <w:tc>
                                <w:tcPr>
                                  <w:tcW w:w="2719" w:type="dxa"/>
                                  <w:tcBorders/>
                                  <w:shd w:fill="auto" w:val="clear"/>
                                </w:tcPr>
                                <w:p>
                                  <w:pPr>
                                    <w:pStyle w:val="P68B1DB1Contenudetableau9"/>
                                    <w:spacing w:before="57" w:after="57"/>
                                    <w:jc w:val="right"/>
                                    <w:rPr>
                                      <w:sz w:val="16"/>
                                    </w:rPr>
                                  </w:pPr>
                                  <w:r>
                                    <w:rPr/>
                                    <w:t>Zasedání podskupiny</w:t>
                                  </w:r>
                                </w:p>
                              </w:tc>
                              <w:tc>
                                <w:tcPr>
                                  <w:tcW w:w="401" w:type="dxa"/>
                                  <w:tcBorders/>
                                  <w:shd w:fill="00FF00" w:val="clear"/>
                                </w:tcPr>
                                <w:p>
                                  <w:pPr>
                                    <w:pStyle w:val="Contenudetableau"/>
                                    <w:spacing w:before="57" w:after="57"/>
                                    <w:rPr>
                                      <w:sz w:val="16"/>
                                    </w:rPr>
                                  </w:pPr>
                                  <w:r>
                                    <w:rPr>
                                      <w:sz w:val="16"/>
                                    </w:rPr>
                                  </w:r>
                                </w:p>
                              </w:tc>
                            </w:tr>
                          </w:tbl>
                          <w:p>
                            <w:pPr>
                              <w:pStyle w:val="Contenudecadre"/>
                              <w:spacing w:before="57" w:after="57"/>
                              <w:rPr>
                                <w:color w:val="auto"/>
                              </w:rPr>
                            </w:pPr>
                            <w:r>
                              <w:rPr>
                                <w:color w:val="auto"/>
                              </w:rPr>
                            </w:r>
                          </w:p>
                        </w:txbxContent>
                      </wps:txbx>
                      <wps:bodyPr lIns="54000" rIns="54000" tIns="54000" bIns="54000">
                        <a:noAutofit/>
                      </wps:bodyPr>
                    </wps:wsp>
                  </a:graphicData>
                </a:graphic>
              </wp:anchor>
            </w:drawing>
          </mc:Choice>
          <mc:Fallback>
            <w:pict>
              <v:rect id="shape_0" ID="Rámeček3" fillcolor="white" stroked="t" style="position:absolute;margin-left:8.3pt;margin-top:201.25pt;width:476.55pt;height:196.4pt">
                <w10:wrap type="none"/>
                <v:fill o:detectmouseclick="t" type="solid" color2="black"/>
                <v:stroke color="black" weight="720" joinstyle="round" endcap="flat"/>
                <v:textbox>
                  <w:txbxContent>
                    <w:tbl>
                      <w:tblPr>
                        <w:tblW w:w="9360" w:type="dxa"/>
                        <w:jc w:val="left"/>
                        <w:tblInd w:w="0" w:type="dxa"/>
                        <w:tblBorders/>
                        <w:tblCellMar>
                          <w:top w:w="0" w:type="dxa"/>
                          <w:left w:w="0" w:type="dxa"/>
                          <w:bottom w:w="0" w:type="dxa"/>
                          <w:right w:w="0" w:type="dxa"/>
                        </w:tblCellMar>
                      </w:tblPr>
                      <w:tblGrid>
                        <w:gridCol w:w="2774"/>
                        <w:gridCol w:w="345"/>
                        <w:gridCol w:w="2778"/>
                        <w:gridCol w:w="342"/>
                        <w:gridCol w:w="2719"/>
                        <w:gridCol w:w="401"/>
                      </w:tblGrid>
                      <w:tr>
                        <w:trPr/>
                        <w:tc>
                          <w:tcPr>
                            <w:tcW w:w="9359" w:type="dxa"/>
                            <w:gridSpan w:val="6"/>
                            <w:tcBorders/>
                            <w:shd w:fill="auto" w:val="clear"/>
                          </w:tcPr>
                          <w:p>
                            <w:pPr>
                              <w:pStyle w:val="P68B1DB1Contenudetableau9"/>
                              <w:spacing w:before="57" w:after="57"/>
                              <w:jc w:val="center"/>
                              <w:rPr>
                                <w:sz w:val="16"/>
                              </w:rPr>
                            </w:pPr>
                            <w:r>
                              <w:rPr/>
                              <w:t>ČÁST 2</w:t>
                            </w:r>
                          </w:p>
                        </w:tc>
                      </w:tr>
                      <w:tr>
                        <w:trPr/>
                        <w:tc>
                          <w:tcPr>
                            <w:tcW w:w="3119"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DEN 1 </w:t>
                            </w:r>
                          </w:p>
                          <w:p>
                            <w:pPr>
                              <w:pStyle w:val="P68B1DB1Contenudetableau9"/>
                              <w:spacing w:before="57" w:after="57"/>
                              <w:jc w:val="center"/>
                              <w:rPr>
                                <w:sz w:val="16"/>
                              </w:rPr>
                            </w:pPr>
                            <w:r>
                              <w:rPr/>
                              <w:t>Nové setkání pro porotu a příprava na víkend</w:t>
                            </w:r>
                          </w:p>
                        </w:tc>
                        <w:tc>
                          <w:tcPr>
                            <w:tcW w:w="3120"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DEN 2 </w:t>
                            </w:r>
                          </w:p>
                          <w:p>
                            <w:pPr>
                              <w:pStyle w:val="P68B1DB1Contenudetableau9"/>
                              <w:spacing w:before="57" w:after="57"/>
                              <w:jc w:val="center"/>
                              <w:rPr>
                                <w:sz w:val="16"/>
                              </w:rPr>
                            </w:pPr>
                            <w:r>
                              <w:rPr/>
                              <w:t>Expertní vstup, identifikace problémů, výroba pokynů</w:t>
                            </w:r>
                          </w:p>
                        </w:tc>
                        <w:tc>
                          <w:tcPr>
                            <w:tcW w:w="3120" w:type="dxa"/>
                            <w:gridSpan w:val="2"/>
                            <w:tcBorders>
                              <w:top w:val="single" w:sz="4" w:space="0" w:color="0000FF"/>
                              <w:left w:val="single" w:sz="4" w:space="0" w:color="0000FF"/>
                              <w:bottom w:val="single" w:sz="4" w:space="0" w:color="0000FF"/>
                              <w:right w:val="single" w:sz="4" w:space="0" w:color="0000FF"/>
                              <w:insideH w:val="single" w:sz="4" w:space="0" w:color="0000FF"/>
                              <w:insideV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DEN 3 </w:t>
                            </w:r>
                          </w:p>
                          <w:p>
                            <w:pPr>
                              <w:pStyle w:val="P68B1DB1Contenudetableau9"/>
                              <w:spacing w:before="57" w:after="57"/>
                              <w:jc w:val="center"/>
                              <w:rPr>
                                <w:sz w:val="16"/>
                              </w:rPr>
                            </w:pPr>
                            <w:r>
                              <w:rPr/>
                              <w:t>Finalizace pokynů, závěrečné poznámky</w:t>
                            </w:r>
                          </w:p>
                        </w:tc>
                      </w:tr>
                      <w:tr>
                        <w:trPr/>
                        <w:tc>
                          <w:tcPr>
                            <w:tcW w:w="3119" w:type="dxa"/>
                            <w:gridSpan w:val="2"/>
                            <w:tcBorders/>
                            <w:shd w:fill="auto" w:val="clear"/>
                          </w:tcPr>
                          <w:p>
                            <w:pPr>
                              <w:pStyle w:val="Contenudetableau"/>
                              <w:spacing w:before="57" w:after="57"/>
                              <w:jc w:val="center"/>
                              <w:rPr>
                                <w:sz w:val="16"/>
                              </w:rPr>
                            </w:pPr>
                            <w:r>
                              <w:rPr>
                                <w:sz w:val="16"/>
                              </w:rPr>
                            </w:r>
                          </w:p>
                        </w:tc>
                        <w:tc>
                          <w:tcPr>
                            <w:tcW w:w="3120" w:type="dxa"/>
                            <w:gridSpan w:val="2"/>
                            <w:tcBorders/>
                            <w:shd w:fill="0000FF" w:val="clear"/>
                          </w:tcPr>
                          <w:p>
                            <w:pPr>
                              <w:pStyle w:val="P68B1DB1Contenudetableau9"/>
                              <w:spacing w:before="57" w:after="57"/>
                              <w:jc w:val="center"/>
                              <w:rPr>
                                <w:sz w:val="16"/>
                              </w:rPr>
                            </w:pPr>
                            <w:r>
                              <w:rPr/>
                              <w:t>Příspěvky odborníků na dílčí témata</w:t>
                            </w:r>
                          </w:p>
                        </w:tc>
                        <w:tc>
                          <w:tcPr>
                            <w:tcW w:w="3120" w:type="dxa"/>
                            <w:gridSpan w:val="2"/>
                            <w:tcBorders/>
                            <w:shd w:fill="0000FF" w:val="clear"/>
                          </w:tcPr>
                          <w:p>
                            <w:pPr>
                              <w:pStyle w:val="P68B1DB1Contenudetableau9"/>
                              <w:spacing w:before="57" w:after="57"/>
                              <w:jc w:val="center"/>
                              <w:rPr>
                                <w:sz w:val="16"/>
                              </w:rPr>
                            </w:pPr>
                            <w:r>
                              <w:rPr/>
                              <w:t>Dodatečné příspěvky odborníků</w:t>
                            </w:r>
                          </w:p>
                        </w:tc>
                      </w:tr>
                      <w:tr>
                        <w:trPr/>
                        <w:tc>
                          <w:tcPr>
                            <w:tcW w:w="3119" w:type="dxa"/>
                            <w:gridSpan w:val="2"/>
                            <w:vMerge w:val="restart"/>
                            <w:tcBorders/>
                            <w:shd w:fill="800000" w:val="clear"/>
                          </w:tcPr>
                          <w:p>
                            <w:pPr>
                              <w:pStyle w:val="P68B1DB1Contenudetableau9"/>
                              <w:spacing w:before="57" w:after="57"/>
                              <w:jc w:val="center"/>
                              <w:rPr>
                                <w:sz w:val="16"/>
                              </w:rPr>
                            </w:pPr>
                            <w:r>
                              <w:rPr/>
                              <w:t xml:space="preserve">Vítejte, </w:t>
                            </w:r>
                          </w:p>
                          <w:p>
                            <w:pPr>
                              <w:pStyle w:val="P68B1DB1Contenudetableau9"/>
                              <w:spacing w:before="57" w:after="57"/>
                              <w:jc w:val="center"/>
                              <w:rPr>
                                <w:sz w:val="16"/>
                              </w:rPr>
                            </w:pPr>
                            <w:r>
                              <w:rPr/>
                              <w:t xml:space="preserve">Slova pro velvyslance občanů za jejich zpětnou vazbu, </w:t>
                              <w:br/>
                              <w:t>Aktualizace platformy, Agenda</w:t>
                            </w:r>
                          </w:p>
                        </w:tc>
                        <w:tc>
                          <w:tcPr>
                            <w:tcW w:w="3120" w:type="dxa"/>
                            <w:gridSpan w:val="2"/>
                            <w:tcBorders/>
                            <w:shd w:fill="00FF00" w:val="clear"/>
                          </w:tcPr>
                          <w:p>
                            <w:pPr>
                              <w:pStyle w:val="P68B1DB1Contenudetableau9"/>
                              <w:spacing w:before="57" w:after="57"/>
                              <w:jc w:val="center"/>
                              <w:rPr>
                                <w:sz w:val="16"/>
                              </w:rPr>
                            </w:pPr>
                            <w:r>
                              <w:rPr/>
                              <w:t>Vypracování pokynů</w:t>
                            </w:r>
                          </w:p>
                        </w:tc>
                        <w:tc>
                          <w:tcPr>
                            <w:tcW w:w="3120" w:type="dxa"/>
                            <w:gridSpan w:val="2"/>
                            <w:tcBorders/>
                            <w:shd w:fill="00FF00" w:val="clear"/>
                          </w:tcPr>
                          <w:p>
                            <w:pPr>
                              <w:pStyle w:val="P68B1DB1Contenudetableau9"/>
                              <w:spacing w:before="57" w:after="57"/>
                              <w:jc w:val="center"/>
                              <w:rPr>
                                <w:sz w:val="16"/>
                              </w:rPr>
                            </w:pPr>
                            <w:r>
                              <w:rPr/>
                              <w:t xml:space="preserve"> </w:t>
                            </w:r>
                            <w:r>
                              <w:rPr/>
                              <w:t>Finalizace pokynů</w:t>
                            </w:r>
                          </w:p>
                        </w:tc>
                      </w:tr>
                      <w:tr>
                        <w:trPr/>
                        <w:tc>
                          <w:tcPr>
                            <w:tcW w:w="3119" w:type="dxa"/>
                            <w:gridSpan w:val="2"/>
                            <w:vMerge w:val="continue"/>
                            <w:tcBorders/>
                            <w:shd w:fill="800000" w:val="clear"/>
                          </w:tcPr>
                          <w:p>
                            <w:pPr>
                              <w:pStyle w:val="Normal"/>
                              <w:spacing w:before="57" w:after="57"/>
                              <w:ind w:left="0" w:right="0" w:hanging="0"/>
                              <w:rPr/>
                            </w:pPr>
                            <w:r>
                              <w:rPr/>
                            </w:r>
                          </w:p>
                        </w:tc>
                        <w:tc>
                          <w:tcPr>
                            <w:tcW w:w="3120" w:type="dxa"/>
                            <w:gridSpan w:val="2"/>
                            <w:tcBorders/>
                            <w:shd w:fill="auto" w:val="clear"/>
                          </w:tcPr>
                          <w:p>
                            <w:pPr>
                              <w:pStyle w:val="Contenudetableau"/>
                              <w:spacing w:before="57" w:after="57"/>
                              <w:jc w:val="center"/>
                              <w:rPr>
                                <w:sz w:val="16"/>
                              </w:rPr>
                            </w:pPr>
                            <w:r>
                              <w:rPr>
                                <w:sz w:val="16"/>
                              </w:rPr>
                            </w:r>
                          </w:p>
                        </w:tc>
                        <w:tc>
                          <w:tcPr>
                            <w:tcW w:w="3120" w:type="dxa"/>
                            <w:gridSpan w:val="2"/>
                            <w:tcBorders/>
                            <w:shd w:fill="800000" w:val="clear"/>
                          </w:tcPr>
                          <w:p>
                            <w:pPr>
                              <w:pStyle w:val="P68B1DB1Contenudetableau9"/>
                              <w:spacing w:before="57" w:after="57"/>
                              <w:jc w:val="center"/>
                              <w:rPr>
                                <w:sz w:val="16"/>
                              </w:rPr>
                            </w:pPr>
                            <w:r>
                              <w:rPr/>
                              <w:t xml:space="preserve">Sdílení určitých směrů, </w:t>
                              <w:br/>
                              <w:t>Závěrečné poznámky</w:t>
                            </w:r>
                          </w:p>
                        </w:tc>
                      </w:tr>
                      <w:tr>
                        <w:trPr/>
                        <w:tc>
                          <w:tcPr>
                            <w:tcW w:w="2774" w:type="dxa"/>
                            <w:tcBorders/>
                            <w:shd w:fill="auto" w:val="clear"/>
                          </w:tcPr>
                          <w:p>
                            <w:pPr>
                              <w:pStyle w:val="Contenudetableau"/>
                              <w:widowControl w:val="false"/>
                              <w:suppressLineNumbers/>
                              <w:spacing w:before="57" w:after="57"/>
                              <w:rPr/>
                            </w:pPr>
                            <w:r>
                              <w:rPr/>
                            </w:r>
                          </w:p>
                        </w:tc>
                        <w:tc>
                          <w:tcPr>
                            <w:tcW w:w="345" w:type="dxa"/>
                            <w:tcBorders/>
                            <w:shd w:fill="auto" w:val="clear"/>
                          </w:tcPr>
                          <w:p>
                            <w:pPr>
                              <w:pStyle w:val="Contenudetableau"/>
                              <w:widowControl w:val="false"/>
                              <w:suppressLineNumbers/>
                              <w:spacing w:before="57" w:after="57"/>
                              <w:rPr/>
                            </w:pPr>
                            <w:r>
                              <w:rPr/>
                            </w:r>
                          </w:p>
                        </w:tc>
                        <w:tc>
                          <w:tcPr>
                            <w:tcW w:w="2778" w:type="dxa"/>
                            <w:tcBorders/>
                            <w:shd w:fill="auto" w:val="clear"/>
                          </w:tcPr>
                          <w:p>
                            <w:pPr>
                              <w:pStyle w:val="Contenudetableau"/>
                              <w:widowControl w:val="false"/>
                              <w:suppressLineNumbers/>
                              <w:spacing w:before="57" w:after="57"/>
                              <w:rPr/>
                            </w:pPr>
                            <w:r>
                              <w:rPr/>
                            </w:r>
                          </w:p>
                        </w:tc>
                        <w:tc>
                          <w:tcPr>
                            <w:tcW w:w="342" w:type="dxa"/>
                            <w:tcBorders/>
                            <w:shd w:fill="auto" w:val="clear"/>
                          </w:tcPr>
                          <w:p>
                            <w:pPr>
                              <w:pStyle w:val="Contenudetableau"/>
                              <w:widowControl w:val="false"/>
                              <w:suppressLineNumbers/>
                              <w:spacing w:before="57" w:after="57"/>
                              <w:rPr/>
                            </w:pPr>
                            <w:r>
                              <w:rPr/>
                            </w:r>
                          </w:p>
                        </w:tc>
                        <w:tc>
                          <w:tcPr>
                            <w:tcW w:w="2719" w:type="dxa"/>
                            <w:tcBorders/>
                            <w:shd w:fill="auto" w:val="clear"/>
                          </w:tcPr>
                          <w:p>
                            <w:pPr>
                              <w:pStyle w:val="Contenudetableau"/>
                              <w:widowControl w:val="false"/>
                              <w:suppressLineNumbers/>
                              <w:spacing w:before="57" w:after="57"/>
                              <w:rPr/>
                            </w:pPr>
                            <w:r>
                              <w:rPr/>
                            </w:r>
                          </w:p>
                        </w:tc>
                        <w:tc>
                          <w:tcPr>
                            <w:tcW w:w="401" w:type="dxa"/>
                            <w:tcBorders/>
                            <w:shd w:fill="auto" w:val="clear"/>
                          </w:tcPr>
                          <w:p>
                            <w:pPr>
                              <w:pStyle w:val="Contenudetableau"/>
                              <w:spacing w:before="57" w:after="57"/>
                              <w:rPr>
                                <w:sz w:val="16"/>
                              </w:rPr>
                            </w:pPr>
                            <w:r>
                              <w:rPr>
                                <w:sz w:val="16"/>
                              </w:rPr>
                            </w:r>
                          </w:p>
                        </w:tc>
                      </w:tr>
                      <w:tr>
                        <w:trPr/>
                        <w:tc>
                          <w:tcPr>
                            <w:tcW w:w="2774" w:type="dxa"/>
                            <w:tcBorders/>
                            <w:shd w:fill="auto" w:val="clear"/>
                          </w:tcPr>
                          <w:p>
                            <w:pPr>
                              <w:pStyle w:val="P68B1DB1Contenudetableau9"/>
                              <w:spacing w:before="57" w:after="57"/>
                              <w:jc w:val="right"/>
                              <w:rPr>
                                <w:sz w:val="16"/>
                              </w:rPr>
                            </w:pPr>
                            <w:r>
                              <w:rPr/>
                              <w:t>Plenární zasedání</w:t>
                            </w:r>
                          </w:p>
                        </w:tc>
                        <w:tc>
                          <w:tcPr>
                            <w:tcW w:w="345" w:type="dxa"/>
                            <w:tcBorders/>
                            <w:shd w:fill="800000" w:val="clear"/>
                          </w:tcPr>
                          <w:p>
                            <w:pPr>
                              <w:pStyle w:val="Contenudetableau"/>
                              <w:spacing w:before="57" w:after="57"/>
                              <w:jc w:val="right"/>
                              <w:rPr>
                                <w:sz w:val="16"/>
                              </w:rPr>
                            </w:pPr>
                            <w:r>
                              <w:rPr>
                                <w:sz w:val="16"/>
                              </w:rPr>
                            </w:r>
                          </w:p>
                        </w:tc>
                        <w:tc>
                          <w:tcPr>
                            <w:tcW w:w="2778" w:type="dxa"/>
                            <w:tcBorders/>
                            <w:shd w:fill="auto" w:val="clear"/>
                          </w:tcPr>
                          <w:p>
                            <w:pPr>
                              <w:pStyle w:val="P68B1DB1Contenudetableau9"/>
                              <w:spacing w:before="57" w:after="57"/>
                              <w:jc w:val="right"/>
                              <w:rPr>
                                <w:sz w:val="16"/>
                              </w:rPr>
                            </w:pPr>
                            <w:r>
                              <w:rPr/>
                              <w:t>Plenární zasedání tématu</w:t>
                            </w:r>
                          </w:p>
                        </w:tc>
                        <w:tc>
                          <w:tcPr>
                            <w:tcW w:w="342" w:type="dxa"/>
                            <w:tcBorders/>
                            <w:shd w:fill="0000FF" w:val="clear"/>
                          </w:tcPr>
                          <w:p>
                            <w:pPr>
                              <w:pStyle w:val="Contenudetableau"/>
                              <w:spacing w:before="57" w:after="57"/>
                              <w:jc w:val="right"/>
                              <w:rPr>
                                <w:sz w:val="16"/>
                              </w:rPr>
                            </w:pPr>
                            <w:r>
                              <w:rPr>
                                <w:sz w:val="16"/>
                              </w:rPr>
                            </w:r>
                          </w:p>
                        </w:tc>
                        <w:tc>
                          <w:tcPr>
                            <w:tcW w:w="2719" w:type="dxa"/>
                            <w:tcBorders/>
                            <w:shd w:fill="auto" w:val="clear"/>
                          </w:tcPr>
                          <w:p>
                            <w:pPr>
                              <w:pStyle w:val="P68B1DB1Contenudetableau9"/>
                              <w:spacing w:before="57" w:after="57"/>
                              <w:jc w:val="right"/>
                              <w:rPr>
                                <w:sz w:val="16"/>
                              </w:rPr>
                            </w:pPr>
                            <w:r>
                              <w:rPr/>
                              <w:t>Zasedání podskupiny</w:t>
                            </w:r>
                          </w:p>
                        </w:tc>
                        <w:tc>
                          <w:tcPr>
                            <w:tcW w:w="401" w:type="dxa"/>
                            <w:tcBorders/>
                            <w:shd w:fill="00FF00" w:val="clear"/>
                          </w:tcPr>
                          <w:p>
                            <w:pPr>
                              <w:pStyle w:val="Contenudetableau"/>
                              <w:spacing w:before="57" w:after="57"/>
                              <w:rPr>
                                <w:sz w:val="16"/>
                              </w:rPr>
                            </w:pPr>
                            <w:r>
                              <w:rPr>
                                <w:sz w:val="16"/>
                              </w:rPr>
                            </w:r>
                          </w:p>
                        </w:tc>
                      </w:tr>
                    </w:tbl>
                    <w:p>
                      <w:pPr>
                        <w:pStyle w:val="Contenudecadre"/>
                        <w:spacing w:before="57" w:after="57"/>
                        <w:rPr>
                          <w:color w:val="auto"/>
                        </w:rPr>
                      </w:pPr>
                      <w:r>
                        <w:rPr>
                          <w:color w:val="auto"/>
                        </w:rPr>
                      </w:r>
                    </w:p>
                  </w:txbxContent>
                </v:textbox>
              </v:rect>
            </w:pict>
          </mc:Fallback>
        </mc:AlternateContent>
      </w:r>
      <w:r>
        <w:rPr/>
        <w:t xml:space="preserve"> </w:t>
      </w:r>
      <w:r>
        <w:rPr/>
        <w:t>na plenárním zasedání, se všemi účastníky. Plenární zasedání vedli dva hlavní moderátoři. Prioritní témata vyplývající z jednání byla dále rozdělena na „osu“ (odpovídající tematickým uskupením) a „podosu“ a sloužila jako základ pro druhou sérii zasedání. Za tímto účelem účastníci obdrželi základní informace o tématech, jakož i příslušné příspěvky, včetně analýz a koncepčních schémat, z první průběžné zprávy vícejazyčné digitální platformy a prezentace externích odborníků na vysoké úrovni.</w:t>
      </w:r>
    </w:p>
    <w:p>
      <w:pPr>
        <w:pStyle w:val="Corpsdetexte"/>
        <w:rPr/>
      </w:pPr>
      <w:r>
        <w:rPr/>
        <w:t>Během prvních zasedání bylo z řad dobrovolných občanů vybráno 20 osob, které byly požádány o reprezentaci každého panelu na plenárním zasedání; při tom byl sledován pro rozmanitost věku a pohlaví.</w:t>
      </w:r>
    </w:p>
    <w:p>
      <w:pPr>
        <w:pStyle w:val="Titre4"/>
        <w:numPr>
          <w:ilvl w:val="3"/>
          <w:numId w:val="2"/>
        </w:numPr>
        <w:rPr/>
      </w:pPr>
      <w:bookmarkStart w:id="12" w:name="__RefHeading___Toc298198_1346298689"/>
      <w:bookmarkEnd w:id="12"/>
      <w:r>
        <w:rPr/>
        <w:t>DRUHÉ KOLO PANELOVÝCH ZASEDÁNÍ</w:t>
      </w:r>
    </w:p>
    <w:p>
      <w:pPr>
        <w:pStyle w:val="Corpsdetexte"/>
        <w:rPr/>
      </w:pPr>
      <w:r>
        <w:rPr/>
        <w:t>Evropské panelové diskuse občanů pokračovaly ve své práci tím, že se v průběhu listopadu scházely on-line. Za tímto účelem byl zaveden zvláštní režim: hlavní moderování a plenární zasedání hostilo studio v Bruselu, zatímco zúčastnění občané z celé EU by mohli zasáhnout prostřednictvím systému propojení a tlumočení.</w:t>
      </w:r>
    </w:p>
    <w:p>
      <w:pPr>
        <w:pStyle w:val="Corpsdetexte"/>
        <w:rPr/>
      </w:pPr>
      <w:r>
        <w:rPr/>
        <w:t>Ve druhém kole zasedání za podpory odborníků a ověřovatelů faktů občané identifikovali a projednali řadu konkrétních otázek a vypracovali pokyny pro každou z tematických os, kterou určili během prvního zasedání. Zvláštní pozornost byla v rámci odborné skupiny věnována genderové a zeměpisné vyváženosti a že každý z těchto odborníků prostřednictvím svých příspěvků informuje občany do hloubky tím, že informuje o skutečnostech a/nebo pokroku v diskusi a nedává osobní názory. Občanům byly rovněž poskytnuty průběžné zprávy o vícejazyčné digitální platformě.</w:t>
      </w:r>
    </w:p>
    <w:p>
      <w:pPr>
        <w:pStyle w:val="Corpsdetexte"/>
        <w:rPr/>
      </w:pPr>
      <w:r>
        <w:rPr/>
        <w:t>Během jednání během druhého kola zasedání tak byli schopni identifikovat a projednat otázky související s tématy, která jim byla přidělena, a to na základě příspěvků odborníků na předmětná témata a jejich vlastních znalostí a zkušeností. Problémy byly definovány jako problémy vyžadující řešení nebo situace vyžadující změnu.</w:t>
      </w:r>
    </w:p>
    <w:p>
      <w:pPr>
        <w:pStyle w:val="Corpsdetexte"/>
        <w:rPr/>
      </w:pPr>
      <w:r>
        <w:rPr/>
        <w:t>Občané se pak těmito otázkami zabývali vypracováním pokynů, což byl první krok k formulaci doporučení, což byl cíl třetí série zasedání. Občané byli rovněž požádáni, aby tyto pokyny odůvodnili.</w:t>
      </w:r>
    </w:p>
    <w:p>
      <w:pPr>
        <w:pStyle w:val="Corpsdetexte"/>
        <w:rPr/>
      </w:pPr>
      <w:r>
        <w:rPr/>
        <w:t>Diskuse a kolektivní práce probíhaly ve třech formátech:</w:t>
      </w:r>
    </w:p>
    <w:p>
      <w:pPr>
        <w:pStyle w:val="Alineanegatifpuce"/>
        <w:numPr>
          <w:ilvl w:val="0"/>
          <w:numId w:val="3"/>
        </w:numPr>
        <w:spacing w:before="4842" w:after="57"/>
        <w:rPr/>
      </w:pPr>
      <w:r>
        <mc:AlternateContent>
          <mc:Choice Requires="wps">
            <w:drawing>
              <wp:anchor behindDoc="0" distT="72390" distB="72390" distL="72390" distR="72390" simplePos="0" locked="0" layoutInCell="1" allowOverlap="1" relativeHeight="9">
                <wp:simplePos x="0" y="0"/>
                <wp:positionH relativeFrom="column">
                  <wp:posOffset>46990</wp:posOffset>
                </wp:positionH>
                <wp:positionV relativeFrom="paragraph">
                  <wp:posOffset>1572260</wp:posOffset>
                </wp:positionV>
                <wp:extent cx="6087745" cy="3075305"/>
                <wp:effectExtent l="0" t="0" r="0" b="0"/>
                <wp:wrapSquare wrapText="bothSides"/>
                <wp:docPr id="18" name="Rámeček4"/>
                <a:graphic xmlns:a="http://schemas.openxmlformats.org/drawingml/2006/main">
                  <a:graphicData uri="http://schemas.microsoft.com/office/word/2010/wordprocessingShape">
                    <wps:wsp>
                      <wps:cNvSpPr/>
                      <wps:spPr>
                        <a:xfrm>
                          <a:off x="0" y="0"/>
                          <a:ext cx="6087240" cy="3074760"/>
                        </a:xfrm>
                        <a:prstGeom prst="rect">
                          <a:avLst/>
                        </a:prstGeom>
                        <a:solidFill>
                          <a:srgbClr val="ffffff"/>
                        </a:solidFill>
                        <a:ln w="720">
                          <a:solidFill>
                            <a:srgbClr val="000000"/>
                          </a:solidFill>
                          <a:round/>
                        </a:ln>
                      </wps:spPr>
                      <wps:style>
                        <a:lnRef idx="0"/>
                        <a:fillRef idx="0"/>
                        <a:effectRef idx="0"/>
                        <a:fontRef idx="minor"/>
                      </wps:style>
                      <wps:txbx>
                        <w:txbxContent>
                          <w:tbl>
                            <w:tblPr>
                              <w:tblW w:w="9414" w:type="dxa"/>
                              <w:jc w:val="left"/>
                              <w:tblInd w:w="0" w:type="dxa"/>
                              <w:tblBorders/>
                              <w:tblCellMar>
                                <w:top w:w="0" w:type="dxa"/>
                                <w:left w:w="0" w:type="dxa"/>
                                <w:bottom w:w="0" w:type="dxa"/>
                                <w:right w:w="0" w:type="dxa"/>
                              </w:tblCellMar>
                            </w:tblPr>
                            <w:tblGrid>
                              <w:gridCol w:w="3138"/>
                              <w:gridCol w:w="3138"/>
                              <w:gridCol w:w="3138"/>
                            </w:tblGrid>
                            <w:tr>
                              <w:trPr/>
                              <w:tc>
                                <w:tcPr>
                                  <w:tcW w:w="9414" w:type="dxa"/>
                                  <w:gridSpan w:val="3"/>
                                  <w:tcBorders/>
                                  <w:shd w:fill="auto" w:val="clear"/>
                                </w:tcPr>
                                <w:p>
                                  <w:pPr>
                                    <w:pStyle w:val="P68B1DB1Contenudetableau10"/>
                                    <w:spacing w:before="57" w:after="57"/>
                                    <w:jc w:val="center"/>
                                    <w:rPr>
                                      <w:b/>
                                      <w:b/>
                                    </w:rPr>
                                  </w:pPr>
                                  <w:r>
                                    <w:rPr/>
                                    <w:t>ZASEDÁNÍ 3</w:t>
                                  </w:r>
                                </w:p>
                              </w:tc>
                            </w:tr>
                            <w:tr>
                              <w:trPr/>
                              <w:tc>
                                <w:tcPr>
                                  <w:tcW w:w="3138" w:type="dxa"/>
                                  <w:tcBorders/>
                                  <w:shd w:fill="0000FF" w:val="clear"/>
                                </w:tcPr>
                                <w:p>
                                  <w:pPr>
                                    <w:pStyle w:val="P68B1DB1Contenudetableau10"/>
                                    <w:spacing w:before="57" w:after="57"/>
                                    <w:jc w:val="center"/>
                                    <w:rPr>
                                      <w:b/>
                                      <w:b/>
                                    </w:rPr>
                                  </w:pPr>
                                  <w:r>
                                    <w:rPr/>
                                    <w:t xml:space="preserve">DEN 1 </w:t>
                                  </w:r>
                                </w:p>
                                <w:p>
                                  <w:pPr>
                                    <w:pStyle w:val="Contenudetableau"/>
                                    <w:spacing w:before="57" w:after="57"/>
                                    <w:jc w:val="center"/>
                                    <w:rPr/>
                                  </w:pPr>
                                  <w:r>
                                    <w:rPr/>
                                    <w:t>Opětovné propojení, stanovení priorit a zahájení práce</w:t>
                                  </w:r>
                                </w:p>
                              </w:tc>
                              <w:tc>
                                <w:tcPr>
                                  <w:tcW w:w="3138" w:type="dxa"/>
                                  <w:tcBorders/>
                                  <w:shd w:fill="0000FF" w:val="clear"/>
                                </w:tcPr>
                                <w:p>
                                  <w:pPr>
                                    <w:pStyle w:val="P68B1DB1Contenudetableau10"/>
                                    <w:spacing w:before="57" w:after="57"/>
                                    <w:jc w:val="center"/>
                                    <w:rPr>
                                      <w:b/>
                                      <w:b/>
                                    </w:rPr>
                                  </w:pPr>
                                  <w:r>
                                    <w:rPr/>
                                    <w:t xml:space="preserve">DEN 2 </w:t>
                                  </w:r>
                                </w:p>
                                <w:p>
                                  <w:pPr>
                                    <w:pStyle w:val="Contenudetableau"/>
                                    <w:jc w:val="center"/>
                                    <w:rPr/>
                                  </w:pPr>
                                  <w:r>
                                    <w:rPr/>
                                    <w:t xml:space="preserve">Transformace směrnic </w:t>
                                  </w:r>
                                </w:p>
                                <w:p>
                                  <w:pPr>
                                    <w:pStyle w:val="Contenudetableau"/>
                                    <w:spacing w:before="57" w:after="57"/>
                                    <w:jc w:val="center"/>
                                    <w:rPr/>
                                  </w:pPr>
                                  <w:r>
                                    <w:rPr/>
                                    <w:t>závěrečná doporučení</w:t>
                                  </w:r>
                                </w:p>
                              </w:tc>
                              <w:tc>
                                <w:tcPr>
                                  <w:tcW w:w="3138" w:type="dxa"/>
                                  <w:tcBorders/>
                                  <w:shd w:fill="0000FF" w:val="clear"/>
                                </w:tcPr>
                                <w:p>
                                  <w:pPr>
                                    <w:pStyle w:val="P68B1DB1Contenudetableau10"/>
                                    <w:spacing w:before="57" w:after="57"/>
                                    <w:jc w:val="center"/>
                                    <w:rPr>
                                      <w:b/>
                                      <w:b/>
                                    </w:rPr>
                                  </w:pPr>
                                  <w:r>
                                    <w:rPr/>
                                    <w:t xml:space="preserve">DEN 3 </w:t>
                                  </w:r>
                                </w:p>
                                <w:p>
                                  <w:pPr>
                                    <w:pStyle w:val="Contenudetableau"/>
                                    <w:spacing w:before="57" w:after="57"/>
                                    <w:jc w:val="center"/>
                                    <w:rPr/>
                                  </w:pPr>
                                  <w:r>
                                    <w:rPr/>
                                    <w:t>Hlasování o konečných doporučeních</w:t>
                                  </w:r>
                                </w:p>
                              </w:tc>
                            </w:tr>
                            <w:tr>
                              <w:trPr/>
                              <w:tc>
                                <w:tcPr>
                                  <w:tcW w:w="3138" w:type="dxa"/>
                                  <w:tcBorders/>
                                  <w:shd w:fill="800000" w:val="clear"/>
                                </w:tcPr>
                                <w:p>
                                  <w:pPr>
                                    <w:pStyle w:val="Contenudetableau"/>
                                    <w:spacing w:before="57" w:after="57"/>
                                    <w:jc w:val="center"/>
                                    <w:rPr/>
                                  </w:pPr>
                                  <w:r>
                                    <w:rPr/>
                                    <w:t>Uvítání a cíle víkendu</w:t>
                                  </w:r>
                                </w:p>
                              </w:tc>
                              <w:tc>
                                <w:tcPr>
                                  <w:tcW w:w="3138" w:type="dxa"/>
                                  <w:tcBorders/>
                                  <w:shd w:fill="00FF00" w:val="clear"/>
                                </w:tcPr>
                                <w:p>
                                  <w:pPr>
                                    <w:pStyle w:val="Contenudetableau"/>
                                    <w:spacing w:before="57" w:after="57"/>
                                    <w:jc w:val="center"/>
                                    <w:rPr/>
                                  </w:pPr>
                                  <w:r>
                                    <w:rPr/>
                                    <w:t>Přeměna pokynů na doporučení</w:t>
                                  </w:r>
                                </w:p>
                              </w:tc>
                              <w:tc>
                                <w:tcPr>
                                  <w:tcW w:w="3138" w:type="dxa"/>
                                  <w:tcBorders/>
                                  <w:shd w:fill="800000" w:val="clear"/>
                                </w:tcPr>
                                <w:p>
                                  <w:pPr>
                                    <w:pStyle w:val="Contenudetableau"/>
                                    <w:spacing w:before="57" w:after="57"/>
                                    <w:jc w:val="center"/>
                                    <w:rPr/>
                                  </w:pPr>
                                  <w:r>
                                    <w:rPr/>
                                    <w:t>Hlasování o konečných doporučeních</w:t>
                                  </w:r>
                                </w:p>
                              </w:tc>
                            </w:tr>
                            <w:tr>
                              <w:trPr/>
                              <w:tc>
                                <w:tcPr>
                                  <w:tcW w:w="3138" w:type="dxa"/>
                                  <w:tcBorders/>
                                  <w:shd w:fill="0000FF" w:val="clear"/>
                                </w:tcPr>
                                <w:p>
                                  <w:pPr>
                                    <w:pStyle w:val="Contenudetableau"/>
                                    <w:spacing w:before="57" w:after="57"/>
                                    <w:jc w:val="center"/>
                                    <w:rPr/>
                                  </w:pPr>
                                  <w:r>
                                    <w:rPr/>
                                    <w:t xml:space="preserve">Otevřené fórum, </w:t>
                                  </w:r>
                                </w:p>
                                <w:p>
                                  <w:pPr>
                                    <w:pStyle w:val="Contenudetableau"/>
                                    <w:spacing w:before="57" w:after="57"/>
                                    <w:jc w:val="center"/>
                                    <w:rPr/>
                                  </w:pPr>
                                  <w:r>
                                    <w:rPr/>
                                    <w:t>Čtení a stanovení priorit pokynů</w:t>
                                  </w:r>
                                </w:p>
                              </w:tc>
                              <w:tc>
                                <w:tcPr>
                                  <w:tcW w:w="3138" w:type="dxa"/>
                                  <w:tcBorders/>
                                  <w:shd w:fill="00FF00" w:val="clear"/>
                                </w:tcPr>
                                <w:p>
                                  <w:pPr>
                                    <w:pStyle w:val="Contenudetableau"/>
                                    <w:spacing w:before="57" w:after="57"/>
                                    <w:jc w:val="center"/>
                                    <w:rPr/>
                                  </w:pPr>
                                  <w:r>
                                    <w:rPr/>
                                    <w:t>Zpětná vazba pro ostatní skupiny, finalizace doporučení</w:t>
                                  </w:r>
                                </w:p>
                              </w:tc>
                              <w:tc>
                                <w:tcPr>
                                  <w:tcW w:w="3138" w:type="dxa"/>
                                  <w:tcBorders/>
                                  <w:shd w:fill="auto" w:val="clear"/>
                                </w:tcPr>
                                <w:p>
                                  <w:pPr>
                                    <w:pStyle w:val="Contenudetableau"/>
                                    <w:spacing w:before="57" w:after="57"/>
                                    <w:jc w:val="center"/>
                                    <w:rPr/>
                                  </w:pPr>
                                  <w:r>
                                    <w:rPr/>
                                  </w:r>
                                </w:p>
                              </w:tc>
                            </w:tr>
                            <w:tr>
                              <w:trPr/>
                              <w:tc>
                                <w:tcPr>
                                  <w:tcW w:w="3138" w:type="dxa"/>
                                  <w:tcBorders/>
                                  <w:shd w:fill="00FF00" w:val="clear"/>
                                </w:tcPr>
                                <w:p>
                                  <w:pPr>
                                    <w:pStyle w:val="Contenudetableau"/>
                                    <w:spacing w:before="57" w:after="57"/>
                                    <w:jc w:val="center"/>
                                    <w:rPr/>
                                  </w:pPr>
                                  <w:r>
                                    <w:rPr/>
                                    <w:t>Přeměna pokynů na doporučení</w:t>
                                  </w:r>
                                </w:p>
                              </w:tc>
                              <w:tc>
                                <w:tcPr>
                                  <w:tcW w:w="3138" w:type="dxa"/>
                                  <w:tcBorders/>
                                  <w:shd w:fill="auto" w:val="clear"/>
                                </w:tcPr>
                                <w:p>
                                  <w:pPr>
                                    <w:pStyle w:val="Contenudetableau"/>
                                    <w:spacing w:before="57" w:after="57"/>
                                    <w:jc w:val="center"/>
                                    <w:rPr/>
                                  </w:pPr>
                                  <w:r>
                                    <w:rPr/>
                                  </w:r>
                                </w:p>
                              </w:tc>
                              <w:tc>
                                <w:tcPr>
                                  <w:tcW w:w="3138" w:type="dxa"/>
                                  <w:tcBorders/>
                                  <w:shd w:fill="auto" w:val="clear"/>
                                </w:tcPr>
                                <w:p>
                                  <w:pPr>
                                    <w:pStyle w:val="Contenudetableau"/>
                                    <w:spacing w:before="57" w:after="57"/>
                                    <w:jc w:val="center"/>
                                    <w:rPr/>
                                  </w:pPr>
                                  <w:r>
                                    <w:rPr/>
                                  </w:r>
                                </w:p>
                              </w:tc>
                            </w:tr>
                          </w:tbl>
                          <w:p>
                            <w:pPr>
                              <w:pStyle w:val="Contenudecadre"/>
                              <w:rPr>
                                <w:color w:val="auto"/>
                              </w:rPr>
                            </w:pPr>
                            <w:r>
                              <w:rPr>
                                <w:color w:val="auto"/>
                              </w:rPr>
                            </w:r>
                          </w:p>
                          <w:tbl>
                            <w:tblPr>
                              <w:tblW w:w="9414" w:type="dxa"/>
                              <w:jc w:val="left"/>
                              <w:tblInd w:w="0" w:type="dxa"/>
                              <w:tblBorders/>
                              <w:tblCellMar>
                                <w:top w:w="0" w:type="dxa"/>
                                <w:left w:w="0" w:type="dxa"/>
                                <w:bottom w:w="0" w:type="dxa"/>
                                <w:right w:w="0" w:type="dxa"/>
                              </w:tblCellMar>
                            </w:tblPr>
                            <w:tblGrid>
                              <w:gridCol w:w="2790"/>
                              <w:gridCol w:w="347"/>
                              <w:gridCol w:w="2794"/>
                              <w:gridCol w:w="345"/>
                              <w:gridCol w:w="2735"/>
                              <w:gridCol w:w="402"/>
                            </w:tblGrid>
                            <w:tr>
                              <w:trPr/>
                              <w:tc>
                                <w:tcPr>
                                  <w:tcW w:w="2790" w:type="dxa"/>
                                  <w:tcBorders/>
                                  <w:shd w:fill="auto" w:val="clear"/>
                                </w:tcPr>
                                <w:p>
                                  <w:pPr>
                                    <w:pStyle w:val="P68B1DB1Contenudetableau9"/>
                                    <w:spacing w:before="57" w:after="57"/>
                                    <w:jc w:val="right"/>
                                    <w:rPr>
                                      <w:sz w:val="16"/>
                                    </w:rPr>
                                  </w:pPr>
                                  <w:r>
                                    <w:rPr>
                                      <w:color w:val="auto"/>
                                    </w:rPr>
                                    <w:t>Plenární zasedání</w:t>
                                  </w:r>
                                </w:p>
                              </w:tc>
                              <w:tc>
                                <w:tcPr>
                                  <w:tcW w:w="347" w:type="dxa"/>
                                  <w:tcBorders/>
                                  <w:shd w:fill="800000" w:val="clear"/>
                                </w:tcPr>
                                <w:p>
                                  <w:pPr>
                                    <w:pStyle w:val="Contenudetableau"/>
                                    <w:spacing w:before="57" w:after="57"/>
                                    <w:jc w:val="right"/>
                                    <w:rPr>
                                      <w:color w:val="auto"/>
                                      <w:sz w:val="16"/>
                                    </w:rPr>
                                  </w:pPr>
                                  <w:r>
                                    <w:rPr>
                                      <w:color w:val="auto"/>
                                      <w:sz w:val="16"/>
                                    </w:rPr>
                                  </w:r>
                                </w:p>
                              </w:tc>
                              <w:tc>
                                <w:tcPr>
                                  <w:tcW w:w="2794" w:type="dxa"/>
                                  <w:tcBorders/>
                                  <w:shd w:fill="auto" w:val="clear"/>
                                </w:tcPr>
                                <w:p>
                                  <w:pPr>
                                    <w:pStyle w:val="P68B1DB1Contenudetableau9"/>
                                    <w:spacing w:before="57" w:after="57"/>
                                    <w:jc w:val="right"/>
                                    <w:rPr>
                                      <w:sz w:val="16"/>
                                    </w:rPr>
                                  </w:pPr>
                                  <w:r>
                                    <w:rPr>
                                      <w:color w:val="auto"/>
                                    </w:rPr>
                                    <w:t>Otevřené fórum</w:t>
                                  </w:r>
                                </w:p>
                              </w:tc>
                              <w:tc>
                                <w:tcPr>
                                  <w:tcW w:w="345" w:type="dxa"/>
                                  <w:tcBorders/>
                                  <w:shd w:fill="0000FF" w:val="clear"/>
                                </w:tcPr>
                                <w:p>
                                  <w:pPr>
                                    <w:pStyle w:val="Contenudetableau"/>
                                    <w:spacing w:before="57" w:after="57"/>
                                    <w:jc w:val="right"/>
                                    <w:rPr>
                                      <w:color w:val="auto"/>
                                      <w:sz w:val="16"/>
                                    </w:rPr>
                                  </w:pPr>
                                  <w:r>
                                    <w:rPr>
                                      <w:color w:val="auto"/>
                                      <w:sz w:val="16"/>
                                    </w:rPr>
                                  </w:r>
                                </w:p>
                              </w:tc>
                              <w:tc>
                                <w:tcPr>
                                  <w:tcW w:w="2735" w:type="dxa"/>
                                  <w:tcBorders/>
                                  <w:shd w:fill="auto" w:val="clear"/>
                                </w:tcPr>
                                <w:p>
                                  <w:pPr>
                                    <w:pStyle w:val="P68B1DB1Contenudetableau9"/>
                                    <w:spacing w:before="57" w:after="57"/>
                                    <w:jc w:val="right"/>
                                    <w:rPr>
                                      <w:sz w:val="16"/>
                                    </w:rPr>
                                  </w:pPr>
                                  <w:r>
                                    <w:rPr>
                                      <w:color w:val="auto"/>
                                    </w:rPr>
                                    <w:t>Práce podskupiny</w:t>
                                  </w:r>
                                </w:p>
                              </w:tc>
                              <w:tc>
                                <w:tcPr>
                                  <w:tcW w:w="402" w:type="dxa"/>
                                  <w:tcBorders/>
                                  <w:shd w:fill="00FF00" w:val="clear"/>
                                </w:tcPr>
                                <w:p>
                                  <w:pPr>
                                    <w:pStyle w:val="Contenudetableau"/>
                                    <w:spacing w:before="57" w:after="57"/>
                                    <w:rPr>
                                      <w:color w:val="auto"/>
                                      <w:sz w:val="16"/>
                                    </w:rPr>
                                  </w:pPr>
                                  <w:r>
                                    <w:rPr>
                                      <w:color w:val="auto"/>
                                      <w:sz w:val="16"/>
                                    </w:rPr>
                                  </w:r>
                                </w:p>
                              </w:tc>
                            </w:tr>
                          </w:tbl>
                          <w:p>
                            <w:pPr>
                              <w:pStyle w:val="Normal"/>
                              <w:spacing w:before="57" w:after="57"/>
                              <w:rPr>
                                <w:color w:val="auto"/>
                              </w:rPr>
                            </w:pPr>
                            <w:r>
                              <w:rPr>
                                <w:color w:val="auto"/>
                              </w:rPr>
                            </w:r>
                          </w:p>
                        </w:txbxContent>
                      </wps:txbx>
                      <wps:bodyPr lIns="54000" rIns="54000" tIns="54000" bIns="54000">
                        <a:noAutofit/>
                      </wps:bodyPr>
                    </wps:wsp>
                  </a:graphicData>
                </a:graphic>
              </wp:anchor>
            </w:drawing>
          </mc:Choice>
          <mc:Fallback>
            <w:pict>
              <v:rect id="shape_0" ID="Rámeček4" fillcolor="white" stroked="t" style="position:absolute;margin-left:3.7pt;margin-top:123.8pt;width:479.25pt;height:242.05pt">
                <w10:wrap type="square"/>
                <v:fill o:detectmouseclick="t" type="solid" color2="black"/>
                <v:stroke color="black" weight="720" joinstyle="round" endcap="flat"/>
                <v:textbox>
                  <w:txbxContent>
                    <w:tbl>
                      <w:tblPr>
                        <w:tblW w:w="9414" w:type="dxa"/>
                        <w:jc w:val="left"/>
                        <w:tblInd w:w="0" w:type="dxa"/>
                        <w:tblBorders/>
                        <w:tblCellMar>
                          <w:top w:w="0" w:type="dxa"/>
                          <w:left w:w="0" w:type="dxa"/>
                          <w:bottom w:w="0" w:type="dxa"/>
                          <w:right w:w="0" w:type="dxa"/>
                        </w:tblCellMar>
                      </w:tblPr>
                      <w:tblGrid>
                        <w:gridCol w:w="3138"/>
                        <w:gridCol w:w="3138"/>
                        <w:gridCol w:w="3138"/>
                      </w:tblGrid>
                      <w:tr>
                        <w:trPr/>
                        <w:tc>
                          <w:tcPr>
                            <w:tcW w:w="9414" w:type="dxa"/>
                            <w:gridSpan w:val="3"/>
                            <w:tcBorders/>
                            <w:shd w:fill="auto" w:val="clear"/>
                          </w:tcPr>
                          <w:p>
                            <w:pPr>
                              <w:pStyle w:val="P68B1DB1Contenudetableau10"/>
                              <w:spacing w:before="57" w:after="57"/>
                              <w:jc w:val="center"/>
                              <w:rPr>
                                <w:b/>
                                <w:b/>
                              </w:rPr>
                            </w:pPr>
                            <w:r>
                              <w:rPr/>
                              <w:t>ZASEDÁNÍ 3</w:t>
                            </w:r>
                          </w:p>
                        </w:tc>
                      </w:tr>
                      <w:tr>
                        <w:trPr/>
                        <w:tc>
                          <w:tcPr>
                            <w:tcW w:w="3138" w:type="dxa"/>
                            <w:tcBorders/>
                            <w:shd w:fill="0000FF" w:val="clear"/>
                          </w:tcPr>
                          <w:p>
                            <w:pPr>
                              <w:pStyle w:val="P68B1DB1Contenudetableau10"/>
                              <w:spacing w:before="57" w:after="57"/>
                              <w:jc w:val="center"/>
                              <w:rPr>
                                <w:b/>
                                <w:b/>
                              </w:rPr>
                            </w:pPr>
                            <w:r>
                              <w:rPr/>
                              <w:t xml:space="preserve">DEN 1 </w:t>
                            </w:r>
                          </w:p>
                          <w:p>
                            <w:pPr>
                              <w:pStyle w:val="Contenudetableau"/>
                              <w:spacing w:before="57" w:after="57"/>
                              <w:jc w:val="center"/>
                              <w:rPr/>
                            </w:pPr>
                            <w:r>
                              <w:rPr/>
                              <w:t>Opětovné propojení, stanovení priorit a zahájení práce</w:t>
                            </w:r>
                          </w:p>
                        </w:tc>
                        <w:tc>
                          <w:tcPr>
                            <w:tcW w:w="3138" w:type="dxa"/>
                            <w:tcBorders/>
                            <w:shd w:fill="0000FF" w:val="clear"/>
                          </w:tcPr>
                          <w:p>
                            <w:pPr>
                              <w:pStyle w:val="P68B1DB1Contenudetableau10"/>
                              <w:spacing w:before="57" w:after="57"/>
                              <w:jc w:val="center"/>
                              <w:rPr>
                                <w:b/>
                                <w:b/>
                              </w:rPr>
                            </w:pPr>
                            <w:r>
                              <w:rPr/>
                              <w:t xml:space="preserve">DEN 2 </w:t>
                            </w:r>
                          </w:p>
                          <w:p>
                            <w:pPr>
                              <w:pStyle w:val="Contenudetableau"/>
                              <w:jc w:val="center"/>
                              <w:rPr/>
                            </w:pPr>
                            <w:r>
                              <w:rPr/>
                              <w:t xml:space="preserve">Transformace směrnic </w:t>
                            </w:r>
                          </w:p>
                          <w:p>
                            <w:pPr>
                              <w:pStyle w:val="Contenudetableau"/>
                              <w:spacing w:before="57" w:after="57"/>
                              <w:jc w:val="center"/>
                              <w:rPr/>
                            </w:pPr>
                            <w:r>
                              <w:rPr/>
                              <w:t>závěrečná doporučení</w:t>
                            </w:r>
                          </w:p>
                        </w:tc>
                        <w:tc>
                          <w:tcPr>
                            <w:tcW w:w="3138" w:type="dxa"/>
                            <w:tcBorders/>
                            <w:shd w:fill="0000FF" w:val="clear"/>
                          </w:tcPr>
                          <w:p>
                            <w:pPr>
                              <w:pStyle w:val="P68B1DB1Contenudetableau10"/>
                              <w:spacing w:before="57" w:after="57"/>
                              <w:jc w:val="center"/>
                              <w:rPr>
                                <w:b/>
                                <w:b/>
                              </w:rPr>
                            </w:pPr>
                            <w:r>
                              <w:rPr/>
                              <w:t xml:space="preserve">DEN 3 </w:t>
                            </w:r>
                          </w:p>
                          <w:p>
                            <w:pPr>
                              <w:pStyle w:val="Contenudetableau"/>
                              <w:spacing w:before="57" w:after="57"/>
                              <w:jc w:val="center"/>
                              <w:rPr/>
                            </w:pPr>
                            <w:r>
                              <w:rPr/>
                              <w:t>Hlasování o konečných doporučeních</w:t>
                            </w:r>
                          </w:p>
                        </w:tc>
                      </w:tr>
                      <w:tr>
                        <w:trPr/>
                        <w:tc>
                          <w:tcPr>
                            <w:tcW w:w="3138" w:type="dxa"/>
                            <w:tcBorders/>
                            <w:shd w:fill="800000" w:val="clear"/>
                          </w:tcPr>
                          <w:p>
                            <w:pPr>
                              <w:pStyle w:val="Contenudetableau"/>
                              <w:spacing w:before="57" w:after="57"/>
                              <w:jc w:val="center"/>
                              <w:rPr/>
                            </w:pPr>
                            <w:r>
                              <w:rPr/>
                              <w:t>Uvítání a cíle víkendu</w:t>
                            </w:r>
                          </w:p>
                        </w:tc>
                        <w:tc>
                          <w:tcPr>
                            <w:tcW w:w="3138" w:type="dxa"/>
                            <w:tcBorders/>
                            <w:shd w:fill="00FF00" w:val="clear"/>
                          </w:tcPr>
                          <w:p>
                            <w:pPr>
                              <w:pStyle w:val="Contenudetableau"/>
                              <w:spacing w:before="57" w:after="57"/>
                              <w:jc w:val="center"/>
                              <w:rPr/>
                            </w:pPr>
                            <w:r>
                              <w:rPr/>
                              <w:t>Přeměna pokynů na doporučení</w:t>
                            </w:r>
                          </w:p>
                        </w:tc>
                        <w:tc>
                          <w:tcPr>
                            <w:tcW w:w="3138" w:type="dxa"/>
                            <w:tcBorders/>
                            <w:shd w:fill="800000" w:val="clear"/>
                          </w:tcPr>
                          <w:p>
                            <w:pPr>
                              <w:pStyle w:val="Contenudetableau"/>
                              <w:spacing w:before="57" w:after="57"/>
                              <w:jc w:val="center"/>
                              <w:rPr/>
                            </w:pPr>
                            <w:r>
                              <w:rPr/>
                              <w:t>Hlasování o konečných doporučeních</w:t>
                            </w:r>
                          </w:p>
                        </w:tc>
                      </w:tr>
                      <w:tr>
                        <w:trPr/>
                        <w:tc>
                          <w:tcPr>
                            <w:tcW w:w="3138" w:type="dxa"/>
                            <w:tcBorders/>
                            <w:shd w:fill="0000FF" w:val="clear"/>
                          </w:tcPr>
                          <w:p>
                            <w:pPr>
                              <w:pStyle w:val="Contenudetableau"/>
                              <w:spacing w:before="57" w:after="57"/>
                              <w:jc w:val="center"/>
                              <w:rPr/>
                            </w:pPr>
                            <w:r>
                              <w:rPr/>
                              <w:t xml:space="preserve">Otevřené fórum, </w:t>
                            </w:r>
                          </w:p>
                          <w:p>
                            <w:pPr>
                              <w:pStyle w:val="Contenudetableau"/>
                              <w:spacing w:before="57" w:after="57"/>
                              <w:jc w:val="center"/>
                              <w:rPr/>
                            </w:pPr>
                            <w:r>
                              <w:rPr/>
                              <w:t>Čtení a stanovení priorit pokynů</w:t>
                            </w:r>
                          </w:p>
                        </w:tc>
                        <w:tc>
                          <w:tcPr>
                            <w:tcW w:w="3138" w:type="dxa"/>
                            <w:tcBorders/>
                            <w:shd w:fill="00FF00" w:val="clear"/>
                          </w:tcPr>
                          <w:p>
                            <w:pPr>
                              <w:pStyle w:val="Contenudetableau"/>
                              <w:spacing w:before="57" w:after="57"/>
                              <w:jc w:val="center"/>
                              <w:rPr/>
                            </w:pPr>
                            <w:r>
                              <w:rPr/>
                              <w:t>Zpětná vazba pro ostatní skupiny, finalizace doporučení</w:t>
                            </w:r>
                          </w:p>
                        </w:tc>
                        <w:tc>
                          <w:tcPr>
                            <w:tcW w:w="3138" w:type="dxa"/>
                            <w:tcBorders/>
                            <w:shd w:fill="auto" w:val="clear"/>
                          </w:tcPr>
                          <w:p>
                            <w:pPr>
                              <w:pStyle w:val="Contenudetableau"/>
                              <w:spacing w:before="57" w:after="57"/>
                              <w:jc w:val="center"/>
                              <w:rPr/>
                            </w:pPr>
                            <w:r>
                              <w:rPr/>
                            </w:r>
                          </w:p>
                        </w:tc>
                      </w:tr>
                      <w:tr>
                        <w:trPr/>
                        <w:tc>
                          <w:tcPr>
                            <w:tcW w:w="3138" w:type="dxa"/>
                            <w:tcBorders/>
                            <w:shd w:fill="00FF00" w:val="clear"/>
                          </w:tcPr>
                          <w:p>
                            <w:pPr>
                              <w:pStyle w:val="Contenudetableau"/>
                              <w:spacing w:before="57" w:after="57"/>
                              <w:jc w:val="center"/>
                              <w:rPr/>
                            </w:pPr>
                            <w:r>
                              <w:rPr/>
                              <w:t>Přeměna pokynů na doporučení</w:t>
                            </w:r>
                          </w:p>
                        </w:tc>
                        <w:tc>
                          <w:tcPr>
                            <w:tcW w:w="3138" w:type="dxa"/>
                            <w:tcBorders/>
                            <w:shd w:fill="auto" w:val="clear"/>
                          </w:tcPr>
                          <w:p>
                            <w:pPr>
                              <w:pStyle w:val="Contenudetableau"/>
                              <w:spacing w:before="57" w:after="57"/>
                              <w:jc w:val="center"/>
                              <w:rPr/>
                            </w:pPr>
                            <w:r>
                              <w:rPr/>
                            </w:r>
                          </w:p>
                        </w:tc>
                        <w:tc>
                          <w:tcPr>
                            <w:tcW w:w="3138" w:type="dxa"/>
                            <w:tcBorders/>
                            <w:shd w:fill="auto" w:val="clear"/>
                          </w:tcPr>
                          <w:p>
                            <w:pPr>
                              <w:pStyle w:val="Contenudetableau"/>
                              <w:spacing w:before="57" w:after="57"/>
                              <w:jc w:val="center"/>
                              <w:rPr/>
                            </w:pPr>
                            <w:r>
                              <w:rPr/>
                            </w:r>
                          </w:p>
                        </w:tc>
                      </w:tr>
                    </w:tbl>
                    <w:p>
                      <w:pPr>
                        <w:pStyle w:val="Contenudecadre"/>
                        <w:rPr>
                          <w:color w:val="auto"/>
                        </w:rPr>
                      </w:pPr>
                      <w:r>
                        <w:rPr>
                          <w:color w:val="auto"/>
                        </w:rPr>
                      </w:r>
                    </w:p>
                    <w:tbl>
                      <w:tblPr>
                        <w:tblW w:w="9414" w:type="dxa"/>
                        <w:jc w:val="left"/>
                        <w:tblInd w:w="0" w:type="dxa"/>
                        <w:tblBorders/>
                        <w:tblCellMar>
                          <w:top w:w="0" w:type="dxa"/>
                          <w:left w:w="0" w:type="dxa"/>
                          <w:bottom w:w="0" w:type="dxa"/>
                          <w:right w:w="0" w:type="dxa"/>
                        </w:tblCellMar>
                      </w:tblPr>
                      <w:tblGrid>
                        <w:gridCol w:w="2790"/>
                        <w:gridCol w:w="347"/>
                        <w:gridCol w:w="2794"/>
                        <w:gridCol w:w="345"/>
                        <w:gridCol w:w="2735"/>
                        <w:gridCol w:w="402"/>
                      </w:tblGrid>
                      <w:tr>
                        <w:trPr/>
                        <w:tc>
                          <w:tcPr>
                            <w:tcW w:w="2790" w:type="dxa"/>
                            <w:tcBorders/>
                            <w:shd w:fill="auto" w:val="clear"/>
                          </w:tcPr>
                          <w:p>
                            <w:pPr>
                              <w:pStyle w:val="P68B1DB1Contenudetableau9"/>
                              <w:spacing w:before="57" w:after="57"/>
                              <w:jc w:val="right"/>
                              <w:rPr>
                                <w:sz w:val="16"/>
                              </w:rPr>
                            </w:pPr>
                            <w:r>
                              <w:rPr>
                                <w:color w:val="auto"/>
                              </w:rPr>
                              <w:t>Plenární zasedání</w:t>
                            </w:r>
                          </w:p>
                        </w:tc>
                        <w:tc>
                          <w:tcPr>
                            <w:tcW w:w="347" w:type="dxa"/>
                            <w:tcBorders/>
                            <w:shd w:fill="800000" w:val="clear"/>
                          </w:tcPr>
                          <w:p>
                            <w:pPr>
                              <w:pStyle w:val="Contenudetableau"/>
                              <w:spacing w:before="57" w:after="57"/>
                              <w:jc w:val="right"/>
                              <w:rPr>
                                <w:color w:val="auto"/>
                                <w:sz w:val="16"/>
                              </w:rPr>
                            </w:pPr>
                            <w:r>
                              <w:rPr>
                                <w:color w:val="auto"/>
                                <w:sz w:val="16"/>
                              </w:rPr>
                            </w:r>
                          </w:p>
                        </w:tc>
                        <w:tc>
                          <w:tcPr>
                            <w:tcW w:w="2794" w:type="dxa"/>
                            <w:tcBorders/>
                            <w:shd w:fill="auto" w:val="clear"/>
                          </w:tcPr>
                          <w:p>
                            <w:pPr>
                              <w:pStyle w:val="P68B1DB1Contenudetableau9"/>
                              <w:spacing w:before="57" w:after="57"/>
                              <w:jc w:val="right"/>
                              <w:rPr>
                                <w:sz w:val="16"/>
                              </w:rPr>
                            </w:pPr>
                            <w:r>
                              <w:rPr>
                                <w:color w:val="auto"/>
                              </w:rPr>
                              <w:t>Otevřené fórum</w:t>
                            </w:r>
                          </w:p>
                        </w:tc>
                        <w:tc>
                          <w:tcPr>
                            <w:tcW w:w="345" w:type="dxa"/>
                            <w:tcBorders/>
                            <w:shd w:fill="0000FF" w:val="clear"/>
                          </w:tcPr>
                          <w:p>
                            <w:pPr>
                              <w:pStyle w:val="Contenudetableau"/>
                              <w:spacing w:before="57" w:after="57"/>
                              <w:jc w:val="right"/>
                              <w:rPr>
                                <w:color w:val="auto"/>
                                <w:sz w:val="16"/>
                              </w:rPr>
                            </w:pPr>
                            <w:r>
                              <w:rPr>
                                <w:color w:val="auto"/>
                                <w:sz w:val="16"/>
                              </w:rPr>
                            </w:r>
                          </w:p>
                        </w:tc>
                        <w:tc>
                          <w:tcPr>
                            <w:tcW w:w="2735" w:type="dxa"/>
                            <w:tcBorders/>
                            <w:shd w:fill="auto" w:val="clear"/>
                          </w:tcPr>
                          <w:p>
                            <w:pPr>
                              <w:pStyle w:val="P68B1DB1Contenudetableau9"/>
                              <w:spacing w:before="57" w:after="57"/>
                              <w:jc w:val="right"/>
                              <w:rPr>
                                <w:sz w:val="16"/>
                              </w:rPr>
                            </w:pPr>
                            <w:r>
                              <w:rPr>
                                <w:color w:val="auto"/>
                              </w:rPr>
                              <w:t>Práce podskupiny</w:t>
                            </w:r>
                          </w:p>
                        </w:tc>
                        <w:tc>
                          <w:tcPr>
                            <w:tcW w:w="402" w:type="dxa"/>
                            <w:tcBorders/>
                            <w:shd w:fill="00FF00" w:val="clear"/>
                          </w:tcPr>
                          <w:p>
                            <w:pPr>
                              <w:pStyle w:val="Contenudetableau"/>
                              <w:spacing w:before="57" w:after="57"/>
                              <w:rPr>
                                <w:color w:val="auto"/>
                                <w:sz w:val="16"/>
                              </w:rPr>
                            </w:pPr>
                            <w:r>
                              <w:rPr>
                                <w:color w:val="auto"/>
                                <w:sz w:val="16"/>
                              </w:rPr>
                            </w:r>
                          </w:p>
                        </w:tc>
                      </w:tr>
                    </w:tbl>
                    <w:p>
                      <w:pPr>
                        <w:pStyle w:val="Normal"/>
                        <w:spacing w:before="57" w:after="57"/>
                        <w:rPr>
                          <w:color w:val="auto"/>
                        </w:rPr>
                      </w:pPr>
                      <w:r>
                        <w:rPr>
                          <w:color w:val="auto"/>
                        </w:rPr>
                      </w:r>
                    </w:p>
                  </w:txbxContent>
                </v:textbox>
              </v:rect>
            </w:pict>
          </mc:Fallback>
        </mc:AlternateContent>
      </w:r>
      <w:r>
        <w:rPr/>
        <w:t xml:space="preserve"> </w:t>
      </w:r>
      <w:r>
        <w:rPr/>
        <w:t>v podskupinách. Každá z patnácti podskupin se skládala z dvanácti až čtrnácti občanů. V každé podskupině bylo použito čtyři až pět jazyků, aby se občané mohli vyjádřit ve svém vlastním jazyce nebo v jazyce, ve kterém se cítili pohodlně. Každá podskupina měla profesionálního facilitátora z konsorcia externích poskytovatelů služeb.</w:t>
      </w:r>
    </w:p>
    <w:p>
      <w:pPr>
        <w:pStyle w:val="Alineanegatifpuce"/>
        <w:numPr>
          <w:ilvl w:val="0"/>
          <w:numId w:val="3"/>
        </w:numPr>
        <w:rPr/>
      </w:pPr>
      <w:r>
        <w:rPr/>
        <w:t xml:space="preserve"> </w:t>
      </w:r>
      <w:r>
        <w:rPr/>
        <w:t>na plenárním zasedání věnovaném pracovnímu proudu. Každé plenární zasedání věnované pracovní ose spojilo podskupiny pracující na stejné tematické ose. Plenární zasedání věnovaná pracovnímu proudu byla usnadněna profesionálními zprostředkovateli, přičemž tlumočení zahrnovalo všechny jazyky, které účastníci požadovali.</w:t>
      </w:r>
    </w:p>
    <w:p>
      <w:pPr>
        <w:pStyle w:val="Alineanegatifpuce"/>
        <w:numPr>
          <w:ilvl w:val="0"/>
          <w:numId w:val="3"/>
        </w:numPr>
        <w:rPr/>
      </w:pPr>
      <w:r>
        <w:rPr/>
        <w:t xml:space="preserve"> </w:t>
      </w:r>
      <w:r>
        <w:rPr/>
        <w:t>na plenárním zasedání, se všemi zúčastněnými občany, aby zasedání prezentovali a ukončili. Plenární zasedání vedli dva hlavní moderátoři konsorcia s tlumočením do 24 úředních jazyků EU.</w:t>
      </w:r>
    </w:p>
    <w:p>
      <w:pPr>
        <w:pStyle w:val="Alineanegatifpuce"/>
        <w:numPr>
          <w:ilvl w:val="0"/>
          <w:numId w:val="0"/>
        </w:numPr>
        <w:ind w:left="0" w:right="0" w:hanging="0"/>
        <w:rPr/>
      </w:pPr>
      <w:r>
        <w:rPr/>
      </w:r>
      <w:r>
        <w:br w:type="page"/>
      </w:r>
    </w:p>
    <w:p>
      <w:pPr>
        <w:pStyle w:val="Titre4"/>
        <w:numPr>
          <w:ilvl w:val="3"/>
          <w:numId w:val="2"/>
        </w:numPr>
        <w:rPr/>
      </w:pPr>
      <w:bookmarkStart w:id="13" w:name="__RefHeading___Toc298200_1346298689"/>
      <w:bookmarkEnd w:id="13"/>
      <w:r>
        <w:rPr/>
        <w:t>TŘETÍ KOLO PANELOVÝCH ZASEDÁNÍ</w:t>
      </w:r>
    </w:p>
    <w:p>
      <w:pPr>
        <w:pStyle w:val="Corpsdetexte"/>
        <w:rPr/>
      </w:pPr>
      <w:r>
        <w:rPr/>
        <w:t>Třetí a poslední kolo panelových zasedání se konalo osobně ve vzdělávacích institucích ve čtyřech členských státech. Vzhledem k pandemii COVID-19 a souvisejícím opatřením v Irsku a Nizozemsku třetí zasedání panelů 1 (Silnější hospodářství, sociální spravedlnost a zaměstnanost); vzdělávání, kultura, mládež a sport; digitální transformace) a 4 (EU ve světě; migrace) musela být po konzultaci s vnitrostátními orgány a přidruženými partnery odložena do února 2022.</w:t>
      </w:r>
    </w:p>
    <w:p>
      <w:pPr>
        <w:pStyle w:val="Corpsdetexte"/>
        <w:rPr/>
      </w:pPr>
      <w:r>
        <w:rPr/>
        <w:t xml:space="preserve">Diskuse a kolektivní práce probíhaly v těchto formátech: </w:t>
      </w:r>
    </w:p>
    <w:p>
      <w:pPr>
        <w:pStyle w:val="Alineanegatifpuce"/>
        <w:numPr>
          <w:ilvl w:val="0"/>
          <w:numId w:val="3"/>
        </w:numPr>
        <w:rPr/>
      </w:pPr>
      <w:r>
        <w:rPr/>
        <w:t xml:space="preserve"> </w:t>
      </w:r>
      <w:r>
        <w:rPr/>
        <w:t>na plenárním zasedání se všemi účastníky, na začátku zasedání a na konci zasedání, jak je vysvětleno níže. Plenární zasedání vedli dva hlavní moderátoři poradní skupiny s tlumočením do 24 úředních jazyků EU.</w:t>
      </w:r>
    </w:p>
    <w:p>
      <w:pPr>
        <w:pStyle w:val="Alineanegatifpuce"/>
        <w:numPr>
          <w:ilvl w:val="0"/>
          <w:numId w:val="3"/>
        </w:numPr>
        <w:rPr/>
      </w:pPr>
      <w:r>
        <w:rPr/>
        <w:t xml:space="preserve"> </w:t>
      </w:r>
      <w:r>
        <w:rPr/>
        <w:t>Občané začali zkoumáním všech pokynů vypracovaných panelem během 2. zasedání v rámci „otevřeného fóra“. Každý občan pak dal přednost maximálně deseti směrům na osu práce. Po dokončení procesu stanovování priorit na úrovni panelu se občané připojili k podskupině, v níž již pracovali během druhého zasedání, a společně vzali na vědomí pokyny skupiny, které byly upřednostněny zbytkem panelu – příležitost porovnat tuto volbu s vlastním hodnocením. Pro přípravu doporučení bylo každé podskupině poskytnuto orientační rozpětí počtu doporučení, která mají být vypracována: od jedné do tří, maximálně pět.</w:t>
      </w:r>
    </w:p>
    <w:p>
      <w:pPr>
        <w:pStyle w:val="Alineanegatifpuce"/>
        <w:numPr>
          <w:ilvl w:val="0"/>
          <w:numId w:val="3"/>
        </w:numPr>
        <w:rPr/>
      </w:pPr>
      <w:r>
        <w:rPr/>
        <w:t xml:space="preserve"> </w:t>
      </w:r>
      <w:r>
        <w:rPr/>
        <w:t xml:space="preserve">Každá z 15 podskupin pracovala na vypracování pokynů pro doporučení. Občané diskutovali o pokynech, které získaly největší podporu (v pořadí priorit), a zahájili proces přípravy doporučení. </w:t>
      </w:r>
    </w:p>
    <w:p>
      <w:pPr>
        <w:pStyle w:val="Normal"/>
        <w:rPr/>
      </w:pPr>
      <w:r>
        <w:rPr/>
        <w:t>Během třetí série zasedání nebyly odborné znalosti a informace přiváděny do přímé interakce s občany, ale prostřednictvím speciálně navrženého systému „Zdroje a informační místo“. Tento systém byl použit k centralizaci všech žádostí o informace a ověřování faktů na místě a k poskytnutí stručných a věcných odpovědí odborníků a ověřovatelů faktů na podskupiny. Tento systém byl navržen tak, aby zajistil, že vstupy odborníků a ověřovatelů faktů jsou připraveny v souladu s nejvyššími standardy kvality a aby se v této fázi procesu zabránilo nepřiměřenému vlivu. Občanům byly rovněž poskytnuty průběžné zprávy o vícejazyčné digitální platformě.</w:t>
      </w:r>
    </w:p>
    <w:p>
      <w:pPr>
        <w:pStyle w:val="Corpsdetexte"/>
        <w:rPr/>
      </w:pPr>
      <w:r>
        <w:rPr/>
        <w:t>Během práce podskupiny byla uspořádána zpětná vazba, která měla účastníkům pomoci pochopit práci ostatních podskupin a posílit jejich doporučení.</w:t>
      </w:r>
    </w:p>
    <w:p>
      <w:pPr>
        <w:pStyle w:val="Corpsdetexte"/>
        <w:rPr/>
      </w:pPr>
      <w:r>
        <w:rPr/>
        <w:t>O doporučeních každé podskupiny poté porota hlasovala poslední den zasedání. Před hlasováním obdrželi všichni účastníci dokument obsahující všechny návrhy doporučení předložené den předtím, aby si je mohli přečíst ve svém vlastním jazyce (automatický překlad z angličtiny). Každé doporučení bylo na plenárním zasedání přečteno v angličtině, aby občané mohli vyslechnout tlumočení současně. Jedna po druhé byla předložena k hlasování účastníků prostřednictvím on-line formuláře.</w:t>
      </w:r>
    </w:p>
    <w:p>
      <w:pPr>
        <w:pStyle w:val="Corpsdetexte"/>
        <w:rPr/>
      </w:pPr>
      <w:r>
        <w:rPr/>
        <w:t>Na základě výsledků závěrečného hlasování byla doporučení klasifikována takto:</w:t>
      </w:r>
    </w:p>
    <w:p>
      <w:pPr>
        <w:pStyle w:val="Corpsdetexte"/>
        <w:rPr/>
      </w:pPr>
      <w:r>
        <w:rPr/>
        <w:t>Výbor přijal doporučení, která obdržela 70 % nebo více odevzdaných hlasů; doporučení, která tuto prahovou hodnotu nesplnila, byla skupinou odborníků považována za neověřená. Evropské panelové diskuse občanů přijaly celkem 178 doporučení.</w:t>
      </w:r>
    </w:p>
    <w:p>
      <w:pPr>
        <w:pStyle w:val="Corpsdetexte"/>
        <w:rPr/>
      </w:pPr>
      <w:r>
        <w:rPr/>
        <w:t>Na hlasování dohlížela hlasovací komise složená ze dvou občanů, kteří navrhli tuto úlohu plnit.</w:t>
      </w:r>
    </w:p>
    <w:p>
      <w:pPr>
        <w:pStyle w:val="Titre4"/>
        <w:numPr>
          <w:ilvl w:val="3"/>
          <w:numId w:val="2"/>
        </w:numPr>
        <w:rPr/>
      </w:pPr>
      <w:bookmarkStart w:id="14" w:name="__RefHeading___Toc298202_1346298689"/>
      <w:bookmarkEnd w:id="14"/>
      <w:r>
        <w:rPr/>
        <w:t>ZÁSTUPCI PANELOVÝCH DISKUSÍ EVROPSKÝCH OBČANŮ NA PLENÁRNÍM ZASEDÁNÍ</w:t>
      </w:r>
    </w:p>
    <w:p>
      <w:pPr>
        <w:pStyle w:val="Corpsdetexte"/>
        <w:rPr/>
      </w:pPr>
      <w:r>
        <w:rPr/>
        <w:t>Doporučení přijatá čtyřmi evropskými panelovými skupinami občanů byla poté představena a projednána 80 zástupci evropských panelových diskusí občanů na plenárním zasedání konference a v pracovních skupinách ve dnech 21.–22. ledna 2022 (Panel 2 a 3) a 11.–12. března 2022 (Panel 1 a 4). 80 zástupců evropských panelových diskusí občanů (v průměru 70 na místě a 10 on-line) poté pokračovalo v prosazování a vysvětlování doporučení evropských panelových diskusí občanů na třech po sobě jdoucích schůzích plenárního shromáždění a pracovních skupin (ve dnech 25.–26. března, 8.–9. dubna a 29.–30. dubna).</w:t>
      </w:r>
    </w:p>
    <w:p>
      <w:pPr>
        <w:pStyle w:val="Corpsdetexte"/>
        <w:rPr/>
      </w:pPr>
      <w:r>
        <w:rPr/>
        <w:t>Rovněž pořádaly pravidelné výměny názorů na zasedáních v rámci složky „občané“ (na přípravných on-line schůzích a plenárních zasedáních na místě), mezi sebou a s 27 zástupci vnitrostátních akcí a/nebo národních panelových diskusí. Dne 23. dubna se zástupci evropských panelových diskusí setkali online se všemi svými protějšky, aby vysvětlili, jak byla doporučení projednána a začleněna do návrhů plenárního zasedání, a aby získali zpětnou vazbu od ostatních účastníků panelu. Skupina členů společného sekretariátu a konsorcia podpořila občanskou složku během plenárního zasedání.</w:t>
      </w:r>
    </w:p>
    <w:p>
      <w:pPr>
        <w:pStyle w:val="Titre4"/>
        <w:numPr>
          <w:ilvl w:val="3"/>
          <w:numId w:val="2"/>
        </w:numPr>
        <w:rPr/>
      </w:pPr>
      <w:bookmarkStart w:id="15" w:name="__RefHeading___Toc298204_1346298689"/>
      <w:bookmarkEnd w:id="15"/>
      <w:r>
        <w:rPr/>
        <w:t>TRANSPARENTNOST PROCESU</w:t>
      </w:r>
    </w:p>
    <w:p>
      <w:pPr>
        <w:pStyle w:val="Corpsdetexte"/>
        <w:rPr/>
      </w:pPr>
      <w:r>
        <w:rPr/>
        <w:t xml:space="preserve"> </w:t>
      </w:r>
      <w:r>
        <w:rPr/>
        <w:t>Celý proces probíhal transparentním způsobem. Plenární zasedání evropských panelových diskusí občanů byla přenášena živě a dokumenty vyplývající z jejich diskusí a jednání byly zpřístupněny veřejnosti na vícejazyčné digitální platformě. Závěrečná zpráva z každého zasedání panelu je k dispozici na platformě spolu s doporučeními. Zprávy rovněž obsahují informace o všech expertech, kteří práci panelů podpořili.</w:t>
      </w:r>
    </w:p>
    <w:p>
      <w:pPr>
        <w:pStyle w:val="Corpsdetexte"/>
        <w:rPr/>
      </w:pPr>
      <w:r>
        <w:rPr/>
        <w:t>Jako skutečná demokratická inovace se panelům evropských občanů dostalo od vědecké obce velkou pozornost. Výzkumní pracovníci se mohli účastnit zasedání evropských panelových diskusí občanů a v souladu s určitými pravidly sledovat provádění vykonané práce a soukromí účastníků.</w:t>
      </w:r>
    </w:p>
    <w:p>
      <w:pPr>
        <w:pStyle w:val="Corpsdetexte"/>
        <w:rPr/>
      </w:pPr>
      <w:r>
        <w:rPr/>
      </w:r>
      <w:r>
        <w:br w:type="page"/>
      </w:r>
    </w:p>
    <w:p>
      <w:pPr>
        <w:pStyle w:val="Titre4"/>
        <w:numPr>
          <w:ilvl w:val="3"/>
          <w:numId w:val="2"/>
        </w:numPr>
        <w:rPr/>
      </w:pPr>
      <w:bookmarkStart w:id="16" w:name="__RefHeading___Toc298206_1346298689"/>
      <w:bookmarkEnd w:id="16"/>
      <w:r>
        <w:rPr/>
        <w:t xml:space="preserve">Panel 1 </w:t>
        <w:br/>
        <w:t>Silnější hospodářství, sociální spravedlnost a zaměstnanost; vzdělávání, kultura, mládež a sport; digitální transformace</w:t>
      </w:r>
    </w:p>
    <w:p>
      <w:pPr>
        <w:pStyle w:val="Corpsdetexte"/>
        <w:rPr/>
      </w:pPr>
      <w:r>
        <w:rPr/>
        <w:t>První zasedání panelu na téma „Silnější hospodářství, sociální spravedlnost a zaměstnanost; vzdělávání, kultura, mládež a sport; digitální transformace“ se uskutečnila ve dnech 17. až 19. září 2021 ve Štrasburku. Tento panel se zabýval budoucností našich ekonomik a pracovních míst, zejména po pandemii, přičemž věnoval náležitou pozornost souvisejícím otázkám sociální spravedlnosti. Zabýval se také příležitostmi a výzvami digitální transformace, což je jedno z nejdůležitějších témat pro diskusi mezi těmi, které se týkají budoucnosti.</w:t>
      </w:r>
    </w:p>
    <w:p>
      <w:pPr>
        <w:pStyle w:val="Corpsdetexte"/>
        <w:spacing w:before="3316" w:after="57"/>
        <w:rPr/>
      </w:pPr>
      <w:r>
        <mc:AlternateContent>
          <mc:Choice Requires="wps">
            <w:drawing>
              <wp:anchor behindDoc="0" distT="0" distB="0" distL="0" distR="0" simplePos="0" locked="0" layoutInCell="1" allowOverlap="1" relativeHeight="48">
                <wp:simplePos x="0" y="0"/>
                <wp:positionH relativeFrom="column">
                  <wp:posOffset>476885</wp:posOffset>
                </wp:positionH>
                <wp:positionV relativeFrom="paragraph">
                  <wp:posOffset>23768685</wp:posOffset>
                </wp:positionV>
                <wp:extent cx="6120765" cy="2106295"/>
                <wp:effectExtent l="0" t="0" r="0" b="0"/>
                <wp:wrapSquare wrapText="largest"/>
                <wp:docPr id="20" name="Rámeček5"/>
                <a:graphic xmlns:a="http://schemas.openxmlformats.org/drawingml/2006/main">
                  <a:graphicData uri="http://schemas.microsoft.com/office/word/2010/wordprocessingShape">
                    <wps:wsp>
                      <wps:cNvSpPr/>
                      <wps:spPr>
                        <a:xfrm>
                          <a:off x="0" y="0"/>
                          <a:ext cx="6120000" cy="2105640"/>
                        </a:xfrm>
                        <a:prstGeom prst="rect">
                          <a:avLst/>
                        </a:prstGeom>
                        <a:solidFill>
                          <a:srgbClr val="ffffff"/>
                        </a:solidFill>
                        <a:ln>
                          <a:noFill/>
                        </a:ln>
                      </wps:spPr>
                      <wps:style>
                        <a:lnRef idx="0"/>
                        <a:fillRef idx="0"/>
                        <a:effectRef idx="0"/>
                        <a:fontRef idx="minor"/>
                      </wps:style>
                      <wps:txbx>
                        <w:txbxContent>
                          <w:p>
                            <w:pPr>
                              <w:pStyle w:val="P68B1DB1Lgende11"/>
                              <w:spacing w:before="120" w:after="120"/>
                              <w:jc w:val="left"/>
                              <w:rPr>
                                <w:color w:val="auto"/>
                              </w:rPr>
                            </w:pPr>
                            <w:r>
                              <w:rPr>
                                <w:color w:val="auto"/>
                              </w:rPr>
                              <w:drawing>
                                <wp:inline distT="0" distB="0" distL="0" distR="0">
                                  <wp:extent cx="6120130" cy="2105660"/>
                                  <wp:effectExtent l="0" t="0" r="0" b="0"/>
                                  <wp:docPr id="22" name="Obrázek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ázek8" descr=""/>
                                          <pic:cNvPicPr>
                                            <a:picLocks noChangeAspect="1" noChangeArrowheads="1"/>
                                          </pic:cNvPicPr>
                                        </pic:nvPicPr>
                                        <pic:blipFill>
                                          <a:blip r:embed="rId37"/>
                                          <a:stretch>
                                            <a:fillRect/>
                                          </a:stretch>
                                        </pic:blipFill>
                                        <pic:spPr bwMode="auto">
                                          <a:xfrm>
                                            <a:off x="0" y="0"/>
                                            <a:ext cx="6120130" cy="2105660"/>
                                          </a:xfrm>
                                          <a:prstGeom prst="rect">
                                            <a:avLst/>
                                          </a:prstGeom>
                                        </pic:spPr>
                                      </pic:pic>
                                    </a:graphicData>
                                  </a:graphic>
                                </wp:inline>
                              </w:drawing>
                            </w:r>
                            <w:r>
                              <w:rPr>
                                <w:color w:val="auto"/>
                              </w:rPr>
                              <w:t xml:space="preserve">Fotografování: panel 1 evropských občanů </w:t>
                              <w:tab/>
                              <w:t>Fotografování: panel 2 evropských občanů</w:t>
                            </w:r>
                          </w:p>
                        </w:txbxContent>
                      </wps:txbx>
                      <wps:bodyPr lIns="0" rIns="0" tIns="0" bIns="0">
                        <a:noAutofit/>
                      </wps:bodyPr>
                    </wps:wsp>
                  </a:graphicData>
                </a:graphic>
              </wp:anchor>
            </w:drawing>
          </mc:Choice>
          <mc:Fallback>
            <w:pict>
              <v:rect id="shape_0" ID="Rámeček5" fillcolor="white" stroked="f" style="position:absolute;margin-left:37.55pt;margin-top:1871.55pt;width:481.85pt;height:165.75pt">
                <w10:wrap type="square"/>
                <v:fill o:detectmouseclick="t" type="solid" color2="black"/>
                <v:stroke color="#3465a4" joinstyle="round" endcap="flat"/>
                <v:textbox>
                  <w:txbxContent>
                    <w:p>
                      <w:pPr>
                        <w:pStyle w:val="P68B1DB1Lgende11"/>
                        <w:spacing w:before="120" w:after="120"/>
                        <w:jc w:val="left"/>
                        <w:rPr>
                          <w:color w:val="auto"/>
                        </w:rPr>
                      </w:pPr>
                      <w:r>
                        <w:rPr>
                          <w:color w:val="auto"/>
                        </w:rPr>
                        <w:drawing>
                          <wp:inline distT="0" distB="0" distL="0" distR="0">
                            <wp:extent cx="6120130" cy="2105660"/>
                            <wp:effectExtent l="0" t="0" r="0" b="0"/>
                            <wp:docPr id="23" name="Obrázek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ázek8" descr=""/>
                                    <pic:cNvPicPr>
                                      <a:picLocks noChangeAspect="1" noChangeArrowheads="1"/>
                                    </pic:cNvPicPr>
                                  </pic:nvPicPr>
                                  <pic:blipFill>
                                    <a:blip r:embed="rId37"/>
                                    <a:stretch>
                                      <a:fillRect/>
                                    </a:stretch>
                                  </pic:blipFill>
                                  <pic:spPr bwMode="auto">
                                    <a:xfrm>
                                      <a:off x="0" y="0"/>
                                      <a:ext cx="6120130" cy="2105660"/>
                                    </a:xfrm>
                                    <a:prstGeom prst="rect">
                                      <a:avLst/>
                                    </a:prstGeom>
                                  </pic:spPr>
                                </pic:pic>
                              </a:graphicData>
                            </a:graphic>
                          </wp:inline>
                        </w:drawing>
                      </w:r>
                      <w:r>
                        <w:rPr>
                          <w:color w:val="auto"/>
                        </w:rPr>
                        <w:t xml:space="preserve">Fotografování: panel 1 evropských občanů </w:t>
                        <w:tab/>
                        <w:t>Fotografování: panel 2 evropských občanů</w:t>
                      </w:r>
                    </w:p>
                  </w:txbxContent>
                </v:textbox>
              </v:rect>
            </w:pict>
          </mc:Fallback>
        </mc:AlternateContent>
      </w:r>
      <w:r>
        <w:rPr/>
        <w:t>Panel rovněž jednal o budoucnosti Evropy v oblasti mládeže, sportu, kultury a vzdělávání. Spolupředsedu Guye Verhofstadta přivítali občané, kteří se zúčastnili poroty. Práce na prvním zasedání skončila schválením pěti oblastí práce: „Práce v Evropě“, „Ekonomika pro budoucnost“, „spravedlivá společnost“, „Učení v Evropě“ a „Etická a bezpečná digitální transformace“.</w:t>
      </w:r>
    </w:p>
    <w:p>
      <w:pPr>
        <w:pStyle w:val="Corpsdetexte"/>
        <w:rPr/>
      </w:pPr>
      <w:r>
        <w:rPr/>
        <w:t>Ve dnech 5. až 7. listopadu 2021 se panel 1 sešel podruhé, tentokrát ve virtuálním formátu, a pokračoval v jednáních prvního zasedání. Během druhého zasedání členové panelu stanovili „pokyny“ pro vypracování konkrétních doporučení (na svém třetím zasedání) pro každou z pěti os identifikovaných na prvním zasedání. Občané účastnící se panelu 1 vytvořili celkem 142 poradních skupin.</w:t>
      </w:r>
    </w:p>
    <w:p>
      <w:pPr>
        <w:pStyle w:val="Corpsdetexte"/>
        <w:rPr/>
      </w:pPr>
      <w:r>
        <w:rPr/>
        <w:t>Od 25. do 27. února 2022 se občané účastnící se panelu 1 setkali potřetí a pokračovali v jednáních konaných během 1. a 2. zasedání. Na tomto závěrečném zasedání uspořádal na Dublinském hradě účastníci panelu 1 Institut pro mezinárodní a evropské záležitosti (IIEA) s možností zúčastnit se on-line.</w:t>
      </w:r>
    </w:p>
    <w:p>
      <w:pPr>
        <w:pStyle w:val="Corpsdetexte"/>
        <w:rPr/>
      </w:pPr>
      <w:r>
        <w:rPr/>
        <w:t>na základě pokynů, které vypracovali na druhém zasedání jako základ pro svou práci, vypracovali a schválili 48 konečných doporučení.</w:t>
      </w:r>
    </w:p>
    <w:p>
      <w:pPr>
        <w:pStyle w:val="Titre4"/>
        <w:numPr>
          <w:ilvl w:val="3"/>
          <w:numId w:val="2"/>
        </w:numPr>
        <w:rPr/>
      </w:pPr>
      <w:bookmarkStart w:id="17" w:name="__RefHeading___Toc298208_1346298689"/>
      <w:bookmarkEnd w:id="17"/>
      <w:r>
        <w:rPr/>
        <w:t xml:space="preserve">Panel 2 </w:t>
        <w:br/>
        <w:t>Evropská demokracie; hodnoty a práva, právní stát, bezpečnost</w:t>
      </w:r>
    </w:p>
    <w:p>
      <w:pPr>
        <w:pStyle w:val="Corpsdetexte"/>
        <w:rPr/>
      </w:pPr>
      <w:r>
        <w:rPr/>
        <w:t>Část 1 panelu na téma „Evropská demokracie; hodnoty a práva, právní stát, bezpečnost“ se konalo ve dnech 24. až 26. září ve Štrasburku. Panel se zaměřil na otázky související s demokracií, jako jsou volby, účast mimo volební období, vnímaná vzdálenost mezi občany a jejich volenými zástupci, svoboda sdělovacích prostředků a dezinformace. Zabývala se rovněž otázkami týkajícími se základních práv a hodnot, právního státu a boje proti všem formám diskriminace. Zároveň se zaměřil na vnitřní bezpečnost EU, jako je ochrana Evropanů před teroristickými činy a jinými trestnými činy. Řečníky přivítal spolupředseda Gašper Dovžan.</w:t>
      </w:r>
    </w:p>
    <w:p>
      <w:pPr>
        <w:pStyle w:val="Corpsdetexte"/>
        <w:rPr/>
      </w:pPr>
      <w:r>
        <w:rPr/>
        <w:t>Práce tohoto prvního zasedání skončila schválením pěti oblastí práce: „Zajištění dodržování práv a nediskriminace“, „ochrana demokracie a právního státu“, „Reformace EU“, „Budování evropské identity“ a „Posílení účasti občanů“.</w:t>
      </w:r>
    </w:p>
    <w:p>
      <w:pPr>
        <w:pStyle w:val="Corpsdetexte"/>
        <w:rPr/>
      </w:pPr>
      <w:r>
        <w:rPr/>
        <w:t>Ve dnech 12. až 14. listopadu 2021 se panel 2 sešel podruhé ve virtuálním formátu a pokračoval v jednáních prvního zasedání. Během druhého zasedání členové panelu stanovili „pokyny“ pro vypracování konkrétních doporučení (na svém třetím zasedání) pro každou z pěti os identifikovaných na prvním zasedání. Občané, kteří se zúčastnili panelu 2, vytvořili celkem 124 poradních skupin.</w:t>
      </w:r>
    </w:p>
    <w:p>
      <w:pPr>
        <w:pStyle w:val="Corpsdetexte"/>
        <w:rPr/>
      </w:pPr>
      <w:r>
        <w:rPr/>
        <w:t>Ve dnech 10. až 12. prosince 2021 se občané účastnící se panelu 2 setkali na závěrečném zasedání pořádaném na Evropském univerzitním institutu ve Florencii s možností zúčastnit se on-line. Na základě pokynů, které vypracovali na druhém zasedání jako základ pro svou práci, vypracovali a schválili 39 konečných doporučení.</w:t>
      </w:r>
    </w:p>
    <w:p>
      <w:pPr>
        <w:pStyle w:val="Titre4"/>
        <w:numPr>
          <w:ilvl w:val="3"/>
          <w:numId w:val="2"/>
        </w:numPr>
        <w:rPr/>
      </w:pPr>
      <w:bookmarkStart w:id="18" w:name="__RefHeading___Toc298210_1346298689"/>
      <w:bookmarkEnd w:id="18"/>
      <w:r>
        <w:rPr/>
        <w:t>Panel 3 Změna klimatu a životní prostředí; zdraví</w:t>
      </w:r>
    </w:p>
    <w:p>
      <w:pPr>
        <w:pStyle w:val="Corpsdetexte"/>
        <w:rPr/>
      </w:pPr>
      <w:r>
        <w:rPr/>
        <w:t>Panel na téma „Změna klimatu a životní prostředí“; zdraví“ se konalo ve dnech 1.</w:t>
      </w:r>
      <w:r>
        <w:rPr>
          <w:vertAlign w:val="superscript"/>
        </w:rPr>
        <w:t>až</w:t>
      </w:r>
      <w:r>
        <w:rPr/>
        <w:t xml:space="preserve"> 3. října ve Štrasburku. Panel se zaměřil na dopady změny klimatu, otázky životního prostředí a nové výzvy v oblasti zdraví pro Evropskou unii. Zahrnovala rovněž cíle a strategie EU, jako je zemědělství, doprava a mobilita, energetika a přechod na postuhlíkové společnosti, výzkum, systémy zdravotní péče, reakce na zdravotní krize, prevence a zdravý životní styl. Práce tohoto prvního zasedání skončila schválením pěti oblastí práce: „Lepší životní styl“, „ochrana našeho životního prostředí a zdraví“, „Přeorientování naší ekonomiky a spotřeby“, „Směrem k udržitelné společnosti“ a „Péče o všechny“. Závěrečná zpráva ze zasedání je k dispozici na vícejazyčné digitální platformě.</w:t>
      </w:r>
    </w:p>
    <w:p>
      <w:pPr>
        <w:pStyle w:val="Corpsdetexte"/>
        <w:rPr/>
      </w:pPr>
      <w:r>
        <w:rPr/>
        <w:t>Ve dnech 19. až 21. listopadu 2021 se panel 3 sešel podruhé, tentokrát ve virtuálním formátu, aby pokračoval v jednáních prvního zasedání. Během druhého zasedání členové panelu stanovili „pokyny“ pro vypracování konkrétních doporučení (na svém třetím zasedání) pro každou z pěti os identifikovaných na prvním zasedání. Občané účastnící se panelu 3 vytvořili celkem 130 poradenských skupin.</w:t>
      </w:r>
    </w:p>
    <w:p>
      <w:pPr>
        <w:pStyle w:val="Corpsdetexte"/>
        <w:rPr/>
      </w:pPr>
      <w:r>
        <w:rPr/>
        <w:t>Od 7. do 9. ledna 2022 se občané 3. panelu sešli na závěrečném zasedání, které uspořádali na College of Europe v Natolinu a v Paláci kultury a vědy za podpory města Varšavy. Bylo možné se zúčastnit on-line. Na základě pokynů, které vypracovali na druhém zasedání jako základ pro svou práci, vypracovali a schválili 51 konečných doporučení.</w:t>
      </w:r>
    </w:p>
    <w:p>
      <w:pPr>
        <w:pStyle w:val="Titre4"/>
        <w:numPr>
          <w:ilvl w:val="3"/>
          <w:numId w:val="2"/>
        </w:numPr>
        <w:rPr/>
      </w:pPr>
      <w:bookmarkStart w:id="19" w:name="__RefHeading___Toc298212_1346298689"/>
      <w:bookmarkEnd w:id="19"/>
      <w:r>
        <w:rPr/>
        <w:t>Panel 4 EU ve světě; migrace</w:t>
      </w:r>
    </w:p>
    <w:p>
      <w:pPr>
        <w:pStyle w:val="Corpsdetexte"/>
        <w:rPr/>
      </w:pPr>
      <w:r>
        <w:rPr/>
        <mc:AlternateContent>
          <mc:Choice Requires="wps">
            <w:drawing>
              <wp:anchor behindDoc="0" distT="0" distB="0" distL="0" distR="0" simplePos="0" locked="0" layoutInCell="1" allowOverlap="1" relativeHeight="25">
                <wp:simplePos x="0" y="0"/>
                <wp:positionH relativeFrom="column">
                  <wp:align>center</wp:align>
                </wp:positionH>
                <wp:positionV relativeFrom="paragraph">
                  <wp:posOffset>635</wp:posOffset>
                </wp:positionV>
                <wp:extent cx="2971165" cy="2242185"/>
                <wp:effectExtent l="0" t="0" r="0" b="0"/>
                <wp:wrapSquare wrapText="largest"/>
                <wp:docPr id="24" name="Rámeček6"/>
                <a:graphic xmlns:a="http://schemas.openxmlformats.org/drawingml/2006/main">
                  <a:graphicData uri="http://schemas.microsoft.com/office/word/2010/wordprocessingShape">
                    <wps:wsp>
                      <wps:cNvSpPr/>
                      <wps:spPr>
                        <a:xfrm>
                          <a:off x="0" y="0"/>
                          <a:ext cx="2970360" cy="22417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3905"/>
                                  <wp:effectExtent l="0" t="0" r="0" b="0"/>
                                  <wp:docPr id="26" name="Obrázek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ázek9" descr=""/>
                                          <pic:cNvPicPr>
                                            <a:picLocks noChangeAspect="1" noChangeArrowheads="1"/>
                                          </pic:cNvPicPr>
                                        </pic:nvPicPr>
                                        <pic:blipFill>
                                          <a:blip r:embed="rId38"/>
                                          <a:stretch>
                                            <a:fillRect/>
                                          </a:stretch>
                                        </pic:blipFill>
                                        <pic:spPr bwMode="auto">
                                          <a:xfrm>
                                            <a:off x="0" y="0"/>
                                            <a:ext cx="2970530" cy="2033905"/>
                                          </a:xfrm>
                                          <a:prstGeom prst="rect">
                                            <a:avLst/>
                                          </a:prstGeom>
                                        </pic:spPr>
                                      </pic:pic>
                                    </a:graphicData>
                                  </a:graphic>
                                </wp:inline>
                              </w:drawing>
                            </w:r>
                            <w:r>
                              <w:rPr>
                                <w:color w:val="auto"/>
                              </w:rPr>
                              <w:t>Fotografování: panel 3 evropských občanů</w:t>
                            </w:r>
                          </w:p>
                        </w:txbxContent>
                      </wps:txbx>
                      <wps:bodyPr lIns="0" rIns="0" tIns="0" bIns="0">
                        <a:noAutofit/>
                      </wps:bodyPr>
                    </wps:wsp>
                  </a:graphicData>
                </a:graphic>
              </wp:anchor>
            </w:drawing>
          </mc:Choice>
          <mc:Fallback>
            <w:pict>
              <v:rect id="shape_0" ID="Rámeček6" fillcolor="white" stroked="f" style="position:absolute;margin-left:0pt;margin-top:0.05pt;width:233.85pt;height:176.4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3905"/>
                            <wp:effectExtent l="0" t="0" r="0" b="0"/>
                            <wp:docPr id="27" name="Obrázek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ázek9" descr=""/>
                                    <pic:cNvPicPr>
                                      <a:picLocks noChangeAspect="1" noChangeArrowheads="1"/>
                                    </pic:cNvPicPr>
                                  </pic:nvPicPr>
                                  <pic:blipFill>
                                    <a:blip r:embed="rId38"/>
                                    <a:stretch>
                                      <a:fillRect/>
                                    </a:stretch>
                                  </pic:blipFill>
                                  <pic:spPr bwMode="auto">
                                    <a:xfrm>
                                      <a:off x="0" y="0"/>
                                      <a:ext cx="2970530" cy="2033905"/>
                                    </a:xfrm>
                                    <a:prstGeom prst="rect">
                                      <a:avLst/>
                                    </a:prstGeom>
                                  </pic:spPr>
                                </pic:pic>
                              </a:graphicData>
                            </a:graphic>
                          </wp:inline>
                        </w:drawing>
                      </w:r>
                      <w:r>
                        <w:rPr>
                          <w:color w:val="auto"/>
                        </w:rPr>
                        <w:t>Fotografování: panel 3 evropských občanů</w:t>
                      </w:r>
                    </w:p>
                  </w:txbxContent>
                </v:textbox>
              </v:rect>
            </w:pict>
          </mc:Fallback>
        </mc:AlternateContent>
      </w:r>
    </w:p>
    <w:p>
      <w:pPr>
        <w:pStyle w:val="Corpsdetexte"/>
        <w:rPr/>
      </w:pPr>
      <w:r>
        <w:rPr/>
        <w:t>Čtvrtý panel s názvem „EU ve světě“; migrace“ se poprvé sešla ve Štrasburku ve dnech 15. až 17. října, během níž účastníci diskutovali zejména o úloze EU na mezinárodní scéně.</w:t>
      </w:r>
    </w:p>
    <w:p>
      <w:pPr>
        <w:pStyle w:val="Corpsdetexte"/>
        <w:rPr/>
      </w:pPr>
      <w:r>
        <mc:AlternateContent>
          <mc:Choice Requires="wps">
            <w:drawing>
              <wp:anchor behindDoc="0" distT="0" distB="0" distL="0" distR="0" simplePos="0" locked="0" layoutInCell="1" allowOverlap="1" relativeHeight="12">
                <wp:simplePos x="0" y="0"/>
                <wp:positionH relativeFrom="column">
                  <wp:align>center</wp:align>
                </wp:positionH>
                <wp:positionV relativeFrom="paragraph">
                  <wp:posOffset>635</wp:posOffset>
                </wp:positionV>
                <wp:extent cx="2570480" cy="2101215"/>
                <wp:effectExtent l="0" t="0" r="0" b="0"/>
                <wp:wrapTopAndBottom/>
                <wp:docPr id="28" name="Rámec7"/>
                <a:graphic xmlns:a="http://schemas.openxmlformats.org/drawingml/2006/main">
                  <a:graphicData uri="http://schemas.microsoft.com/office/word/2010/wordprocessingShape">
                    <wps:wsp>
                      <wps:cNvSpPr/>
                      <wps:spPr>
                        <a:xfrm>
                          <a:off x="0" y="0"/>
                          <a:ext cx="2569680" cy="210060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6445"/>
                                  <wp:effectExtent l="0" t="0" r="0" b="0"/>
                                  <wp:docPr id="30" name="Obrázek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ázek10" descr=""/>
                                          <pic:cNvPicPr>
                                            <a:picLocks noChangeAspect="1" noChangeArrowheads="1"/>
                                          </pic:cNvPicPr>
                                        </pic:nvPicPr>
                                        <pic:blipFill>
                                          <a:blip r:embed="rId39"/>
                                          <a:stretch>
                                            <a:fillRect/>
                                          </a:stretch>
                                        </pic:blipFill>
                                        <pic:spPr bwMode="auto">
                                          <a:xfrm>
                                            <a:off x="0" y="0"/>
                                            <a:ext cx="2970530" cy="2036445"/>
                                          </a:xfrm>
                                          <a:prstGeom prst="rect">
                                            <a:avLst/>
                                          </a:prstGeom>
                                        </pic:spPr>
                                      </pic:pic>
                                    </a:graphicData>
                                  </a:graphic>
                                </wp:inline>
                              </w:drawing>
                            </w:r>
                            <w:r>
                              <w:rPr>
                                <w:color w:val="auto"/>
                              </w:rPr>
                              <w:t>Fotografování: panel 4 evropských občanů</w:t>
                              <w:br/>
                            </w:r>
                          </w:p>
                        </w:txbxContent>
                      </wps:txbx>
                      <wps:bodyPr lIns="0" rIns="0" tIns="0" bIns="0">
                        <a:noAutofit/>
                      </wps:bodyPr>
                    </wps:wsp>
                  </a:graphicData>
                </a:graphic>
              </wp:anchor>
            </w:drawing>
          </mc:Choice>
          <mc:Fallback>
            <w:pict>
              <v:rect id="shape_0" ID="Rámec7" fillcolor="white" stroked="f" style="position:absolute;margin-left:15.75pt;margin-top:0.05pt;width:202.3pt;height:165.3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6445"/>
                            <wp:effectExtent l="0" t="0" r="0" b="0"/>
                            <wp:docPr id="31" name="Obrázek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ázek10" descr=""/>
                                    <pic:cNvPicPr>
                                      <a:picLocks noChangeAspect="1" noChangeArrowheads="1"/>
                                    </pic:cNvPicPr>
                                  </pic:nvPicPr>
                                  <pic:blipFill>
                                    <a:blip r:embed="rId39"/>
                                    <a:stretch>
                                      <a:fillRect/>
                                    </a:stretch>
                                  </pic:blipFill>
                                  <pic:spPr bwMode="auto">
                                    <a:xfrm>
                                      <a:off x="0" y="0"/>
                                      <a:ext cx="2970530" cy="2036445"/>
                                    </a:xfrm>
                                    <a:prstGeom prst="rect">
                                      <a:avLst/>
                                    </a:prstGeom>
                                  </pic:spPr>
                                </pic:pic>
                              </a:graphicData>
                            </a:graphic>
                          </wp:inline>
                        </w:drawing>
                      </w:r>
                      <w:r>
                        <w:rPr>
                          <w:color w:val="auto"/>
                        </w:rPr>
                        <w:t>Fotografování: panel 4 evropských občanů</w:t>
                        <w:br/>
                      </w:r>
                    </w:p>
                  </w:txbxContent>
                </v:textbox>
              </v:rect>
            </w:pict>
          </mc:Fallback>
        </mc:AlternateContent>
      </w:r>
      <w:r>
        <w:rPr/>
        <w:t>Diskutovalo se zejména o cílech a strategiích EU v oblasti bezpečnosti, obrany, obchodní politiky, humanitární pomoci a rozvojové spolupráce, zahraniční politiky, politiky sousedství a rozšíření EU a o tom, jak by se EU měla vypořádat s migrací. Občané přivítali spolupředsedkyně Dubravka Šuica. Práce tohoto prvního zasedání skončila schválením pěti oblastí práce: „Spokojenost a stabilita“, „EU jako mezinárodní partner“, „Silná EU ve světě míru“, „Migrace z lidského hlediska“ a „odpovědnost a solidarita v celé EU“. Závěrečná zpráva ze zasedání je k dispozici na vícejazyčné digitální platformě.</w:t>
      </w:r>
    </w:p>
    <w:p>
      <w:pPr>
        <w:pStyle w:val="Corpsdetexte"/>
        <w:rPr/>
      </w:pPr>
      <w:r>
        <w:rPr/>
        <w:t>Ve dnech 16. až 28. listopadu 2021 uspořádal panel 4 své druhé on-line zasedání na základě práce vykonané během prvního zasedání. Během druhého zasedání členové panelu stanovili „pokyny“ pro vypracování konkrétních doporučení (na svém třetím zasedání) pro každou z pěti os identifikovaných na prvním zasedání. Celkově občané účastnící se panelu 4 vytvořili 95 poradenských skupin.</w:t>
      </w:r>
    </w:p>
    <w:p>
      <w:pPr>
        <w:pStyle w:val="Corpsdetexte"/>
        <w:rPr/>
      </w:pPr>
      <w:r>
        <w:rPr/>
        <w:t>Ve dnech 11. až 13. února 2022 se na závěrečném zasedání sešli občané panelu 4, které uspořádalo na maastrichtském výstavním a konferenčním centru (MECC) Studio Europa Maastricht ve spolupráci s Maastrichtskou univerzitou a Evropským institutem veřejné správy (IEAP). Bylo možné se zúčastnit on-line.</w:t>
      </w:r>
    </w:p>
    <w:p>
      <w:pPr>
        <w:pStyle w:val="Corpsdetexte"/>
        <w:rPr/>
      </w:pPr>
      <w:r>
        <w:rPr/>
        <w:t>na základě pokynů, které vypracovali na druhém zasedání jako základ pro svou práci, vypracovali a schválili 40 konečných doporučení.</w:t>
      </w:r>
    </w:p>
    <w:p>
      <w:pPr>
        <w:pStyle w:val="Normal"/>
        <w:rPr/>
      </w:pPr>
      <w:r>
        <w:rPr/>
      </w:r>
    </w:p>
    <w:p>
      <w:pPr>
        <w:pStyle w:val="Titre3"/>
        <w:numPr>
          <w:ilvl w:val="2"/>
          <w:numId w:val="2"/>
        </w:numPr>
        <w:rPr/>
      </w:pPr>
      <w:bookmarkStart w:id="20" w:name="__RefHeading___Toc298214_1346298689"/>
      <w:bookmarkEnd w:id="20"/>
      <w:r>
        <w:rPr/>
        <w:t>2.</w:t>
        <w:tab/>
        <w:t>Národní panely občanů</w:t>
      </w:r>
    </w:p>
    <w:p>
      <w:pPr>
        <w:pStyle w:val="Corpsdetexte"/>
        <w:rPr/>
      </w:pPr>
      <w:r>
        <w:rPr/>
        <w:t>V souladu se společným prohlášením projednalo plenární zasedání konference doporučení vnitrostátních a evropských panelů občanů seskupených podle témat. S cílem pomoci členským státům, které plánují organizovat vnitrostátní panely občanů, schválili spolupředsedové pokyny a dne 26. května 2021 je předali výkonné radě. Na základě zprávy OECD se řídily stejnými zásadami jako evropské panelové diskuse občanů a zahrnovaly zásady řádného jednání</w:t>
      </w:r>
      <w:r>
        <w:rPr>
          <w:rStyle w:val="Ancredenotedebasdepage"/>
          <w:rStyle w:val="Ancredenotedebasdepage"/>
        </w:rPr>
        <w:footnoteReference w:id="5"/>
      </w:r>
      <w:r>
        <w:rPr/>
        <w:t>.</w:t>
      </w:r>
    </w:p>
    <w:p>
      <w:pPr>
        <w:pStyle w:val="Corpsdetexte"/>
        <w:rPr/>
      </w:pPr>
      <w:r>
        <w:rPr/>
        <w:t>Šest členských států – Belgie, Francie, Německo, Itálie, Litva a Nizozemsko – uspořádalo panely státních občanů, které dodržovaly zásady stanovené v těchto pokynech. Doporučení těchto vnitrostátních panelových diskusí občanů byla představena a projednána na lednovém a březnovém plenárním zasedání, jakož i v pracovních skupinách plenárních zasedání souběžně s doporučeními evropských panelových diskusí občanů na stejná témata.</w:t>
      </w:r>
    </w:p>
    <w:p>
      <w:pPr>
        <w:pStyle w:val="Titre4"/>
        <w:numPr>
          <w:ilvl w:val="3"/>
          <w:numId w:val="2"/>
        </w:numPr>
        <w:rPr/>
      </w:pPr>
      <w:bookmarkStart w:id="21" w:name="__RefHeading___Toc298216_1346298689"/>
      <w:bookmarkEnd w:id="21"/>
      <w:r>
        <w:rPr/>
        <w:t>1)</w:t>
        <w:tab/>
        <w:t>BELGIE</w:t>
      </w:r>
    </w:p>
    <w:p>
      <w:pPr>
        <w:pStyle w:val="Normal"/>
        <w:rPr/>
      </w:pPr>
      <w:r>
        <w:rPr/>
        <mc:AlternateContent>
          <mc:Choice Requires="wps">
            <w:drawing>
              <wp:anchor behindDoc="0" distT="0" distB="0" distL="0" distR="0" simplePos="0" locked="0" layoutInCell="1" allowOverlap="1" relativeHeight="16">
                <wp:simplePos x="0" y="0"/>
                <wp:positionH relativeFrom="column">
                  <wp:align>center</wp:align>
                </wp:positionH>
                <wp:positionV relativeFrom="paragraph">
                  <wp:posOffset>635</wp:posOffset>
                </wp:positionV>
                <wp:extent cx="2783205" cy="2115185"/>
                <wp:effectExtent l="0" t="0" r="0" b="0"/>
                <wp:wrapSquare wrapText="largest"/>
                <wp:docPr id="32" name="Rámec8"/>
                <a:graphic xmlns:a="http://schemas.openxmlformats.org/drawingml/2006/main">
                  <a:graphicData uri="http://schemas.microsoft.com/office/word/2010/wordprocessingShape">
                    <wps:wsp>
                      <wps:cNvSpPr/>
                      <wps:spPr>
                        <a:xfrm>
                          <a:off x="0" y="0"/>
                          <a:ext cx="2782440" cy="211464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5810"/>
                                  <wp:effectExtent l="0" t="0" r="0" b="0"/>
                                  <wp:docPr id="34" name="Obrázek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ázek11" descr=""/>
                                          <pic:cNvPicPr>
                                            <a:picLocks noChangeAspect="1" noChangeArrowheads="1"/>
                                          </pic:cNvPicPr>
                                        </pic:nvPicPr>
                                        <pic:blipFill>
                                          <a:blip r:embed="rId40"/>
                                          <a:stretch>
                                            <a:fillRect/>
                                          </a:stretch>
                                        </pic:blipFill>
                                        <pic:spPr bwMode="auto">
                                          <a:xfrm>
                                            <a:off x="0" y="0"/>
                                            <a:ext cx="2970530" cy="2035810"/>
                                          </a:xfrm>
                                          <a:prstGeom prst="rect">
                                            <a:avLst/>
                                          </a:prstGeom>
                                        </pic:spPr>
                                      </pic:pic>
                                    </a:graphicData>
                                  </a:graphic>
                                </wp:inline>
                              </w:drawing>
                            </w:r>
                            <w:r>
                              <w:rPr>
                                <w:color w:val="auto"/>
                              </w:rPr>
                              <w:t>Fotografie: Panel belgických občanů</w:t>
                            </w:r>
                          </w:p>
                        </w:txbxContent>
                      </wps:txbx>
                      <wps:bodyPr lIns="0" rIns="0" tIns="0" bIns="0">
                        <a:noAutofit/>
                      </wps:bodyPr>
                    </wps:wsp>
                  </a:graphicData>
                </a:graphic>
              </wp:anchor>
            </w:drawing>
          </mc:Choice>
          <mc:Fallback>
            <w:pict>
              <v:rect id="shape_0" ID="Rámec8" fillcolor="white" stroked="f" style="position:absolute;margin-left:7.4pt;margin-top:0.05pt;width:219.05pt;height:166.4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5810"/>
                            <wp:effectExtent l="0" t="0" r="0" b="0"/>
                            <wp:docPr id="35" name="Obrázek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ázek11" descr=""/>
                                    <pic:cNvPicPr>
                                      <a:picLocks noChangeAspect="1" noChangeArrowheads="1"/>
                                    </pic:cNvPicPr>
                                  </pic:nvPicPr>
                                  <pic:blipFill>
                                    <a:blip r:embed="rId40"/>
                                    <a:stretch>
                                      <a:fillRect/>
                                    </a:stretch>
                                  </pic:blipFill>
                                  <pic:spPr bwMode="auto">
                                    <a:xfrm>
                                      <a:off x="0" y="0"/>
                                      <a:ext cx="2970530" cy="2035810"/>
                                    </a:xfrm>
                                    <a:prstGeom prst="rect">
                                      <a:avLst/>
                                    </a:prstGeom>
                                  </pic:spPr>
                                </pic:pic>
                              </a:graphicData>
                            </a:graphic>
                          </wp:inline>
                        </w:drawing>
                      </w:r>
                      <w:r>
                        <w:rPr>
                          <w:color w:val="auto"/>
                        </w:rPr>
                        <w:t>Fotografie: Panel belgických občanů</w:t>
                      </w:r>
                    </w:p>
                  </w:txbxContent>
                </v:textbox>
              </v:rect>
            </w:pict>
          </mc:Fallback>
        </mc:AlternateContent>
      </w:r>
    </w:p>
    <w:p>
      <w:pPr>
        <w:pStyle w:val="Corpsdetexte"/>
        <w:rPr/>
      </w:pPr>
      <w:r>
        <w:rPr/>
        <w:t>V říjnu 2021 se v rámci občanského panelu sešlo během tří víkendů 50 náhodně vybraných občanů, kteří jsou zástupci obecné populace, aby diskutovali o tématu evropské demokracie a o tom, jak by se občané mohli více zapojit do evropských záležitostí.</w:t>
      </w:r>
    </w:p>
    <w:p>
      <w:pPr>
        <w:pStyle w:val="Corpsdetexte"/>
        <w:rPr/>
      </w:pPr>
      <w:r>
        <w:rPr/>
        <w:t>Tento panel byl uspořádán pod záštitou Sophie Wilmèsové, belgické místopředsedkyně vlády a ministryně zahraničních věcí a evropských záležitostí.</w:t>
      </w:r>
    </w:p>
    <w:p>
      <w:pPr>
        <w:pStyle w:val="Corpsdetexte"/>
        <w:rPr/>
      </w:pPr>
      <w:r>
        <w:rPr/>
        <w:t>Občané předložili doporučení k pěti tématům, která si zvolili, a to:</w:t>
      </w:r>
    </w:p>
    <w:p>
      <w:pPr>
        <w:pStyle w:val="Alineanegatifpuce"/>
        <w:numPr>
          <w:ilvl w:val="0"/>
          <w:numId w:val="3"/>
        </w:numPr>
        <w:rPr/>
      </w:pPr>
      <w:r>
        <w:rPr/>
        <w:t xml:space="preserve"> </w:t>
      </w:r>
      <w:r>
        <w:rPr/>
        <w:t>zlepšení komunikace o Evropské unii,</w:t>
      </w:r>
    </w:p>
    <w:p>
      <w:pPr>
        <w:pStyle w:val="Alineanegatifpuce"/>
        <w:numPr>
          <w:ilvl w:val="0"/>
          <w:numId w:val="3"/>
        </w:numPr>
        <w:rPr/>
      </w:pPr>
      <w:r>
        <w:rPr/>
        <w:t xml:space="preserve"> </w:t>
      </w:r>
      <w:r>
        <w:rPr/>
        <w:t>identifikovat dezinformace o EU a bojovat proti nim,</w:t>
      </w:r>
    </w:p>
    <w:p>
      <w:pPr>
        <w:pStyle w:val="Alineanegatifpuce"/>
        <w:numPr>
          <w:ilvl w:val="0"/>
          <w:numId w:val="3"/>
        </w:numPr>
        <w:rPr/>
      </w:pPr>
      <w:r>
        <w:rPr/>
        <w:t xml:space="preserve"> </w:t>
      </w:r>
      <w:r>
        <w:rPr/>
        <w:t>panely občanů jako nástroj účasti,</w:t>
      </w:r>
    </w:p>
    <w:p>
      <w:pPr>
        <w:pStyle w:val="Alineanegatifpuce"/>
        <w:numPr>
          <w:ilvl w:val="0"/>
          <w:numId w:val="3"/>
        </w:numPr>
        <w:rPr/>
      </w:pPr>
      <w:r>
        <w:rPr/>
        <w:t xml:space="preserve"> </w:t>
      </w:r>
      <w:r>
        <w:rPr/>
        <w:t>referendum o evropských záležitostech,</w:t>
      </w:r>
    </w:p>
    <w:p>
      <w:pPr>
        <w:pStyle w:val="Alineanegatifpuce"/>
        <w:numPr>
          <w:ilvl w:val="0"/>
          <w:numId w:val="3"/>
        </w:numPr>
        <w:rPr/>
      </w:pPr>
      <w:r>
        <w:rPr/>
        <w:t xml:space="preserve"> </w:t>
      </w:r>
      <w:r>
        <w:rPr/>
        <w:t>zlepšit stávající participativní nástroje v Evropské unii.</w:t>
      </w:r>
    </w:p>
    <w:p>
      <w:pPr>
        <w:pStyle w:val="Corpsdetexte"/>
        <w:rPr/>
      </w:pPr>
      <w:r>
        <w:rPr/>
        <w:t>Výsledkem práce belgického panelu občanů bylo 115 doporučení, která byla vypracována, projednána a odhlasována 50 náhodně vybranými belgickými občany.</w:t>
      </w:r>
    </w:p>
    <w:p>
      <w:pPr>
        <w:pStyle w:val="Corpsdetexte"/>
        <w:rPr/>
      </w:pPr>
      <w:r>
        <w:rPr/>
      </w:r>
    </w:p>
    <w:p>
      <w:pPr>
        <w:pStyle w:val="Titre4"/>
        <w:numPr>
          <w:ilvl w:val="3"/>
          <w:numId w:val="2"/>
        </w:numPr>
        <w:rPr/>
      </w:pPr>
      <w:bookmarkStart w:id="22" w:name="__RefHeading___Toc298218_1346298689"/>
      <w:bookmarkEnd w:id="22"/>
      <w:r>
        <w:rPr/>
        <w:t>2)</w:t>
        <w:tab/>
        <w:t>NĚMECKO</w:t>
      </w:r>
    </w:p>
    <w:p>
      <w:pPr>
        <w:pStyle w:val="Corpsdetexte"/>
        <w:rPr/>
      </w:pPr>
      <w:r>
        <w:rPr/>
        <w:t>V lednu 2022 zorganizovalo německé ministerstvo zahraničí panel národních občanů. Tohoto on-line panelu se zúčastnilo 100 náhodně vybraných občanů, reprezentujících obyvatelstvo.</w:t>
      </w:r>
    </w:p>
    <w:p>
      <w:pPr>
        <w:pStyle w:val="Corpsdetexte"/>
        <w:rPr/>
      </w:pPr>
      <w:r>
        <w:rPr/>
        <w:t>Ve dnech 5. a 8. ledna 2022 bylo na internetu uspořádáno pět zahajovacích seminářů, z nichž se zúčastnilo 20 účastníků na tato témata:</w:t>
      </w:r>
    </w:p>
    <w:p>
      <w:pPr>
        <w:pStyle w:val="Corpsdetexte"/>
        <w:rPr/>
      </w:pPr>
      <w:r>
        <w:rPr/>
        <w:t xml:space="preserve">— </w:t>
      </w:r>
      <w:r>
        <w:rPr/>
        <w:t>úloha Evropy ve světě, klimatu a životního prostředí,</w:t>
      </w:r>
    </w:p>
    <w:p>
      <w:pPr>
        <w:pStyle w:val="Corpsdetexte"/>
        <w:rPr/>
      </w:pPr>
      <w:r>
        <w:rPr/>
        <w:t>právní stát a hodnoty,</w:t>
      </w:r>
    </w:p>
    <w:p>
      <w:pPr>
        <w:pStyle w:val="Corpsdetexte"/>
        <w:rPr/>
      </w:pPr>
      <w:r>
        <w:rPr/>
        <w:t>silnější ekonomika a sociální spravedlnost.</w:t>
      </w:r>
    </w:p>
    <w:p>
      <w:pPr>
        <w:pStyle w:val="Corpsdetexte"/>
        <w:rPr/>
      </w:pPr>
      <w:r>
        <w:rPr/>
        <mc:AlternateContent>
          <mc:Choice Requires="wps">
            <w:drawing>
              <wp:anchor behindDoc="0" distT="0" distB="0" distL="0" distR="0" simplePos="0" locked="0" layoutInCell="1" allowOverlap="1" relativeHeight="2">
                <wp:simplePos x="0" y="0"/>
                <wp:positionH relativeFrom="column">
                  <wp:align>center</wp:align>
                </wp:positionH>
                <wp:positionV relativeFrom="paragraph">
                  <wp:posOffset>635</wp:posOffset>
                </wp:positionV>
                <wp:extent cx="2971165" cy="2132965"/>
                <wp:effectExtent l="0" t="0" r="0" b="0"/>
                <wp:wrapSquare wrapText="largest"/>
                <wp:docPr id="36" name="Rámeček15"/>
                <a:graphic xmlns:a="http://schemas.openxmlformats.org/drawingml/2006/main">
                  <a:graphicData uri="http://schemas.microsoft.com/office/word/2010/wordprocessingShape">
                    <wps:wsp>
                      <wps:cNvSpPr/>
                      <wps:spPr>
                        <a:xfrm>
                          <a:off x="0" y="0"/>
                          <a:ext cx="2970360" cy="213228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1900555"/>
                                  <wp:effectExtent l="0" t="0" r="0" b="0"/>
                                  <wp:docPr id="38" name="Obrázek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ázek7" descr=""/>
                                          <pic:cNvPicPr>
                                            <a:picLocks noChangeAspect="1" noChangeArrowheads="1"/>
                                          </pic:cNvPicPr>
                                        </pic:nvPicPr>
                                        <pic:blipFill>
                                          <a:blip r:embed="rId41"/>
                                          <a:stretch>
                                            <a:fillRect/>
                                          </a:stretch>
                                        </pic:blipFill>
                                        <pic:spPr bwMode="auto">
                                          <a:xfrm>
                                            <a:off x="0" y="0"/>
                                            <a:ext cx="2970530" cy="1900555"/>
                                          </a:xfrm>
                                          <a:prstGeom prst="rect">
                                            <a:avLst/>
                                          </a:prstGeom>
                                        </pic:spPr>
                                      </pic:pic>
                                    </a:graphicData>
                                  </a:graphic>
                                </wp:inline>
                              </w:drawing>
                            </w:r>
                            <w:r>
                              <w:rPr>
                                <w:vanish/>
                                <w:color w:val="auto"/>
                              </w:rPr>
                              <w:br/>
                            </w:r>
                            <w:r>
                              <w:rPr>
                                <w:color w:val="auto"/>
                              </w:rPr>
                              <w:t>Fotografování: Panel německých občanů</w:t>
                            </w:r>
                          </w:p>
                        </w:txbxContent>
                      </wps:txbx>
                      <wps:bodyPr lIns="0" rIns="0" tIns="0" bIns="0">
                        <a:noAutofit/>
                      </wps:bodyPr>
                    </wps:wsp>
                  </a:graphicData>
                </a:graphic>
              </wp:anchor>
            </w:drawing>
          </mc:Choice>
          <mc:Fallback>
            <w:pict>
              <v:rect id="shape_0" ID="Rámeček15" fillcolor="white" stroked="f" style="position:absolute;margin-left:0pt;margin-top:0.05pt;width:233.85pt;height:167.8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1900555"/>
                            <wp:effectExtent l="0" t="0" r="0" b="0"/>
                            <wp:docPr id="39" name="Obrázek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ázek7" descr=""/>
                                    <pic:cNvPicPr>
                                      <a:picLocks noChangeAspect="1" noChangeArrowheads="1"/>
                                    </pic:cNvPicPr>
                                  </pic:nvPicPr>
                                  <pic:blipFill>
                                    <a:blip r:embed="rId41"/>
                                    <a:stretch>
                                      <a:fillRect/>
                                    </a:stretch>
                                  </pic:blipFill>
                                  <pic:spPr bwMode="auto">
                                    <a:xfrm>
                                      <a:off x="0" y="0"/>
                                      <a:ext cx="2970530" cy="1900555"/>
                                    </a:xfrm>
                                    <a:prstGeom prst="rect">
                                      <a:avLst/>
                                    </a:prstGeom>
                                  </pic:spPr>
                                </pic:pic>
                              </a:graphicData>
                            </a:graphic>
                          </wp:inline>
                        </w:drawing>
                      </w:r>
                      <w:r>
                        <w:rPr>
                          <w:vanish/>
                          <w:color w:val="auto"/>
                        </w:rPr>
                        <w:br/>
                      </w:r>
                      <w:r>
                        <w:rPr>
                          <w:color w:val="auto"/>
                        </w:rPr>
                        <w:t>Fotografování: Panel německých občanů</w:t>
                      </w:r>
                    </w:p>
                  </w:txbxContent>
                </v:textbox>
              </v:rect>
            </w:pict>
          </mc:Fallback>
        </mc:AlternateContent>
      </w:r>
    </w:p>
    <w:p>
      <w:pPr>
        <w:pStyle w:val="Corpsdetexte"/>
        <w:rPr/>
      </w:pPr>
      <w:r>
        <w:rPr/>
        <w:t>Ve dnech 15. a 16. ledna 2022 se sešlo 100 náhodně vybraných občanů, aby diskutovali o výzvách souvisejících s těmito otázkami a možných řešeních, a přijali svá doporučení. Účastníci vypracovali pro každé z výše uvedených témat dva konkrétní návrhy.</w:t>
      </w:r>
    </w:p>
    <w:p>
      <w:pPr>
        <w:pStyle w:val="Corpsdetexte"/>
        <w:rPr/>
      </w:pPr>
      <w:r>
        <w:rPr/>
        <w:t>Výsledky byly představeny 16. ledna na závěrečné on-line konferenci, které se zúčastnila německá ministryně zahraničí Annalena Baerbocková a náměstkyně ministra pro Evropu a klima Anna Lührmannová.</w:t>
      </w:r>
    </w:p>
    <w:p>
      <w:pPr>
        <w:pStyle w:val="Corpsdetexte"/>
        <w:rPr/>
      </w:pPr>
      <w:r>
        <w:rPr/>
      </w:r>
    </w:p>
    <w:p>
      <w:pPr>
        <w:pStyle w:val="Titre4"/>
        <w:numPr>
          <w:ilvl w:val="3"/>
          <w:numId w:val="2"/>
        </w:numPr>
        <w:rPr/>
      </w:pPr>
      <w:bookmarkStart w:id="23" w:name="__RefHeading___Toc298220_1346298689"/>
      <w:bookmarkEnd w:id="23"/>
      <w:r>
        <w:rPr/>
        <w:t>3)</w:t>
        <w:tab/>
        <w:t>FRANCIE</w:t>
      </w:r>
    </w:p>
    <w:p>
      <w:pPr>
        <w:pStyle w:val="Corpsdetexte"/>
        <w:rPr/>
      </w:pPr>
      <w:r>
        <w:rPr/>
        <w:t>Občanské panely zorganizovalo ve Francii francouzské ministerstvo pro Evropu a zahraniční věci za podpory ministerstva pro vztahy s parlamentem a účast občanů.</w:t>
      </w:r>
    </w:p>
    <w:p>
      <w:pPr>
        <w:pStyle w:val="Normal"/>
        <w:rPr/>
      </w:pPr>
      <w:r>
        <w:rPr/>
        <mc:AlternateContent>
          <mc:Choice Requires="wps">
            <w:drawing>
              <wp:anchor behindDoc="0" distT="0" distB="0" distL="0" distR="0" simplePos="0" locked="0" layoutInCell="1" allowOverlap="1" relativeHeight="21">
                <wp:simplePos x="0" y="0"/>
                <wp:positionH relativeFrom="column">
                  <wp:align>center</wp:align>
                </wp:positionH>
                <wp:positionV relativeFrom="paragraph">
                  <wp:posOffset>635</wp:posOffset>
                </wp:positionV>
                <wp:extent cx="2971165" cy="2244090"/>
                <wp:effectExtent l="0" t="0" r="0" b="0"/>
                <wp:wrapSquare wrapText="largest"/>
                <wp:docPr id="40" name="Rámec9"/>
                <a:graphic xmlns:a="http://schemas.openxmlformats.org/drawingml/2006/main">
                  <a:graphicData uri="http://schemas.microsoft.com/office/word/2010/wordprocessingShape">
                    <wps:wsp>
                      <wps:cNvSpPr/>
                      <wps:spPr>
                        <a:xfrm>
                          <a:off x="0" y="0"/>
                          <a:ext cx="2970360" cy="22435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5810"/>
                                  <wp:effectExtent l="0" t="0" r="0" b="0"/>
                                  <wp:docPr id="42" name="Obrázek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ázek12" descr=""/>
                                          <pic:cNvPicPr>
                                            <a:picLocks noChangeAspect="1" noChangeArrowheads="1"/>
                                          </pic:cNvPicPr>
                                        </pic:nvPicPr>
                                        <pic:blipFill>
                                          <a:blip r:embed="rId42"/>
                                          <a:stretch>
                                            <a:fillRect/>
                                          </a:stretch>
                                        </pic:blipFill>
                                        <pic:spPr bwMode="auto">
                                          <a:xfrm>
                                            <a:off x="0" y="0"/>
                                            <a:ext cx="2970530" cy="2035810"/>
                                          </a:xfrm>
                                          <a:prstGeom prst="rect">
                                            <a:avLst/>
                                          </a:prstGeom>
                                        </pic:spPr>
                                      </pic:pic>
                                    </a:graphicData>
                                  </a:graphic>
                                </wp:inline>
                              </w:drawing>
                            </w:r>
                            <w:r>
                              <w:rPr>
                                <w:color w:val="auto"/>
                              </w:rPr>
                              <w:t>Fotografování: panel francouzských občanů</w:t>
                            </w:r>
                          </w:p>
                        </w:txbxContent>
                      </wps:txbx>
                      <wps:bodyPr lIns="0" rIns="0" tIns="0" bIns="0">
                        <a:noAutofit/>
                      </wps:bodyPr>
                    </wps:wsp>
                  </a:graphicData>
                </a:graphic>
              </wp:anchor>
            </w:drawing>
          </mc:Choice>
          <mc:Fallback>
            <w:pict>
              <v:rect id="shape_0" ID="Rámec9" fillcolor="white" stroked="f" style="position:absolute;margin-left:0pt;margin-top:0.05pt;width:233.85pt;height:176.6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5810"/>
                            <wp:effectExtent l="0" t="0" r="0" b="0"/>
                            <wp:docPr id="43" name="Obrázek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ázek12" descr=""/>
                                    <pic:cNvPicPr>
                                      <a:picLocks noChangeAspect="1" noChangeArrowheads="1"/>
                                    </pic:cNvPicPr>
                                  </pic:nvPicPr>
                                  <pic:blipFill>
                                    <a:blip r:embed="rId42"/>
                                    <a:stretch>
                                      <a:fillRect/>
                                    </a:stretch>
                                  </pic:blipFill>
                                  <pic:spPr bwMode="auto">
                                    <a:xfrm>
                                      <a:off x="0" y="0"/>
                                      <a:ext cx="2970530" cy="2035810"/>
                                    </a:xfrm>
                                    <a:prstGeom prst="rect">
                                      <a:avLst/>
                                    </a:prstGeom>
                                  </pic:spPr>
                                </pic:pic>
                              </a:graphicData>
                            </a:graphic>
                          </wp:inline>
                        </w:drawing>
                      </w:r>
                      <w:r>
                        <w:rPr>
                          <w:color w:val="auto"/>
                        </w:rPr>
                        <w:t>Fotografování: panel francouzských občanů</w:t>
                      </w:r>
                    </w:p>
                  </w:txbxContent>
                </v:textbox>
              </v:rect>
            </w:pict>
          </mc:Fallback>
        </mc:AlternateContent>
      </w:r>
    </w:p>
    <w:p>
      <w:pPr>
        <w:pStyle w:val="Corpsdetexte"/>
        <w:rPr/>
      </w:pPr>
      <w:r>
        <w:rPr/>
        <w:t>V září a začátkem října 2021 bylo uspořádáno osmnáct panelů občanů ve všech regionech Francie, metropolitních i zámoří. V každém panelu se sešlo 30 až 50 náhodně vybraných občanů, kteří reprezentovali rozmanitost obyvatelstva regionů. Celkem se panelů zúčastnilo více než 700 občanů. Práce regionálních panelových skupin vedla k vytvoření seznamu 101 aspirací s 515 pozměňovacími návrhy a 1 301 konkrétních návrhů.</w:t>
      </w:r>
    </w:p>
    <w:p>
      <w:pPr>
        <w:pStyle w:val="Corpsdetexte"/>
        <w:rPr/>
      </w:pPr>
      <w:r>
        <mc:AlternateContent>
          <mc:Choice Requires="wps">
            <w:drawing>
              <wp:anchor behindDoc="0" distT="0" distB="0" distL="0" distR="0" simplePos="0" locked="0" layoutInCell="1" allowOverlap="1" relativeHeight="30">
                <wp:simplePos x="0" y="0"/>
                <wp:positionH relativeFrom="column">
                  <wp:posOffset>82550</wp:posOffset>
                </wp:positionH>
                <wp:positionV relativeFrom="paragraph">
                  <wp:posOffset>2325370</wp:posOffset>
                </wp:positionV>
                <wp:extent cx="2806700" cy="2136140"/>
                <wp:effectExtent l="0" t="0" r="0" b="0"/>
                <wp:wrapSquare wrapText="largest"/>
                <wp:docPr id="44" name="Rámec10"/>
                <a:graphic xmlns:a="http://schemas.openxmlformats.org/drawingml/2006/main">
                  <a:graphicData uri="http://schemas.microsoft.com/office/word/2010/wordprocessingShape">
                    <wps:wsp>
                      <wps:cNvSpPr/>
                      <wps:spPr>
                        <a:xfrm>
                          <a:off x="0" y="0"/>
                          <a:ext cx="2806200" cy="21355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40890"/>
                                  <wp:effectExtent l="0" t="0" r="0" b="0"/>
                                  <wp:docPr id="46" name="Obrázek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ázek13" descr=""/>
                                          <pic:cNvPicPr>
                                            <a:picLocks noChangeAspect="1" noChangeArrowheads="1"/>
                                          </pic:cNvPicPr>
                                        </pic:nvPicPr>
                                        <pic:blipFill>
                                          <a:blip r:embed="rId43"/>
                                          <a:stretch>
                                            <a:fillRect/>
                                          </a:stretch>
                                        </pic:blipFill>
                                        <pic:spPr bwMode="auto">
                                          <a:xfrm>
                                            <a:off x="0" y="0"/>
                                            <a:ext cx="2970530" cy="2040890"/>
                                          </a:xfrm>
                                          <a:prstGeom prst="rect">
                                            <a:avLst/>
                                          </a:prstGeom>
                                        </pic:spPr>
                                      </pic:pic>
                                    </a:graphicData>
                                  </a:graphic>
                                </wp:inline>
                              </w:drawing>
                            </w:r>
                            <w:r>
                              <w:rPr>
                                <w:color w:val="auto"/>
                              </w:rPr>
                              <w:t>Fotografování: Panel italských občanů</w:t>
                            </w:r>
                          </w:p>
                        </w:txbxContent>
                      </wps:txbx>
                      <wps:bodyPr lIns="0" rIns="0" tIns="0" bIns="0">
                        <a:noAutofit/>
                      </wps:bodyPr>
                    </wps:wsp>
                  </a:graphicData>
                </a:graphic>
              </wp:anchor>
            </w:drawing>
          </mc:Choice>
          <mc:Fallback>
            <w:pict>
              <v:rect id="shape_0" ID="Rámec10" fillcolor="white" stroked="f" style="position:absolute;margin-left:6.5pt;margin-top:183.1pt;width:220.9pt;height:168.1pt">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40890"/>
                            <wp:effectExtent l="0" t="0" r="0" b="0"/>
                            <wp:docPr id="47" name="Obrázek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brázek13" descr=""/>
                                    <pic:cNvPicPr>
                                      <a:picLocks noChangeAspect="1" noChangeArrowheads="1"/>
                                    </pic:cNvPicPr>
                                  </pic:nvPicPr>
                                  <pic:blipFill>
                                    <a:blip r:embed="rId43"/>
                                    <a:stretch>
                                      <a:fillRect/>
                                    </a:stretch>
                                  </pic:blipFill>
                                  <pic:spPr bwMode="auto">
                                    <a:xfrm>
                                      <a:off x="0" y="0"/>
                                      <a:ext cx="2970530" cy="2040890"/>
                                    </a:xfrm>
                                    <a:prstGeom prst="rect">
                                      <a:avLst/>
                                    </a:prstGeom>
                                  </pic:spPr>
                                </pic:pic>
                              </a:graphicData>
                            </a:graphic>
                          </wp:inline>
                        </w:drawing>
                      </w:r>
                      <w:r>
                        <w:rPr>
                          <w:color w:val="auto"/>
                        </w:rPr>
                        <w:t>Fotografování: Panel italských občanů</w:t>
                      </w:r>
                    </w:p>
                  </w:txbxContent>
                </v:textbox>
              </v:rect>
            </w:pict>
          </mc:Fallback>
        </mc:AlternateContent>
      </w:r>
      <w:r>
        <w:rPr/>
        <w:t>Ve dnech 16.–17. října 2021 se v Paříži sešlo celkem 100 občanů zastupujících panely, aby tato doporučení vypracovala a přijala. V rámci tohoto procesu bylo identifikováno celkem 14 prioritních doporučení. Pokrývající devět témat konference, doporučení byla předložena francouzské vládě, včetně ministra zahraničí Clément Beaune, a představoval příspěvek francouzské vlády na konferenci.</w:t>
      </w:r>
    </w:p>
    <w:p>
      <w:pPr>
        <w:pStyle w:val="Titre4"/>
        <w:numPr>
          <w:ilvl w:val="3"/>
          <w:numId w:val="2"/>
        </w:numPr>
        <w:rPr/>
      </w:pPr>
      <w:bookmarkStart w:id="24" w:name="__RefHeading___Toc298222_1346298689"/>
      <w:bookmarkEnd w:id="24"/>
      <w:r>
        <w:rPr/>
        <w:t>4)</w:t>
        <w:tab/>
        <w:t>ITÁLIE</w:t>
      </w:r>
    </w:p>
    <w:p>
      <w:pPr>
        <w:pStyle w:val="Corpsdetexte"/>
        <w:rPr/>
      </w:pPr>
      <w:r>
        <w:rPr/>
        <w:t>Panel pro občany zorganizovala v březnu 2022 nezávislá třetí strana pod dohledem italského ministerstva pro evropské politiky předsednictví Rady ministrů.</w:t>
      </w:r>
    </w:p>
    <w:p>
      <w:pPr>
        <w:pStyle w:val="Corpsdetexte"/>
        <w:rPr/>
      </w:pPr>
      <w:r>
        <w:rPr/>
      </w:r>
    </w:p>
    <w:p>
      <w:pPr>
        <w:pStyle w:val="Corpsdetexte"/>
        <w:rPr/>
      </w:pPr>
      <w:r>
        <w:rPr/>
        <w:t>Zúčastnilo se celkem 55 náhodně vybraných občanů, reprezentantů italské společnosti a jejích regionů. Účastníci byli náhodně vybráni s cílem zajistit přítomnost různých pohlaví, věku, sociálního původu, místa bydliště a profesního postavení.</w:t>
      </w:r>
    </w:p>
    <w:p>
      <w:pPr>
        <w:pStyle w:val="Corpsdetexte"/>
        <w:rPr/>
      </w:pPr>
      <w:r>
        <w:rPr/>
        <w:t>Ve dnech 11. a 12. března 2022 se občané sešli online, aby projednali dvě témata konference:</w:t>
      </w:r>
    </w:p>
    <w:p>
      <w:pPr>
        <w:pStyle w:val="Alineanegatifpuce"/>
        <w:numPr>
          <w:ilvl w:val="0"/>
          <w:numId w:val="3"/>
        </w:numPr>
        <w:rPr/>
      </w:pPr>
      <w:r>
        <w:rPr/>
        <w:t xml:space="preserve"> „</w:t>
      </w:r>
      <w:r>
        <w:rPr/>
        <w:t>Silnější hospodářství, sociální spravedlnost a zaměstnanost“ a</w:t>
      </w:r>
    </w:p>
    <w:p>
      <w:pPr>
        <w:pStyle w:val="Alineanegatifpuce"/>
        <w:numPr>
          <w:ilvl w:val="0"/>
          <w:numId w:val="3"/>
        </w:numPr>
        <w:rPr/>
      </w:pPr>
      <w:r>
        <w:rPr/>
        <w:t xml:space="preserve"> „</w:t>
      </w:r>
      <w:r>
        <w:rPr/>
        <w:t>Evropa ve světě“.</w:t>
      </w:r>
    </w:p>
    <w:p>
      <w:pPr>
        <w:pStyle w:val="Corpsdetexte"/>
        <w:rPr/>
      </w:pPr>
      <w:r>
        <w:rPr/>
        <w:t>Dne 12. března 2022 přijala skupina odborníků celkem 58 doporučení, včetně 33 doporučení týkajících se „silnější ekonomiky, sociální spravedlnosti a zaměstnanosti“ a 25 doporučení „Globální Evropa“. Poslední den účastníci provedli ověření a validaci prvního návrhu doporučení učiněných během první fáze práce.</w:t>
      </w:r>
    </w:p>
    <w:p>
      <w:pPr>
        <w:pStyle w:val="Corpsdetexte"/>
        <w:rPr/>
      </w:pPr>
      <w:r>
        <w:rPr/>
      </w:r>
    </w:p>
    <w:p>
      <w:pPr>
        <w:pStyle w:val="Titre4"/>
        <w:numPr>
          <w:ilvl w:val="3"/>
          <w:numId w:val="2"/>
        </w:numPr>
        <w:rPr/>
      </w:pPr>
      <w:bookmarkStart w:id="25" w:name="__RefHeading___Toc298224_1346298689"/>
      <w:bookmarkEnd w:id="25"/>
      <w:r>
        <w:rPr/>
        <w:t>5)</w:t>
        <w:tab/>
        <w:t>LITVA</w:t>
      </w:r>
    </w:p>
    <w:p>
      <w:pPr>
        <w:pStyle w:val="Corpsdetexte"/>
        <w:rPr/>
      </w:pPr>
      <w:r>
        <w:rPr/>
        <w:t>Jménem ministerstva zahraničních věcí zorganizovala v lednu 2022 nezávislá třetí strana národní panel pro občany.</w:t>
      </w:r>
    </w:p>
    <w:p>
      <w:pPr>
        <w:pStyle w:val="Corpsdetexte"/>
        <w:rPr/>
      </w:pPr>
      <w:r>
        <w:rPr/>
        <mc:AlternateContent>
          <mc:Choice Requires="wps">
            <w:drawing>
              <wp:anchor behindDoc="0" distT="0" distB="0" distL="0" distR="0" simplePos="0" locked="0" layoutInCell="1" allowOverlap="1" relativeHeight="22">
                <wp:simplePos x="0" y="0"/>
                <wp:positionH relativeFrom="column">
                  <wp:align>center</wp:align>
                </wp:positionH>
                <wp:positionV relativeFrom="paragraph">
                  <wp:posOffset>635</wp:posOffset>
                </wp:positionV>
                <wp:extent cx="2971165" cy="2247265"/>
                <wp:effectExtent l="0" t="0" r="0" b="0"/>
                <wp:wrapSquare wrapText="largest"/>
                <wp:docPr id="48" name="Rámcová 11"/>
                <a:graphic xmlns:a="http://schemas.openxmlformats.org/drawingml/2006/main">
                  <a:graphicData uri="http://schemas.microsoft.com/office/word/2010/wordprocessingShape">
                    <wps:wsp>
                      <wps:cNvSpPr/>
                      <wps:spPr>
                        <a:xfrm>
                          <a:off x="0" y="0"/>
                          <a:ext cx="2970360" cy="224676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8985"/>
                                  <wp:effectExtent l="0" t="0" r="0" b="0"/>
                                  <wp:docPr id="50" name="Obrázek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ázek14" descr=""/>
                                          <pic:cNvPicPr>
                                            <a:picLocks noChangeAspect="1" noChangeArrowheads="1"/>
                                          </pic:cNvPicPr>
                                        </pic:nvPicPr>
                                        <pic:blipFill>
                                          <a:blip r:embed="rId44"/>
                                          <a:stretch>
                                            <a:fillRect/>
                                          </a:stretch>
                                        </pic:blipFill>
                                        <pic:spPr bwMode="auto">
                                          <a:xfrm>
                                            <a:off x="0" y="0"/>
                                            <a:ext cx="2970530" cy="2038985"/>
                                          </a:xfrm>
                                          <a:prstGeom prst="rect">
                                            <a:avLst/>
                                          </a:prstGeom>
                                        </pic:spPr>
                                      </pic:pic>
                                    </a:graphicData>
                                  </a:graphic>
                                </wp:inline>
                              </w:drawing>
                            </w:r>
                            <w:r>
                              <w:rPr>
                                <w:color w:val="auto"/>
                              </w:rPr>
                              <w:t>Fotografování: Litevský panel občanů</w:t>
                            </w:r>
                          </w:p>
                        </w:txbxContent>
                      </wps:txbx>
                      <wps:bodyPr lIns="0" rIns="0" tIns="0" bIns="0">
                        <a:noAutofit/>
                      </wps:bodyPr>
                    </wps:wsp>
                  </a:graphicData>
                </a:graphic>
              </wp:anchor>
            </w:drawing>
          </mc:Choice>
          <mc:Fallback>
            <w:pict>
              <v:rect id="shape_0" ID="Rámcová 11" fillcolor="white" stroked="f" style="position:absolute;margin-left:0pt;margin-top:0.05pt;width:233.85pt;height:176.8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8985"/>
                            <wp:effectExtent l="0" t="0" r="0" b="0"/>
                            <wp:docPr id="51" name="Obrázek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ázek14" descr=""/>
                                    <pic:cNvPicPr>
                                      <a:picLocks noChangeAspect="1" noChangeArrowheads="1"/>
                                    </pic:cNvPicPr>
                                  </pic:nvPicPr>
                                  <pic:blipFill>
                                    <a:blip r:embed="rId44"/>
                                    <a:stretch>
                                      <a:fillRect/>
                                    </a:stretch>
                                  </pic:blipFill>
                                  <pic:spPr bwMode="auto">
                                    <a:xfrm>
                                      <a:off x="0" y="0"/>
                                      <a:ext cx="2970530" cy="2038985"/>
                                    </a:xfrm>
                                    <a:prstGeom prst="rect">
                                      <a:avLst/>
                                    </a:prstGeom>
                                  </pic:spPr>
                                </pic:pic>
                              </a:graphicData>
                            </a:graphic>
                          </wp:inline>
                        </w:drawing>
                      </w:r>
                      <w:r>
                        <w:rPr>
                          <w:color w:val="auto"/>
                        </w:rPr>
                        <w:t>Fotografování: Litevský panel občanů</w:t>
                      </w:r>
                    </w:p>
                  </w:txbxContent>
                </v:textbox>
              </v:rect>
            </w:pict>
          </mc:Fallback>
        </mc:AlternateContent>
      </w:r>
    </w:p>
    <w:p>
      <w:pPr>
        <w:pStyle w:val="Corpsdetexte"/>
        <w:rPr/>
      </w:pPr>
      <w:r>
        <w:rPr/>
        <w:t>Zúčastnilo se jí celkem 25 náhodně vybraných občanů ve věku 18 až 65 let, kteří jsou zástupci různých socioekonomických skupin a regionů Litvy.</w:t>
      </w:r>
    </w:p>
    <w:p>
      <w:pPr>
        <w:pStyle w:val="Corpsdetexte"/>
        <w:rPr/>
      </w:pPr>
      <w:r>
        <w:rPr/>
        <w:t>Dne 4. ledna 2022 bylo uspořádáno zahajovací zasedání on-line a občané diskutovali o dvou tématech:</w:t>
      </w:r>
    </w:p>
    <w:p>
      <w:pPr>
        <w:pStyle w:val="Alineanegatifpuce"/>
        <w:numPr>
          <w:ilvl w:val="0"/>
          <w:numId w:val="3"/>
        </w:numPr>
        <w:rPr/>
      </w:pPr>
      <w:r>
        <w:rPr/>
        <w:t xml:space="preserve"> </w:t>
      </w:r>
      <w:r>
        <w:rPr/>
        <w:t>úloha a pravomoci EU v zahraniční politice;</w:t>
      </w:r>
    </w:p>
    <w:p>
      <w:pPr>
        <w:pStyle w:val="Alineanegatifpuce"/>
        <w:numPr>
          <w:ilvl w:val="0"/>
          <w:numId w:val="3"/>
        </w:numPr>
        <w:rPr/>
      </w:pPr>
      <w:r>
        <w:rPr/>
        <w:t xml:space="preserve"> </w:t>
      </w:r>
      <w:r>
        <w:rPr/>
        <w:t>ekonomická úloha EU.</w:t>
      </w:r>
    </w:p>
    <w:p>
      <w:pPr>
        <w:pStyle w:val="Normal"/>
        <w:rPr/>
      </w:pPr>
      <w:r>
        <w:rPr/>
      </w:r>
    </w:p>
    <w:p>
      <w:pPr>
        <w:pStyle w:val="Corpsdetexte"/>
        <w:rPr/>
      </w:pPr>
      <w:r>
        <w:rPr/>
        <w:t>Dne 15. ledna 2022 se účastníci osobně sešli, aby formulovali hlavní závěry svých jednání. Dne 25. ledna 2022 přijali na virtuálním zasedání 21 doporučení, z nichž 10 se zaměřilo na úlohu a pravomoci EU v zahraniční politice a 11 doporučení na hospodářskou úlohu EU.</w:t>
      </w:r>
    </w:p>
    <w:p>
      <w:pPr>
        <w:pStyle w:val="Corpsdetexte"/>
        <w:rPr/>
      </w:pPr>
      <w:r>
        <w:rPr/>
      </w:r>
    </w:p>
    <w:p>
      <w:pPr>
        <w:pStyle w:val="Titre4"/>
        <w:numPr>
          <w:ilvl w:val="3"/>
          <w:numId w:val="2"/>
        </w:numPr>
        <w:rPr/>
      </w:pPr>
      <w:bookmarkStart w:id="26" w:name="__RefHeading___Toc298226_1346298689"/>
      <w:bookmarkEnd w:id="26"/>
      <w:r>
        <w:rPr/>
        <w:t>6)</w:t>
        <w:tab/>
        <w:t>NIZOZEMSKO</w:t>
      </w:r>
    </w:p>
    <w:p>
      <w:pPr>
        <w:pStyle w:val="Corpsdetexte"/>
        <w:rPr/>
      </w:pPr>
      <w:r>
        <w:rPr/>
        <w:t>Panel pro občany zorganizovala nezávislá třetí strana a dialogy s názvem „Visions of Europe“ zahájeny</w:t>
      </w:r>
      <w:r>
        <w:rPr>
          <w:vertAlign w:val="superscript"/>
        </w:rPr>
        <w:t>1.</w:t>
      </w:r>
      <w:r>
        <w:rPr/>
        <w:t xml:space="preserve"> září. Byly rozděleny do několika částí.</w:t>
      </w:r>
    </w:p>
    <w:p>
      <w:pPr>
        <w:pStyle w:val="Corpsdetexte"/>
        <w:rPr/>
      </w:pPr>
      <w:r>
        <w:rPr/>
        <w:t>On-line sekce, která byla zahájena dne 1.</w:t>
      </w:r>
      <w:r>
        <w:rPr>
          <w:vertAlign w:val="superscript"/>
        </w:rPr>
        <w:t>září</w:t>
      </w:r>
      <w:r>
        <w:rPr/>
        <w:t xml:space="preserve"> 2021</w:t>
      </w:r>
      <w:r>
        <w:drawing>
          <wp:anchor behindDoc="0" distT="0" distB="0" distL="0" distR="0" simplePos="0" locked="0" layoutInCell="1" allowOverlap="1" relativeHeight="26">
            <wp:simplePos x="0" y="0"/>
            <wp:positionH relativeFrom="column">
              <wp:posOffset>1356995</wp:posOffset>
            </wp:positionH>
            <wp:positionV relativeFrom="paragraph">
              <wp:posOffset>1277620</wp:posOffset>
            </wp:positionV>
            <wp:extent cx="3610610" cy="2474595"/>
            <wp:effectExtent l="0" t="0" r="0" b="0"/>
            <wp:wrapTopAndBottom/>
            <wp:docPr id="52" name="Foto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Foto16" descr=""/>
                    <pic:cNvPicPr>
                      <a:picLocks noChangeAspect="1" noChangeArrowheads="1"/>
                    </pic:cNvPicPr>
                  </pic:nvPicPr>
                  <pic:blipFill>
                    <a:blip r:embed="rId45"/>
                    <a:stretch>
                      <a:fillRect/>
                    </a:stretch>
                  </pic:blipFill>
                  <pic:spPr bwMode="auto">
                    <a:xfrm>
                      <a:off x="0" y="0"/>
                      <a:ext cx="3610610" cy="2474595"/>
                    </a:xfrm>
                    <a:prstGeom prst="rect">
                      <a:avLst/>
                    </a:prstGeom>
                  </pic:spPr>
                </pic:pic>
              </a:graphicData>
            </a:graphic>
          </wp:anchor>
        </w:drawing>
      </w:r>
      <w:r>
        <w:rPr/>
        <w:t>,</w:t>
      </w:r>
      <w:r>
        <w:rPr/>
        <w:t xml:space="preserve"> obsahovala questio nary a zjednodušený nástroj pro výběr, který občanům umožnil vyjádřit své preference, přání a doporučení k devíti tématům konference. Dotazník byl rozeslán vybrané reprezentativní a inkluzivní skupině 4 000 občanů.</w:t>
      </w:r>
    </w:p>
    <w:p>
      <w:pPr>
        <w:pStyle w:val="Corpsdetexte"/>
        <w:rPr/>
      </w:pPr>
      <w:r>
        <w:rPr/>
      </w:r>
    </w:p>
    <w:p>
      <w:pPr>
        <w:pStyle w:val="Corpsdetexte"/>
        <w:rPr/>
      </w:pPr>
      <w:r>
        <w:rPr/>
        <w:t>V říjnu a listopadu 2021 se uskutečnily hloubkové diskuse s občany on-line i offline, zejména s cílem oslovit mladé lidi a obtížně dostupné cílové skupiny.</w:t>
      </w:r>
    </w:p>
    <w:p>
      <w:pPr>
        <w:pStyle w:val="Corpsdetexte"/>
        <w:rPr/>
      </w:pPr>
      <w:r>
        <w:rPr/>
        <w:t>Byly zveřejněny dvě zprávy nazvané „Naše vize pro Evropu“; stanoviska, nápady a doporučení (Elze kijk op Europa; Meningen, ideeën en Aanbevelingen) a sdružující 30 doporučení občanů k devíti tématům konference.</w:t>
      </w:r>
    </w:p>
    <w:p>
      <w:pPr>
        <w:pStyle w:val="Corpsdetexte"/>
        <w:rPr/>
      </w:pPr>
      <w:r>
        <w:rPr/>
        <mc:AlternateContent>
          <mc:Choice Requires="wps">
            <w:drawing>
              <wp:anchor behindDoc="0" distT="0" distB="0" distL="0" distR="0" simplePos="0" locked="0" layoutInCell="1" allowOverlap="1" relativeHeight="67">
                <wp:simplePos x="0" y="0"/>
                <wp:positionH relativeFrom="column">
                  <wp:posOffset>25400</wp:posOffset>
                </wp:positionH>
                <wp:positionV relativeFrom="paragraph">
                  <wp:posOffset>591820</wp:posOffset>
                </wp:positionV>
                <wp:extent cx="2971165" cy="2225675"/>
                <wp:effectExtent l="0" t="0" r="0" b="0"/>
                <wp:wrapSquare wrapText="largest"/>
                <wp:docPr id="53" name="Rámeček12"/>
                <a:graphic xmlns:a="http://schemas.openxmlformats.org/drawingml/2006/main">
                  <a:graphicData uri="http://schemas.microsoft.com/office/word/2010/wordprocessingShape">
                    <wps:wsp>
                      <wps:cNvSpPr/>
                      <wps:spPr>
                        <a:xfrm>
                          <a:off x="0" y="0"/>
                          <a:ext cx="2970360" cy="222516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t>Nizozemský</w:t>
                            </w:r>
                            <w:r>
                              <w:rPr>
                                <w:color w:val="auto"/>
                              </w:rPr>
                              <w:drawing>
                                <wp:inline distT="0" distB="0" distL="0" distR="0">
                                  <wp:extent cx="2970530" cy="2017395"/>
                                  <wp:effectExtent l="0" t="0" r="0" b="0"/>
                                  <wp:docPr id="55" name="Obrázek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ázek15" descr=""/>
                                          <pic:cNvPicPr>
                                            <a:picLocks noChangeAspect="1" noChangeArrowheads="1"/>
                                          </pic:cNvPicPr>
                                        </pic:nvPicPr>
                                        <pic:blipFill>
                                          <a:blip r:embed="rId46"/>
                                          <a:stretch>
                                            <a:fillRect/>
                                          </a:stretch>
                                        </pic:blipFill>
                                        <pic:spPr bwMode="auto">
                                          <a:xfrm>
                                            <a:off x="0" y="0"/>
                                            <a:ext cx="2970530" cy="2017395"/>
                                          </a:xfrm>
                                          <a:prstGeom prst="rect">
                                            <a:avLst/>
                                          </a:prstGeom>
                                        </pic:spPr>
                                      </pic:pic>
                                    </a:graphicData>
                                  </a:graphic>
                                </wp:inline>
                              </w:drawing>
                            </w:r>
                            <w:r>
                              <w:rPr>
                                <w:color w:val="auto"/>
                              </w:rPr>
                              <w:t>panel občanů</w:t>
                            </w:r>
                          </w:p>
                        </w:txbxContent>
                      </wps:txbx>
                      <wps:bodyPr lIns="0" rIns="0" tIns="0" bIns="0">
                        <a:noAutofit/>
                      </wps:bodyPr>
                    </wps:wsp>
                  </a:graphicData>
                </a:graphic>
              </wp:anchor>
            </w:drawing>
          </mc:Choice>
          <mc:Fallback>
            <w:pict>
              <v:rect id="shape_0" ID="Rámeček12" fillcolor="white" stroked="f" style="position:absolute;margin-left:2pt;margin-top:46.6pt;width:233.85pt;height:175.15pt">
                <w10:wrap type="square"/>
                <v:fill o:detectmouseclick="t" type="solid" color2="black"/>
                <v:stroke color="#3465a4" joinstyle="round" endcap="flat"/>
                <v:textbox>
                  <w:txbxContent>
                    <w:p>
                      <w:pPr>
                        <w:pStyle w:val="P68B1DB1Lgende11"/>
                        <w:spacing w:before="120" w:after="120"/>
                        <w:rPr>
                          <w:color w:val="auto"/>
                        </w:rPr>
                      </w:pPr>
                      <w:r>
                        <w:rPr>
                          <w:color w:val="auto"/>
                        </w:rPr>
                        <w:t>Nizozemský</w:t>
                      </w:r>
                      <w:r>
                        <w:rPr>
                          <w:color w:val="auto"/>
                        </w:rPr>
                        <w:drawing>
                          <wp:inline distT="0" distB="0" distL="0" distR="0">
                            <wp:extent cx="2970530" cy="2017395"/>
                            <wp:effectExtent l="0" t="0" r="0" b="0"/>
                            <wp:docPr id="56" name="Obrázek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Obrázek15" descr=""/>
                                    <pic:cNvPicPr>
                                      <a:picLocks noChangeAspect="1" noChangeArrowheads="1"/>
                                    </pic:cNvPicPr>
                                  </pic:nvPicPr>
                                  <pic:blipFill>
                                    <a:blip r:embed="rId46"/>
                                    <a:stretch>
                                      <a:fillRect/>
                                    </a:stretch>
                                  </pic:blipFill>
                                  <pic:spPr bwMode="auto">
                                    <a:xfrm>
                                      <a:off x="0" y="0"/>
                                      <a:ext cx="2970530" cy="2017395"/>
                                    </a:xfrm>
                                    <a:prstGeom prst="rect">
                                      <a:avLst/>
                                    </a:prstGeom>
                                  </pic:spPr>
                                </pic:pic>
                              </a:graphicData>
                            </a:graphic>
                          </wp:inline>
                        </w:drawing>
                      </w:r>
                      <w:r>
                        <w:rPr>
                          <w:color w:val="auto"/>
                        </w:rPr>
                        <w:t>panel občanů</w:t>
                      </w:r>
                    </w:p>
                  </w:txbxContent>
                </v:textbox>
              </v:rect>
            </w:pict>
          </mc:Fallback>
        </mc:AlternateContent>
      </w:r>
    </w:p>
    <w:p>
      <w:pPr>
        <w:pStyle w:val="Normal"/>
        <w:rPr/>
      </w:pPr>
      <w:r>
        <w:rPr/>
      </w:r>
      <w:r>
        <w:br w:type="page"/>
      </w:r>
    </w:p>
    <w:p>
      <w:pPr>
        <w:pStyle w:val="Titre2"/>
        <w:numPr>
          <w:ilvl w:val="1"/>
          <w:numId w:val="2"/>
        </w:numPr>
        <w:rPr/>
      </w:pPr>
      <w:bookmarkStart w:id="27" w:name="__RefHeading___Toc298228_1346298689"/>
      <w:bookmarkEnd w:id="27"/>
      <w:r>
        <w:rPr/>
        <w:t>C.</w:t>
        <w:tab/>
        <w:t>Akce pořádané v rámci konference</w:t>
      </w:r>
    </w:p>
    <w:p>
      <w:pPr>
        <w:pStyle w:val="Titre3"/>
        <w:numPr>
          <w:ilvl w:val="2"/>
          <w:numId w:val="2"/>
        </w:numPr>
        <w:rPr/>
      </w:pPr>
      <w:bookmarkStart w:id="28" w:name="__RefHeading___Toc298230_1346298689"/>
      <w:bookmarkEnd w:id="28"/>
      <w:r>
        <w:rPr/>
        <w:t>1.</w:t>
        <w:tab/>
        <w:t>Národní akce</w:t>
      </w:r>
    </w:p>
    <w:p>
      <w:pPr>
        <w:pStyle w:val="Corpsdetexte"/>
        <w:rPr/>
      </w:pPr>
      <w:r>
        <w:rPr/>
        <w:t xml:space="preserve">Členské státy se na konferenci podílely prostřednictvím široké škály akcí a iniciativ. Těchto akcí se zúčastnilo několik tisíc občanů z celé EU. </w:t>
      </w:r>
      <w:hyperlink r:id="rId47">
        <w:r>
          <w:rPr>
            <w:rStyle w:val="LienInternet"/>
          </w:rPr>
          <w:t>Zvláštní okruh</w:t>
        </w:r>
      </w:hyperlink>
      <w:r>
        <w:rPr/>
        <w:t xml:space="preserve"> vícejazyčné digitální platformy poskytuje přehled hlavních činností, které orgány členských států zorganizovaly nebo podporovaly. Akce byly prezentovány na plenárních shromážděních konference ve dnech 23. října 2021 a 25. března 2022 zástupci vnitrostátních akcí a/nebo panelových diskusí vnitrostátních občanů, ale rovněž přispěli ke konferenci prostřednictvím </w:t>
      </w:r>
      <w:hyperlink r:id="rId48">
        <w:r>
          <w:rPr>
            <w:rStyle w:val="LienInternet"/>
          </w:rPr>
          <w:t>zpráv platformy</w:t>
        </w:r>
      </w:hyperlink>
      <w:r>
        <w:rPr/>
        <w:t>, čímž obohatili diskusi na evropské úrovni.</w:t>
      </w:r>
    </w:p>
    <w:p>
      <w:pPr>
        <w:pStyle w:val="Corpsdetexte"/>
        <w:rPr/>
      </w:pPr>
      <w:r>
        <w:rPr/>
        <w:t xml:space="preserve"> </w:t>
      </w:r>
      <w:r>
        <w:rPr/>
        <w:t>Hlavním cílem těchto akcí a iniciativ bylo naslouchat občanům a zapojit je do diskusí o Evropské unii. Prioritou byly rovněž začleňování a dialog s občany, přičemž se usilovalo o zapojení osob, které obvykle nejsou zapojeny do diskusí týkajících se EU.</w:t>
      </w:r>
    </w:p>
    <w:p>
      <w:pPr>
        <w:pStyle w:val="Corpsdetexte"/>
        <w:rPr/>
      </w:pPr>
      <w:r>
        <w:rPr/>
        <w:t>Konaly se různé typy akcí, které kombinovaly centralizované a decentralizované přístupy, včetně různých forem podpory iniciativ zdola nahoru. Činnosti a akce v členských státech organizovaly různé instituce a subjekty, včetně vnitrostátních, regionálních a místních orgánů, organizací občanské společnosti, sociálních partnerů, sdružení a občanů. V některých případech se na pořádání akcí na konferenci aktivně podílely i nevládní organizace, kulturní instituce, think-tanky, univerzity a výzkumné ústavy. V mnoha z těchto aktivit a akcí byl kladen zvláštní důraz na účast mladší generace.</w:t>
      </w:r>
    </w:p>
    <w:p>
      <w:pPr>
        <w:pStyle w:val="Corpsdetexte"/>
        <w:rPr/>
      </w:pPr>
      <w:r>
        <w:rPr/>
        <w:drawing>
          <wp:anchor behindDoc="0" distT="0" distB="0" distL="0" distR="0" simplePos="0" locked="0" layoutInCell="1" allowOverlap="1" relativeHeight="68">
            <wp:simplePos x="0" y="0"/>
            <wp:positionH relativeFrom="column">
              <wp:posOffset>31750</wp:posOffset>
            </wp:positionH>
            <wp:positionV relativeFrom="paragraph">
              <wp:posOffset>123190</wp:posOffset>
            </wp:positionV>
            <wp:extent cx="2518410" cy="7244080"/>
            <wp:effectExtent l="0" t="0" r="0" b="0"/>
            <wp:wrapTopAndBottom/>
            <wp:docPr id="57" name="Foto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Foto17" descr=""/>
                    <pic:cNvPicPr>
                      <a:picLocks noChangeAspect="1" noChangeArrowheads="1"/>
                    </pic:cNvPicPr>
                  </pic:nvPicPr>
                  <pic:blipFill>
                    <a:blip r:embed="rId49"/>
                    <a:stretch>
                      <a:fillRect/>
                    </a:stretch>
                  </pic:blipFill>
                  <pic:spPr bwMode="auto">
                    <a:xfrm>
                      <a:off x="0" y="0"/>
                      <a:ext cx="2518410" cy="7244080"/>
                    </a:xfrm>
                    <a:prstGeom prst="rect">
                      <a:avLst/>
                    </a:prstGeom>
                  </pic:spPr>
                </pic:pic>
              </a:graphicData>
            </a:graphic>
          </wp:anchor>
        </w:drawing>
      </w:r>
      <w:r>
        <w:br w:type="page"/>
      </w:r>
    </w:p>
    <w:p>
      <w:pPr>
        <w:pStyle w:val="Titre4"/>
        <w:numPr>
          <w:ilvl w:val="3"/>
          <w:numId w:val="2"/>
        </w:numPr>
        <w:rPr/>
      </w:pPr>
      <w:bookmarkStart w:id="29" w:name="__RefHeading___Toc298232_1346298689"/>
      <w:bookmarkEnd w:id="29"/>
      <w:r>
        <w:rPr/>
        <w:t>Přehled hlavních akcí a iniciativ v členských státech:</w:t>
      </w:r>
    </w:p>
    <w:p>
      <w:pPr>
        <w:pStyle w:val="P68B1DB1Corpsdetexte12"/>
        <w:rPr>
          <w:b/>
          <w:b/>
          <w:i/>
          <w:i/>
          <w:u w:val="single"/>
        </w:rPr>
      </w:pPr>
      <w:r>
        <w:rPr/>
        <w:t>1 Belgie</w:t>
      </w:r>
    </w:p>
    <w:p>
      <w:pPr>
        <w:pStyle w:val="Corpsdetexte"/>
        <w:rPr/>
      </w:pPr>
      <w:r>
        <w:rPr/>
        <w:t>Federální a regionální orgány uspořádaly několik akcí. Uskutečnilo se několik diskusí s občany, například o EU ve světě, o změně klimatu a životním prostředí. Uskutečnil se rovněž strukturovaný dialog s občany na téma „Život v příhraničním regionu“ a hackathon na téma „Dopad zdravého životního stylu a změny klimatu na kvalitu života“ a „překážky zaměstnanosti mladých lidí“.</w:t>
      </w:r>
    </w:p>
    <w:p>
      <w:pPr>
        <w:pStyle w:val="Corpsdetexte"/>
        <w:rPr/>
      </w:pPr>
      <w:r>
        <w:rPr/>
        <w:t>Kromě toho byla uspořádána akce věnovaná digitalizaci a udržitelnému hospodářství a byla uspořádána řada diskusí mezi mladými lidmi a politiky na téma „Evropa naslouchá vám“.</w:t>
      </w:r>
    </w:p>
    <w:p>
      <w:pPr>
        <w:pStyle w:val="P68B1DB1Corpsdetexte12"/>
        <w:rPr>
          <w:b/>
          <w:b/>
          <w:i/>
          <w:i/>
          <w:u w:val="single"/>
        </w:rPr>
      </w:pPr>
      <w:r>
        <w:rPr/>
        <w:t>2 Bulharsko</w:t>
      </w:r>
    </w:p>
    <w:p>
      <w:pPr>
        <w:pStyle w:val="Corpsdetexte"/>
        <w:rPr/>
      </w:pPr>
      <w:r>
        <w:rPr/>
        <w:t>Bulharské cvičení bylo zahájeno na slavnostním ceremoniálu s názvem „Jak slyšet hlas občanů prostřednictvím konference o budoucnosti Evropy?“ za účasti veřejných orgánů a zástupců občanů. V rámci organizovaných akcí byl zahájen dialog o demografii a demokracii.</w:t>
      </w:r>
    </w:p>
    <w:p>
      <w:pPr>
        <w:pStyle w:val="Corpsdetexte"/>
        <w:rPr/>
      </w:pPr>
      <w:r>
        <w:rPr/>
        <w:t>Ve velkých univerzitních městech se uskutečnilo několik místních akcí za pomoci center Europe Direct.</w:t>
      </w:r>
    </w:p>
    <w:p>
      <w:pPr>
        <w:pStyle w:val="P68B1DB1Corpsdetexte12"/>
        <w:rPr>
          <w:b/>
          <w:b/>
          <w:i/>
          <w:i/>
          <w:u w:val="single"/>
        </w:rPr>
      </w:pPr>
      <w:r>
        <w:rPr/>
        <w:t>3 Česká republika</w:t>
      </w:r>
    </w:p>
    <w:p>
      <w:pPr>
        <w:pStyle w:val="Corpsdetexte"/>
        <w:rPr/>
      </w:pPr>
      <w:r>
        <w:rPr/>
        <w:t>Česká republika uspořádala ústřední diskuse s širokou veřejností a informační akce pro příslušné zúčastněné strany. Tyto akce byly doplněny mládežnickými akcemi a akcemi s mezinárodní účastí. Zejména byla uspořádána nadnárodní akce s německými a českými občany. V celé zemi se uskutečnilo několik regionálních diskusí, jakož i regionální semináře pro studenty středních škol na téma „Rozhodnutí o Evropě“.</w:t>
      </w:r>
    </w:p>
    <w:p>
      <w:pPr>
        <w:pStyle w:val="Normal"/>
        <w:rPr/>
      </w:pPr>
      <w:r>
        <w:rPr/>
      </w:r>
    </w:p>
    <w:p>
      <w:pPr>
        <w:pStyle w:val="P68B1DB1Corpsdetexte12"/>
        <w:tabs>
          <w:tab w:val="left" w:pos="1391" w:leader="none"/>
        </w:tabs>
        <w:rPr>
          <w:b/>
          <w:b/>
          <w:i/>
          <w:i/>
          <w:u w:val="single"/>
        </w:rPr>
      </w:pPr>
      <w:r>
        <w:rPr/>
        <w:t>4 Dánsko</w:t>
      </w:r>
    </w:p>
    <w:p>
      <w:pPr>
        <w:pStyle w:val="Corpsdetexte"/>
        <w:rPr/>
      </w:pPr>
      <w:r>
        <w:rPr/>
        <w:t>Byla uspořádána široká a inkluzivní vnitrostátní diskuse, v níž hrála ústřední úlohu občanská společnost a další nevládní subjekty. Určený soubor veřejných finančních prostředků byl poskytnut skupině různých organizací, včetně nevládních organizací, sdělovacích prostředků, mládežnických organizací, kulturních institucí, expertních skupin a výzkumných ústavů na podporu diskusí a iniciativ zřízených nevládními organizacemi. Uskutečnilo se více než 180 diskusí, z nichž přibližně polovina byla zaměřena konkrétně na mladé lidi. Kromě toho vláda a parlament uspořádaly řadu oficiálních akcí, jako jsou konzultace s občany a diskuse.</w:t>
      </w:r>
    </w:p>
    <w:p>
      <w:pPr>
        <w:pStyle w:val="P68B1DB1Corpsdetexte12"/>
        <w:rPr>
          <w:b/>
          <w:b/>
          <w:i/>
          <w:i/>
          <w:u w:val="single"/>
        </w:rPr>
      </w:pPr>
      <w:r>
        <w:rPr/>
        <w:t>5 Německo</w:t>
      </w:r>
    </w:p>
    <w:p>
      <w:pPr>
        <w:pStyle w:val="Corpsdetexte"/>
        <w:rPr/>
      </w:pPr>
      <w:r>
        <w:rPr/>
        <w:t>Události v Německu se týkaly spolkové vlády, Spolkového sněmu, spolkových států a občanské společnosti. Kromě akcí pořádaných spolkovou vládou bylo více než 50 regionálních akcí organizováno šestnácti spolkovými státy Německa a asi 300 občanskou společností.</w:t>
      </w:r>
    </w:p>
    <w:p>
      <w:pPr>
        <w:pStyle w:val="Corpsdetexte"/>
        <w:rPr/>
      </w:pPr>
      <w:r>
        <w:rPr/>
        <w:t>Přeshraniční akce a dialogy se studenty a mladými lidmi jsou ústředním prvkem mnoha iniciativ, které staví mladé lidi do popředí diskusí zaměřených na utváření budoucnosti Evropy.</w:t>
      </w:r>
    </w:p>
    <w:p>
      <w:pPr>
        <w:pStyle w:val="P68B1DB1Corpsdetexte12"/>
        <w:rPr>
          <w:b/>
          <w:b/>
          <w:i/>
          <w:i/>
          <w:u w:val="single"/>
        </w:rPr>
      </w:pPr>
      <w:r>
        <w:rPr/>
        <w:t>6 Estonsko</w:t>
      </w:r>
    </w:p>
    <w:p>
      <w:pPr>
        <w:pStyle w:val="Corpsdetexte"/>
        <w:rPr/>
      </w:pPr>
      <w:r>
        <w:rPr/>
        <w:t>Různé akce, semináře a diskuse uspořádalo státní kancléř ve spolupráci se zastoupením Evropské komise v Estonsku, ministerstvem zahraničních věcí a dalšími ministerstvy, jakož i občanskou společností a mládežnickými organizacemi. Konkrétně proběhla diskuse pro studenty středních škol o klíčových otázkách souvisejících se změnou klimatu, energetickou politikou a konferencí obecně. Byla rovněž zahájena diskuse o „Estonské diplomacii pro dosažení cílů v oblasti klimatu“.</w:t>
      </w:r>
    </w:p>
    <w:p>
      <w:pPr>
        <w:pStyle w:val="P68B1DB1Corpsdetexte12"/>
        <w:rPr>
          <w:b/>
          <w:b/>
          <w:i/>
          <w:i/>
          <w:u w:val="single"/>
        </w:rPr>
      </w:pPr>
      <w:r>
        <w:rPr/>
        <w:t>7 Irsko</w:t>
      </w:r>
    </w:p>
    <w:p>
      <w:pPr>
        <w:pStyle w:val="Corpsdetexte"/>
        <w:rPr/>
      </w:pPr>
      <w:r>
        <w:rPr/>
        <w:t>Ústředním tématem činností organizovaných v Irsku bylo začlenění a dialog s celým obyvatelstvem, zejména s mladými lidmi.</w:t>
      </w:r>
    </w:p>
    <w:p>
      <w:pPr>
        <w:pStyle w:val="Corpsdetexte"/>
        <w:rPr/>
      </w:pPr>
      <w:r>
        <w:rPr/>
        <w:t>Ve spolupráci s Evropským hnutím Irsko (EMI) byl v letech 2021 a 2022 zahájen program regionálních a odvětvových závazků. První fáze regionálních setkání se konala v červnu a červenci v podobě virtuálních konzultací. Druhá fáze regionálních akcí měla podobu osobních setkání veřejnosti na začátku roku 2022. Od července probíhá program akcí vedených vládou.</w:t>
      </w:r>
    </w:p>
    <w:p>
      <w:pPr>
        <w:pStyle w:val="P68B1DB1Corpsdetexte12"/>
        <w:rPr>
          <w:b/>
          <w:b/>
          <w:i/>
          <w:i/>
          <w:u w:val="single"/>
        </w:rPr>
      </w:pPr>
      <w:r>
        <w:rPr/>
        <w:t>8 Řecko</w:t>
      </w:r>
    </w:p>
    <w:p>
      <w:pPr>
        <w:pStyle w:val="Corpsdetexte"/>
        <w:rPr/>
      </w:pPr>
      <w:r>
        <w:rPr/>
        <w:t>Za koordinaci národního dialogu bylo odpovědné ministerstvo zahraničních věcí. Ústřední a místní vládní agentury a občanská společnost byly důrazně vybízeny k pořádání diskusí a dalších akcí. Uskutečnily se například akce týkající se evropsko-středomořské spolupráce, západního Balkánu, demografické výzvy, migrace a demokracie, za účasti občanů a různých zúčastněných stran.</w:t>
      </w:r>
    </w:p>
    <w:p>
      <w:pPr>
        <w:pStyle w:val="P68B1DB1Corpsdetexte12"/>
        <w:rPr>
          <w:b/>
          <w:b/>
          <w:i/>
          <w:i/>
          <w:u w:val="single"/>
        </w:rPr>
      </w:pPr>
      <w:r>
        <w:rPr/>
        <w:t>9 Španělsko</w:t>
      </w:r>
    </w:p>
    <w:p>
      <w:pPr>
        <w:pStyle w:val="Corpsdetexte"/>
        <w:rPr/>
      </w:pPr>
      <w:r>
        <w:rPr/>
        <w:t>Španělský rámec zahrnoval šest akcí na vnitrostátní úrovni (např. konzultace španělských občanů o budoucnosti Evropy) a přibližně 20 akcí na regionální úrovni. Byla rovněž uspořádána akce s portugalskými a španělskými občany, jejímž cílem bylo diskutovat o klíčových tématech, která jsou zajímavá pro budoucnost jejich regionů a EU. Na regionální a místní úrovni organizovaly orgány akce zaměřené na několik témat, jako je přeshraniční spolupráce, dopad demografické změny, udržitelná doprava a mobilita, změna klimatu, migrace a budoucnost nejvzdálenějších regionů.</w:t>
      </w:r>
    </w:p>
    <w:p>
      <w:pPr>
        <w:pStyle w:val="Normal"/>
        <w:rPr/>
      </w:pPr>
      <w:r>
        <w:rPr/>
      </w:r>
    </w:p>
    <w:p>
      <w:pPr>
        <w:pStyle w:val="P68B1DB1Corpsdetexte12"/>
        <w:rPr>
          <w:b/>
          <w:b/>
          <w:i/>
          <w:i/>
          <w:u w:val="single"/>
        </w:rPr>
      </w:pPr>
      <w:r>
        <w:rPr/>
        <w:t>10 Francie</w:t>
      </w:r>
    </w:p>
    <w:p>
      <w:pPr>
        <w:pStyle w:val="Corpsdetexte"/>
        <w:rPr/>
      </w:pPr>
      <w:r>
        <w:rPr/>
        <w:t>Francouzská vláda vedla od května do července 2021 rozsáhlou online konzultaci pro mladé lidi. Své názory vyjádřilo padesát tisíc mladých Francouzů, kteří podpořili šestnáct hlavních myšlenek pro budoucnost Evropy. Výsledky tohoto cvičení byly společně s výsledky francouzského panelu občanů shrnuty v závěrečné zprávě, která představuje příspěvek Francie k této konferenci. Francouzská vláda rovněž vyzvala všechny francouzské aktéry, kteří si to přejí (sdružení, místní orgány, volení úředníci, zástupci občanské společnosti), aby pořádali akce.</w:t>
      </w:r>
    </w:p>
    <w:p>
      <w:pPr>
        <w:pStyle w:val="P68B1DB1Corpsdetexte12"/>
        <w:rPr>
          <w:b/>
          <w:b/>
          <w:i/>
          <w:i/>
          <w:u w:val="single"/>
        </w:rPr>
      </w:pPr>
      <w:r>
        <w:rPr/>
        <w:t>11 Chorvatsko</w:t>
      </w:r>
    </w:p>
    <w:p>
      <w:pPr>
        <w:pStyle w:val="Corpsdetexte"/>
        <w:rPr/>
      </w:pPr>
      <w:r>
        <w:rPr/>
        <w:t>Byla zřízena pracovní skupina pro koordinaci činností, která shromáždila nápady a plány na provádění činností na vnitrostátní úrovni. Ministerstva, ústřední státní úřady, regionální rozvojové agentury, univerzity, nevládní organizace a ústavy pořádaly akce v podobě konferencí, občanských dialogů a diskusí s občany, veřejných diskusí a vzdělávacích seminářů se zvláštním zaměřením na mladé lidi.</w:t>
      </w:r>
    </w:p>
    <w:p>
      <w:pPr>
        <w:pStyle w:val="Corpsdetexte"/>
        <w:rPr/>
      </w:pPr>
      <w:r>
        <w:rPr/>
        <w:t>K tématům patří migrace, demografická situace, klimatická neutralita a oběhové hospodářství. Některé akce byly uspořádány s jinými členskými státy a sousedními zeměmi mimo EU.</w:t>
      </w:r>
    </w:p>
    <w:p>
      <w:pPr>
        <w:pStyle w:val="P68B1DB1Corpsdetexte12"/>
        <w:rPr>
          <w:b/>
          <w:b/>
          <w:i/>
          <w:i/>
          <w:u w:val="single"/>
        </w:rPr>
      </w:pPr>
      <w:r>
        <w:rPr/>
        <w:t>12 Itálie</w:t>
      </w:r>
    </w:p>
    <w:p>
      <w:pPr>
        <w:pStyle w:val="Corpsdetexte"/>
        <w:rPr/>
      </w:pPr>
      <w:r>
        <w:rPr/>
        <w:t>Bylo zřízeno několik akcí zaměřených zejména na mladé lidi s cílem oslovit co nejvíce občanů, a to i za aktivní podpory místních orgánů. Byla zahájena mediální kampaň s cílem co nejvíce zvýšit povědomí o těchto událostech. Mezi tyto činnosti patří Fórum mládeže EU-Balkan pořádané s mladými lidmi ze západního Balkánu, fórum mládeže „Med Dialogy“, do něhož jsou zapojeni mladí lidé z jižního sousedství, jakož i soutěže pro studenty středních a vysokých škol s názvem „Evropa je ve vašich rukou“.</w:t>
      </w:r>
    </w:p>
    <w:p>
      <w:pPr>
        <w:pStyle w:val="P68B1DB1Corpsdetexte12"/>
        <w:rPr>
          <w:b/>
          <w:b/>
          <w:i/>
          <w:i/>
          <w:u w:val="single"/>
        </w:rPr>
      </w:pPr>
      <w:r>
        <w:rPr/>
        <w:t>13 Kypr</w:t>
      </w:r>
    </w:p>
    <w:p>
      <w:pPr>
        <w:pStyle w:val="Corpsdetexte"/>
        <w:rPr/>
      </w:pPr>
      <w:r>
        <w:rPr/>
        <w:t>Byla organizována řada činností zaměřených na mládež, do nichž se zapojilo mnoho aktérů. Uskutečnila se zahajovací akce, včetně diskuse s mladší generací o jejich očekáváních, obavách a vizích pro Evropu a Kypr v rámci EU. Otevřený dialog byl rovněž veden o úloze mladých lidí v debatě o Evropě a o problémech, kterým čelí na vnitrostátní a evropské úrovni. Rovněž se konala akce, na níž se diskutovalo o budoucnosti evropské bezpečnosti a obrany.</w:t>
      </w:r>
    </w:p>
    <w:p>
      <w:pPr>
        <w:pStyle w:val="P68B1DB1Corpsdetexte12"/>
        <w:rPr>
          <w:b/>
          <w:b/>
          <w:i/>
          <w:i/>
          <w:u w:val="single"/>
        </w:rPr>
      </w:pPr>
      <w:r>
        <w:rPr/>
        <w:t>14 Lotyšsko</w:t>
      </w:r>
    </w:p>
    <w:p>
      <w:pPr>
        <w:pStyle w:val="Corpsdetexte"/>
        <w:rPr/>
      </w:pPr>
      <w:r>
        <w:rPr/>
        <w:t>Bylo uspořádáno několik akcí, včetně celonárodní on-line diskuse se studenty s názvem „Budoucnost je ve vašich rukou“ o ekonomických, sociálních a bezpečnostních otázkách. Byl vytvořen vnitrostátní průzkum a diskuse v expertních skupinách s cílem shromáždit veřejné mínění o názorech občanů na budoucí priority Evropské unie na všechna témata konference. Uskutečnily se osobní regionální diskuse, jejichž cílem bylo zvýšit povědomí o konferenci mezi lidmi ve věku 55 let a více a osobní diskuse se studenty středních škol.</w:t>
      </w:r>
    </w:p>
    <w:p>
      <w:pPr>
        <w:pStyle w:val="P68B1DB1Corpsdetexte12"/>
        <w:rPr>
          <w:b/>
          <w:b/>
          <w:i/>
          <w:i/>
          <w:u w:val="single"/>
        </w:rPr>
      </w:pPr>
      <w:r>
        <w:rPr/>
        <w:t>15 Litva</w:t>
      </w:r>
    </w:p>
    <w:p>
      <w:pPr>
        <w:pStyle w:val="Corpsdetexte"/>
        <w:rPr/>
      </w:pPr>
      <w:r>
        <w:rPr/>
        <w:t>Akce byly organizovány především decentralizovaně a důraz byl kladen na různé regiony Litvy a mladé lidi (např. v rámci diskuse o mládeži v pobaltských státech). Proběhla řada dialogů s občany (o demokracii, digitalizaci, změně klimatu atd.), nadnárodních dialogů (např. s Francií, Irskem a Itálií) a akcí občanské společnosti. Kromě toho byly školy vyzvány, aby se zabývaly otázkou budoucnosti Evropy.</w:t>
      </w:r>
    </w:p>
    <w:p>
      <w:pPr>
        <w:pStyle w:val="Normal"/>
        <w:rPr/>
      </w:pPr>
      <w:r>
        <w:rPr/>
      </w:r>
    </w:p>
    <w:p>
      <w:pPr>
        <w:pStyle w:val="P68B1DB1Corpsdetexte12"/>
        <w:rPr>
          <w:b/>
          <w:b/>
          <w:i/>
          <w:i/>
          <w:u w:val="single"/>
        </w:rPr>
      </w:pPr>
      <w:r>
        <w:rPr/>
        <w:t>16 Lucemburk</w:t>
      </w:r>
    </w:p>
    <w:p>
      <w:pPr>
        <w:pStyle w:val="Corpsdetexte"/>
        <w:rPr/>
      </w:pPr>
      <w:r>
        <w:rPr/>
        <w:t>Na vnitrostátní úrovni byla uspořádána řada akcí s otevřeným, inkluzivním a transparentním přístupem. Parlament například uspořádal řadu akcí v nových formátech, jako jsou například „bistrotové rozhovory“. K diskusi o digitálním kompasu a průmyslové strategii EU byl rovněž uspořádán hackatón pro studenty a mladé podnikatele.</w:t>
      </w:r>
    </w:p>
    <w:p>
      <w:pPr>
        <w:pStyle w:val="Corpsdetexte"/>
        <w:rPr/>
      </w:pPr>
      <w:r>
        <w:rPr/>
        <w:t>Kromě toho se uskutečnila třístranná výměna mezi německými, francouzskými a lucemburskými středoškoláky.</w:t>
      </w:r>
    </w:p>
    <w:p>
      <w:pPr>
        <w:pStyle w:val="P68B1DB1Corpsdetexte12"/>
        <w:rPr>
          <w:b/>
          <w:b/>
          <w:i/>
          <w:i/>
          <w:u w:val="single"/>
        </w:rPr>
      </w:pPr>
      <w:r>
        <w:rPr/>
        <w:t>17 Maďarsko</w:t>
      </w:r>
    </w:p>
    <w:p>
      <w:pPr>
        <w:pStyle w:val="Corpsdetexte"/>
        <w:rPr/>
      </w:pPr>
      <w:r>
        <w:rPr/>
        <w:t>V celé společnosti byla uspořádána široká škála akcí (více než 800). Institucionální akce zahrnují mezinárodní konference na vysoké úrovni pořádané několika ministerstvy (např. o rozšíření EU a digitální agendě) a kulaté stoly se studenty a mládežnickými organizacemi (např. o evropské integraci). Několik organizací uspořádalo panely, které diskutovaly o následujících tématech: orgány EU; silnější hospodářství, sociální spravedlnost a zaměstnanost, digitální transformace, vzdělávání, kultura, mládež a sport; hodnoty a práva, právní stát a bezpečnost; Nevládní organizace; migrace; stejně jako demografie, rodina, zdraví, změna klimatu a životní prostředí.</w:t>
      </w:r>
    </w:p>
    <w:p>
      <w:pPr>
        <w:pStyle w:val="P68B1DB1Corpsdetexte12"/>
        <w:rPr>
          <w:b/>
          <w:b/>
          <w:i/>
          <w:i/>
          <w:u w:val="single"/>
        </w:rPr>
      </w:pPr>
      <w:r>
        <w:rPr/>
        <w:t>18 Malta</w:t>
      </w:r>
    </w:p>
    <w:p>
      <w:pPr>
        <w:pStyle w:val="Corpsdetexte"/>
        <w:rPr/>
      </w:pPr>
      <w:r>
        <w:rPr/>
        <w:t>V návaznosti na zahajovací akci byl zřízen národní koordinační výbor, který tuto iniciativu propaguje různými komunikačními kanály a pomohl vést diskusi prostřednictvím celostátních a místních akcí.</w:t>
      </w:r>
    </w:p>
    <w:p>
      <w:pPr>
        <w:pStyle w:val="Corpsdetexte"/>
        <w:rPr/>
      </w:pPr>
      <w:r>
        <w:rPr/>
        <w:t>Tematické veřejné dialogy (např. o zdraví, evropských hodnotách a budoucnosti práce pro spravedlivou společnost), tiskové konference, konzultace se zúčastněnými stranami z příslušných odvětví a interaktivní setkání s dětmi a studenty byly uspořádány ve fyzickém nebo hybridním formátu.</w:t>
      </w:r>
    </w:p>
    <w:p>
      <w:pPr>
        <w:pStyle w:val="Corpsdetexte"/>
        <w:rPr/>
      </w:pPr>
      <w:r>
        <w:rPr/>
      </w:r>
    </w:p>
    <w:p>
      <w:pPr>
        <w:pStyle w:val="P68B1DB1Corpsdetexte12"/>
        <w:rPr>
          <w:b/>
          <w:b/>
          <w:i/>
          <w:i/>
          <w:u w:val="single"/>
        </w:rPr>
      </w:pPr>
      <w:r>
        <w:rPr/>
        <w:t>19 Nizozemí</w:t>
      </w:r>
    </w:p>
    <w:p>
      <w:pPr>
        <w:pStyle w:val="Corpsdetexte"/>
        <w:rPr/>
      </w:pPr>
      <w:r>
        <w:rPr/>
        <w:t>V Nizozemsku byl kladen důraz na organizaci celostátního občanského panelu „Visions of Europe – Kijk op Europa“, který se konal online i osobně. Byl založen na dvoufázovém přístupu: prvním z nich bylo shromáždit úvahy a názory občanů na „co“, konkrétně na to, co očekávali a chtěli; druhá fáze se pak snažila pochopit jejich základní názory („proč“ a „jak“) prostřednictvím skupinových dialogů.</w:t>
      </w:r>
    </w:p>
    <w:p>
      <w:pPr>
        <w:pStyle w:val="Corpsdetexte"/>
        <w:rPr/>
      </w:pPr>
      <w:r>
        <w:rPr/>
      </w:r>
    </w:p>
    <w:p>
      <w:pPr>
        <w:pStyle w:val="P68B1DB1Corpsdetexte12"/>
        <w:rPr>
          <w:b/>
          <w:b/>
          <w:i/>
          <w:i/>
          <w:u w:val="single"/>
        </w:rPr>
      </w:pPr>
      <w:r>
        <w:rPr/>
        <w:t>20 Rakousko</w:t>
      </w:r>
    </w:p>
    <w:p>
      <w:pPr>
        <w:pStyle w:val="Corpsdetexte"/>
        <w:rPr/>
      </w:pPr>
      <w:r>
        <w:rPr/>
        <w:t>Diskuse probíhaly v různých formátech na federální, regionální a místní úrovni. „Budoucí laboratoře“ a „budoucí dialogy“ umožnily hloubkovou výměnu informací s odborníky na vysoké úrovni o různých tématech a hledání komplexnějších řešení pro budoucnost. Kromě toho uspořádali rakouští obecní zastupitelé odpovědní za evropské záležitosti řadu akcí. Několik akcí zaměřených přímo na mladé lidi a studenty.</w:t>
      </w:r>
    </w:p>
    <w:p>
      <w:pPr>
        <w:pStyle w:val="P68B1DB1Corpsdetexte12"/>
        <w:rPr>
          <w:b/>
          <w:b/>
          <w:i/>
          <w:i/>
          <w:u w:val="single"/>
        </w:rPr>
      </w:pPr>
      <w:r>
        <w:rPr/>
        <w:t>21 Polsko</w:t>
      </w:r>
    </w:p>
    <w:p>
      <w:pPr>
        <w:pStyle w:val="Corpsdetexte"/>
        <w:rPr/>
      </w:pPr>
      <w:r>
        <w:rPr/>
        <w:t>Akce byly organizovány především v rámci decentralizovaného přístupu. Regionální centra pro mezinárodní debatu pořádala na regionální úrovni veřejné akce v 16 polských regionech ve fyzickém i virtuálním formátu. Témata pro diskusi se týkala tematických oblastí konference, jako je solidarita v době krize, zemědělství a nové technologie.</w:t>
      </w:r>
    </w:p>
    <w:p>
      <w:pPr>
        <w:pStyle w:val="Corpsdetexte"/>
        <w:rPr/>
      </w:pPr>
      <w:r>
        <w:rPr/>
        <w:t>Proběhla rovněž vnitrostátní diskuse o klimatu, digitalizaci, vnitřním trhu, zdraví, EU ve světě a migraci.</w:t>
      </w:r>
    </w:p>
    <w:p>
      <w:pPr>
        <w:pStyle w:val="P68B1DB1Corpsdetexte12"/>
        <w:rPr>
          <w:b/>
          <w:b/>
          <w:i/>
          <w:i/>
          <w:u w:val="single"/>
        </w:rPr>
      </w:pPr>
      <w:r>
        <w:rPr/>
        <w:t>22 Portugalsko</w:t>
      </w:r>
    </w:p>
    <w:p>
      <w:pPr>
        <w:pStyle w:val="Corpsdetexte"/>
        <w:rPr/>
      </w:pPr>
      <w:r>
        <w:rPr/>
        <w:t>Po první občanské akci v Lisabonu, která zahájila účast občanů na konferenci, bylo uspořádáno mnoho akcí mimo jiné ve spolupráci s místními orgány, univerzitami, školami, sociálními partnery, mládežnickými organizacemi a místními organizacemi občanské společnosti. Například byla se Španělskem uspořádána nadnárodní akce, jejímž cílem bylo diskutovat o klíčových tématech, která jsou zajímavá pro budoucnost regionů obou zemí i EU. Kromě toho se uskutečnily decentralizované vnitrostátní akce zaměřené na různá témata, jako je migrace a mezinárodní partnerství, budoucnost evropské demokracie a digitální transformace.</w:t>
      </w:r>
    </w:p>
    <w:p>
      <w:pPr>
        <w:pStyle w:val="P68B1DB1Corpsdetexte12"/>
        <w:rPr>
          <w:b/>
          <w:b/>
          <w:i/>
          <w:i/>
          <w:u w:val="single"/>
        </w:rPr>
      </w:pPr>
      <w:r>
        <w:rPr/>
        <w:t>23 Rumunsko</w:t>
      </w:r>
    </w:p>
    <w:p>
      <w:pPr>
        <w:pStyle w:val="Corpsdetexte"/>
        <w:rPr/>
      </w:pPr>
      <w:r>
        <w:rPr/>
        <w:t>Akce byly organizovány nebo spoluorganizovány zejména administrativou a instituty za aktivní účasti občanské společnosti a mládežnických organizací.</w:t>
      </w:r>
    </w:p>
    <w:p>
      <w:pPr>
        <w:pStyle w:val="Corpsdetexte"/>
        <w:rPr/>
      </w:pPr>
      <w:r>
        <w:rPr/>
        <w:t>Diskuse se zaměřily na širokou škálu témat, jako je digitální transformace, vzdělávání, zdraví, životní prostředí, udržitelný rozvoj, hospodářství, zemědělství a strategická partnerství EU. Akce se konaly v hlavním městě a na místní úrovni a účastnily se jí všechny věkové skupiny.</w:t>
      </w:r>
    </w:p>
    <w:p>
      <w:pPr>
        <w:pStyle w:val="P68B1DB1Corpsdetexte12"/>
        <w:rPr>
          <w:b/>
          <w:b/>
          <w:i/>
          <w:i/>
          <w:u w:val="single"/>
        </w:rPr>
      </w:pPr>
      <w:r>
        <w:rPr/>
        <w:t>24 Slovinsko</w:t>
      </w:r>
    </w:p>
    <w:p>
      <w:pPr>
        <w:pStyle w:val="Corpsdetexte"/>
        <w:rPr/>
      </w:pPr>
      <w:r>
        <w:rPr/>
        <w:t>Záměrem bylo podpořit širokou diskusi, v níž hrála ústřední úlohu občanská společnost, a zejména účast mladých lidí.</w:t>
      </w:r>
    </w:p>
    <w:p>
      <w:pPr>
        <w:pStyle w:val="Corpsdetexte"/>
        <w:rPr/>
      </w:pPr>
      <w:r>
        <w:rPr/>
        <w:t>Vláda uspořádala zahajovací akci, po níž následovalo několik iniciativ, jako je Bledské strategické fórum, jehož hlavním tématem byla budoucnost Evropy, se zvláštním zaměřením na rozšíření EU a západní Balkán. Další akce se zaměřily na témata, jako je měnová politika, klimatická neutralita, mládež a úloha EU v multipolárním mezinárodním prostředí.</w:t>
      </w:r>
    </w:p>
    <w:p>
      <w:pPr>
        <w:pStyle w:val="P68B1DB1Corpsdetexte12"/>
        <w:rPr>
          <w:b/>
          <w:b/>
          <w:i/>
          <w:i/>
          <w:u w:val="single"/>
        </w:rPr>
      </w:pPr>
      <w:r>
        <w:rPr/>
        <w:t>25 Slovensko</w:t>
      </w:r>
    </w:p>
    <w:p>
      <w:pPr>
        <w:pStyle w:val="Corpsdetexte"/>
        <w:rPr/>
      </w:pPr>
      <w:r>
        <w:rPr/>
        <w:t>Pořádané akce byly uspořádány na dvou hlavních pilířích. Prvním pilířem byl projekt „WeAreEU“, zaměřený na širokou veřejnost, včetně diskusí se studenty a veřejných konzultací, včetně řady regionálních akcí pořádaných v rámci Road Show WeAreEU. Druhým pilířem byla národní úmluva o EU, která se zaměřila na odborné vstupy a analýzy témat, jako je jednotný trh, dezinformace a populismus a digitální a ekologická transformace.</w:t>
      </w:r>
    </w:p>
    <w:p>
      <w:pPr>
        <w:pStyle w:val="P68B1DB1Corpsdetexte12"/>
        <w:rPr>
          <w:b/>
          <w:b/>
          <w:i/>
          <w:i/>
          <w:u w:val="single"/>
        </w:rPr>
      </w:pPr>
      <w:r>
        <w:rPr/>
        <w:t>26 Finsko</w:t>
      </w:r>
    </w:p>
    <w:p>
      <w:pPr>
        <w:pStyle w:val="Corpsdetexte"/>
        <w:rPr/>
      </w:pPr>
      <w:r>
        <w:rPr/>
        <w:t>Vláda uspořádala řadu regionálních konzultací, včetně „akce nejsevernější konference v EU“, na různá témata, jako je udržitelný růst, vzdělávání a právní stát. Byl také proveden průzkum, který měl informovat o diskuzi.</w:t>
      </w:r>
    </w:p>
    <w:p>
      <w:pPr>
        <w:pStyle w:val="Corpsdetexte"/>
        <w:spacing w:before="6264" w:after="57"/>
        <w:rPr/>
      </w:pPr>
      <w:r>
        <w:rPr/>
        <w:t xml:space="preserve">Akce zorganizovala vláda ve spolupráci s městy, místními orgány, univerzitami, nevládními organizacemi a mládežnickými organizacemi, jakož i s finským parlamentem, Evropským parlamentem a informačními </w:t>
      </w:r>
      <w:r>
        <w:drawing>
          <wp:anchor behindDoc="0" distT="0" distB="0" distL="0" distR="0" simplePos="0" locked="0" layoutInCell="1" allowOverlap="1" relativeHeight="23">
            <wp:simplePos x="0" y="0"/>
            <wp:positionH relativeFrom="column">
              <wp:posOffset>5080</wp:posOffset>
            </wp:positionH>
            <wp:positionV relativeFrom="paragraph">
              <wp:posOffset>3077845</wp:posOffset>
            </wp:positionV>
            <wp:extent cx="6120130" cy="3977640"/>
            <wp:effectExtent l="0" t="0" r="0" b="0"/>
            <wp:wrapSquare wrapText="largest"/>
            <wp:docPr id="58" name="Fotografie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Fotografie18" descr=""/>
                    <pic:cNvPicPr>
                      <a:picLocks noChangeAspect="1" noChangeArrowheads="1"/>
                    </pic:cNvPicPr>
                  </pic:nvPicPr>
                  <pic:blipFill>
                    <a:blip r:embed="rId50"/>
                    <a:stretch>
                      <a:fillRect/>
                    </a:stretch>
                  </pic:blipFill>
                  <pic:spPr bwMode="auto">
                    <a:xfrm>
                      <a:off x="0" y="0"/>
                      <a:ext cx="6120130" cy="3977640"/>
                    </a:xfrm>
                    <a:prstGeom prst="rect">
                      <a:avLst/>
                    </a:prstGeom>
                  </pic:spPr>
                </pic:pic>
              </a:graphicData>
            </a:graphic>
          </wp:anchor>
        </w:drawing>
      </w:r>
      <w:r>
        <w:rPr/>
        <w:t>k</w:t>
      </w:r>
      <w:r>
        <w:rPr/>
        <w:t>ancelářemi Evropské komise ve Finsku.</w:t>
      </w:r>
    </w:p>
    <w:p>
      <w:pPr>
        <w:pStyle w:val="Normal"/>
        <w:rPr/>
      </w:pPr>
      <w:r>
        <w:rPr/>
      </w:r>
    </w:p>
    <w:p>
      <w:pPr>
        <w:pStyle w:val="P68B1DB1Corpsdetexte12"/>
        <w:rPr>
          <w:b/>
          <w:b/>
          <w:i/>
          <w:i/>
          <w:u w:val="single"/>
        </w:rPr>
      </w:pPr>
      <w:r>
        <w:rPr/>
        <w:t>27 Švédsko</w:t>
      </w:r>
    </w:p>
    <w:p>
      <w:pPr>
        <w:pStyle w:val="Corpsdetexte"/>
        <w:rPr/>
      </w:pPr>
      <w:r>
        <w:rPr/>
        <w:t>Akce byly organizovány především decentralizovaně jako společné cvičení mezi vládou, vnitrostátním parlamentem, politickými stranami, sociálními partnery, místními a regionálními zástupci, organizacemi občanské společnosti a dalšími příslušnými aktéry ve společnosti.</w:t>
      </w:r>
    </w:p>
    <w:p>
      <w:pPr>
        <w:pStyle w:val="Corpsdetexte"/>
        <w:rPr/>
      </w:pPr>
      <w:r>
        <w:rPr/>
        <w:t>Například švédský ministr pro evropské záležitosti jednal se studenty z různých škol o budoucnosti Evropy a účastnil se setkání na obecní úrovni s cílem diskutovat o budoucnosti Evropy a demokracii s občany. Digitální média byla rovněž využívána k účasti na dialogu s občany, například prostřednictvím Q &amp; A zasedání.</w:t>
      </w:r>
    </w:p>
    <w:p>
      <w:pPr>
        <w:pStyle w:val="Corpsdetexte"/>
        <w:rPr/>
      </w:pPr>
      <w:r>
        <w:rPr/>
        <w:t>Výše uvedené popisy nejsou vyčerpávající. Více informací o národních akcích naleznete v konkrétní části vícejazyčné digitální platformy.</w:t>
      </w:r>
    </w:p>
    <w:p>
      <w:pPr>
        <w:pStyle w:val="Corpsdetexte"/>
        <w:rPr/>
      </w:pPr>
      <w:r>
        <w:rPr/>
      </w:r>
    </w:p>
    <w:p>
      <w:pPr>
        <w:pStyle w:val="Corpsdetexte"/>
        <w:rPr/>
      </w:pPr>
      <w:r>
        <w:rPr/>
      </w:r>
      <w:r>
        <w:br w:type="page"/>
      </w:r>
    </w:p>
    <w:p>
      <w:pPr>
        <w:pStyle w:val="Titre3"/>
        <w:numPr>
          <w:ilvl w:val="2"/>
          <w:numId w:val="2"/>
        </w:numPr>
        <w:rPr/>
      </w:pPr>
      <w:bookmarkStart w:id="30" w:name="__RefHeading___Toc298234_1346298689"/>
      <w:bookmarkEnd w:id="30"/>
      <w:r>
        <w:rPr/>
        <w:t>2.</w:t>
        <w:tab/>
        <w:t xml:space="preserve">Setkání mladých Evropanů </w:t>
      </w:r>
    </w:p>
    <w:p>
      <w:pPr>
        <w:pStyle w:val="Normal"/>
        <w:rPr/>
      </w:pPr>
      <w:hyperlink r:id="rId51">
        <w:r>
          <w:rPr>
            <w:rStyle w:val="LienInternet"/>
          </w:rPr>
          <w:t>Evropské setkání mládeže (EYE 2021)</w:t>
        </w:r>
      </w:hyperlink>
      <w:r>
        <w:rPr/>
        <w:t xml:space="preserve"> se konalo ve dnech 8.–9. října 2021 a zúčastnilo se jí 10 000 mladých lidí online a Evropský parlament ve Štrasburku s cílem utvářet a vyměňovat si názory na budoucnost Evropy. EYE </w:t>
      </w:r>
      <w:r>
        <w:rPr>
          <w:i/>
        </w:rPr>
        <w:t>bylo jedinečnou příležitostí pro mladé lidi ve věku od 16 do 30 let k osobní i online interakci, k vzájemné inspiraci a výměně názorů s odborníky, aktivisty, vlivníky a činiteli s rozhodovacími pravomocemi v samém srdci evropské demokracie</w:t>
      </w:r>
      <w:r>
        <w:rPr/>
        <w:t>.</w:t>
      </w:r>
    </w:p>
    <w:p>
      <w:pPr>
        <w:pStyle w:val="Normal"/>
        <w:spacing w:before="6132" w:after="57"/>
        <w:rPr/>
      </w:pPr>
      <w:r>
        <w:rPr/>
        <w:t xml:space="preserve">Od května 2021 bylo ve spolupráci s celoevropskými mládežnickými organizacemi shromážděno na </w:t>
      </w:r>
      <w:r>
        <w:drawing>
          <wp:anchor behindDoc="0" distT="0" distB="0" distL="0" distR="0" simplePos="0" locked="0" layoutInCell="1" allowOverlap="1" relativeHeight="24">
            <wp:simplePos x="0" y="0"/>
            <wp:positionH relativeFrom="column">
              <wp:posOffset>53340</wp:posOffset>
            </wp:positionH>
            <wp:positionV relativeFrom="paragraph">
              <wp:posOffset>2400300</wp:posOffset>
            </wp:positionV>
            <wp:extent cx="5980430" cy="3893820"/>
            <wp:effectExtent l="0" t="0" r="0" b="0"/>
            <wp:wrapTopAndBottom/>
            <wp:docPr id="59" name="Fotografie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Fotografie19" descr=""/>
                    <pic:cNvPicPr>
                      <a:picLocks noChangeAspect="1" noChangeArrowheads="1"/>
                    </pic:cNvPicPr>
                  </pic:nvPicPr>
                  <pic:blipFill>
                    <a:blip r:embed="rId52"/>
                    <a:stretch>
                      <a:fillRect/>
                    </a:stretch>
                  </pic:blipFill>
                  <pic:spPr bwMode="auto">
                    <a:xfrm>
                      <a:off x="0" y="0"/>
                      <a:ext cx="5980430" cy="3893820"/>
                    </a:xfrm>
                    <a:prstGeom prst="rect">
                      <a:avLst/>
                    </a:prstGeom>
                  </pic:spPr>
                </pic:pic>
              </a:graphicData>
            </a:graphic>
          </wp:anchor>
        </w:drawing>
      </w:r>
      <w:r>
        <w:rPr/>
        <w:t>i</w:t>
      </w:r>
      <w:r>
        <w:rPr/>
        <w:t xml:space="preserve">nternetu více než 2000 návrhů mladých občanů z celé Evropské unie. Kromě toho se na konferenci o budoucnosti Evropy zaměřilo několik zasedání, a to jak on-line před akcí, tak během EYE ve Štrasburku. Po této akci bylo ve </w:t>
      </w:r>
      <w:hyperlink r:id="rId53">
        <w:r>
          <w:rPr>
            <w:rStyle w:val="LienInternet"/>
          </w:rPr>
          <w:t>zprávě o nápadech mládeže pro konferenci o budoucnosti Evropy, která byla zveřejněna ve 23 jazycích, shromažďováno 20 hlavních myšlenek,</w:t>
        </w:r>
      </w:hyperlink>
      <w:r>
        <w:rPr/>
        <w:t xml:space="preserve"> které účastníci vznesli, dva nápady na téma konference.</w:t>
      </w:r>
    </w:p>
    <w:p>
      <w:pPr>
        <w:pStyle w:val="Normal"/>
        <w:rPr/>
      </w:pPr>
      <w:r>
        <w:rPr/>
        <w:t xml:space="preserve">Zpráva o nápadech mládeže byla na plenárním zasedání konference dne 23. října předložena mladými účastníky evropských panelových diskusí občanů, kteří se rovněž zúčastnili programu EYE 2021. Všechny shromažďované nápady jsou k dispozici na adrese: </w:t>
      </w:r>
      <w:hyperlink r:id="rId54">
        <w:r>
          <w:rPr>
            <w:rStyle w:val="LienInternet"/>
          </w:rPr>
          <w:t>hledat.youthideas.eu.</w:t>
        </w:r>
      </w:hyperlink>
    </w:p>
    <w:p>
      <w:pPr>
        <w:pStyle w:val="Titre3"/>
        <w:numPr>
          <w:ilvl w:val="2"/>
          <w:numId w:val="2"/>
        </w:numPr>
        <w:rPr/>
      </w:pPr>
      <w:bookmarkStart w:id="31" w:name="__RefHeading___Toc298236_1346298689"/>
      <w:bookmarkEnd w:id="31"/>
      <w:r>
        <w:rPr/>
        <w:t>3.</w:t>
        <w:tab/>
        <w:t>Další akce</w:t>
      </w:r>
    </w:p>
    <w:p>
      <w:pPr>
        <w:pStyle w:val="Normal"/>
        <w:rPr/>
      </w:pPr>
      <w:r>
        <w:rPr/>
        <w:t>Kromě výše uvedených akcí se mnoho dalších institucí a zúčastněných stran setkalo s občany, aby diskutovali o budoucnosti Evropy</w:t>
      </w:r>
      <w:r>
        <w:rPr>
          <w:rStyle w:val="Ancredenotedebasdepage"/>
          <w:rStyle w:val="Ancredenotedebasdepage"/>
        </w:rPr>
        <w:footnoteReference w:id="6"/>
      </w:r>
      <w:r>
        <w:rPr/>
        <w:t>.</w:t>
      </w:r>
    </w:p>
    <w:p>
      <w:pPr>
        <w:pStyle w:val="Normal"/>
        <w:rPr/>
      </w:pPr>
      <w:r>
        <w:rPr/>
        <w:t>V průběhu konference o budoucnosti Evropy pracoval Evropský hospodářský a sociální výbor (EHSV) na tom, aby o ní informoval a pomohl jeho rozsáhlé síti organizací občanské společnosti v členských státech při organizování vnitrostátních konzultací. Celkově podpořila nasazení 75 akcí, z toho 33 na vnitrostátní úrovni a 42 na centrální úrovni. Z těchto akcí 60 % zveřejnilo zprávy na platformě konference a pouze těchto 45 akcí se zúčastnilo více než 7 300 účastníků. EHSV zahájil svou činnost zejména v červnu 2021 velkou konferencí –</w:t>
      </w:r>
      <w:hyperlink r:id="rId55">
        <w:r>
          <w:rPr>
            <w:rStyle w:val="LienInternet"/>
          </w:rPr>
          <w:t>Přivedení evropského projektu zpět občanům</w:t>
        </w:r>
      </w:hyperlink>
      <w:r>
        <w:rPr/>
        <w:t>– a v listopadu 2021 uspořádal seminář na téma „</w:t>
      </w:r>
      <w:hyperlink r:id="rId56">
        <w:r>
          <w:rPr>
            <w:rStyle w:val="LienInternet"/>
          </w:rPr>
          <w:t>Propojení EU</w:t>
        </w:r>
      </w:hyperlink>
      <w:r>
        <w:rPr/>
        <w:t>“ v Lisabonu a v únoru 2022 v Bruselu uspořádal seminář na vysoké úrovni s</w:t>
      </w:r>
      <w:hyperlink r:id="rId57">
        <w:r>
          <w:rPr>
            <w:rStyle w:val="LienInternet"/>
          </w:rPr>
          <w:t>názvem „Utváření Evropy společně</w:t>
        </w:r>
      </w:hyperlink>
      <w:r>
        <w:rPr/>
        <w:t>“. Výbor rovněž podpořil využívání on-line platformy, kde nahrál 60 nových nápadů, a zahájil rozsáhlou komunikační kampaň na sociálních médiích s potenciálním počtem 32 milionů lidí pouze na Twitteru s cílem propagovat národní akce v angličtině a v místním jazyce a poskytovat informace před každým plenárním shromážděním a zasedáním souvisejícím s konferencí a po něm.</w:t>
      </w:r>
    </w:p>
    <w:p>
      <w:pPr>
        <w:pStyle w:val="Normal"/>
        <w:rPr/>
      </w:pPr>
      <w:r>
        <w:rPr/>
        <w:t xml:space="preserve">Evropský výbor regionů (VR) uspořádal tematické diskuse ve svých komisích a plenárních zasedáních, jakož i 140 akcí na místní, přeshraniční a meziregionální úrovni, jichž se zúčastnilo 10 000 občanů a 200 místních politiků. Kromě toho byl v </w:t>
      </w:r>
      <w:hyperlink r:id="rId58">
        <w:r>
          <w:rPr>
            <w:rStyle w:val="LienInternet"/>
          </w:rPr>
          <w:t>říjnu 2021 zveřejněn první průzkum 1,2 milionu místních politiků</w:t>
        </w:r>
      </w:hyperlink>
      <w:r>
        <w:rPr/>
        <w:t xml:space="preserve"> v EU-27 o jejich názorech na budoucnost Evropy. Kromě toho Cdr navrhl </w:t>
      </w:r>
      <w:hyperlink r:id="rId59">
        <w:r>
          <w:rPr>
            <w:rStyle w:val="LienInternet"/>
          </w:rPr>
          <w:t>44 nápadů týkajících</w:t>
        </w:r>
      </w:hyperlink>
      <w:r>
        <w:rPr/>
        <w:t xml:space="preserve"> se vícejazyčné digitální platformy. Na začátku roku 2022 představila</w:t>
      </w:r>
      <w:hyperlink r:id="rId60">
        <w:r>
          <w:rPr>
            <w:rStyle w:val="LienInternet"/>
          </w:rPr>
          <w:t xml:space="preserve"> nezávislá skupina na vysoké úrovni pro evropskou demokracii</w:t>
        </w:r>
      </w:hyperlink>
      <w:r>
        <w:rPr/>
        <w:t xml:space="preserve"> nápady, jak zlepšit demokracii v EU. VR přijal usnesení s návrhy na závěrečnou zprávu z konference a </w:t>
      </w:r>
      <w:hyperlink r:id="rId61">
        <w:r>
          <w:rPr>
            <w:rStyle w:val="LienInternet"/>
          </w:rPr>
          <w:t>na Evropském summitu regionů a měst v březnu 2022 byl schválen 12bodový manifest vypracovaný jménem milionu místních a</w:t>
        </w:r>
      </w:hyperlink>
      <w:r>
        <w:rPr/>
        <w:t xml:space="preserve"> regionálních politiků v EU. Zpráva</w:t>
      </w:r>
      <w:hyperlink r:id="rId62">
        <w:r>
          <w:rPr>
            <w:rStyle w:val="LienInternet"/>
          </w:rPr>
          <w:t>s názvem Občané, místní politici a budoucnost Evropy</w:t>
        </w:r>
      </w:hyperlink>
      <w:r>
        <w:rPr/>
        <w:t>(březen 2022) shrnuje všechny činnosti VR v souvislosti s konferencí.</w:t>
      </w:r>
    </w:p>
    <w:p>
      <w:pPr>
        <w:pStyle w:val="Normal"/>
        <w:rPr/>
      </w:pPr>
      <w:r>
        <w:rPr/>
      </w:r>
    </w:p>
    <w:p>
      <w:pPr>
        <w:pStyle w:val="Normal"/>
        <w:rPr/>
      </w:pPr>
      <w:r>
        <w:rPr/>
        <w:t xml:space="preserve">Všechny tři organizace zaměstnavatelů spojené se sociálním partnerstvím EU, </w:t>
      </w:r>
      <w:hyperlink r:id="rId63">
        <w:r>
          <w:rPr>
            <w:rStyle w:val="LienInternet"/>
          </w:rPr>
          <w:t>BusinessEurope</w:t>
        </w:r>
      </w:hyperlink>
      <w:r>
        <w:rPr/>
        <w:t xml:space="preserve">, </w:t>
      </w:r>
      <w:hyperlink r:id="rId64">
        <w:r>
          <w:rPr>
            <w:rStyle w:val="LienInternet"/>
          </w:rPr>
          <w:t>SGI Europe</w:t>
        </w:r>
      </w:hyperlink>
      <w:r>
        <w:rPr/>
        <w:t xml:space="preserve"> a </w:t>
      </w:r>
      <w:hyperlink r:id="rId65">
        <w:r>
          <w:rPr>
            <w:rStyle w:val="LienInternet"/>
          </w:rPr>
          <w:t>UEAPME</w:t>
        </w:r>
      </w:hyperlink>
      <w:r>
        <w:rPr/>
        <w:t xml:space="preserve"> zveřejnily své priority a příspěvky na digitální platformě a představily je příslušným pracovním skupinám a plenárnímu zasedání. Kromě toho všichni podporovali konferenci, a to jak interně, tak externě, a organizovali akce a zapojili se do dialogu se zúčastněnými stranami na různých fórech. Evropská konfederace odborových svazů (EKOS) mobilizovala s cílem přispět na konferenci a účastnila se zasedání plenárního shromáždění a pracovních skupin. EKOS identifikovala návrhy odborových svazů na spravedlivější budoucnost Evropy a zveřejnila je na on-line platformě (ty byly jedním z nejvíce podporovaných návrhů). EKOS a její přidružené organizace pořádaly akce a komunikační činnosti s cílem prezentovat a projednat návrhy odborů.</w:t>
      </w:r>
    </w:p>
    <w:p>
      <w:pPr>
        <w:pStyle w:val="Normal"/>
        <w:rPr/>
      </w:pPr>
      <w:r>
        <w:rPr/>
        <w:t xml:space="preserve">Zástupci občanské společnosti – </w:t>
      </w:r>
      <w:hyperlink r:id="rId66">
        <w:r>
          <w:rPr>
            <w:rStyle w:val="LienInternet"/>
          </w:rPr>
          <w:t>Konvent občanské společnosti pro konferenci o budoucnosti</w:t>
        </w:r>
      </w:hyperlink>
      <w:r>
        <w:rPr/>
        <w:t xml:space="preserve"> Evropy a </w:t>
      </w:r>
      <w:hyperlink r:id="rId67">
        <w:r>
          <w:rPr>
            <w:rStyle w:val="LienInternet"/>
          </w:rPr>
          <w:t>Evropské mezinárodní hnutí – uspořádali</w:t>
        </w:r>
      </w:hyperlink>
      <w:r>
        <w:rPr/>
        <w:t xml:space="preserve"> </w:t>
      </w:r>
      <w:hyperlink r:id="rId68">
        <w:r>
          <w:rPr>
            <w:rStyle w:val="LienInternet"/>
          </w:rPr>
          <w:t>řadu akcí</w:t>
        </w:r>
      </w:hyperlink>
      <w:r>
        <w:rPr/>
        <w:t xml:space="preserve"> v celé Evropě a byli </w:t>
      </w:r>
      <w:hyperlink r:id="rId69">
        <w:r>
          <w:rPr>
            <w:rStyle w:val="LienInternet"/>
          </w:rPr>
          <w:t>aktivní na úrovni plenárního zasedání</w:t>
        </w:r>
      </w:hyperlink>
      <w:r>
        <w:rPr/>
        <w:t xml:space="preserve">. Občanská společnost zapojila stovky organizací občanské společnosti do přístupu zdola nahoru prostřednictvím </w:t>
      </w:r>
      <w:hyperlink r:id="rId70">
        <w:r>
          <w:rPr>
            <w:rStyle w:val="LienInternet"/>
          </w:rPr>
          <w:t>tematických skupin</w:t>
        </w:r>
      </w:hyperlink>
      <w:r>
        <w:rPr/>
        <w:t xml:space="preserve"> s cílem vypracovat společné a komplexní návrhy v </w:t>
      </w:r>
      <w:hyperlink r:id="rId71">
        <w:r>
          <w:rPr>
            <w:rStyle w:val="LienInternet"/>
          </w:rPr>
          <w:t>různých oblastech politiky, na něž se konference</w:t>
        </w:r>
      </w:hyperlink>
      <w:r>
        <w:rPr/>
        <w:t xml:space="preserve"> vztahuje. Tyto myšlenky byly podkladem pro konferenci prostřednictvím platformy, pracovních skupin, plenárních zasedání a v přímém kontaktu s výkonnou radou, spolupředsedy a společným sekretariátem.</w:t>
      </w:r>
    </w:p>
    <w:p>
      <w:pPr>
        <w:pStyle w:val="Normal"/>
        <w:rPr/>
      </w:pPr>
      <w:r>
        <w:rPr/>
        <w:t>Zastoupení Evropské komise v členských státech, střediska Europe Direct, evropská dokumentační střediska a kontaktní kanceláře EP aktivně informovaly občany o konferenci o budoucnosti Evropy. Zastoupení Evropské komise informovala o 1400 aktivitách, které přispěly ke komunikaci a realizaci konference v celé Evropě. Organizovali nebo se aktivně účastnili více než 850 akcí, z nichž přibližně 65 % se zaměřilo na mladé lidi a ženy, aby podpořili jejich účast na konferenci obecně. Kontaktní kanceláře EP zorganizovaly ve všech členských státech více než 1300 propagačních činností.</w:t>
      </w:r>
    </w:p>
    <w:p>
      <w:pPr>
        <w:pStyle w:val="Normal"/>
        <w:rPr/>
      </w:pPr>
      <w:r>
        <w:rPr/>
        <w:t>Za účasti poslanců EP, občanů, zúčastněných stran, vnitrostátních a regionálních orgánů a místních sdělovacích prostředků byly rovněž uspořádány tematické semináře o hlavních tématech konference s cílem zvýšit viditelnost konference. Evropská dokumentační centra informovala o více než 120 akcích souvisejících se sdělením konference.</w:t>
      </w:r>
    </w:p>
    <w:p>
      <w:pPr>
        <w:pStyle w:val="Normal"/>
        <w:rPr/>
      </w:pPr>
      <w:r>
        <w:rPr/>
        <w:t>Střediska Europe Direct informovala o konferenci více než 1000 tematických akcí a více než 600 propagačních aktivit, včetně široké škály skupin a organizací mládeže. Evropská dokumentační centra informovala o více než 120 akcích souvisejících se sdělením konference.</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1"/>
        <w:numPr>
          <w:ilvl w:val="0"/>
          <w:numId w:val="2"/>
        </w:numPr>
        <w:rPr/>
      </w:pPr>
      <w:bookmarkStart w:id="32" w:name="__RefHeading___Toc298238_1346298689"/>
      <w:bookmarkEnd w:id="32"/>
      <w:r>
        <w:rPr/>
        <w:t>III. Plenární shromáždění konference</w:t>
      </w:r>
    </w:p>
    <w:p>
      <w:pPr>
        <w:pStyle w:val="Normal"/>
        <w:rPr/>
      </w:pPr>
      <w:r>
        <w:rPr/>
      </w:r>
      <w:r>
        <w:br w:type="page"/>
      </w:r>
    </w:p>
    <w:p>
      <w:pPr>
        <w:pStyle w:val="Titre2"/>
        <w:numPr>
          <w:ilvl w:val="1"/>
          <w:numId w:val="2"/>
        </w:numPr>
        <w:rPr/>
      </w:pPr>
      <w:bookmarkStart w:id="33" w:name="__RefHeading___Toc298240_1346298689"/>
      <w:bookmarkEnd w:id="33"/>
      <w:r>
        <w:rPr/>
        <w:t>A. Úloha a fungování plenárního shromáždění</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Corpsdetexte"/>
        <w:rPr/>
      </w:pPr>
      <w:r>
        <w:rPr/>
        <w:t>Bylo zřízeno plenární shromáždění konference, aby projednalo doporučení vnitrostátních a evropských panelů občanů seskupených podle témat a aniž by byl předem stanoven výsledek diskusí nebo jejich rozsah byl omezen na předem vymezené oblasti politiky.</w:t>
      </w:r>
    </w:p>
    <w:p>
      <w:pPr>
        <w:pStyle w:val="Corpsdetexte"/>
        <w:rPr/>
      </w:pPr>
      <w:r>
        <w:rPr/>
        <w:t>Podle potřeby byly rovněž projednány příspěvky shromážděné na vícejazyčné platformě. Plenární shromáždění mělo jedinečné složení: jednalo se poprvé o občany zastupující evropské a vnitrostátní občanské akce a panely, zástupce orgánů EU a jejích poradních orgánů, volené zástupce na celostátní, regionální a místní úrovni, jakož i zástupce občanské společnosti a sociálních partnerů.</w:t>
      </w:r>
    </w:p>
    <w:p>
      <w:pPr>
        <w:pStyle w:val="Corpsdetexte"/>
        <w:rPr/>
      </w:pPr>
      <w:r>
        <w:rPr/>
        <w:t>Občané tato doporučení představili a projednali s nimi; plenární zasedání poté muselo předložit své návrhy</w:t>
      </w:r>
      <w:r>
        <w:rPr>
          <w:rStyle w:val="Ancredenotedebasdepage"/>
          <w:rStyle w:val="Ancredenotedebasdepage"/>
        </w:rPr>
        <w:footnoteReference w:id="7"/>
      </w:r>
      <w:r>
        <w:rPr/>
        <w:t xml:space="preserve"> na základě konsensu výkonné radě. Plenární zasedání konference se v období od června 2021 do dubna 2022 sešlo sedmkrát.</w:t>
      </w:r>
    </w:p>
    <w:p>
      <w:pPr>
        <w:pStyle w:val="Corpsdetexte"/>
        <w:rPr/>
      </w:pPr>
      <w:r>
        <w:rPr/>
        <w:t>Plenární zasedání konference se skládalo ze 108 zástupců Evropského parlamentu, 54 zástupců Rady a tří zástupců</w:t>
      </w:r>
      <w:r>
        <w:rPr>
          <w:rStyle w:val="Ancredenotedebasdepage"/>
          <w:rStyle w:val="Ancredenotedebasdepage"/>
        </w:rPr>
        <w:footnoteReference w:id="8"/>
      </w:r>
      <w:r>
        <w:rPr/>
        <w:t>Evropské komise, jakož i ze 108 zástupců všech vnitrostátních parlamentů za stejných podmínek a občanů.</w:t>
      </w:r>
    </w:p>
    <w:p>
      <w:pPr>
        <w:pStyle w:val="Corpsdetexte"/>
        <w:rPr/>
      </w:pPr>
      <w:r>
        <w:rPr/>
        <w:t>Zúčastnilo se také osmdesát zástupců evropských panelových diskusí občanů, z nichž nejméně jedna třetina byla mladší 25 let, předseda Evropského fóra mládeže a 27</w:t>
      </w:r>
      <w:r>
        <w:rPr>
          <w:rStyle w:val="Ancredenotedebasdepage"/>
          <w:rStyle w:val="Ancredenotedebasdepage"/>
        </w:rPr>
        <w:footnoteReference w:id="9"/>
      </w:r>
      <w:r>
        <w:rPr/>
        <w:t xml:space="preserve"> zástupců vnitrostátních akcí a/nebo panelových diskusí občanů členských států.</w:t>
      </w:r>
    </w:p>
    <w:p>
      <w:pPr>
        <w:pStyle w:val="Corpsdetexte"/>
        <w:rPr/>
      </w:pPr>
      <w:r>
        <w:rPr/>
        <w:t>Zúčastnilo se rovněž osmnáct zástupců Výboru regionů a 18 zástupců Hospodářského a sociálního výboru, šest volených zástupců regionálních orgánů a šest volených zástupců místních orgánů, 12 zástupců sociálních partnerů a osm zástupců občanské společnosti. Vysoká představitelka Unie pro zahraniční věci a bezpečnostní politiku byla vyzvána, aby projednala mezinárodní úlohu EU.</w:t>
      </w:r>
    </w:p>
    <w:p>
      <w:pPr>
        <w:pStyle w:val="Corpsdetexte"/>
        <w:rPr/>
      </w:pPr>
      <w:r>
        <w:rPr/>
        <w:t>Pozváni byli rovněž zástupci klíčových zúčastněných stran, jako jsou zástupci partnerů ze západního Balkánu, Ukrajiny, náboženské, filozofické a nekonfesní skupiny.</w:t>
      </w:r>
    </w:p>
    <w:p>
      <w:pPr>
        <w:pStyle w:val="Corpsdetexte"/>
        <w:rPr/>
      </w:pPr>
      <w:r>
        <w:rPr/>
        <w:t>Zasedáním plenárního shromáždění společně předsedali spolupředsedové konference. Plenární zasedání konference se konala v budovách Evropského parlamentu ve Štrasburku. Vzhledem k platným předpisům v oblasti zdraví a bezpečnosti se prvních pět zasedání plenárního zasedání konference konalo v hybridním formátu, zatímco poslední dvě se konala osobně. Plenární zasedání konference byla přenášena živě a všechny dokumenty ze schůzí byly zpřístupněny veřejnosti na vícejazyčné digitální platformě.</w:t>
      </w:r>
    </w:p>
    <w:p>
      <w:pPr>
        <w:pStyle w:val="Normal"/>
        <w:rPr/>
      </w:pPr>
      <w:r>
        <w:rPr/>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2"/>
        <w:numPr>
          <w:ilvl w:val="1"/>
          <w:numId w:val="2"/>
        </w:numPr>
        <w:rPr/>
      </w:pPr>
      <w:bookmarkStart w:id="34" w:name="__RefHeading___Toc298242_1346298689"/>
      <w:bookmarkEnd w:id="34"/>
      <w:r>
        <w:rPr/>
        <w:t>B. Pracovní skupiny</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V souladu s jednacím řádem konference navrhli spolupředsedové plenárnímu zasedání konference, aby bylo na základě témat vícejazyčné digitální platformy zřízeno devět tematických pracovních skupin s cílem poskytnout podklady pro přípravu diskusí a návrhů plenárního zasedání konference v souladu s parametry společného prohlášení. V říjnu 2021 se spolupředsedové dohodli na mandátu pracovních skupin. Různé pracovní skupiny se zabývaly těmito tématy: Změna klimatu a životní prostředí; Zdraví; Silnější hospodářství, sociální spravedlnost a zaměstnanost; EU ve světě; Hodnoty a práva, právní stát, bezpečnost; Digitální transformace; Evropská demokracie; Migrace; vzdělávání, kultura, mládež a sport.</w:t>
      </w:r>
    </w:p>
    <w:p>
      <w:pPr>
        <w:pStyle w:val="Normal"/>
        <w:rPr/>
      </w:pPr>
      <w:r>
        <w:rPr/>
        <w:t>Pracovní skupiny představily svůj příspěvek k plenárnímu zasedání konference tím, že posoudily doporučení příslušných vnitrostátních a evropských panelových diskusí občanů, jakož i příspěvky zveřejněné na vícejazyčné digitální platformě k devíti tématům shromážděným v rámci konference. Členové plenárního shromáždění konference byli rozděleni mezi devět pracovních skupin takto: dvanáct členů z každé pracovní skupiny pro Evropský parlament a vnitrostátní parlamenty, šest za Radu, tři pro zástupce vnitrostátních občanských panelů nebo národních akcí, dva za Výbor regionů a dva za Hospodářský a sociální výbor, jeden nebo dva pro sociální partnery, jeden pro občanskou společnost a jeden pro zvolené členy místních a regionálních orgánů a zástupce evropských panelových skupin občanů. Zástupci evropských panelových diskusí občanů se podíleli na práci pracovní skupiny odpovědné za jejich panel. Kromě toho byla přijata zvláštní opatření, která členům sboru komisařů umožní účastnit se pracovních skupin podle jejich portfolií.</w:t>
      </w:r>
    </w:p>
    <w:p>
      <w:pPr>
        <w:pStyle w:val="Normal"/>
        <w:rPr/>
      </w:pPr>
      <w:r>
        <w:rPr/>
        <w:t>Pracovní skupiny pořádaly živé diskuse a pracovaly na návrzích vypracovaných pod vedením předsedy a mluvčího, vybraných ze zástupců evropských panelových skupin občanů v pracovní skupině, za pomoci společného sekretariátu. Pracovní skupiny měly pracovat na základě konsenzu stanoveného v článku 17 jednacího řádu konference. Předseda a mluvčí poté předložili výsledky pracovní skupiny plenárnímu shromáždění. Předsedovi pracovní skupiny byl nápomocen společný sekretariát. Sekretariát společné konference vypracoval souhrnné zprávy z každé schůze pracovní skupiny pod vedením předsedy a po konzultaci se členy pracovní skupiny.</w:t>
      </w:r>
    </w:p>
    <w:p>
      <w:pPr>
        <w:pStyle w:val="Normal"/>
        <w:rPr/>
      </w:pPr>
      <w:r>
        <w:rPr/>
        <w:t>Pracovní skupiny se sešly v rámci plenárních zasedání konference v období od října 2021 do 8. dubna 2022, jakož i on-line v prosinci 2021. Některé pracovní skupiny uspořádaly další schůze. Schůze pracovní skupiny byly vysílány živě od 20. ledna 2022. Jejich souhrnné zprávy byly řádně zveřejněny v části „Plenární shromáždění konference“ věnované vícejazyčné digitální platformě.</w:t>
      </w:r>
    </w:p>
    <w:p>
      <w:pPr>
        <w:pStyle w:val="Normal"/>
        <w:rPr/>
      </w:pPr>
      <w:r>
        <w:rPr/>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2"/>
        <w:numPr>
          <w:ilvl w:val="1"/>
          <w:numId w:val="2"/>
        </w:numPr>
        <w:rPr/>
      </w:pPr>
      <w:bookmarkStart w:id="35" w:name="__RefHeading___Toc298244_1346298689"/>
      <w:bookmarkEnd w:id="35"/>
      <w:r>
        <w:rPr/>
        <w:t>C. Chronologické shrnutí</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USTAVUJÍCÍ PLENÁRNÍ ZASEDÁNÍ KONFERENCE, 19. ČERVNA 2021</w:t>
      </w:r>
    </w:p>
    <w:p>
      <w:pPr>
        <w:pStyle w:val="Normal"/>
        <w:rPr/>
      </w:pPr>
      <w:r>
        <w:rPr/>
        <w:t>Ustavující plenární zasedání konference se konalo dne 19. června 2021 v hybridním formátu</w:t>
      </w:r>
      <w:r>
        <w:rPr>
          <w:rStyle w:val="Ancredenotedebasdepage"/>
          <w:rStyle w:val="Ancredenotedebasdepage"/>
        </w:rPr>
        <w:footnoteReference w:id="10"/>
      </w:r>
      <w:r>
        <w:rPr/>
        <w:t>. Umožnila členům plenárního zasedání vyslechnout si prezentaci a uspořádat všeobecnou rozpravu o účelu a očekáváních konference. Spolupředsedové zdůraznili bezprecedentní povahu tohoto deliberativní demokracie na úrovni EU, která posílila zastupitelskou demokracii a postavila občany do středu tvorby politik v Evropské unii. Spolupředsedové rovněž nastínili fungování tří pilířů konference: vícejazyčná digitální platforma, panelové panely evropských a vnitrostátních občanů a plenární shromáždění.</w:t>
      </w:r>
    </w:p>
    <w:p>
      <w:pPr>
        <w:pStyle w:val="Normal"/>
        <w:rPr/>
      </w:pPr>
      <w:r>
        <w:rPr/>
        <w:t>Kromě toho byli členové plenárního zasedání informováni o záměru zřídit devět tematických pracovních skupin a o harmonogramu konference. V následné debatě, v níž vystoupilo více než 150 účastníků, se diskutovalo o široké škále témat. Vzhledem k tomu, že výběr účastníků evropských panelových diskusí občanů dosud nebyl dokončen, předseda Evropského fóra mládeže a 27 zástupců vnitrostátních akcí nebo panelových diskusí občanů se zúčastnili, aby zastupovali občanskou složku.</w:t>
      </w:r>
    </w:p>
    <w:p>
      <w:pPr>
        <w:pStyle w:val="Normal"/>
        <w:rPr/>
      </w:pPr>
      <w:r>
        <w:rPr>
          <w:b/>
          <w:i/>
          <w:u w:val="single"/>
        </w:rPr>
        <w:t>DRUHÉ PLENÁRNÍ SHROMÁŽDĚNÍ KONFERENCE, 22.–23. ŘÍJNA 2021</w:t>
      </w:r>
      <w:r>
        <w:rPr/>
        <w:t xml:space="preserve"> </w:t>
      </w:r>
    </w:p>
    <w:p>
      <w:pPr>
        <w:pStyle w:val="Normal"/>
        <w:rPr/>
      </w:pPr>
      <w:r>
        <w:rPr/>
        <w:t>Druhé plenární zasedání konference se konalo ve dnech 22. a 23. října 2021 v hybridním formátu, přičemž se poprvé zúčastnili zástupci evropských panelových diskusí občanů. Členové plenárního zasedání měli možnost vyslechnout si prezentaci o aktuálním stavu čtyř evropských panelových diskusí občanů a uspořádat rozpravu. Kromě toho byli zástupci národních akcí a panelů schopni prezentovat akce pořádané na vnitrostátní úrovni. Na plenárním zasedání konference byla předložena zpráva o evropském setkání mládeže; poskytla přehled 20 konkrétních nápadů vybraných mladými občany, kteří se schůze zúčastnili.</w:t>
      </w:r>
    </w:p>
    <w:p>
      <w:pPr>
        <w:pStyle w:val="Normal"/>
        <w:rPr/>
      </w:pPr>
      <w:r>
        <w:rPr/>
        <w:t>V následné debatě byl kladen důraz na inovativní povahu vícejazyčné digitální platformy, která občanům poskytla hlas v této kapitole a místo pro diskusi ve všech úředních jazycích EU. Tato rozprava vycházela z druhé průběžné zprávy o platformě. Partneři ze západního Balkánu byli přizváni k účasti na tomto plenárním zasedání jako klíčové zúčastněné strany.</w:t>
      </w:r>
    </w:p>
    <w:p>
      <w:pPr>
        <w:pStyle w:val="Normal"/>
        <w:rPr/>
      </w:pPr>
      <w:r>
        <w:rPr>
          <w:b/>
          <w:i/>
          <w:u w:val="single"/>
        </w:rPr>
        <w:t>TŘETÍ PLENÁRNÍ ZASEDÁNÍ KONFERENCE, 21.–22. LEDNA 2022</w:t>
      </w:r>
      <w:r>
        <w:rPr/>
        <w:t xml:space="preserve"> </w:t>
      </w:r>
    </w:p>
    <w:p>
      <w:pPr>
        <w:pStyle w:val="Normal"/>
        <w:rPr/>
      </w:pPr>
      <w:r>
        <w:rPr/>
        <w:t>Třetí plenární zasedání konference, které se konalo ve dnech 21.–22. ledna 2022, bylo poprvé věnováno oficiální prezentaci doporučení evropských občanských panelů a souvisejících panelových panelů pro občany členských států. Toto plenární zasedání se konalo jako první po finalizaci doporučení některých evropských panelových diskusí občanů, konkrétně: panely 2 (Evropská demokracie; hodnoty a práva, právní stát, bezpečnost) a 3 (změna klimatu a životní prostředí; zdraví). Plenární zasedání se konalo v hybridním formátu za účasti více než 400 členů plenárního zasedání konference buď na místě, nebo na dálku.</w:t>
      </w:r>
    </w:p>
    <w:p>
      <w:pPr>
        <w:pStyle w:val="Normal"/>
        <w:rPr/>
      </w:pPr>
      <w:r>
        <w:rPr/>
        <w:t>K tomuto plenárnímu zasedání došlo také krátce před smrtí předsedy Evropského parlamentu Davida Maria Sassoliho. Spolupředsedové uctili jeho památku při zahájení schůze. Diskuse na tomto plenárním zasedání byly uspořádány podle tématu, na něž se vztahují evropské panelové diskuse občanů č. 2 a 3.</w:t>
      </w:r>
    </w:p>
    <w:p>
      <w:pPr>
        <w:pStyle w:val="Normal"/>
        <w:rPr/>
      </w:pPr>
      <w:r>
        <w:rPr/>
        <w:t>Diskuse probíhaly v inovativním interaktivním formátu, včetně okamžiků věnovaných zpětné vazbě občanů, jakož i zvláštního systému otázek „modré karty“, který umožnil spontánní a živou výměnu doporučení občanů.</w:t>
      </w:r>
    </w:p>
    <w:p>
      <w:pPr>
        <w:pStyle w:val="Normal"/>
        <w:rPr/>
      </w:pPr>
      <w:r>
        <w:rPr>
          <w:b/>
          <w:i/>
          <w:u w:val="single"/>
        </w:rPr>
        <w:t>ČTVRTÉ PLENÁRNÍ SHROMÁŽDĚNÍ KONFERENCE VE DNECH 11.–12. BŘEZNA 2022</w:t>
      </w:r>
      <w:r>
        <w:rPr/>
        <w:t xml:space="preserve"> </w:t>
      </w:r>
    </w:p>
    <w:p>
      <w:pPr>
        <w:pStyle w:val="Normal"/>
        <w:rPr/>
      </w:pPr>
      <w:r>
        <w:rPr/>
        <w:t>Čtvrté plenární shromáždění konference bylo rovněž věnováno prezentaci doporučení evropských panelových diskusí občanů a souvisejících panelových diskusí vnitrostátních občanů. Toto plenární zasedání se konalo po finalizaci doporučení dvou zbývajících evropských panelových diskusí občanů, a to: panely 1 (Silnější ekonomika, sociální spravedlnost a zaměstnanost; vzdělávání, kultura, mládež a sport; digitální transformace) a 4 (EU ve světě; migrace).</w:t>
      </w:r>
    </w:p>
    <w:p>
      <w:pPr>
        <w:pStyle w:val="Normal"/>
        <w:rPr/>
      </w:pPr>
      <w:r>
        <w:rPr/>
        <w:t>Stejně jako na lednovém plenárním zasedání byly rozpravy na tomto plenárním zasedání pořádány podle tématu. Tentokrát se diskutovalo o tématech evropských panelových diskusí občanů č. 1 a 4. Diskuse o doporučeních občanů opět vedly k živým a důkladným výměnám podporovaným inovativním interaktivním formátem.</w:t>
      </w:r>
    </w:p>
    <w:p>
      <w:pPr>
        <w:pStyle w:val="Normal"/>
        <w:rPr/>
      </w:pPr>
      <w:r>
        <w:rPr>
          <w:b/>
          <w:i/>
          <w:u w:val="single"/>
        </w:rPr>
        <w:t>PÁTÉ PLENÁRNÍ SHROMÁŽDĚNÍ KONFERENCE, 25.–26. BŘEZNA 2022</w:t>
      </w:r>
      <w:r>
        <w:rPr/>
        <w:t xml:space="preserve"> </w:t>
      </w:r>
    </w:p>
    <w:p>
      <w:pPr>
        <w:pStyle w:val="Normal"/>
        <w:rPr/>
      </w:pPr>
      <w:r>
        <w:rPr/>
        <w:t>Páté plenární shromáždění označilo vstup konference do další fáze, kdy byl zahájen proces definování návrhů plenárního zasedání na základě doporučení občanů. Proto se členové plenárního zasedání, kteří se připravili v menším tematickém rámci pracovních skupin, poprvé uskutečnili rozpravy o devíti tématech konference: silnější hospodářství, sociální spravedlnost a zaměstnanost; vzdělávání, kultura, mládež a sport; digitální transformace; Evropská demokracie; hodnoty a práva, právní stát, bezpečnost; změna klimatu a životní prostředí; zdraví; EU ve světě; migrace. Toto plenární zasedání bylo rovněž příležitostí pro zástupce vnitrostátních akcí pořádaných ve 27 členských státech EU, aby představili výsledky svých iniciativ.</w:t>
      </w:r>
    </w:p>
    <w:p>
      <w:pPr>
        <w:pStyle w:val="Normal"/>
        <w:rPr/>
      </w:pPr>
      <w:r>
        <w:rPr>
          <w:b/>
          <w:i/>
          <w:u w:val="single"/>
        </w:rPr>
        <w:t>ŠESTÉ PLENÁRNÍ SHROMÁŽDĚNÍ KONFERENCE VE DNECH 8.–9. DUBNA 2022</w:t>
      </w:r>
      <w:r>
        <w:rPr/>
        <w:t xml:space="preserve"> </w:t>
      </w:r>
    </w:p>
    <w:p>
      <w:pPr>
        <w:pStyle w:val="Normal"/>
        <w:rPr/>
      </w:pPr>
      <w:r>
        <w:rPr/>
        <w:t>Na šestém plenárním zasedání konference byla dokončena finalizace návrhů plenárního zasedání.</w:t>
      </w:r>
    </w:p>
    <w:p>
      <w:pPr>
        <w:pStyle w:val="Normal"/>
        <w:rPr/>
      </w:pPr>
      <w:r>
        <w:rPr/>
        <w:t>Po dokončení posledních schůzí tematických pracovních skupin vyjádřili všichni členové plenárního zasedání prostřednictvím devíti zásadních diskusí své názory a připomínky k návrhům, které připravili v posledních měsících. Tato výměna byla pro ně rovněž příležitostí zamyslet se nad jedinečným procesem vypracovávání návrhů plenárního zasedání na základě doporučení občanů a o práci, kterou od jejich formulace vykonali. Občané zejména zdůraznili jedinečnou lidskou zkušenost a přidanou hodnotu tohoto procesu jednání, který je spojuje s tímto společným projektem. Tato rozprava byla podkladem pro konečné návrhy návrhů, které mají být předloženy poslednímu plenárnímu shromáždění konference.</w:t>
      </w:r>
    </w:p>
    <w:p>
      <w:pPr>
        <w:pStyle w:val="Normal"/>
        <w:rPr/>
      </w:pPr>
      <w:r>
        <w:rPr>
          <w:b/>
          <w:i/>
          <w:u w:val="single"/>
        </w:rPr>
        <w:t>SEDMÉ PLENÁRNÍ ZASEDÁNÍ KONFERENCE VE DNECH 29.–30. DUBNA 2022</w:t>
      </w:r>
      <w:r>
        <w:rPr/>
        <w:t xml:space="preserve"> </w:t>
      </w:r>
    </w:p>
    <w:p>
      <w:pPr>
        <w:pStyle w:val="Normal"/>
        <w:rPr/>
      </w:pPr>
      <w:r>
        <w:rPr/>
        <w:t>Důležitým milníkem bylo sedmé a závěrečné plenární zasedání Konference o budoucnosti Evropy, které uzavřelo proces intenzivních jednání, která trvala několik měsíců s formulací 49 návrhů. Těchto 49 návrhů bylo předloženo a formulováno na plenárním zasedání výkonné radě na základě konsensu. Tohoto konsensu bylo dosaženo mezi zástupci Evropského parlamentu, Rady, Evropské komise a vnitrostátních parlamentů.</w:t>
      </w:r>
    </w:p>
    <w:p>
      <w:pPr>
        <w:pStyle w:val="Normal"/>
        <w:rPr/>
      </w:pPr>
      <w:r>
        <w:rPr/>
        <w:t xml:space="preserve">Zástupci Výboru regionů a Evropského hospodářského a sociálního výboru, regionální a místní volení zástupci, jakož i zástupci sociálních partnerů a občanské společnosti vyjádřili tomuto procesu podporu a podpořili návrhy. </w:t>
      </w:r>
    </w:p>
    <w:p>
      <w:pPr>
        <w:pStyle w:val="Normal"/>
        <w:rPr/>
      </w:pPr>
      <w:r>
        <w:rPr/>
        <w:t>Složka pro občany představila svůj konečný postoj k návrhům (viz klíčová sdělení níže).</w:t>
      </w:r>
    </w:p>
    <w:p>
      <w:pPr>
        <w:sectPr>
          <w:footnotePr>
            <w:numFmt w:val="upperRoman"/>
          </w:footnotePr>
          <w:type w:val="continuous"/>
          <w:pgSz w:w="11906" w:h="16838"/>
          <w:pgMar w:left="1134" w:right="1134" w:header="1134" w:top="1700" w:footer="1134" w:bottom="1727" w:gutter="0"/>
          <w:cols w:num="2" w:space="170" w:equalWidth="true" w:sep="false"/>
          <w:formProt w:val="false"/>
          <w:textDirection w:val="lrTb"/>
          <w:docGrid w:type="default" w:linePitch="312" w:charSpace="0"/>
        </w:sectPr>
      </w:pPr>
    </w:p>
    <w:p>
      <w:pPr>
        <w:pStyle w:val="Normal"/>
        <w:rPr/>
      </w:pPr>
      <w:r>
        <w:rPr/>
      </w:r>
    </w:p>
    <w:p>
      <w:pPr>
        <w:pStyle w:val="P68B1DB1Normal13"/>
        <w:shd w:val="clear" w:fill="EEEEEE"/>
        <w:rPr>
          <w:i/>
          <w:i/>
          <w:sz w:val="20"/>
        </w:rPr>
      </w:pPr>
      <w:r>
        <w:rPr/>
        <w:t>Na závěrečném plenárním zasedání (29.–30. dubna 2022) představilo 108 občanů občanů svůj konečný postoj k návrhům plenárního zasedání. Jejich prezentace byla koncipována kolektivně a prezentována 17 z nich v podobě narativního projevu, během závěrečné rozpravy. Níže uvedený text je souhrnem klíčových sdělení jejich intervencí.</w:t>
      </w:r>
    </w:p>
    <w:p>
      <w:pPr>
        <w:pStyle w:val="P68B1DB1Normal14"/>
        <w:shd w:val="clear" w:fill="EEEEEE"/>
        <w:jc w:val="center"/>
        <w:rPr>
          <w:sz w:val="20"/>
        </w:rPr>
      </w:pPr>
      <w:r>
        <w:rPr/>
        <w:t>**</w:t>
      </w:r>
    </w:p>
    <w:p>
      <w:pPr>
        <w:pStyle w:val="P68B1DB1Normal14"/>
        <w:shd w:val="clear" w:fill="EEEEEE"/>
        <w:rPr>
          <w:sz w:val="20"/>
        </w:rPr>
      </w:pPr>
      <w:r>
        <w:rPr/>
        <w:t>Nejprve děkujeme Evropskému parlamentu, Radě a Komisi za to, že nám dali příležitost pomoci utvářet budoucnost Evropy. Setkali jsme se s evropskými kolegy z celé Unie, z různých panelů a akcí, s politickými představiteli a sociálními aktéry a rozšířili jsme naše obzory. Vyrůstali jsme jako Evropané. Za to jsme všichni obětovali: byli jsme vytrženi z našeho každodenního života, vzali si dny volna a strávili, pro členy evropských panelových diskusí občanů, devět víkendů od našich rodin. Ale měli jsme neuvěřitelný a jedinečný zážitek. Pro nás to nebyla ztráta času.</w:t>
      </w:r>
    </w:p>
    <w:p>
      <w:pPr>
        <w:pStyle w:val="P68B1DB1Normal14"/>
        <w:shd w:val="clear" w:fill="EEEEEE"/>
        <w:rPr>
          <w:sz w:val="20"/>
        </w:rPr>
      </w:pPr>
      <w:r>
        <w:rPr/>
        <w:t>Na cestě byly vzestupy a pády. Ne vždy jsme dostali odpověď na naše otázky. Víme, že bude nějakou dobu trvat, než budou návrhy provedeny. Jsme však přesvědčeni, že uděláte, co je potřeba, abyste toho dosáhli, a to z úcty k naší společné práci. Pokud my, občané, jsme schopni překonat naše rozdíly, jazykové bariéry, spolupracovat a pozvednout se na vaši úroveň, můžete také.</w:t>
      </w:r>
    </w:p>
    <w:p>
      <w:pPr>
        <w:pStyle w:val="P68B1DB1Normal14"/>
        <w:shd w:val="clear" w:fill="EEEEEE"/>
        <w:jc w:val="center"/>
        <w:rPr>
          <w:sz w:val="20"/>
        </w:rPr>
      </w:pPr>
      <w:r>
        <w:rPr/>
        <w:t>**</w:t>
      </w:r>
    </w:p>
    <w:p>
      <w:pPr>
        <w:pStyle w:val="P68B1DB1Normal14"/>
        <w:shd w:val="clear" w:fill="EEEEEE"/>
        <w:rPr>
          <w:sz w:val="20"/>
        </w:rPr>
      </w:pPr>
      <w:r>
        <w:rPr/>
        <w:t>Všichni jsme ušli dlouhou cestu a nyní, když naše práce v plénu skončila, můžeme být na to hrdí. Vidíme 8 průřezových témat, která dávají jasný a silný mandát pro budoucnost Evropy.</w:t>
      </w:r>
    </w:p>
    <w:p>
      <w:pPr>
        <w:pStyle w:val="P68B1DB1Normal14"/>
        <w:shd w:val="clear" w:fill="EEEEEE"/>
        <w:rPr>
          <w:sz w:val="20"/>
        </w:rPr>
      </w:pPr>
      <w:r>
        <w:rPr>
          <w:b/>
        </w:rPr>
        <w:t>Zaprvé</w:t>
      </w:r>
      <w:r>
        <w:rPr/>
        <w:t xml:space="preserve"> Evropská unie založená na solidaritě, sociální spravedlnosti a rovnosti. Velkým zájmem občanů je totiž nalezení rovných podmínek a práv v různých oblastech: zdravotní péče, sociální služby, celoživotní učení, rovné příležitosti pro osoby žijící ve venkovských a městských oblastech, s přihlédnutím k demografickým aspektům. V budoucnu by Evropané ve všech členských státech a regionech již neměli být diskriminováni z důvodu svého věku, místa bydliště, státní příslušnosti, pohlaví, náboženského vyznání nebo politických preferencí. Měla by jim být nabídnuta důstojná životní úroveň, mzdy a pracovní podmínky. EU musí být víc než jen ekonomická unie. Členské státy musí projevit větší solidaritu mezi sebou. Jsme rodina a musíme se takto chovat v krizových situacích.</w:t>
      </w:r>
    </w:p>
    <w:p>
      <w:pPr>
        <w:pStyle w:val="P68B1DB1Normal14"/>
        <w:shd w:val="clear" w:fill="EEEEEE"/>
        <w:rPr>
          <w:sz w:val="20"/>
        </w:rPr>
      </w:pPr>
      <w:r>
        <w:rPr>
          <w:b/>
        </w:rPr>
        <w:t>Za druhé</w:t>
      </w:r>
      <w:r>
        <w:rPr/>
        <w:t>, EU se musí rychle odvážit a jednat, aby se stala lídrem v oblasti životního prostředí a klimatu, urychlila přechod na zelenou energii, zlepšila svou železniční síť, podporovala udržitelnou dopravu a skutečně oběhové hospodářství. Není čas ztrácet čas. EU musí podněcovat změny v mnoha oblastech politiky: zemědělství, biologická rozmanitost, hospodářství, energetika, doprava, vzdělávání, zdravotnictví, digitální transformace a diplomacie v oblasti klimatu. Máme k tomu výzkumné schopnosti, ekonomickou sílu a geopolitický vliv. Pokud učiníme klima prioritou, můžeme doufat v prosperující budoucnost.</w:t>
      </w:r>
    </w:p>
    <w:p>
      <w:pPr>
        <w:pStyle w:val="P68B1DB1Normal14"/>
        <w:shd w:val="clear" w:fill="EEEEEE"/>
        <w:rPr>
          <w:sz w:val="20"/>
        </w:rPr>
      </w:pPr>
      <w:r>
        <w:rPr>
          <w:b/>
        </w:rPr>
        <w:t>Za třetí</w:t>
      </w:r>
      <w:r>
        <w:rPr/>
        <w:t>, Evropa potřebuje demokratičtější Unii. Evropští občané EU milují, ale buďme upřímní: není to vždy snadné. Požádal jste nás, abychom vám pomohli a zeptali jste se nás: jak by měla vypadat evropská demokracie v budoucnu? Odpověděli jsme vám: My, občané, chceme Evropu, do níž jsou rozhodnutí přijímána transparentním a rychlým způsobem, kde se přehodnocuje zásada jednomyslnosti a do níž jsme my, občané, pravidelně a vážně zapojeni.</w:t>
      </w:r>
    </w:p>
    <w:p>
      <w:pPr>
        <w:pStyle w:val="P68B1DB1Normal14"/>
        <w:shd w:val="clear" w:fill="EEEEEE"/>
        <w:rPr>
          <w:sz w:val="20"/>
        </w:rPr>
      </w:pPr>
      <w:r>
        <w:rPr>
          <w:b/>
        </w:rPr>
        <w:t>Za</w:t>
      </w:r>
      <w:r>
        <w:rPr/>
        <w:t xml:space="preserve"> čtvrté, EU potřebuje v některých oblastech větší harmonizaci a přiblížit se jako Unie. Válka zaútočí na naše brány na východě, což vyžaduje, abychom byli jednotnější než kdy jindy a aby EU získala více zahraničních dovedností. Tato konference může sloužit jako základ pro vytvoření jednotnější a politicky soudržnější Evropy. To vše spočívalo v tomto slově: Evropská unie. Nemůžeme se takto popsat, pokud nedosáhneme spolupráce, kterou tato konference ilustrovala.</w:t>
      </w:r>
    </w:p>
    <w:p>
      <w:pPr>
        <w:pStyle w:val="P68B1DB1Normal14"/>
        <w:shd w:val="clear" w:fill="EEEEEE"/>
        <w:rPr>
          <w:sz w:val="20"/>
        </w:rPr>
      </w:pPr>
      <w:r>
        <w:rPr>
          <w:b/>
        </w:rPr>
        <w:t>Za</w:t>
      </w:r>
      <w:r>
        <w:rPr/>
        <w:t xml:space="preserve"> páté musí EU získat autonomii a zajistit svou globální konkurenceschopnost. Během tohoto procesu jsme hovořili o dosažení tohoto cíle v klíčových strategických oblastech: zemědělství, energetika, průmysl, zdraví. Musíme se vyhnout závislosti na třetích zemích, pokud jde o mnoho citlivých produktů. Musíme stavět na talentu naší pracovní síly, předcházet odlivu mozků a poskytovat občanům odpovídající odbornou přípravu ve všech fázích jejich života bez ohledu na to, kde v EU žijí. Nemůžeme mít obrovské rozdíly v EU a mladí lidé bez perspektivy v jedné zemi, kteří jsou nuceni jít do jiné země.</w:t>
      </w:r>
    </w:p>
    <w:p>
      <w:pPr>
        <w:pStyle w:val="P68B1DB1Normal14"/>
        <w:shd w:val="clear" w:fill="EEEEEE"/>
        <w:rPr>
          <w:sz w:val="20"/>
        </w:rPr>
      </w:pPr>
      <w:r>
        <w:rPr>
          <w:b/>
        </w:rPr>
        <w:t>Zašesté</w:t>
      </w:r>
      <w:r>
        <w:rPr/>
        <w:t>, budoucnost EU je založena na jejích hodnotách. Ty řídily naši práci. Když jsme začali, nikdo si nedokázal představit, že na našem kontinentu vypukne válka. Tento boj za svobodu nám dává vědět, že máme šanci žít v mírumilovné unii. Za všemi našimi návrhy jsou vyjádřeny tyto hodnoty: humánní a důstojné přijímání migrantů, rovný přístup ke zdraví, boj proti korupci, výzva k ochraně přírody a biologické rozmanitosti a demokratičtější Unie.</w:t>
      </w:r>
    </w:p>
    <w:p>
      <w:pPr>
        <w:pStyle w:val="P68B1DB1Normal14"/>
        <w:shd w:val="clear" w:fill="EEEEEE"/>
        <w:rPr>
          <w:sz w:val="20"/>
        </w:rPr>
      </w:pPr>
      <w:r>
        <w:rPr>
          <w:b/>
        </w:rPr>
        <w:t>Za sedmé</w:t>
      </w:r>
      <w:r>
        <w:rPr/>
        <w:t>, v budoucnu by se občané měli cítit více evropští a lépe se seznámit s EU. Jedná se o průřezovou otázku, která je základem práce všech panelů. Digitální transformace, vzdělávání, mobilita a výměny mohou být základem evropské identity, která doplňuje naši národní identitu, aniž by je zpochybňovala. Mnozí z nás se před touto konferencí necítili Evropany: vynořila se sem, pomalu, výměnou mezi sebou. Měli jsme štěstí, že jsme měli tuto příležitost, ale mnozí ne. Proto jsou informace, komunikace a povědomí tak důležité.</w:t>
      </w:r>
    </w:p>
    <w:p>
      <w:pPr>
        <w:pStyle w:val="P68B1DB1Normal14"/>
        <w:shd w:val="clear" w:fill="EEEEEE"/>
        <w:rPr>
          <w:sz w:val="20"/>
        </w:rPr>
      </w:pPr>
      <w:r>
        <w:rPr/>
        <w:t xml:space="preserve">A konečně </w:t>
      </w:r>
      <w:r>
        <w:rPr>
          <w:b/>
        </w:rPr>
        <w:t>osmým</w:t>
      </w:r>
      <w:r>
        <w:rPr/>
        <w:t xml:space="preserve"> průřezovým tématem, které je pro nás nesmírně důležité, je vzdělávání a posílení postavení občanů obecně. Na tuto konferenci jste se rozhodli pozvat občany od 16 let. Jsme za to vděční, protože je více než kdy jindy nezbytné posílit postavení mladých lidí. Vysoká míra neúčasti mladých lidí nám ukazuje, že je třeba znovu propojit vazbu mezi mládeží a politikou. Musí být také ekonomicky a společensky odpovědné: je stále příliš obtížné vstoupit na trh práce, prosazovat svá sociální práva. Během pandemie COVID-19 se cítili opuštění a mnozí stále trpí důsledky pro své duševní zdraví. Ale musí být posíleni všichni Evropané, nejen mladí lidé: prostřednictvím programů mobility a celoživotního učení musíme rozšířit obzory všech Evropanů. Musíme také vyškolit občany v oblasti demokracie, občanské účasti a mediální gramotnosti. Potřebujeme skutečně holistický přístup.</w:t>
      </w:r>
    </w:p>
    <w:p>
      <w:pPr>
        <w:pStyle w:val="P68B1DB1Normal14"/>
        <w:shd w:val="clear" w:fill="EEEEEE"/>
        <w:jc w:val="center"/>
        <w:rPr>
          <w:sz w:val="20"/>
        </w:rPr>
      </w:pPr>
      <w:r>
        <w:rPr/>
        <w:t>**</w:t>
      </w:r>
    </w:p>
    <w:p>
      <w:pPr>
        <w:pStyle w:val="P68B1DB1Normal14"/>
        <w:shd w:val="clear" w:fill="EEEEEE"/>
        <w:rPr>
          <w:sz w:val="20"/>
        </w:rPr>
      </w:pPr>
      <w:r>
        <w:rPr/>
        <w:t>Nikdo nevěděl, jaký bude výsledek. 27 zemí, 24 jazyků, různé věkové kategorie. A přesto, když jsme pracovali společně, cítili jsme se propojeni: náš mozek, naše myšlenky, naše zkušenosti. Nejsme odborníci z EU ani jedno z témat konference, ale jsme odborníci na skutečný život a máme své příběhy. Chodíme do práce, žijeme na venkově a na předměstí, pracujeme v noci, studujeme, máme děti, jezdíme veřejnou dopravou. Můžeme se spolehnout na naši rozmanitost. Bylo dosaženo shody ohledně návrhů mezi čtyřmi různými složkami a v rámci občanské složky. Souhlasíme a podporujeme všechny návrhy, které jsou nyní ve vašich rukou. Vyjadřujeme rozdílný postoj k opatření 38.4, třetí bod, protože nevychází z evropských panelových diskusí nebo národních panelových skupin a nebylo dostatečně projednáno v rámci pracovní skupiny pro celý proces. Proto se k podstatě ani relevantnosti tohoto opatření nevyjadřujeme. S ohledem na to vás vyzýváme, abyste tyto návrhy zvážili jako celek, abyste je realizovali, a nejen ty, které vám nejvíce vyhovují a jsou snadno použitelné. Udělejte to transparentně. Pracovali jsme na těchto návrzích s odhodláním a vášní, jsme hrdí na naši práci: respektujte ho.</w:t>
      </w:r>
    </w:p>
    <w:p>
      <w:pPr>
        <w:pStyle w:val="P68B1DB1Normal14"/>
        <w:shd w:val="clear" w:fill="EEEEEE"/>
        <w:rPr>
          <w:sz w:val="20"/>
        </w:rPr>
      </w:pPr>
      <w:r>
        <w:rPr/>
        <w:t>Konference o budoucnosti Evropy prošla pandemií a byla svědkem války v Evropě, která prokázala svou plnou solidaritu s ukrajinským lidem. Rok byl hektický jak pro účastníky, tak pro všechny Evropany. Ale konference pokračovala ve své práci, proti větru a přílivu. Jménem občanů konference nám dovolte, abychom Vám zaslali jednoduchou zprávu: cítíme se jako Evropani, cítíme se angažovaní a nasloucháme demokratizačnímu procesu, věříme v EU a chceme v ni i nadále věřit. Takže z hloubi našeho srdce si návrhy dobře přečtěte a realizujte je v zájmu budoucnosti Evropy.</w:t>
      </w:r>
    </w:p>
    <w:p>
      <w:pPr>
        <w:pStyle w:val="Normal"/>
        <w:shd w:val="clear" w:fill="EEEEEE"/>
        <w:rPr/>
      </w:pPr>
      <w:r>
        <w:rPr/>
      </w:r>
      <w:r>
        <w:br w:type="page"/>
      </w:r>
    </w:p>
    <w:p>
      <w:pPr>
        <w:pStyle w:val="Corpsdetexte"/>
        <w:rPr/>
      </w:pPr>
      <w:r>
        <w:rPr/>
        <w:t>Zástupci složky Rady v rámci plenárního shromáždění se zdrželi připomínek k podstatě návrhů, místo toho však podporovali a podněcovali činnost občanů a vzali na vědomí jejich doporučení. Po 9. květnu 2022 Rada rozhodne, jak navázat na výsledek konference, a to v rámci své vlastní oblasti působnosti a v souladu se Smlouvami.</w:t>
      </w:r>
    </w:p>
    <w:p>
      <w:pPr>
        <w:pStyle w:val="Normal"/>
        <w:rPr/>
      </w:pPr>
      <w:r>
        <w:rPr/>
      </w:r>
    </w:p>
    <w:p>
      <w:pPr>
        <w:pStyle w:val="Corpsdetexte"/>
        <w:rPr/>
      </w:pPr>
      <w:r>
        <w:rPr/>
        <w:t>Výkonná rada konference o budoucnosti Evropy bere na vědomí návrhy předložené plenárním shromážděním a předkládá je jako konečný výsledek konference. Jako vodítko pro budoucnost Evropy byly tyto návrhy získány po téměř roce jednání, a to v rámci stanoveném společným prohlášením a jednacím řádem konference.</w:t>
      </w:r>
    </w:p>
    <w:p>
      <w:pPr>
        <w:pStyle w:val="Normal"/>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spacing w:before="9574" w:after="57"/>
        <w:rPr/>
      </w:pPr>
      <w:r>
        <w:rPr/>
        <w:drawing>
          <wp:anchor behindDoc="0" distT="0" distB="0" distL="0" distR="0" simplePos="0" locked="0" layoutInCell="1" allowOverlap="1" relativeHeight="5">
            <wp:simplePos x="0" y="0"/>
            <wp:positionH relativeFrom="column">
              <wp:align>center</wp:align>
            </wp:positionH>
            <wp:positionV relativeFrom="paragraph">
              <wp:posOffset>635</wp:posOffset>
            </wp:positionV>
            <wp:extent cx="6120130" cy="6079490"/>
            <wp:effectExtent l="0" t="0" r="0" b="0"/>
            <wp:wrapSquare wrapText="largest"/>
            <wp:docPr id="60" name="Obrázek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ázek20" descr=""/>
                    <pic:cNvPicPr>
                      <a:picLocks noChangeAspect="1" noChangeArrowheads="1"/>
                    </pic:cNvPicPr>
                  </pic:nvPicPr>
                  <pic:blipFill>
                    <a:blip r:embed="rId72"/>
                    <a:stretch>
                      <a:fillRect/>
                    </a:stretch>
                  </pic:blipFill>
                  <pic:spPr bwMode="auto">
                    <a:xfrm>
                      <a:off x="0" y="0"/>
                      <a:ext cx="6120130" cy="6079490"/>
                    </a:xfrm>
                    <a:prstGeom prst="rect">
                      <a:avLst/>
                    </a:prstGeom>
                  </pic:spPr>
                </pic:pic>
              </a:graphicData>
            </a:graphic>
          </wp:anchor>
        </w:drawing>
      </w:r>
      <w:r>
        <w:br w:type="page"/>
      </w:r>
    </w:p>
    <w:p>
      <w:pPr>
        <w:pStyle w:val="Titre1"/>
        <w:numPr>
          <w:ilvl w:val="0"/>
          <w:numId w:val="2"/>
        </w:numPr>
        <w:rPr/>
      </w:pPr>
      <w:bookmarkStart w:id="36" w:name="__RefHeading___Toc298246_1346298689"/>
      <w:bookmarkEnd w:id="36"/>
      <w:r>
        <w:rPr/>
        <w:t xml:space="preserve">IV. Návrhy plenárního shromáždění </w:t>
      </w:r>
      <w:r>
        <w:br w:type="page"/>
      </w:r>
    </w:p>
    <w:p>
      <w:pPr>
        <w:pStyle w:val="Normal"/>
        <w:rPr/>
      </w:pPr>
      <w:r>
        <w:rPr/>
        <w:drawing>
          <wp:anchor behindDoc="0" distT="0" distB="0" distL="0" distR="0" simplePos="0" locked="0" layoutInCell="1" allowOverlap="1" relativeHeight="3">
            <wp:simplePos x="0" y="0"/>
            <wp:positionH relativeFrom="column">
              <wp:posOffset>1270</wp:posOffset>
            </wp:positionH>
            <wp:positionV relativeFrom="paragraph">
              <wp:posOffset>635</wp:posOffset>
            </wp:positionV>
            <wp:extent cx="913765" cy="913765"/>
            <wp:effectExtent l="0" t="0" r="0" b="0"/>
            <wp:wrapSquare wrapText="largest"/>
            <wp:docPr id="61" name="Fotografie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Fotografie21" descr=""/>
                    <pic:cNvPicPr>
                      <a:picLocks noChangeAspect="1" noChangeArrowheads="1"/>
                    </pic:cNvPicPr>
                  </pic:nvPicPr>
                  <pic:blipFill>
                    <a:blip r:embed="rId73"/>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37" w:name="__RefHeading___Toc298248_1346298689"/>
      <w:bookmarkEnd w:id="37"/>
      <w:r>
        <w:rPr/>
        <w:t>Změna klimatu a životní prostředí</w:t>
      </w:r>
    </w:p>
    <w:p>
      <w:pPr>
        <w:pStyle w:val="Titre3"/>
        <w:numPr>
          <w:ilvl w:val="2"/>
          <w:numId w:val="2"/>
        </w:numPr>
        <w:rPr/>
      </w:pPr>
      <w:bookmarkStart w:id="38" w:name="__RefHeading___Toc298250_1346298689"/>
      <w:bookmarkEnd w:id="38"/>
      <w:r>
        <w:rPr/>
        <w:t>1. Návrh: Zemědělství, produkce potravin, biologická rozmanitost a ekosystémy, znečištění</w:t>
      </w:r>
    </w:p>
    <w:p>
      <w:pPr>
        <w:pStyle w:val="P68B1DB1Normal15"/>
        <w:rPr>
          <w:b/>
          <w:b/>
        </w:rPr>
      </w:pPr>
      <w:r>
        <w:rPr/>
        <w:t>Cíl: Bezpečná, udržitelná, spravedlivá, klimaticky odpovědná a cenově dostupná produkce potravin, která respektuje zásady udržitelnosti a životního prostředí a chrání biologickou rozmanitost a ekosystémy a zároveň zajišťuje zajišťování potravin.</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Opatření:</w:t>
      </w:r>
    </w:p>
    <w:p>
      <w:pPr>
        <w:pStyle w:val="Puce3"/>
        <w:rPr/>
      </w:pPr>
      <w:r>
        <w:rPr/>
        <w:t>1.</w:t>
        <w:tab/>
        <w:t>Uvést koncepty zelené a modré ekonomiky do popředí podporou účinného zemědělství a rybolovu šetrného k životnímu prostředí a klimatu v EU a na celém světě, včetně ekologického zemědělství a dalších inovativních a udržitelných forem zemědělství, jako je vertikální zemědělství, které umožňují větší produkci s menším množstvím vstupů a zároveň snižují emise a dopady na životní prostředí, ale i nadále zajišťují produktivitu a zabezpečení potravin (Panel 3 – doporučení 1, 2 a 10; panel 2 – Doporučení 4).</w:t>
      </w:r>
    </w:p>
    <w:p>
      <w:pPr>
        <w:pStyle w:val="Puce3"/>
        <w:rPr/>
      </w:pPr>
      <w:r>
        <w:rPr/>
        <w:t>2.</w:t>
        <w:tab/>
        <w:t>Přesměrovat dotace a posílit pobídky pro ekologické a udržitelné zemědělství, které splňují specifické environmentální normy a přispívají k dosažení globálních cílů v oblasti klimatu (Panel 3 – doporučení 1 a 12).</w:t>
      </w:r>
    </w:p>
    <w:p>
      <w:pPr>
        <w:pStyle w:val="Puce3"/>
        <w:rPr/>
      </w:pPr>
      <w:r>
        <w:rPr/>
        <w:t>3.</w:t>
        <w:tab/>
        <w:t>Uplatňovat zásady oběhového hospodářství v zemědělství a podporovat opatření k boji proti plýtvání potravinami (rozprava v pracovní skupině, vícejazyčná digitální platforma – NPC).</w:t>
      </w:r>
    </w:p>
    <w:p>
      <w:pPr>
        <w:pStyle w:val="Puce3"/>
        <w:rPr/>
      </w:pPr>
      <w:r>
        <w:rPr/>
        <w:t>4.</w:t>
        <w:tab/>
        <w:t>Výrazně snížit používání pesticidů a chemických hnojiv v souladu se stávajícími cíli a zároveň pokračovat v zajišťování bezpečnosti potravin a podporovat výzkum zaměřený na rozvoj udržitelnějších alternativ založených na přírodě (panel 3 – doporučení 10, diskuse v pracovní skupině).</w:t>
      </w:r>
    </w:p>
    <w:p>
      <w:pPr>
        <w:pStyle w:val="Puce3"/>
        <w:rPr/>
      </w:pPr>
      <w:r>
        <w:rPr/>
        <w:t>5.</w:t>
        <w:tab/>
        <w:t>Zavést certifikaci pohlcování uhlíku založenou na robustním, robustním a transparentním uhlíkovém účetnictví (plenary debata).</w:t>
      </w:r>
    </w:p>
    <w:p>
      <w:pPr>
        <w:pStyle w:val="Puce3"/>
        <w:rPr/>
      </w:pPr>
      <w:r>
        <w:rPr/>
        <w:t>6.</w:t>
        <w:tab/>
        <w:t>Zvýšit výzkum a inovace, zejména v oblasti technologických řešení souvisejících s udržitelnou výrobou, odolností vůči škůdcům a precizním zemědělstvím, jakož i v oblasti komunikace, poradenských systémů a odborné přípravy pro zemědělce a zemědělce (panel 3 – doporučení 10, diskuse v pracovní skupině, rozprava na plenárním zasedání).</w:t>
      </w:r>
    </w:p>
    <w:p>
      <w:pPr>
        <w:pStyle w:val="Puce3"/>
        <w:rPr/>
      </w:pPr>
      <w:r>
        <w:rPr/>
        <w:t>7.</w:t>
        <w:tab/>
        <w:t>Eliminovat sociální dumping a podporovat spravedlivou ekologickou transformaci na lepší pracovní místa v odvětví zemědělství s vysokou kvalitou bezpečnosti, zdraví a pracovních podmínek (rozprava v pracovní skupině).</w:t>
      </w:r>
    </w:p>
    <w:p>
      <w:pPr>
        <w:pStyle w:val="Puce3"/>
        <w:rPr/>
      </w:pPr>
      <w:r>
        <w:rPr/>
        <w:t>8.</w:t>
        <w:tab/>
        <w:t>Diskutujte o aspektech, jako je používání plastů v zemědělských filmech a způsoby, jak snížit spotřebu vody v zemědělství (PNM).</w:t>
      </w:r>
    </w:p>
    <w:p>
      <w:pPr>
        <w:pStyle w:val="Puce3"/>
        <w:rPr/>
      </w:pPr>
      <w:r>
        <w:rPr/>
        <w:t>9.</w:t>
        <w:tab/>
        <w:t>Odůvodněná chov a výroba masa se zaměřila na dobré životní podmínky a udržitelnost zvířat prostřednictvím opatření, jako je jasné označování, vysoká kvalita a společné normy v oblasti chovu a přepravy zvířat, posílení vazby mezi hospodářská zvířata a krmivy (panel 3 – doporučení 16 a 30).</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39" w:name="__RefHeading___Toc298252_1346298689"/>
      <w:bookmarkEnd w:id="39"/>
      <w:r>
        <w:rPr/>
        <w:t>2. Návrh: Zemědělství, produkce potravin, biologická rozmanitost a ekosystémy, znečištění</w:t>
      </w:r>
    </w:p>
    <w:p>
      <w:pPr>
        <w:pStyle w:val="P68B1DB1Normal15"/>
        <w:rPr>
          <w:b/>
          <w:b/>
        </w:rPr>
      </w:pPr>
      <w:r>
        <w:rPr/>
        <w:t>Cíl: Chránit a obnovovat biologickou rozmanitost, krajinu a oceány a eliminovat znečištění.</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0" w:name="__RefHeading___Toc298254_1346298689"/>
      <w:bookmarkEnd w:id="40"/>
      <w:r>
        <w:rPr/>
        <w:t>Opatření:</w:t>
      </w:r>
    </w:p>
    <w:p>
      <w:pPr>
        <w:pStyle w:val="Puce3"/>
        <w:tabs>
          <w:tab w:val="clear" w:pos="720"/>
        </w:tabs>
        <w:rPr/>
      </w:pPr>
      <w:r>
        <w:rPr/>
        <w:t>1.</w:t>
        <w:tab/>
        <w:t>Vytvoření, obnova, správa a rozšiřování chráněných oblastí pro zachování biologické rozmanitosti (doporučení FR, panel 3 – doporučení 11).</w:t>
      </w:r>
    </w:p>
    <w:p>
      <w:pPr>
        <w:pStyle w:val="Puce3"/>
        <w:tabs>
          <w:tab w:val="clear" w:pos="720"/>
        </w:tabs>
        <w:rPr/>
      </w:pPr>
      <w:r>
        <w:rPr/>
        <w:t>2.</w:t>
        <w:tab/>
        <w:t>Zavést donucovací a odměňovací systém pro boj proti znečištění a uplatňovat zásadu „znečišťovatel platí“, která by měla být rovněž začleněna do daňových opatření a s lepší informovaností a pobídkami (panel 3 – doporučení 32, doporučení FR, rozprava v plénu).</w:t>
      </w:r>
    </w:p>
    <w:p>
      <w:pPr>
        <w:pStyle w:val="Puce3"/>
        <w:tabs>
          <w:tab w:val="clear" w:pos="720"/>
        </w:tabs>
        <w:rPr/>
      </w:pPr>
      <w:r>
        <w:rPr/>
        <w:t>3.</w:t>
        <w:tab/>
        <w:t>Rozšířit úlohu obcí v územním plánování a při výstavbě nových budov, které podporují modrou a zelenou infrastrukturu, zabránit dalšímu zakrývání půdy a ukončit ji, povinné zelené plochy pro nové stavby s cílem podpořit biologickou rozmanitost a městské lesy (panel 3 – doporučení 5, panel 1 – doporučení 18, doporučení č. 18, doporučení FR).</w:t>
      </w:r>
    </w:p>
    <w:p>
      <w:pPr>
        <w:pStyle w:val="Puce3"/>
        <w:tabs>
          <w:tab w:val="clear" w:pos="720"/>
        </w:tabs>
        <w:rPr/>
      </w:pPr>
      <w:r>
        <w:rPr/>
        <w:t>4.</w:t>
        <w:tab/>
        <w:t>Chránit hmyz, zejména původní a opylující druhy, mimo jiné ochranou proti invazním druhům a lepším prosazováním stávajících pravidel (panel 1 – doporučení 18).</w:t>
      </w:r>
    </w:p>
    <w:p>
      <w:pPr>
        <w:pStyle w:val="Puce3"/>
        <w:tabs>
          <w:tab w:val="clear" w:pos="720"/>
        </w:tabs>
        <w:rPr/>
      </w:pPr>
      <w:r>
        <w:rPr/>
        <w:t>5.</w:t>
        <w:tab/>
        <w:t>Podporovat zalesňování a opětovné zalesňování, včetně lesů zničených požárem, uplatňovat odpovědné lesní hospodářství a podporovat lepší využívání dřeva k nahrazení jiných materiálů. Stanovit závazné vnitrostátní cíle pro opětovné zalesňování domorodými stromy a místní flórou ve všech členských státech EU s přihlédnutím k různým vnitrostátním situacím a zvláštnostem (panel 3 – doporučení 14, panel 1 – doporučení 18).</w:t>
      </w:r>
    </w:p>
    <w:p>
      <w:pPr>
        <w:pStyle w:val="Puce3"/>
        <w:tabs>
          <w:tab w:val="clear" w:pos="720"/>
        </w:tabs>
        <w:rPr/>
      </w:pPr>
      <w:r>
        <w:rPr/>
        <w:t>6.</w:t>
        <w:tab/>
        <w:t>Prosazovat a rozšířit zákaz plastů na jedno použití (SMP).</w:t>
      </w:r>
    </w:p>
    <w:p>
      <w:pPr>
        <w:pStyle w:val="Puce3"/>
        <w:tabs>
          <w:tab w:val="clear" w:pos="720"/>
        </w:tabs>
        <w:rPr/>
      </w:pPr>
      <w:r>
        <w:rPr/>
        <w:t>7.</w:t>
        <w:tab/>
        <w:t>Ochrana vodních zdrojů a boj proti znečištění řek a oceánů, mimo jiné prostřednictvím výzkumu a boje proti znečištění mikroplasty, a podpora dopravy šetrné k životnímu prostředí s využitím nejlepších dostupných technologií a vytvoření výzkumu a financování Unie pro alternativní námořní paliva a technologie (NMP, diskuse v pracovní skupině).</w:t>
      </w:r>
    </w:p>
    <w:p>
      <w:pPr>
        <w:pStyle w:val="Puce3"/>
        <w:tabs>
          <w:tab w:val="clear" w:pos="720"/>
        </w:tabs>
        <w:rPr/>
      </w:pPr>
      <w:r>
        <w:rPr/>
        <w:t>8.</w:t>
        <w:tab/>
        <w:t>Omezení světelného znečištění (rozprava v pracovní skupině).</w:t>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41" w:name="__RefHeading___Toc298256_1346298689"/>
      <w:bookmarkEnd w:id="41"/>
      <w:r>
        <w:rPr/>
        <w:t>3. Návrh: Změna klimatu, energetika, doprava</w:t>
      </w:r>
    </w:p>
    <w:p>
      <w:pPr>
        <w:pStyle w:val="P68B1DB1Normal15"/>
        <w:rPr>
          <w:b/>
          <w:b/>
        </w:rPr>
      </w:pPr>
      <w:r>
        <w:rPr/>
        <w:t>Cíl: Zvýšení evropské energetické bezpečnosti a dosažení energetické nezávislosti Unie při současném zajištění spravedlivé transformace a zajištění dostatečné udržitelné a cenově dostupné energie pro Evropany. Boj proti změně klimatu tím, že EU získá vedoucí úlohu v oblasti udržitelné energetické politiky a bude respektovat globální cíle v oblasti ochrany klimatu.</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2" w:name="__RefHeading___Toc298258_1346298689"/>
      <w:bookmarkEnd w:id="42"/>
      <w:r>
        <w:rPr/>
        <w:t>Opatření:</w:t>
      </w:r>
    </w:p>
    <w:p>
      <w:pPr>
        <w:pStyle w:val="Puce3"/>
        <w:tabs>
          <w:tab w:val="clear" w:pos="720"/>
        </w:tabs>
        <w:rPr/>
      </w:pPr>
      <w:r>
        <w:rPr/>
        <w:t>1.</w:t>
        <w:tab/>
        <w:t>Dosáhnout a pokud možno urychlit ekologickou transformaci, mimo jiné většími investicemi do energie z obnovitelných zdrojů, s cílem snížit závislost na vnější energii, a uznat rovněž úlohu místních a regionálních orgánů v ekologické transformaci (rozprava v pracovní skupině).</w:t>
      </w:r>
    </w:p>
    <w:p>
      <w:pPr>
        <w:pStyle w:val="Puce3"/>
        <w:tabs>
          <w:tab w:val="clear" w:pos="720"/>
        </w:tabs>
        <w:rPr/>
      </w:pPr>
      <w:r>
        <w:rPr/>
        <w:t>2.</w:t>
        <w:tab/>
        <w:t>V rámci energetické politiky zkoumat geopolitické a bezpečnostní důsledky všech dodavatelů energie ze třetích zemí, zejména pokud jde o lidská práva, ekologii, řádnou správu věcí veřejných a právní stát (rozprava v pracovní skupině).</w:t>
      </w:r>
    </w:p>
    <w:p>
      <w:pPr>
        <w:pStyle w:val="Puce3"/>
        <w:tabs>
          <w:tab w:val="clear" w:pos="720"/>
        </w:tabs>
        <w:rPr/>
      </w:pPr>
      <w:r>
        <w:rPr/>
        <w:t>3.</w:t>
        <w:tab/>
        <w:t>Snížit závislost na dovozu ropy a zemního plynu prostřednictvím projektů energetické účinnosti, podpory cenově dostupné veřejné dopravy, vysokorychlostní železniční sítě pro nákladní dopravu a rozšíření dodávek čisté a obnovitelné energie (panel 4 – doporučení 2, panel 1 – doporučení 10, doporučení FR a DE).</w:t>
      </w:r>
    </w:p>
    <w:p>
      <w:pPr>
        <w:pStyle w:val="Puce3"/>
        <w:tabs>
          <w:tab w:val="clear" w:pos="720"/>
        </w:tabs>
        <w:rPr/>
      </w:pPr>
      <w:r>
        <w:rPr/>
        <w:t>4.</w:t>
        <w:tab/>
        <w:t>Zlepšit kvalitu a propojitelnost, zajistit údržbu a transformovat elektrickou infrastrukturu a sítě s cílem zvýšit bezpečnost a umožnit přechod na obnovitelné zdroje energie (panel 1 – doporučení 10, diskuse v pracovní skupině).</w:t>
      </w:r>
    </w:p>
    <w:p>
      <w:pPr>
        <w:pStyle w:val="Puce3"/>
        <w:tabs>
          <w:tab w:val="clear" w:pos="720"/>
        </w:tabs>
        <w:rPr/>
      </w:pPr>
      <w:r>
        <w:rPr/>
        <w:t>5.</w:t>
        <w:tab/>
        <w:t>Investovat do technologií schopných vyrábět energii z obnovitelných zdrojů, jako je účinná výroba zeleného vodíku, zejména v odvětvích, která jsou obtížně elektrifikovatelná (panel 3 – doporučení 31, diskuse v pracovní skupině).</w:t>
      </w:r>
    </w:p>
    <w:p>
      <w:pPr>
        <w:pStyle w:val="Puce3"/>
        <w:tabs>
          <w:tab w:val="clear" w:pos="720"/>
        </w:tabs>
        <w:rPr/>
      </w:pPr>
      <w:r>
        <w:rPr/>
        <w:t>6.</w:t>
        <w:tab/>
        <w:t>Investovat do průzkumu nových zdrojů energie a metod skladování šetrných k životnímu prostředí a až do dosažení hmatatelného řešení provádět další investice do stávajících optimálních řešení pro výrobu a skladování energie (Panel 3 – doporučení 9 a 31).</w:t>
      </w:r>
    </w:p>
    <w:p>
      <w:pPr>
        <w:pStyle w:val="Puce3"/>
        <w:tabs>
          <w:tab w:val="clear" w:pos="720"/>
        </w:tabs>
        <w:rPr/>
      </w:pPr>
      <w:r>
        <w:rPr/>
        <w:t>7.</w:t>
        <w:tab/>
        <w:t>Stanovit povinnost filtrů</w:t>
      </w:r>
      <w:r>
        <w:rPr>
          <w:vertAlign w:val="subscript"/>
        </w:rPr>
        <w:t>CO2</w:t>
      </w:r>
      <w:r>
        <w:rPr/>
        <w:t xml:space="preserve"> v elektrárnách na fosilní paliva a poskytnout finanční podporu členským státům, které nemají finanční zdroje na zavedení filtrů CO2 (</w:t>
      </w:r>
      <w:r>
        <w:rPr>
          <w:vertAlign w:val="subscript"/>
        </w:rPr>
        <w:t>panel</w:t>
      </w:r>
      <w:r>
        <w:rPr/>
        <w:t xml:space="preserve"> 3 – doporučení 29).</w:t>
      </w:r>
    </w:p>
    <w:p>
      <w:pPr>
        <w:pStyle w:val="Puce3"/>
        <w:tabs>
          <w:tab w:val="clear" w:pos="720"/>
        </w:tabs>
        <w:rPr/>
      </w:pPr>
      <w:r>
        <w:rPr/>
        <w:t>8.</w:t>
        <w:tab/>
        <w:t>Zajištění spravedlivé transformace, ochrana pracovníků a pracovních míst prostřednictvím odpovídajícího financování transformace a dalšího výzkumu, reforma daňového systému prostřednictvím spravedlivějšího zdanění a opatření proti daňovým podvodům a zajištění inkluzivního přístupu ke správě při tvorbě politik na všech úrovních (např. ambiciózní rekvalifikace a prohlubování dovedností, silná sociální ochrana, udržování veřejných služeb v rukou státu, zachování pravidel bezpečnosti a ochrany zdraví při práci) (rozprava na plenárním zasedání, diskuse v pracovní skupině, NPC).</w:t>
      </w:r>
    </w:p>
    <w:p>
      <w:pPr>
        <w:pStyle w:val="Puce3"/>
        <w:tabs>
          <w:tab w:val="clear" w:pos="720"/>
        </w:tabs>
        <w:rPr/>
      </w:pPr>
      <w:r>
        <w:rPr/>
        <w:t>9.</w:t>
        <w:tab/>
        <w:t>Zavést investiční balíček pro technologie a inovace šetrné ke klimatu, které by měly být financovány z dovozních cel souvisejících s klimatem a z uhlíkových poplatků souvisejících s klimatem (doporučení DE).</w:t>
      </w:r>
    </w:p>
    <w:p>
      <w:pPr>
        <w:pStyle w:val="Puce3"/>
        <w:tabs>
          <w:tab w:val="clear" w:pos="720"/>
        </w:tabs>
        <w:rPr/>
      </w:pPr>
      <w:r>
        <w:rPr/>
        <w:t>10.</w:t>
        <w:tab/>
        <w:t>Na konci přechodného období by fosilní paliva již neměla dostávat dotace a nemělo by se provádět žádné financování tradiční plynárenské infrastruktury (rozprava v pracovní skupině).</w:t>
      </w:r>
    </w:p>
    <w:p>
      <w:pPr>
        <w:pStyle w:val="Puce3"/>
        <w:tabs>
          <w:tab w:val="clear" w:pos="720"/>
        </w:tabs>
        <w:rPr/>
      </w:pPr>
      <w:r>
        <w:rPr/>
        <w:t>11.</w:t>
        <w:tab/>
        <w:t>Zvýšit vedoucí postavení EU, její úlohu a odpovědnost, pokud jde o podporu ambiciózních opatření v oblasti klimatu a spravedlivé transformace a přispět k reakci na ztráty a škody na mezinárodní scéně, kde musí být ústředním bodem činnosti OSN (doporučení pracovní skupiny, diskuse pracovní skupiny).</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43" w:name="__RefHeading___Toc298260_1346298689"/>
      <w:bookmarkEnd w:id="43"/>
      <w:r>
        <w:rPr/>
        <w:t>4. Návrh: Změna klimatu, energetika, doprava</w:t>
      </w:r>
    </w:p>
    <w:p>
      <w:pPr>
        <w:pStyle w:val="P68B1DB1Normal15"/>
        <w:rPr>
          <w:b/>
          <w:b/>
        </w:rPr>
      </w:pPr>
      <w:r>
        <w:rPr/>
        <w:t>Cíl: Poskytovat moderní, bezpečnou, ekologickou a kvalitní infrastrukturu, která zajistí propojení, a to i ve venkovských a ostrovních oblastech, a to i prostřednictvím cenově dostupné veřejné dopravy.</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4" w:name="__RefHeading___Toc298262_1346298689"/>
      <w:bookmarkEnd w:id="44"/>
      <w:r>
        <w:rPr/>
        <w:t>Opatření:</w:t>
      </w:r>
    </w:p>
    <w:p>
      <w:pPr>
        <w:pStyle w:val="Puce3"/>
        <w:tabs>
          <w:tab w:val="clear" w:pos="720"/>
        </w:tabs>
        <w:rPr/>
      </w:pPr>
      <w:r>
        <w:rPr/>
        <w:t>1.</w:t>
        <w:tab/>
        <w:t>Podporovat veřejnou dopravu a rozvíjet účinnou, spolehlivou a cenově dostupnou evropskou síť veřejné dopravy, zejména ve venkovských a ostrovních oblastech, prostřednictvím dodatečných pobídek pro využívání veřejné dopravy (panel 3 – doporučení 36, panel 4 – doporučení 2).</w:t>
      </w:r>
    </w:p>
    <w:p>
      <w:pPr>
        <w:pStyle w:val="Puce3"/>
        <w:tabs>
          <w:tab w:val="clear" w:pos="720"/>
        </w:tabs>
        <w:rPr/>
      </w:pPr>
      <w:r>
        <w:rPr/>
        <w:t>2.</w:t>
        <w:tab/>
        <w:t>Investice do vysokorychlostních nočních vlaků a stanovení jednotného standardu železniční technologie šetrné k životnímu prostředí v Evropě s cílem nabídnout důvěryhodnou alternativu a usnadnit možnost nahrazení a odrazování od letů na krátké vzdálenosti (rozprava v WG, NPM).</w:t>
      </w:r>
    </w:p>
    <w:p>
      <w:pPr>
        <w:pStyle w:val="Puce3"/>
        <w:tabs>
          <w:tab w:val="clear" w:pos="720"/>
        </w:tabs>
        <w:rPr/>
      </w:pPr>
      <w:r>
        <w:rPr/>
        <w:t>3.</w:t>
        <w:tab/>
        <w:t>Podporovat nákup s ohledem na jejich cenovou dostupnost pro domácnosti a (sdílené) používání elektrických vozidel, která splňují dobrý standard životnosti baterie, jakož i investice do nezbytné dobíjecí infrastruktury a investice do vývoje dalších čistých technologií pro vozidla, jejichž elektrifikace je obtížně dosažitelná (panel 3 – doporučení 38).</w:t>
      </w:r>
    </w:p>
    <w:p>
      <w:pPr>
        <w:pStyle w:val="Puce3"/>
        <w:tabs>
          <w:tab w:val="clear" w:pos="720"/>
        </w:tabs>
        <w:rPr/>
      </w:pPr>
      <w:r>
        <w:rPr/>
        <w:t>4.</w:t>
        <w:tab/>
        <w:t>Zavést širokopásmové připojení k internetu a mobilní síti ve venkovských a ostrovních oblastech (panel 3 – doporučení 36).</w:t>
      </w:r>
    </w:p>
    <w:p>
      <w:pPr>
        <w:pStyle w:val="Puce3"/>
        <w:tabs>
          <w:tab w:val="clear" w:pos="720"/>
        </w:tabs>
        <w:rPr/>
      </w:pPr>
      <w:r>
        <w:rPr/>
        <w:t>5.</w:t>
        <w:tab/>
        <w:t>Zlepšit stávající dopravní infrastrukturu z ekologického hlediska (panel 3 – doporučení 37).</w:t>
      </w:r>
    </w:p>
    <w:p>
      <w:pPr>
        <w:pStyle w:val="Puce3"/>
        <w:tabs>
          <w:tab w:val="clear" w:pos="720"/>
        </w:tabs>
        <w:rPr/>
      </w:pPr>
      <w:r>
        <w:rPr/>
        <w:t>6.</w:t>
        <w:tab/>
        <w:t>Vyžadovat programy rozvoje měst pro „zelenější“ města s nižšími emisemi, s konkrétními oblastmi bez automobilů ve městech, aniž by to poškozovalo komerční oblasti (panel 3 – doporučení 6).</w:t>
      </w:r>
    </w:p>
    <w:p>
      <w:pPr>
        <w:pStyle w:val="Puce3"/>
        <w:tabs>
          <w:tab w:val="clear" w:pos="720"/>
        </w:tabs>
        <w:rPr/>
      </w:pPr>
      <w:r>
        <w:rPr/>
        <w:t>7.</w:t>
        <w:tab/>
        <w:t>Zlepšit infrastrukturu jízdních kol a poskytnout více práv a právní ochranu cyklistům a chodcům, zejména v případě nehod s motorovým vozidlem, zajistit bezpečnost silničního provozu a zajistit školení týkající se silničního zákoníku (Panel 3 – doporučení 4).</w:t>
      </w:r>
    </w:p>
    <w:p>
      <w:pPr>
        <w:pStyle w:val="Puce3"/>
        <w:tabs>
          <w:tab w:val="clear" w:pos="720"/>
        </w:tabs>
        <w:rPr/>
      </w:pPr>
      <w:r>
        <w:rPr/>
        <w:t>8.</w:t>
        <w:tab/>
        <w:t>Regulovat těžbu kryptoměn, které využívají značné množství energie (PNM).</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Titre3"/>
        <w:numPr>
          <w:ilvl w:val="2"/>
          <w:numId w:val="2"/>
        </w:numPr>
        <w:rPr/>
      </w:pPr>
      <w:bookmarkStart w:id="45" w:name="__RefHeading___Toc298264_1346298689"/>
      <w:bookmarkEnd w:id="45"/>
      <w:r>
        <w:rPr/>
        <w:t>5. Návrh: Udržitelná spotřeba, balení a výroba</w:t>
      </w:r>
    </w:p>
    <w:p>
      <w:pPr>
        <w:pStyle w:val="P68B1DB1Normal15"/>
        <w:rPr>
          <w:b/>
          <w:b/>
        </w:rPr>
      </w:pPr>
      <w:r>
        <w:rPr/>
        <w:t>Cíl: Zlepšit využívání a správu materiálů v Unii s cílem podpořit oběhové hospodářství, stát se více autonomním a méně závislým. Rozvíjet oběhové hospodářství podporou udržitelné výroby a produktů v Unii. Zajistit, aby všechny výrobky uváděné na trh Unie byly v souladu se společnými environmentálními normami Unie.</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6" w:name="__RefHeading___Toc298266_1346298689"/>
      <w:bookmarkEnd w:id="46"/>
      <w:r>
        <w:rPr/>
        <w:t>Opatření:</w:t>
      </w:r>
    </w:p>
    <w:p>
      <w:pPr>
        <w:pStyle w:val="Puce3"/>
        <w:tabs>
          <w:tab w:val="clear" w:pos="720"/>
        </w:tabs>
        <w:rPr/>
      </w:pPr>
      <w:r>
        <w:rPr/>
        <w:t>1.</w:t>
        <w:tab/>
        <w:t>Přísnější a harmonizované výrobní normy Unie a transparentní systém označování pro všechny výrobky prodávané na trhu EU, pokud jde o jejich udržitelnost/environmentální stopu a dlouhověkost prostřednictvím QR kódu a ekologického nebo digitálního produktového pasu (panel 3 – doporučení 8, 13, 20 a 21, panel 1 – doporučení 16, panel 4 – doporučení 13).</w:t>
      </w:r>
    </w:p>
    <w:p>
      <w:pPr>
        <w:pStyle w:val="Puce3"/>
        <w:tabs>
          <w:tab w:val="clear" w:pos="720"/>
        </w:tabs>
        <w:rPr/>
      </w:pPr>
      <w:r>
        <w:rPr/>
        <w:t>2.</w:t>
        <w:tab/>
        <w:t>Přezkoumat globální dodavatelské řetězce, včetně zemědělské výroby, s cílem snížit závislost EU a zkrátit okruhy (PNM).</w:t>
      </w:r>
    </w:p>
    <w:p>
      <w:pPr>
        <w:pStyle w:val="Puce3"/>
        <w:tabs>
          <w:tab w:val="clear" w:pos="720"/>
        </w:tabs>
        <w:rPr/>
      </w:pPr>
      <w:r>
        <w:rPr/>
        <w:t>3.</w:t>
        <w:tab/>
        <w:t>Dále předcházet vzniku odpadů stanovením cílů prevence a opětovného použití a stanovením norem kvality pro systémy třídění odpadů (rozprava v pracovní skupině, doporučení FR).</w:t>
      </w:r>
    </w:p>
    <w:p>
      <w:pPr>
        <w:pStyle w:val="Puce3"/>
        <w:tabs>
          <w:tab w:val="clear" w:pos="720"/>
        </w:tabs>
        <w:rPr/>
      </w:pPr>
      <w:r>
        <w:rPr/>
        <w:t>4.</w:t>
        <w:tab/>
        <w:t>Postupně ukončit neudržitelné formy obalů, regulovat obaly šetrné k životnímu prostředí a vyhnout se plýtvání materiály v obalech prostřednictvím finančních pobídek a sankcí, jakož i investic do alternativního výzkumu (panel 3 – doporučení 15 a 25, panel 1 – doporučení 12, panel 4 – doporučení 16).</w:t>
      </w:r>
    </w:p>
    <w:p>
      <w:pPr>
        <w:pStyle w:val="Puce3"/>
        <w:tabs>
          <w:tab w:val="clear" w:pos="720"/>
        </w:tabs>
        <w:rPr/>
      </w:pPr>
      <w:r>
        <w:rPr/>
        <w:t>5.</w:t>
        <w:tab/>
        <w:t>Zavést evropský systém ukládání obalů a pokročilé normy pro kontejnery (panel 3 – doporučení 22 a 23, NPC).</w:t>
      </w:r>
    </w:p>
    <w:p>
      <w:pPr>
        <w:pStyle w:val="Puce3"/>
        <w:tabs>
          <w:tab w:val="clear" w:pos="720"/>
        </w:tabs>
        <w:rPr/>
      </w:pPr>
      <w:r>
        <w:rPr/>
        <w:t>6.</w:t>
        <w:tab/>
        <w:t>Zahájit znalostní platformu EU o tom, jak zajistit udržitelné a dlouhodobé používání výrobků a jak je „opravit“, včetně informací dostupných od spotřebitelských sdružení (panel 3 – doporučení 20).</w:t>
      </w:r>
    </w:p>
    <w:p>
      <w:pPr>
        <w:pStyle w:val="Puce3"/>
        <w:tabs>
          <w:tab w:val="clear" w:pos="720"/>
        </w:tabs>
        <w:rPr/>
      </w:pPr>
      <w:r>
        <w:rPr/>
        <w:t>7.</w:t>
        <w:tab/>
        <w:t>Zavést opatření pro boj proti předčasnému nebo předčasnému zastarávání, včetně plánovaného zastarávání, zajistit delší záruky, prosazovat právo na opravu a zajistit dostupnost a přístupnost kompatibilních náhradních dílů (panel 3 – doporučení 20, doporučení FR, doporučení DE, panel 1 – doporučení 14).</w:t>
      </w:r>
    </w:p>
    <w:p>
      <w:pPr>
        <w:pStyle w:val="Puce3"/>
        <w:tabs>
          <w:tab w:val="clear" w:pos="720"/>
        </w:tabs>
        <w:rPr/>
      </w:pPr>
      <w:r>
        <w:rPr/>
        <w:t>8.</w:t>
        <w:tab/>
        <w:t>Vytvořit trh s druhotnými surovinami s přihlédnutím k povinné míře recyklovaného obsahu podporou omezeného využívání surovin (rozprava v pracovní skupině).</w:t>
      </w:r>
    </w:p>
    <w:p>
      <w:pPr>
        <w:pStyle w:val="Puce3"/>
        <w:tabs>
          <w:tab w:val="clear" w:pos="720"/>
        </w:tabs>
        <w:rPr/>
      </w:pPr>
      <w:r>
        <w:rPr/>
        <w:t>9.</w:t>
        <w:tab/>
        <w:t>Rychlé provedení ambiciózní strategie v oblasti textilu a definice mechanismu pro spotřebitele, aby věděli, že výrobek splňuje kritéria udržitelnosti (panel 3 – doporučení 28, diskuse v pracovní skupině).</w:t>
      </w:r>
    </w:p>
    <w:p>
      <w:pPr>
        <w:pStyle w:val="Puce3"/>
        <w:tabs>
          <w:tab w:val="clear" w:pos="720"/>
        </w:tabs>
        <w:rPr/>
      </w:pPr>
      <w:r>
        <w:rPr/>
        <w:t>10.</w:t>
        <w:tab/>
        <w:t>Opatření EU, která spotřebitelům umožní déle používat výrobky a povzbudí je k tomu (panel 3 – doporučení 20).</w:t>
      </w:r>
    </w:p>
    <w:p>
      <w:pPr>
        <w:pStyle w:val="Puce3"/>
        <w:tabs>
          <w:tab w:val="clear" w:pos="720"/>
        </w:tabs>
        <w:rPr/>
      </w:pPr>
      <w:r>
        <w:rPr/>
        <w:t>11.</w:t>
        <w:tab/>
        <w:t>Posílit normy v oblasti životního prostředí a prosazovat předpisy týkající se vývozu odpadů do EU a do třetích zemí (panel 4 – doporučení 15, NPC).</w:t>
      </w:r>
    </w:p>
    <w:p>
      <w:pPr>
        <w:pStyle w:val="Puce3"/>
        <w:tabs>
          <w:tab w:val="clear" w:pos="720"/>
        </w:tabs>
        <w:rPr/>
      </w:pPr>
      <w:r>
        <w:rPr/>
        <w:t>12.</w:t>
        <w:tab/>
        <w:t>Zavést opatření k omezení reklamy na výrobky škodlivé pro životní prostředí zavedením povinného prohlášení o vyloučení odpovědnosti u výrobků, které jsou obzvláště škodlivé pro životní prostředí (panel 3 – doporučení 22).</w:t>
      </w:r>
    </w:p>
    <w:p>
      <w:pPr>
        <w:pStyle w:val="Puce3"/>
        <w:tabs>
          <w:tab w:val="clear" w:pos="720"/>
        </w:tabs>
        <w:rPr/>
      </w:pPr>
      <w:r>
        <w:rPr/>
        <w:t>13.</w:t>
        <w:tab/>
        <w:t>Uplatňovat přísnější výrobní normy a spravedlivé pracovní podmínky v celém výrobním a hodnotovém řetězci (panel 3 – doporučení 21).</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47" w:name="__RefHeading___Toc298268_1346298689"/>
      <w:bookmarkEnd w:id="47"/>
      <w:r>
        <w:rPr/>
        <w:t>6. Návrh: Informace, povědomí, dialog a způsob života</w:t>
      </w:r>
    </w:p>
    <w:p>
      <w:pPr>
        <w:pStyle w:val="P68B1DB1Normal15"/>
        <w:rPr>
          <w:b/>
          <w:b/>
        </w:rPr>
      </w:pPr>
      <w:r>
        <w:rPr/>
        <w:t>Cíl: Podporovat znalosti, povědomí, vzdělávání a dialog o životním prostředí, změně klimatu, využívání energie a udržitelnosti.</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8" w:name="__RefHeading___Toc298270_1346298689"/>
      <w:bookmarkEnd w:id="48"/>
      <w:r>
        <w:rPr/>
        <w:t>Opatření:</w:t>
      </w:r>
    </w:p>
    <w:p>
      <w:pPr>
        <w:pStyle w:val="Puce3"/>
        <w:tabs>
          <w:tab w:val="clear" w:pos="720"/>
        </w:tabs>
        <w:rPr/>
      </w:pPr>
      <w:r>
        <w:rPr/>
        <w:t>1.</w:t>
        <w:tab/>
        <w:t>Vytvořit interaktivní platformu, jejíž fakta byla ověřena s cílem poskytovat rozmanité a pravidelně aktualizované vědecké informace v oblasti životního prostředí (panel 3 – doporučení 33).</w:t>
      </w:r>
    </w:p>
    <w:p>
      <w:pPr>
        <w:pStyle w:val="Puce3"/>
        <w:tabs>
          <w:tab w:val="clear" w:pos="720"/>
        </w:tabs>
        <w:rPr/>
      </w:pPr>
      <w:r>
        <w:rPr/>
        <w:t>2.</w:t>
        <w:tab/>
        <w:t>Podporovat ekologické osvětové kampaně, včetně dlouhodobé evropské kampaně za udržitelnou spotřebu a životní styl (doporučení DE, NL a FR, panel 3 – doporučení 7).</w:t>
      </w:r>
    </w:p>
    <w:p>
      <w:pPr>
        <w:pStyle w:val="Puce3"/>
        <w:tabs>
          <w:tab w:val="clear" w:pos="720"/>
        </w:tabs>
        <w:rPr/>
      </w:pPr>
      <w:r>
        <w:rPr/>
        <w:t>3.</w:t>
        <w:tab/>
        <w:t>Podporovat a usnadňovat dialog a konzultace mezi všemi úrovněmi rozhodování, zejména s mladými lidmi a na místní úrovni (doporučení DE, NL a FR, panel 3 – doporučení 27 a 35, rozprava na plenárním zasedání).</w:t>
      </w:r>
    </w:p>
    <w:p>
      <w:pPr>
        <w:pStyle w:val="Puce3"/>
        <w:tabs>
          <w:tab w:val="clear" w:pos="720"/>
        </w:tabs>
        <w:rPr/>
      </w:pPr>
      <w:r>
        <w:rPr/>
        <w:t>4.</w:t>
        <w:tab/>
        <w:t>Vymezení společné Evropské charty Unie s pomocí členských států, která se zaměřuje na otázky životního prostředí a podporuje povědomí o životním prostředí mezi všemi občany (panel 3 – doporučení 7).</w:t>
      </w:r>
    </w:p>
    <w:p>
      <w:pPr>
        <w:pStyle w:val="Puce3"/>
        <w:tabs>
          <w:tab w:val="clear" w:pos="720"/>
        </w:tabs>
        <w:rPr/>
      </w:pPr>
      <w:r>
        <w:rPr/>
        <w:t>5.</w:t>
        <w:tab/>
        <w:t>Poskytovat vzdělávací kurzy a výukové materiály pro všechny s cílem zlepšit znalosti o klimatu a udržitelnosti a umožnit celoživotní učení v otázkách životního prostředí (panel 1 – doporučení 15 a 35, panel 3 – doporučení 24, diskuse pracovní skupiny).</w:t>
      </w:r>
    </w:p>
    <w:p>
      <w:pPr>
        <w:pStyle w:val="Puce3"/>
        <w:tabs>
          <w:tab w:val="clear" w:pos="720"/>
        </w:tabs>
        <w:rPr/>
      </w:pPr>
      <w:r>
        <w:rPr/>
        <w:t>6.</w:t>
        <w:tab/>
        <w:t>Začlenit produkci potravin a ochranu biologické rozmanitosti do vzdělávacího systému, včetně přínosů nezpracovaných potravin před zpracovanými potravinami, a podporovat vytváření školních zahrad a grantů pro projekty městského zahradnictví a vertikální zemědělství (panel 3 – doporučení 5, panel 1 – doporučení 18). Zvážit, zda se biologická rozmanitost stane povinným tématem ve školách, a zvýšit povědomí veřejnosti o biologické rozmanitosti prostřednictvím mediálních kampaní a „hospodářských soutěží“ propagovaných v celé EU (konkurence místních vlád) (panel 3 – doporučení 5, panel 1 – doporučení 18).</w:t>
      </w:r>
    </w:p>
    <w:p>
      <w:pPr>
        <w:pStyle w:val="Puce3"/>
        <w:tabs>
          <w:tab w:val="clear" w:pos="720"/>
        </w:tabs>
        <w:rPr/>
      </w:pPr>
      <w:r>
        <w:rPr/>
        <w:t>7.</w:t>
        <w:tab/>
        <w:t>Posílit úlohu a činnost Unie v oblasti životního prostředí a vzdělávání rozšířením pravomocí Unie v oblasti vzdělávání v oblasti změny klimatu a životního prostředí a rozšířením rozhodování kvalifikovanou většinou na témata vymezená jako „evropský zájem“, jako je životní prostředí (doporučení NL a FR).</w:t>
      </w:r>
    </w:p>
    <w:p>
      <w:pPr>
        <w:pStyle w:val="Puce3"/>
        <w:tabs>
          <w:tab w:val="clear" w:pos="720"/>
        </w:tabs>
        <w:rPr/>
      </w:pPr>
      <w:r>
        <w:rPr/>
        <w:t>8.</w:t>
        <w:tab/>
        <w:t>Podporovat rostlinnou stravu z důvodů ochrany klimatu a ochrany životního prostředí (PNM).</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Normal"/>
        <w:rPr/>
      </w:pPr>
      <w:r>
        <w:rPr/>
        <w:drawing>
          <wp:anchor behindDoc="0" distT="0" distB="0" distL="0" distR="0" simplePos="0" locked="0" layoutInCell="1" allowOverlap="1" relativeHeight="20">
            <wp:simplePos x="0" y="0"/>
            <wp:positionH relativeFrom="column">
              <wp:posOffset>23495</wp:posOffset>
            </wp:positionH>
            <wp:positionV relativeFrom="paragraph">
              <wp:posOffset>51435</wp:posOffset>
            </wp:positionV>
            <wp:extent cx="913765" cy="913765"/>
            <wp:effectExtent l="0" t="0" r="0" b="0"/>
            <wp:wrapSquare wrapText="largest"/>
            <wp:docPr id="62" name="Obrázek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ázek22" descr=""/>
                    <pic:cNvPicPr>
                      <a:picLocks noChangeAspect="1" noChangeArrowheads="1"/>
                    </pic:cNvPicPr>
                  </pic:nvPicPr>
                  <pic:blipFill>
                    <a:blip r:embed="rId74"/>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49" w:name="__RefHeading___Toc298272_1346298689"/>
      <w:bookmarkEnd w:id="49"/>
      <w:r>
        <w:rPr/>
        <w:t>„</w:t>
      </w:r>
      <w:r>
        <w:rPr/>
        <w:t>Zdraví“</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2"/>
        <w:numPr>
          <w:ilvl w:val="1"/>
          <w:numId w:val="2"/>
        </w:numPr>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3"/>
        <w:numPr>
          <w:ilvl w:val="2"/>
          <w:numId w:val="2"/>
        </w:numPr>
        <w:rPr/>
      </w:pPr>
      <w:bookmarkStart w:id="50" w:name="__RefHeading___Toc298274_1346298689"/>
      <w:bookmarkEnd w:id="50"/>
      <w:r>
        <w:rPr/>
        <w:t xml:space="preserve">7.Návrh: Zdravá strava a zdravý životní styl </w:t>
      </w:r>
    </w:p>
    <w:p>
      <w:pPr>
        <w:pStyle w:val="P68B1DB1Normal15"/>
        <w:rPr>
          <w:b/>
          <w:b/>
        </w:rPr>
      </w:pPr>
      <w:r>
        <w:rPr/>
        <w:t>Cíl: Zajistit, aby všichni Evropané měli přístup ke zdravému stravování a přístup ke zdravým a cenově dostupným potravinám jako základ pro zdravý životní styl, zejména prostřednictvím těchto opatření:</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1" w:name="__RefHeading___Toc298276_1346298689"/>
      <w:bookmarkEnd w:id="51"/>
      <w:r>
        <w:rPr/>
        <w:t>Opatření</w:t>
      </w:r>
      <w:r>
        <w:rPr>
          <w:rStyle w:val="Ancredenotedefin"/>
          <w:rStyle w:val="Ancredenotedefin"/>
        </w:rPr>
        <w:endnoteReference w:id="2"/>
      </w:r>
      <w:r>
        <w:rPr/>
        <w:t>:</w:t>
      </w:r>
    </w:p>
    <w:p>
      <w:pPr>
        <w:pStyle w:val="Puce3"/>
        <w:tabs>
          <w:tab w:val="clear" w:pos="720"/>
        </w:tabs>
        <w:rPr/>
      </w:pPr>
      <w:r>
        <w:rPr/>
        <w:t>1.</w:t>
        <w:tab/>
        <w:t>Stanovit minimální normy kvality a sledovatelnosti potravin, zejména omezením používání antibiotik a jiných veterinárních léčivých přípravků na to, co je nezbytně nutné pro ochranu zdraví a dobrých životních podmínek zvířat, namísto jejich používání preventivním způsobem, a zajistit posílení kontrol v tomto ohledu. [#23, #17]</w:t>
      </w:r>
    </w:p>
    <w:p>
      <w:pPr>
        <w:pStyle w:val="Puce3"/>
        <w:tabs>
          <w:tab w:val="clear" w:pos="720"/>
        </w:tabs>
        <w:rPr/>
      </w:pPr>
      <w:r>
        <w:rPr/>
        <w:t>2.</w:t>
        <w:tab/>
        <w:t>Vzdělávat občany o zdravých návycích k osvojení od útlého věku a povzbuzovat je k tomu, aby učinili bezpečná a zdravá rozhodnutí zdaněním zpracovaných potravin, které nejsou, a zajištěním snadné dostupnosti zdravotních informací o potravinách; za tímto účelem zavést celoevropský systém hodnocení zpracovaných potravin založený na vědeckých a nezávislých odborných znalostech, jakož i označení používání hormonálních látek a endokrinních disruptorů při výrobě potravin, a v tomto ohledu posílit monitorování a prosazování stávajících pravidel a zvážit jejich posílení. [#18, #19, GT]</w:t>
      </w:r>
    </w:p>
    <w:p>
      <w:pPr>
        <w:pStyle w:val="Puce3"/>
        <w:tabs>
          <w:tab w:val="clear" w:pos="720"/>
        </w:tabs>
        <w:rPr/>
      </w:pPr>
      <w:r>
        <w:rPr/>
        <w:t>3.</w:t>
        <w:tab/>
        <w:t>Podporovat dialog s aktéry v potravinovém řetězci, od výroby až po prodej, jako součást sociální odpovědnosti podniků za zdravé potraviny. [#19, GT]</w:t>
      </w:r>
    </w:p>
    <w:p>
      <w:pPr>
        <w:pStyle w:val="Puce3"/>
        <w:tabs>
          <w:tab w:val="clear" w:pos="720"/>
        </w:tabs>
        <w:rPr/>
      </w:pPr>
      <w:r>
        <w:rPr/>
        <w:t>4.</w:t>
        <w:tab/>
        <w:t>Na úrovni Unie podporovat poskytování zdravých, rozmanitých a cenově dostupných potravin v zařízeních veřejných služeb, jako jsou školní jídelny, nemocnice nebo zdravotnická zařízení, a to i prostřednictvím zvláštního financování. [#3, plenární zasedání, pracovní skupina]</w:t>
      </w:r>
    </w:p>
    <w:p>
      <w:pPr>
        <w:pStyle w:val="Puce3"/>
        <w:tabs>
          <w:tab w:val="clear" w:pos="720"/>
        </w:tabs>
        <w:rPr/>
      </w:pPr>
      <w:r>
        <w:rPr/>
        <w:t>5.</w:t>
        <w:tab/>
        <w:t>Investovat do výzkumu důsledků používání antibiotik a účinků hormonálních látek a endokrinních disruptorů na lidské zdraví. [#17, #18]</w:t>
      </w:r>
      <w:r>
        <w:rPr>
          <w:rStyle w:val="Ancredenotedefin"/>
          <w:rStyle w:val="Ancredenotedefin"/>
        </w:rPr>
        <w:endnoteReference w:id="3"/>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2" w:name="__RefHeading___Toc298278_1346298689"/>
      <w:bookmarkEnd w:id="52"/>
      <w:r>
        <w:rPr/>
        <w:t>8. Návrh: Posílení systému zdravotní péče</w:t>
      </w:r>
    </w:p>
    <w:p>
      <w:pPr>
        <w:pStyle w:val="P68B1DB1Normal15"/>
        <w:rPr>
          <w:b/>
          <w:b/>
        </w:rPr>
      </w:pPr>
      <w:r>
        <w:rPr/>
        <w:t>Cíl: Posílení odolnosti a kvality našich systémů zdravotní péče, mimo jiné prostřednictvím:</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3" w:name="__RefHeading___Toc298280_1346298689"/>
      <w:bookmarkEnd w:id="53"/>
      <w:r>
        <w:rPr/>
        <w:t>Opatření</w:t>
      </w:r>
      <w:r>
        <w:rPr>
          <w:rStyle w:val="Ancredenotedefin"/>
          <w:rStyle w:val="Ancredenotedefin"/>
        </w:rPr>
        <w:endnoteReference w:id="4"/>
      </w:r>
      <w:r>
        <w:rPr/>
        <w:t>:</w:t>
      </w:r>
    </w:p>
    <w:p>
      <w:pPr>
        <w:pStyle w:val="Puce3"/>
        <w:tabs>
          <w:tab w:val="clear" w:pos="720"/>
        </w:tabs>
        <w:rPr/>
      </w:pPr>
      <w:r>
        <w:rPr/>
        <w:t>1.</w:t>
        <w:tab/>
        <w:t>Vytvoření evropského prostoru údajů o zdraví, který by usnadnil výměnu zdravotních údajů; individuální lékařské záznamy by mohly být – na dobrovolném základě – zpřístupněny pomocí individuálního elektronického zdravotního pasu EU v souladu s pravidly pro ochranu údajů. [#41, GT]</w:t>
      </w:r>
    </w:p>
    <w:p>
      <w:pPr>
        <w:pStyle w:val="Puce3"/>
        <w:tabs>
          <w:tab w:val="clear" w:pos="720"/>
        </w:tabs>
        <w:rPr/>
      </w:pPr>
      <w:r>
        <w:rPr/>
        <w:t>2.</w:t>
        <w:tab/>
        <w:t>Odpovídající pracovní podmínky, zejména prostřednictvím silného sociálního dialogu, včetně mezd a pracovních ujednání, a harmonizace norem odborné přípravy a certifikace pro zdravotnické pracovníky; měly by být vypracovány programy vytváření sítí a výměn, jako je Erasmus pro lékařské školy, který by významně přispěl k rozvoji dovedností. Aby si udrželi talent v Evropě a umožnili mladým odborníkům rozšířit své znalosti a získat odborné zkušenosti, měly by být zavedeny výměnné programy EU, aby se zajistilo, že naše nejlepší mozky v oblasti biologických věd nebudou přitahovány do třetích zemí. [#39, GT]</w:t>
      </w:r>
    </w:p>
    <w:p>
      <w:pPr>
        <w:pStyle w:val="Puce3"/>
        <w:tabs>
          <w:tab w:val="clear" w:pos="720"/>
        </w:tabs>
        <w:rPr/>
      </w:pPr>
      <w:r>
        <w:rPr/>
        <w:t>3.</w:t>
        <w:tab/>
        <w:t>Zajistit strategickou autonomii na úrovni Unie, aby se zabránilo závislosti na třetích zemích [</w:t>
      </w:r>
      <w:r>
        <w:rPr>
          <w:rStyle w:val="Ancredenotedefin"/>
          <w:rStyle w:val="Ancredenotedefin"/>
        </w:rPr>
        <w:endnoteReference w:id="5"/>
      </w:r>
      <w:r>
        <w:rPr/>
        <w:t>NL2] léčivých přípravků (zejména účinných látek) a zdravotnických prostředků (včetně surovin); na úrovni Unie by měl být vytvořen zejména seznam základních a prioritních léčivých přípravků a léčebných postupů, ale také inovativních léčivých přípravků a léčebných postupů (jako jsou biotechnologická řešení), a to na základě stávajících evropských agentur a HERA, aby byla zajištěna jejich dostupnost pro občany. Zvážit uspořádání koordinovaného strategického skladování v celé Unii. Za účelem dosažení nezbytných koordinovaných a dlouhodobých opatření na úrovni Unie zahrnout zdraví a zdravotní péči mezi pravomoci sdílené mezi Unií a jejími členskými státy změnou článku 4 Smlouvy o fungování EU. [#40, #49, plénum, pracovní skupina]</w:t>
      </w:r>
    </w:p>
    <w:p>
      <w:pPr>
        <w:pStyle w:val="Puce3"/>
        <w:tabs>
          <w:tab w:val="clear" w:pos="720"/>
        </w:tabs>
        <w:rPr/>
      </w:pPr>
      <w:r>
        <w:rPr/>
        <w:t>4.</w:t>
        <w:tab/>
        <w:t>Pokračovat ve vývoji, koordinaci a financování stávajících programů výzkumu a inovací v oblasti zdravotnictví, aniž by byly ohroženy jiné programy související se zdravím, zejména pro evropské referenční sítě, neboť tvoří základ pro rozvoj sítí zdravotní péče pro vysoce specializované a komplexní léčby. [#42, #43, GT]</w:t>
      </w:r>
    </w:p>
    <w:p>
      <w:pPr>
        <w:pStyle w:val="Puce3"/>
        <w:tabs>
          <w:tab w:val="clear" w:pos="720"/>
        </w:tabs>
        <w:rPr/>
      </w:pPr>
      <w:r>
        <w:rPr/>
        <w:t>5.</w:t>
        <w:tab/>
        <w:t>Investovat do systémů zdravotní péče, zejména do veřejné a neziskové oblasti, infrastruktury a digitálního zdraví, a zajistit, aby poskytovatelé zdravotní péče dodržovali zásady plné přístupnosti, cenové dostupnosti a kvality služeb, čímž se zajistí, aby zdravotnické pracovníky, kteří se málo nebo vůbec nestarají o veřejný zájem, nevyčerpali zdroje. [#51, GT]</w:t>
      </w:r>
    </w:p>
    <w:p>
      <w:pPr>
        <w:pStyle w:val="Puce3"/>
        <w:tabs>
          <w:tab w:val="clear" w:pos="720"/>
        </w:tabs>
        <w:rPr/>
      </w:pPr>
      <w:r>
        <w:rPr/>
        <w:t>6.</w:t>
        <w:tab/>
        <w:t>Vydávat členským státům pevná doporučení, aby investovaly do účinných, přístupných, cenově dostupných, kvalitních a odolných systémů zdravotní péče, a to i v rámci evropského semestru. Dopad války na Ukrajině na veřejné zdraví ukazuje potřebu dalšího rozvoje odolných zdravotnických systémů a mechanismů solidarity. [#51,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54" w:name="__RefHeading___Toc298282_1346298689"/>
      <w:bookmarkEnd w:id="54"/>
      <w:r>
        <w:rPr/>
        <w:t>9. Návrh: Širší pohled na zdraví</w:t>
      </w:r>
    </w:p>
    <w:p>
      <w:pPr>
        <w:pStyle w:val="P68B1DB1Normal15"/>
        <w:rPr>
          <w:b/>
          <w:b/>
        </w:rPr>
      </w:pPr>
      <w:r>
        <w:rPr/>
        <w:t>Cíl: Přijmout holistický přístup ke zdraví tím, že se kromě nemocí a léčby zaměří na kulturu a prevenci v oblasti zdraví a podpoří společné chápání problémů, s nimiž se potýkají nemocní nebo zdravotně postižení, v souladu s přístupem „Jedno zdraví“, který by měl být zdůrazněn jako průřezová a základní zásada zahrnující všechny politiky Unie.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5" w:name="__RefHeading___Toc298284_1346298689"/>
      <w:bookmarkEnd w:id="55"/>
      <w:r>
        <w:rPr/>
        <w:t>Opatření</w:t>
      </w:r>
      <w:r>
        <w:rPr>
          <w:rStyle w:val="Ancredenotedefin"/>
          <w:rStyle w:val="Ancredenotedefin"/>
        </w:rPr>
        <w:endnoteReference w:id="6"/>
      </w:r>
      <w:r>
        <w:rPr/>
        <w:t>:</w:t>
      </w:r>
    </w:p>
    <w:p>
      <w:pPr>
        <w:pStyle w:val="Puce3"/>
        <w:tabs>
          <w:tab w:val="clear" w:pos="720"/>
        </w:tabs>
        <w:rPr/>
      </w:pPr>
      <w:r>
        <w:rPr/>
        <w:t>1.</w:t>
        <w:tab/>
        <w:t>Zlepšit porozumění otázkám duševního zdraví a jejich řešení, včetně raného dětství a včasné diagnostiky, a to na základě osvědčených postupů zavedených v celé Unii, které by měly být snadno dostupné prostřednictvím portálu osvědčených postupů v oblasti veřejného zdraví. V zájmu zvýšení informovanosti by orgány Unie a příslušné zúčastněné strany měly organizovat akce pro výměnu osvědčených postupů a pomáhat svým členům šířit je ve svém volebním obvodu. Měl by být vypracován akční plán EU v oblasti duševního zdraví, který by poskytl dlouhodobou strategii v oblasti duševního zdraví, včetně výzkumu, a zabýval by se rovněž dostupností odborníků, včetně nezletilých, a v blízké budoucnosti zavedením Evropského roku duševního zdraví.</w:t>
      </w:r>
    </w:p>
    <w:p>
      <w:pPr>
        <w:pStyle w:val="Puce3"/>
        <w:tabs>
          <w:tab w:val="clear" w:pos="720"/>
        </w:tabs>
        <w:rPr/>
      </w:pPr>
      <w:r>
        <w:rPr/>
        <w:t>2.</w:t>
        <w:tab/>
        <w:t>Vytvořit na úrovni EU standardní vzdělávací program týkající se zdravého životního stylu, který zahrnuje i sexuální výchovu. Program by měl rovněž zahrnovat opatření zaměřená jak na zdravý životní styl, tak na ochranu životního prostředí, a na to, jak mohou pomoci předcházet mnoha chorobám, jako je jízda na kole jako zdravý prostředek každodenního cestování. Byla by bezplatně k dispozici členským státům a školám, které by ji mohly případně použít ve svých programech. Takový program by se zabýval stereotypy o lidech, kteří jsou nemocní nebo zdravotně postižení. [#46, GT]</w:t>
      </w:r>
    </w:p>
    <w:p>
      <w:pPr>
        <w:pStyle w:val="Puce3"/>
        <w:tabs>
          <w:tab w:val="clear" w:pos="720"/>
        </w:tabs>
        <w:rPr/>
      </w:pPr>
      <w:r>
        <w:rPr/>
        <w:t>3.</w:t>
        <w:tab/>
        <w:t>Rozvíjet odbornou přípravu praktické první pomoci, která by byla nabízena zdarma všem občanům, a zvážit možnost pravidelných kurzů jako běžnou praxi pro studenty i na pracovišti. Minimální počet defibrilátorů by měl být rovněž k dispozici na veřejných místech ve všech členských státech. [#50]</w:t>
      </w:r>
    </w:p>
    <w:p>
      <w:pPr>
        <w:pStyle w:val="Puce3"/>
        <w:tabs>
          <w:tab w:val="clear" w:pos="720"/>
        </w:tabs>
        <w:rPr/>
      </w:pPr>
      <w:r>
        <w:rPr/>
        <w:t>4.</w:t>
        <w:tab/>
        <w:t>Rozšířit iniciativu Týdne zdraví, která se bude konat v celé Unii ve stejném týdnu a během níž by měly být řešeny a projednány všechny zdravotní otázky. Zvažte také iniciativy roku zdraví, počínaje rokem duševního zdraví. [#44, GT]</w:t>
      </w:r>
    </w:p>
    <w:p>
      <w:pPr>
        <w:pStyle w:val="Puce3"/>
        <w:tabs>
          <w:tab w:val="clear" w:pos="720"/>
        </w:tabs>
        <w:rPr/>
      </w:pPr>
      <w:r>
        <w:rPr/>
        <w:t>5.</w:t>
        <w:tab/>
        <w:t>Uznat jako pravidelné lékařské ošetření pro daňové hormonální antikoncepční přípravky používané ze zdravotních důvodů, například v případech fibromyalgie a endometriózy, stejně jako ženské hygienické výrobky. Zajistit přístup k reprodukční léčbě pro všechny lidi s problémy s plodností. [#45,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6" w:name="__RefHeading___Toc298286_1346298689"/>
      <w:bookmarkEnd w:id="56"/>
      <w:r>
        <w:rPr/>
        <w:t>10. Návrh: Rovný přístup ke zdraví pro všechny</w:t>
      </w:r>
    </w:p>
    <w:p>
      <w:pPr>
        <w:pStyle w:val="Normal"/>
        <w:rPr/>
      </w:pPr>
      <w:r>
        <w:rPr/>
        <w:t>Cíl: Zavést „právo na zdraví“ tím, že všem Evropanům zaručí rovný a všeobecný přístup k cenově dostupné, preventivní, léčebné a kvalitní zdravotní péči.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Opatření</w:t>
      </w:r>
      <w:r>
        <w:rPr>
          <w:rStyle w:val="Ancredenotedefin"/>
          <w:rStyle w:val="Ancredenotedefin"/>
        </w:rPr>
        <w:endnoteReference w:id="7"/>
      </w:r>
      <w:r>
        <w:rPr/>
        <w:t>:</w:t>
      </w:r>
    </w:p>
    <w:p>
      <w:pPr>
        <w:pStyle w:val="Puce3"/>
        <w:tabs>
          <w:tab w:val="clear" w:pos="720"/>
        </w:tabs>
        <w:rPr/>
      </w:pPr>
      <w:r>
        <w:rPr/>
        <w:t>1.</w:t>
        <w:tab/>
        <w:t>Zavést společné minimální zdravotní normy na úrovni Unie, které se rovněž týkají prevence a dostupnosti péče, jakož i blízkosti péče, a poskytují podporu pro zavedení těchto norem. [#39, GT]</w:t>
      </w:r>
    </w:p>
    <w:p>
      <w:pPr>
        <w:pStyle w:val="Puce3"/>
        <w:tabs>
          <w:tab w:val="clear" w:pos="720"/>
        </w:tabs>
        <w:rPr/>
      </w:pPr>
      <w:r>
        <w:rPr/>
        <w:t>2.</w:t>
        <w:tab/>
        <w:t>Uznávají, že je třeba plně zohlednit zásadu subsidiarity a klíčovou úlohu místních, regionálních a vnitrostátních subjektů působících v oblasti zdraví [NL3], aby bylo zajištěno, že budou moci být přijata opatření na úrovni Unie, bude-li lépe řešeno právo na zdraví. Umožnit rychlejší a pevnější rozhodování o klíčových otázkách a zlepšit účinnost evropské správy pro rozvoj evropské zdravotní unie (např. pandemie nebo vzácná onemocnění). [#49, FRsouhait11, digitální platforma]</w:t>
      </w:r>
    </w:p>
    <w:p>
      <w:pPr>
        <w:pStyle w:val="Puce3"/>
        <w:tabs>
          <w:tab w:val="clear" w:pos="720"/>
        </w:tabs>
        <w:rPr/>
      </w:pPr>
      <w:r>
        <w:rPr/>
        <w:t>3.</w:t>
        <w:tab/>
        <w:t>Posílit evropskou zdravotní unii využitím plného potenciálu stávajícího rámce a zahrnout zdraví a zdravotní péči mezi pravomoci sdílené mezi Unií a jejími členskými státy změnou článku 4 SFEU. [#49, FRsouhait11, digitální platforma, GT]</w:t>
      </w:r>
      <w:r>
        <w:rPr>
          <w:rStyle w:val="Ancredenotedefin"/>
          <w:rStyle w:val="Ancredenotedefin"/>
        </w:rPr>
        <w:endnoteReference w:id="8"/>
      </w:r>
      <w:r>
        <w:rPr/>
        <w:t>.</w:t>
      </w:r>
    </w:p>
    <w:p>
      <w:pPr>
        <w:pStyle w:val="Puce3"/>
        <w:tabs>
          <w:tab w:val="clear" w:pos="720"/>
        </w:tabs>
        <w:rPr/>
      </w:pPr>
      <w:r>
        <w:rPr/>
        <w:t>4.</w:t>
        <w:tab/>
        <w:t>Zajistit, aby každý měl přístup ke stávajícím léčebným postupům v první zemi EU, kde je k dispozici; za tímto účelem zlepšit přeshraniční spolupráci, zejména v oblasti vzácných onemocnění, rakoviny, kardiovaskulárních onemocnění a vysoce specializované léčby, jako jsou transplantace orgánů a léčba závažných popálenin. Pro všechny evropské pacienty, kteří potřebují transplantaci, by měla být zřízena evropská síť transplantací a dárcovství orgánů. [plenary a GT]</w:t>
      </w:r>
    </w:p>
    <w:p>
      <w:pPr>
        <w:pStyle w:val="Puce3"/>
        <w:tabs>
          <w:tab w:val="clear" w:pos="720"/>
        </w:tabs>
        <w:rPr/>
      </w:pPr>
      <w:r>
        <w:rPr/>
        <w:t>5.</w:t>
        <w:tab/>
        <w:t>Zajistit cenově dostupnou péči prostřednictvím větších investic do zdravotní péče, zejména do péče o zuby, včetně profylaxe, a zajistit, aby do 15–20 let byla dostupná cenově dostupná zubní péče pro všechny. [#48, GT]</w:t>
      </w:r>
    </w:p>
    <w:p>
      <w:pPr>
        <w:pStyle w:val="Puce3"/>
        <w:tabs>
          <w:tab w:val="clear" w:pos="720"/>
        </w:tabs>
        <w:rPr/>
      </w:pPr>
      <w:r>
        <w:rPr/>
        <w:t>6.</w:t>
        <w:tab/>
        <w:t>Zajistit, aby léčba a léčivé přípravky v celé Unii byly stejně kvalitní a měly spravedlivé místní náklady, mimo jiné řešením současné roztříštěnosti vnitřního trhu. [#40, NL3, pracovní skupina, plenární zasedání]</w:t>
      </w:r>
    </w:p>
    <w:p>
      <w:pPr>
        <w:pStyle w:val="Puce3"/>
        <w:tabs>
          <w:tab w:val="clear" w:pos="720"/>
        </w:tabs>
        <w:rPr/>
      </w:pPr>
      <w:r>
        <w:rPr/>
        <w:t>7.</w:t>
        <w:tab/>
        <w:t>Bojovat proti zdravotní nejistotě podporou poskytování bezplatné péče o zuby dětem, nízkopříjmovým skupinám a dalším zranitelným skupinám, jako jsou osoby se zdravotním postižením. Studujte také zdravotní důsledky špatného bydlení. [#48, GT]</w:t>
      </w:r>
    </w:p>
    <w:p>
      <w:pPr>
        <w:pStyle w:val="Puce3"/>
        <w:tabs>
          <w:tab w:val="clear" w:pos="720"/>
        </w:tabs>
        <w:rPr/>
      </w:pPr>
      <w:r>
        <w:rPr/>
        <w:t>8.</w:t>
        <w:tab/>
        <w:t>Zohlednit mezinárodní rozměr zdraví a uznat, že léčivé přípravky by měly být všeobecně dostupné, a to i v nejchudších zemích. [NL2]</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5">
            <wp:simplePos x="0" y="0"/>
            <wp:positionH relativeFrom="column">
              <wp:posOffset>44450</wp:posOffset>
            </wp:positionH>
            <wp:positionV relativeFrom="paragraph">
              <wp:posOffset>43180</wp:posOffset>
            </wp:positionV>
            <wp:extent cx="913765" cy="913765"/>
            <wp:effectExtent l="0" t="0" r="0" b="0"/>
            <wp:wrapSquare wrapText="largest"/>
            <wp:docPr id="63" name="Foto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Foto23" descr=""/>
                    <pic:cNvPicPr>
                      <a:picLocks noChangeAspect="1" noChangeArrowheads="1"/>
                    </pic:cNvPicPr>
                  </pic:nvPicPr>
                  <pic:blipFill>
                    <a:blip r:embed="rId75"/>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57" w:name="__RefHeading___Toc298288_1346298689"/>
      <w:bookmarkEnd w:id="57"/>
      <w:r>
        <w:rPr/>
        <w:t>Silnější ekonomika, sociální spravedlnost a zaměstnanost</w:t>
      </w:r>
    </w:p>
    <w:p>
      <w:pPr>
        <w:pStyle w:val="P68B1DB1Normal15"/>
        <w:rPr>
          <w:b/>
          <w:b/>
        </w:rPr>
      </w:pPr>
      <w:r>
        <w:rPr/>
        <w:t>Úvod</w:t>
      </w:r>
    </w:p>
    <w:p>
      <w:pPr>
        <w:pStyle w:val="Normal"/>
        <w:rPr/>
      </w:pPr>
      <w:r>
        <w:rPr/>
        <w:t>Žijeme za výjimečných okolností a Evropská unie bude posuzována podle svého úsilí vymanit se ze současných krizí s udržitelnějším, inkluzivnějším, konkurenceschopnějším a odolnějším modelem růstu. Ruská invaze na Ukrajinu a pandemie COVID-19 změnily tvář EU. Konference se bude muset také zabývat sociálními a ekonomickými důsledky této války v již tak velmi obtížném kontextu po pandemii. Zároveň změna klimatu stále představuje hrozbu pro lidstvo a bude mít dramatický dopad na ekonomiku a naši společnost. Z obdržených doporučení jasně vyplývá, že občané vyzývají k důraznější činnosti EU. Nevyřešené nadnárodní výzvy, jako je nerovnost, konkurenceschopnost, zdraví, změna klimatu, migrace, digitalizace nebo spravedlivé zdanění, vyžadují vhodná evropská řešení. Z doporučení a diskusí je rovněž zřejmé, že potřebujeme komplexní strategii k zajištění lepšího blahobytu evropských občanů v různých aspektech jejich života. Některé prvky této strategie jsou zahrnuty do stávajících politik a lze jich dosáhnout plným využitím stávajícího institucionálního rámce na evropské a vnitrostátní úrovni; jiné budou vyžadovat nové politiky a v některých případech i změny smluv. Nové politiky a změny smluv by však měly být vnímány jako prostředek ke zlepšení blahobytu, a nikoli jako cíle samy o sobě. Je možné a nezbytné nově definovat Unii tak, aby byla zaručena její strategická autonomie, její udržitelný růst, zlepšení životních a pracovních podmínek a lidský pokrok, aniž by byly vyčerpány nebo ničeny zdroje naší planety v rámci obnovené společenské smlouvy. Cílem těchto doporučení je dosažení těchto cílů. Níže uvedené návrhy by měly být vykládány s přihlédnutím k tomu, že občané v celé Evropě předložili různé názory a doporučení. Právě tato rozmanitost názorů je jedním z nesrovnatelných hodnot Evropy.</w:t>
      </w:r>
    </w:p>
    <w:p>
      <w:pPr>
        <w:pStyle w:val="Normal"/>
        <w:rPr/>
      </w:pPr>
      <w:r>
        <w:rPr/>
      </w:r>
      <w:r>
        <w:br w:type="page"/>
      </w:r>
    </w:p>
    <w:p>
      <w:pPr>
        <w:pStyle w:val="Titre3"/>
        <w:numPr>
          <w:ilvl w:val="2"/>
          <w:numId w:val="2"/>
        </w:numPr>
        <w:rPr/>
      </w:pPr>
      <w:bookmarkStart w:id="58" w:name="__RefHeading___Toc298290_1346298689"/>
      <w:bookmarkEnd w:id="58"/>
      <w:r>
        <w:rPr/>
        <w:t>11. Návrh: Udržitelný růst a inovace</w:t>
      </w:r>
    </w:p>
    <w:p>
      <w:pPr>
        <w:pStyle w:val="P68B1DB1Normal15"/>
        <w:rPr>
          <w:b/>
          <w:b/>
        </w:rPr>
      </w:pPr>
      <w:r>
        <w:rPr/>
        <w:t>Cíl: Navrhujeme, aby EU podpořila přechod k modelu udržitelného a odolného růstu s přihlédnutím k ekologické a digitální transformaci se silným sociálním rozměrem v rámci evropského semestru a posílení postavení občanů, odborů a podniků. Konvenční makroekonomické ukazatele a HDP by mohly být doplněny novými ukazateli, které by reagovaly na nové evropské priority, jako je Zelená dohoda pro Evropu nebo evropský pilíř sociálních práv, a aby lépe odrážely ekologickou a digitální transformaci a dobré životní podmínky lidí. Toho by mohlo být dosaženo prostřednictvím těchto opatření:</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Opatření</w:t>
      </w:r>
      <w:r>
        <w:rPr>
          <w:rStyle w:val="Ancredenotedefin"/>
          <w:rStyle w:val="Ancredenotedefin"/>
        </w:rPr>
        <w:endnoteReference w:id="9"/>
      </w:r>
      <w:r>
        <w:rPr/>
        <w:t>:</w:t>
      </w:r>
    </w:p>
    <w:p>
      <w:pPr>
        <w:pStyle w:val="Puce3"/>
        <w:rPr/>
      </w:pPr>
      <w:r>
        <w:rPr/>
        <w:t>1.</w:t>
        <w:tab/>
        <w:t>Podporovat zelenější výrobní procesy společnostmi, pomáhat společnostem při hledání nejlepších řešení a poskytovat pozitivní a negativní pobídky. (PCE 11 a 12) a zvýšení místní produkce a spotřeby (diskuse).</w:t>
      </w:r>
    </w:p>
    <w:p>
      <w:pPr>
        <w:pStyle w:val="Puce3"/>
        <w:tabs>
          <w:tab w:val="clear" w:pos="720"/>
        </w:tabs>
        <w:rPr/>
      </w:pPr>
      <w:r>
        <w:rPr/>
        <w:t>2.</w:t>
        <w:tab/>
        <w:t>Úsilí o udržitelnější a oběhové hospodářství řešením problému plánovaného zastarávání a zaručením práva na odškodnění (PCE 14).</w:t>
      </w:r>
    </w:p>
    <w:p>
      <w:pPr>
        <w:pStyle w:val="Puce3"/>
        <w:tabs>
          <w:tab w:val="clear" w:pos="720"/>
        </w:tabs>
        <w:rPr/>
      </w:pPr>
      <w:r>
        <w:rPr/>
        <w:t>3.</w:t>
        <w:tab/>
        <w:t>Přezkoumat správu ekonomických záležitostí Unie a evropský semestr, aby se zajistilo, že ekologická a digitální transformace, sociální spravedlnost a sociální pokrok jdou ruku v ruce s hospodářskou konkurenceschopností, aniž by byla opomíjena hospodářská a rozpočtová povaha evropského semestru. Kromě toho je třeba lépe zapojit sociální partnery a místní a regionální orgány do provádění evropského semestru s cílem zlepšit jeho uplatňování a odpovědnost (e-platforma, diskuse).</w:t>
      </w:r>
    </w:p>
    <w:p>
      <w:pPr>
        <w:pStyle w:val="Puce3"/>
        <w:tabs>
          <w:tab w:val="clear" w:pos="720"/>
        </w:tabs>
        <w:rPr/>
      </w:pPr>
      <w:r>
        <w:rPr/>
        <w:t>4.</w:t>
        <w:tab/>
        <w:t>Boj proti používání plastových obalů/kontejnerů na jedno použití (PCE 12).</w:t>
      </w:r>
    </w:p>
    <w:p>
      <w:pPr>
        <w:pStyle w:val="Puce3"/>
        <w:tabs>
          <w:tab w:val="clear" w:pos="720"/>
        </w:tabs>
        <w:rPr/>
      </w:pPr>
      <w:r>
        <w:rPr/>
        <w:t>5.</w:t>
        <w:tab/>
        <w:t>Rozšířit využívání evropských technologií a učinit z ní životaschopnou alternativu k zahraničním technologiím (diskuse).</w:t>
      </w:r>
    </w:p>
    <w:p>
      <w:pPr>
        <w:pStyle w:val="Puce3"/>
        <w:tabs>
          <w:tab w:val="clear" w:pos="720"/>
        </w:tabs>
        <w:rPr/>
      </w:pPr>
      <w:r>
        <w:rPr/>
        <w:t>6.</w:t>
        <w:tab/>
        <w:t>Podporovat výzkum nových materiálů a technologií, jakož i inovativní využívání stávajících materiálů, a zároveň zabránit zdvojování výzkumného úsilí (PCE 9, NL 1).</w:t>
      </w:r>
    </w:p>
    <w:p>
      <w:pPr>
        <w:pStyle w:val="Puce3"/>
        <w:tabs>
          <w:tab w:val="clear" w:pos="720"/>
        </w:tabs>
        <w:rPr/>
      </w:pPr>
      <w:r>
        <w:rPr/>
        <w:t>7.</w:t>
        <w:tab/>
        <w:t>Zvážit udržitelnost, cenovou dostupnost a dostupnost energie s přihlédnutím k energetické chudobě a závislosti na třetích zemích zvýšením podílu udržitelně vyráběné energie (CEP 10, LT 3, IT 1.1).</w:t>
      </w:r>
    </w:p>
    <w:p>
      <w:pPr>
        <w:pStyle w:val="Puce3"/>
        <w:tabs>
          <w:tab w:val="clear" w:pos="720"/>
        </w:tabs>
        <w:rPr/>
      </w:pPr>
      <w:r>
        <w:rPr/>
        <w:t>8.</w:t>
        <w:tab/>
        <w:t>Zvýšit povědomí podniků a občanů o přijetí udržitelnějšího chování a zajistit spravedlivou transformaci založenou na sociálním dialogu a kvalitních pracovních místech (CEP 12 a on-line platforma).</w:t>
      </w:r>
    </w:p>
    <w:p>
      <w:pPr>
        <w:pStyle w:val="Puce3"/>
        <w:tabs>
          <w:tab w:val="clear" w:pos="720"/>
        </w:tabs>
        <w:rPr/>
      </w:pPr>
      <w:r>
        <w:rPr/>
        <w:t>9.</w:t>
        <w:tab/>
        <w:t>Zahrnout do nových obchodních dohod EU ambiciózní sociální, pracovní a zdravotní normy, včetně bezpečnosti a ochrany zdraví při práci. (LT8)</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9" w:name="__RefHeading___Toc298292_1346298689"/>
      <w:bookmarkEnd w:id="59"/>
      <w:r>
        <w:rPr/>
        <w:t>12. Návrh: Posílení konkurenceschopnosti Unie a další prohloubení jednotného trhu</w:t>
      </w:r>
    </w:p>
    <w:p>
      <w:pPr>
        <w:pStyle w:val="Normal"/>
        <w:rPr/>
      </w:pPr>
      <w:r>
        <w:rPr/>
        <w:t>Cíl: Navrhujeme posílit konkurenceschopnost a odolnost hospodářství EU, jednotného trhu a průmyslu a řešit strategické závislosti. Musíme podporovat podnikatelskou kulturu v EU, v níž jsou podporovány inovativní podniky všech velikostí, zejména mikropodniky, malé a střední podniky a začínající podniky, a které mohou prosperovat s cílem přispět k odolnější a inkluzivnější společnosti. K usnadnění vize sociálnější Evropy je zapotřebí silného a životaschopného tržního hospodářství. Toho by mohlo být dosaženo prostřednictvím těchto opatření:</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Opatření</w:t>
      </w:r>
      <w:r>
        <w:rPr>
          <w:rStyle w:val="Ancredenotedefin"/>
          <w:rStyle w:val="Ancredenotedefin"/>
        </w:rPr>
        <w:endnoteReference w:id="10"/>
      </w:r>
      <w:r>
        <w:rPr/>
        <w:t>:</w:t>
      </w:r>
    </w:p>
    <w:p>
      <w:pPr>
        <w:pStyle w:val="Puce3"/>
        <w:tabs>
          <w:tab w:val="clear" w:pos="720"/>
        </w:tabs>
        <w:rPr/>
      </w:pPr>
      <w:r>
        <w:rPr/>
        <w:t>1.</w:t>
        <w:tab/>
        <w:t>Rozvíjet jasnou vizi evropského hospodářství a stavět na silných stránkách, kvalitě a rozmanitosti Evropy a současně zohledňovat hospodářské a jiné rozdíly mezi členskými státy a podporovat spolupráci a hospodářskou soutěž mezi podniky. (NL 1 a 2)</w:t>
      </w:r>
    </w:p>
    <w:p>
      <w:pPr>
        <w:pStyle w:val="Puce3"/>
        <w:tabs>
          <w:tab w:val="clear" w:pos="720"/>
        </w:tabs>
        <w:rPr/>
      </w:pPr>
      <w:r>
        <w:rPr/>
        <w:t>2.</w:t>
        <w:tab/>
        <w:t>Konsolidovat to, co bylo učiněno s ohledem na jednotnou měnu a propojení platebních systémů a telekomunikací. (Bod 4.a.2)</w:t>
      </w:r>
    </w:p>
    <w:p>
      <w:pPr>
        <w:pStyle w:val="Puce3"/>
        <w:tabs>
          <w:tab w:val="clear" w:pos="720"/>
        </w:tabs>
        <w:rPr/>
      </w:pPr>
      <w:r>
        <w:rPr/>
        <w:t>3.</w:t>
        <w:tab/>
        <w:t>Snížit standardizaci výrobků a uznat místní a regionální specifika z hlediska kultury a výroby (respektování výrobních tradic). (BOD 2.2)</w:t>
      </w:r>
    </w:p>
    <w:p>
      <w:pPr>
        <w:pStyle w:val="Puce3"/>
        <w:tabs>
          <w:tab w:val="clear" w:pos="720"/>
        </w:tabs>
        <w:rPr/>
      </w:pPr>
      <w:r>
        <w:rPr/>
        <w:t>4.</w:t>
        <w:tab/>
        <w:t>Posílit vzestupnou sociální a hospodářskou konvergenci v rámci jednotného trhu, dokončit stávající iniciativy, jako je bankovní unie a unie kapitálových trhů, a provést do budoucna orientovanou reformu naší hospodářské a měnové unie (diskuse).</w:t>
      </w:r>
    </w:p>
    <w:p>
      <w:pPr>
        <w:pStyle w:val="Puce3"/>
        <w:tabs>
          <w:tab w:val="clear" w:pos="720"/>
        </w:tabs>
        <w:rPr/>
      </w:pPr>
      <w:r>
        <w:rPr/>
        <w:t>5.</w:t>
        <w:tab/>
        <w:t>Podporovat politiky pro silnou průmyslovou základnu a inovace v klíčových základních technologiích, jakož i politiku v oblasti klimatu zaměřenou na budoucnost ve spojení s průmyslovou konkurenceschopností se silným sociálním rozměrem, a to na základě sociálního dialogu a dobře fungujících pracovněprávních vztahů (diskuse).</w:t>
      </w:r>
    </w:p>
    <w:p>
      <w:pPr>
        <w:pStyle w:val="Puce3"/>
        <w:tabs>
          <w:tab w:val="clear" w:pos="720"/>
        </w:tabs>
        <w:rPr/>
      </w:pPr>
      <w:r>
        <w:rPr/>
        <w:t>6.</w:t>
        <w:tab/>
        <w:t>Ve všech nových iniciativách věnuje zvláštní pozornost malým a středním podnikům, které jsou páteří našeho hospodářství. Ve všech legislativních návrzích EU musí být dodržována zásada „zamýšlet nejdříve malé a střední podniky“ a test malých a středních podniků by měl být posílen v posouzení dopadů prováděných Komisí v souladu s jasnými zásadami a při plném respektování sociálních a environmentálních norem a práv spotřebitelů (diskuse).</w:t>
      </w:r>
    </w:p>
    <w:p>
      <w:pPr>
        <w:pStyle w:val="Puce3"/>
        <w:tabs>
          <w:tab w:val="clear" w:pos="720"/>
        </w:tabs>
        <w:rPr/>
      </w:pPr>
      <w:r>
        <w:rPr/>
        <w:t>7.</w:t>
        <w:tab/>
        <w:t>Zajistit účast malých a středních podniků na žádostech o financování, nabídkových řízeních a sítích s co nejmenším administrativním úsilím. Přístup malých a středních podniků s vysoce rizikovými inovačními projekty k financování by měly dále rozvíjet subjekty, jako jsou Evropská rada pro inovace a Evropská investiční banka (diskuse).</w:t>
      </w:r>
    </w:p>
    <w:p>
      <w:pPr>
        <w:pStyle w:val="Puce3"/>
        <w:tabs>
          <w:tab w:val="clear" w:pos="720"/>
        </w:tabs>
        <w:rPr/>
      </w:pPr>
      <w:r>
        <w:rPr/>
        <w:t>8.</w:t>
        <w:tab/>
        <w:t>Vytvořit lepší rámec pro investice do výzkumu a inovací s cílem vybudovat udržitelnější obchodní modely bohaté na biologickou rozmanitost (CEP 10, 11 a 14); zaměřte se na technologie a inovace jako na hnací sílu růstu. (BOD 1.3)</w:t>
      </w:r>
    </w:p>
    <w:p>
      <w:pPr>
        <w:pStyle w:val="Puce3"/>
        <w:tabs>
          <w:tab w:val="clear" w:pos="720"/>
        </w:tabs>
        <w:rPr/>
      </w:pPr>
      <w:r>
        <w:rPr/>
        <w:t>9.</w:t>
        <w:tab/>
        <w:t>Podporovat kolektivní hospodářskou výkonnost prostřednictvím autonomního a konkurenceschopného průmyslu. (FR3)</w:t>
      </w:r>
    </w:p>
    <w:p>
      <w:pPr>
        <w:pStyle w:val="Puce3"/>
        <w:tabs>
          <w:tab w:val="clear" w:pos="720"/>
        </w:tabs>
        <w:rPr/>
      </w:pPr>
      <w:r>
        <w:rPr/>
        <w:t>10.</w:t>
        <w:tab/>
        <w:t>Identifikovat a rozvíjet strategická odvětví, včetně vesmíru, robotiky a umělé inteligence. (EN 3 a 9)</w:t>
      </w:r>
    </w:p>
    <w:p>
      <w:pPr>
        <w:pStyle w:val="Puce3"/>
        <w:tabs>
          <w:tab w:val="clear" w:pos="720"/>
        </w:tabs>
        <w:rPr/>
      </w:pPr>
      <w:r>
        <w:rPr/>
        <w:t>11.</w:t>
        <w:tab/>
        <w:t>Investovat do cestovního ruchu a kulturní ekonomiky, také ocenit mnoho malých destinací v Evropě. (BOD 1.2)</w:t>
      </w:r>
    </w:p>
    <w:p>
      <w:pPr>
        <w:pStyle w:val="Puce3"/>
        <w:tabs>
          <w:tab w:val="clear" w:pos="720"/>
        </w:tabs>
        <w:rPr/>
      </w:pPr>
      <w:r>
        <w:rPr/>
        <w:t>12.</w:t>
        <w:tab/>
        <w:t>Zajistit bezpečnost dodávek diverzifikací zdrojů vstupů/surovin a zvýšením výroby základního zboží v Evropě, jako je zdraví, potraviny, energie, obrana a doprava. (EN 9, LT 1, IT 1.4)</w:t>
      </w:r>
    </w:p>
    <w:p>
      <w:pPr>
        <w:pStyle w:val="Puce3"/>
        <w:tabs>
          <w:tab w:val="clear" w:pos="720"/>
        </w:tabs>
        <w:rPr/>
      </w:pPr>
      <w:r>
        <w:rPr/>
        <w:t>13.</w:t>
        <w:tab/>
        <w:t>Podpora digitalizace evropských podniků, například prostřednictvím specifického srovnávacího přehledu, který společnostem umožní porovnat stupeň digitalizace s celkovým cílem zvýšit jejich konkurenceschopnost. (OD 2.1)</w:t>
      </w:r>
    </w:p>
    <w:p>
      <w:pPr>
        <w:pStyle w:val="Puce3"/>
        <w:tabs>
          <w:tab w:val="clear" w:pos="720"/>
        </w:tabs>
        <w:rPr/>
      </w:pPr>
      <w:r>
        <w:rPr/>
        <w:t>14.</w:t>
        <w:tab/>
        <w:t>Podporovat digitální soudržnost s cílem přispět k hospodářské, sociální a územní soudržnosti, jak je definována ve Smlouvě o fungování Evropské unie (diskuse).</w:t>
      </w:r>
    </w:p>
    <w:p>
      <w:pPr>
        <w:pStyle w:val="Puce3"/>
        <w:tabs>
          <w:tab w:val="clear" w:pos="720"/>
        </w:tabs>
        <w:rPr/>
      </w:pPr>
      <w:r>
        <w:rPr/>
        <w:t>15.</w:t>
        <w:tab/>
        <w:t>Posílit přeshraniční spolupráci s cílem posílit soudržnost a odolnost v rámci regionů i mimo ně podporou evropského přeshraničního mechanismu a podobných nástrojů (diskuse).</w:t>
      </w:r>
    </w:p>
    <w:p>
      <w:pPr>
        <w:pStyle w:val="Puce3"/>
        <w:tabs>
          <w:tab w:val="clear" w:pos="720"/>
        </w:tabs>
        <w:rPr/>
      </w:pPr>
      <w:r>
        <w:rPr/>
        <w:t>16.</w:t>
        <w:tab/>
        <w:t>Posílit a podporovat příležitosti přeshraniční odborné přípravy s cílem zlepšit dovednosti evropské pracovní síly a zvýšit konkurenceschopnost a zároveň posílit dovednosti občanů v hospodářské oblasti. (DE 2.2, LT7). Podporovat obchod mezi pracovníky v Evropě prostřednictvím Evropského střediska pro zaměstnanost; (Bod 6.1) povzbuzovat mladé lidi ke studiu vědeckých předmětů. (BOD 1.5)</w:t>
      </w:r>
    </w:p>
    <w:p>
      <w:pPr>
        <w:pStyle w:val="Puce3"/>
        <w:tabs>
          <w:tab w:val="clear" w:pos="720"/>
        </w:tabs>
        <w:rPr/>
      </w:pPr>
      <w:r>
        <w:rPr/>
        <w:t>17.</w:t>
        <w:tab/>
        <w:t>Snížení byrokracie (autorizace, certifikace) tam, kde to není nezbytné. (BOD 2.1)</w:t>
      </w:r>
    </w:p>
    <w:p>
      <w:pPr>
        <w:pStyle w:val="Puce3"/>
        <w:tabs>
          <w:tab w:val="clear" w:pos="720"/>
        </w:tabs>
        <w:rPr/>
      </w:pPr>
      <w:r>
        <w:rPr/>
        <w:t>18.</w:t>
        <w:tab/>
        <w:t>Boj proti padělání a nekalé hospodářské soutěži. (BOD 2.4)</w:t>
      </w:r>
    </w:p>
    <w:p>
      <w:pPr>
        <w:pStyle w:val="Puce3"/>
        <w:tabs>
          <w:tab w:val="clear" w:pos="720"/>
        </w:tabs>
        <w:rPr/>
      </w:pPr>
      <w:r>
        <w:rPr/>
        <w:t>19.</w:t>
        <w:tab/>
        <w:t>Zajistit větší účast začínajících podniků a malých a středních podniků na inovačních projektech, neboť to posiluje jejich inovační sílu, konkurenceschopnost a vytváření sítí (elektronická platforma, diskuse).</w:t>
      </w:r>
    </w:p>
    <w:p>
      <w:pPr>
        <w:pStyle w:val="Puce3"/>
        <w:tabs>
          <w:tab w:val="clear" w:pos="720"/>
        </w:tabs>
        <w:rPr/>
      </w:pPr>
      <w:r>
        <w:rPr/>
        <w:t>20.</w:t>
        <w:tab/>
        <w:t>Prioritou by měla zůstat konsolidace a ochrana jednotného trhu; opatření a iniciativy přijaté na vnitrostátní úrovni a na úrovni Unie by neměly být dotčeny jednotný trh a měly by přispívat k volnému pohybu osob, zboží, služeb a kapitálu (diskuse).</w:t>
      </w:r>
    </w:p>
    <w:p>
      <w:pPr>
        <w:pStyle w:val="Puce3"/>
        <w:tabs>
          <w:tab w:val="clear" w:pos="720"/>
        </w:tabs>
        <w:rPr/>
      </w:pPr>
      <w:r>
        <w:rPr/>
        <w:t>21.</w:t>
        <w:tab/>
        <w:t>Nové politické iniciativy EU by měly podléhat „kontrole konkurenceschopnosti“, aby bylo možné analyzovat jejich dopad na podniky a jejich podnikatelské prostředí (náklady na hospodářskou činnost, inovační kapacitu, mezinárodní konkurenceschopnost, rovné podmínky atd.). Toto monitorování je v souladu s Pařížskou dohodou a cíli udržitelného rozvoje, včetně rovnosti žen a mužů, a nenarušuje ochranu lidských práv, sociálních a pracovních práv nebo norem v oblasti životního prostředí a ochrany spotřebitele. Za tímto účelem navrhujeme také vytvoření evropského poradního orgánu pro konkurenceschopnost, který by sledoval, jak je prováděno monitorování konkurenceschopnosti, a zejména aby posoudil kumulativní účinky právních předpisů a předložil návrhy na zlepšení vhodných rámcových podmínek pro konkurenceschopnost podniků EU. Tento orgán by měl do své správy zahrnout organizovanou občanskou společnost a sociální partnery; (diskuse)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0" w:name="__RefHeading___Toc298294_1346298689"/>
      <w:bookmarkEnd w:id="60"/>
      <w:r>
        <w:rPr/>
        <w:t>13. Návrh: Inkluzivní trhy práce</w:t>
      </w:r>
    </w:p>
    <w:p>
      <w:pPr>
        <w:pStyle w:val="P68B1DB1Normal15"/>
        <w:rPr>
          <w:b/>
          <w:b/>
        </w:rPr>
      </w:pPr>
      <w:r>
        <w:rPr/>
        <w:t>Cíl: Navrhujeme zlepšit fungování trhů práce s cílem zajistit spravedlivější pracovní podmínky a podporovat rovnost žen a mužů a zaměstnanost, zejména pro mladé lidi a zranitelné skupiny. EU, členské státy a sociální partneři musí pracovat na odstranění chudoby pracovníků, posílit práva pracovníků platforem, zakázat neplacené stáže a zajistit spravedlivou pracovní mobilitu v Unii. Musíme podporovat sociální dialog a kolektivní vyjednávání. Musíme zajistit plné provádění evropského pilíře sociálních práv, včetně jeho příslušných hlavních cílů do roku 2030, na evropské, vnitrostátní, regionální a místní úrovni v oblastech „rovných příležitostí a přístupu na trh práce“ a „spravedlivých pracovních podmínek“ a současně respektovat pravomoci a zásady subsidiarity a proporcionality a zahrnout do Smluv protokol o sociálním pokroku. Přitom je nutné respektovat národní tradice a autonomii sociálních partnerů a spolupracovat s občanskou společností. Toho by mohlo být dosaženo prostřednictvím těchto opatření:</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Opatření</w:t>
      </w:r>
      <w:r>
        <w:rPr>
          <w:rStyle w:val="Ancredenotedefin"/>
          <w:rStyle w:val="Ancredenotedefin"/>
        </w:rPr>
        <w:endnoteReference w:id="11"/>
      </w:r>
      <w:r>
        <w:rPr/>
        <w:t>:</w:t>
      </w:r>
    </w:p>
    <w:p>
      <w:pPr>
        <w:pStyle w:val="Puce3"/>
        <w:tabs>
          <w:tab w:val="clear" w:pos="720"/>
        </w:tabs>
        <w:rPr/>
      </w:pPr>
      <w:r>
        <w:rPr/>
        <w:t>1.</w:t>
        <w:tab/>
        <w:t>Zajistit, aby zákonné minimální mzdy zaručily každému pracovníkovi důstojnou a podobnou kvalitu života ve všech členských státech. Při stanovování úrovně minimální mzdy by měla být stanovena jasná kritéria (např. životní náklady, inflace, úroveň nad hranicí chudoby, průměrná a medián mezd na vnitrostátní úrovni). Úrovně zákonných minimálních mezd by měly být pravidelně přezkoumávány s ohledem na tato kritéria, aby byla zajištěna jejich přiměřenost. Zvláštní pozornost by měla být věnována účinnému provádění těchto pravidel a monitorování a sledování zlepšování životní úrovně. Zároveň by mělo být v celé Unii posíleno a podporováno kolektivní vyjednávání (PCE 1 a 30; 4.2; online platforma).</w:t>
      </w:r>
    </w:p>
    <w:p>
      <w:pPr>
        <w:pStyle w:val="Puce3"/>
        <w:tabs>
          <w:tab w:val="clear" w:pos="720"/>
        </w:tabs>
        <w:rPr/>
      </w:pPr>
      <w:r>
        <w:rPr/>
        <w:t>2.</w:t>
        <w:tab/>
        <w:t>Zhodnotit a dále posílit provádění směrnice o pracovní době (směrnice 2003/88/ES) a dalších příslušných právních předpisů, které zajišťují zdravou rovnováhu mezi pracovním a soukromým životem, a zároveň zvážit nové vnitrostátní politiky v této oblasti (CEP 2).</w:t>
      </w:r>
    </w:p>
    <w:p>
      <w:pPr>
        <w:pStyle w:val="Puce3"/>
        <w:tabs>
          <w:tab w:val="clear" w:pos="720"/>
        </w:tabs>
        <w:rPr/>
      </w:pPr>
      <w:r>
        <w:rPr/>
        <w:t>3.</w:t>
        <w:tab/>
        <w:t>Zavést nebo posílit stávající právní předpisy týkající se „inteligentní práce“ a povzbuzovat podniky, aby tento nový způsob práce podporovaly. (PCE 7) Unie by měla zaručit právo odpojit se, učinit více pro řešení digitální propasti na pracovišti a posoudit dopady práce na dálku na zdraví, pracovní dobu a výkonnost. Je třeba zajistit spravedlivou digitalizaci založenou na lidských právech, lepších pracovních podmínkách a kolektivním vyjednávání (diskuse).</w:t>
      </w:r>
    </w:p>
    <w:p>
      <w:pPr>
        <w:pStyle w:val="Puce3"/>
        <w:tabs>
          <w:tab w:val="clear" w:pos="720"/>
        </w:tabs>
        <w:rPr/>
      </w:pPr>
      <w:r>
        <w:rPr/>
        <w:t>4.</w:t>
        <w:tab/>
        <w:t>Integrace politik zaměstnanosti na úrovni EU, kde aktivní politiky trhu práce zůstávají ústřední a stále koordinovanější (IT 6.2), zatímco členské státy se zaměřují na další reformní úsilí o vytvoření příznivých podmínek pro vytváření kvalitních pracovních míst (diskuse).</w:t>
      </w:r>
    </w:p>
    <w:p>
      <w:pPr>
        <w:pStyle w:val="Puce3"/>
        <w:tabs>
          <w:tab w:val="clear" w:pos="720"/>
        </w:tabs>
        <w:rPr/>
      </w:pPr>
      <w:r>
        <w:rPr/>
        <w:t>5.</w:t>
        <w:tab/>
        <w:t>Přijmout opatření k zajištění plné ochrany sociálních práv a přednosti před hospodářskými svobodami v případě konfliktu, mimo jiné zavedením protokolu o sociálním pokroku ve smlouvách (on-line platforma, diskuse).</w:t>
      </w:r>
    </w:p>
    <w:p>
      <w:pPr>
        <w:pStyle w:val="Puce3"/>
        <w:tabs>
          <w:tab w:val="clear" w:pos="720"/>
        </w:tabs>
        <w:rPr/>
      </w:pPr>
      <w:r>
        <w:rPr/>
        <w:t>6.</w:t>
        <w:tab/>
        <w:t>Zajištění rovnosti žen a mužů v souladu se strategií EU pro rovnost žen a mužů na období 2020–2025. Unie by měla nadále měřit rovnost žen a mužů prostřednictvím indexu rovnosti žen a mužů (postihy, rozdíly v odměňování, zaměstnanost, vedení atd.), sledovat strategii každoročně, být transparentní, pokud jde o dosažené výsledky, podporovat sdílení odborných znalostí a osvědčených postupů a zřídit možný přímý mechanismus pro zpětnou vazbu občanů (např. veřejný ochránce práv) (ECP 28; 5.a.1). Je třeba řešit rozdíly v odměňování žen a mužů a zavést kvóty pro vyšší vedoucí pozice. Podnikatelky by měly mít prospěch ze zvýšené podpory podnikatelského prostředí, stejně jako ženy ve vědě, technice, inženýrství a matematice (diskuse).</w:t>
      </w:r>
    </w:p>
    <w:p>
      <w:pPr>
        <w:pStyle w:val="Puce3"/>
        <w:tabs>
          <w:tab w:val="clear" w:pos="720"/>
        </w:tabs>
        <w:rPr/>
      </w:pPr>
      <w:r>
        <w:rPr/>
        <w:t>7.</w:t>
        <w:tab/>
        <w:t>Podporovat zaměstnanost mladých lidí, mimo jiné prostřednictvím finanční podpory pro podniky, ale také poskytováním dodatečné podpory zaměstnavatelům a pracovníkům (NL 4) a podporou mladých podnikatelů a mladých osob samostatně výdělečně činných, například prostřednictvím vzdělávacích nástrojů a kurzů (diskuse).</w:t>
      </w:r>
    </w:p>
    <w:p>
      <w:pPr>
        <w:pStyle w:val="Puce3"/>
        <w:tabs>
          <w:tab w:val="clear" w:pos="720"/>
        </w:tabs>
        <w:rPr/>
      </w:pPr>
      <w:r>
        <w:rPr/>
        <w:t>8.</w:t>
        <w:tab/>
        <w:t>Podporovat zaměstnávání znevýhodněných skupin (NL 4), zejména pro osoby se zdravotním postižením (online platforma).</w:t>
      </w:r>
    </w:p>
    <w:p>
      <w:pPr>
        <w:pStyle w:val="Puce3"/>
        <w:tabs>
          <w:tab w:val="clear" w:pos="720"/>
        </w:tabs>
        <w:rPr/>
      </w:pPr>
      <w:r>
        <w:rPr/>
        <w:t>9.</w:t>
        <w:tab/>
        <w:t>Podporovat zaměstnanost a sociální mobilitu, aby lidé měli všechny příležitosti k osobnímu rozvoji a sebeurčení. (Bod 5.a.4 a IT 6.1) Mohou existovat dlouhodobá strategie, která zajistí, že každý v naší společnosti bude mít správné schopnosti najít si práci a rozvíjet svůj talent, zejména mladší generace (diskuse). Je důležité investovat do dovedností přizpůsobených měnícím se potřebám trhu práce a podporovat celoživotní učení mimo jiné prostřednictvím výměnného programu ve všech fázích života a zaručit právo na celoživotní učení a právo na odbornou přípravu. (FR 6; Za tímto účelem je nezbytné posílit spolupráci mezi podniky, odbory a poskytovateli služeb odborného vzdělávání a přípravy (diskuse).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1" w:name="__RefHeading___Toc298296_1346298689"/>
      <w:bookmarkEnd w:id="61"/>
      <w:r>
        <w:rPr/>
        <w:t>14. Návrh: Silnější sociální politiky</w:t>
      </w:r>
    </w:p>
    <w:p>
      <w:pPr>
        <w:pStyle w:val="Normal"/>
        <w:rPr/>
      </w:pPr>
      <w:r>
        <w:rPr/>
        <w:t>Cíl: Navrhujeme snížit nerovnosti, bojovat proti sociálnímu vyloučení a chudobě. Musíme zavést komplexní strategii boje proti chudobě, která by mohla zahrnovat mimo jiné posílení záruky pro děti a záruky pro mladé lidi, zavedení minimálních mezd, společný evropský rámec pro systémy minimálního příjmu a důstojné sociální bydlení. Musíme zajistit plné provádění evropského pilíře sociálních práv, včetně jeho příslušných hlavních cílů pro rok 2030, na evropské, vnitrostátní, regionální a místní úrovni v oblastech „sociální ochrany a začlenění“ při současném respektování příslušných pravomocí a zásad subsidiarity a proporcionality a zahrnout do Smluv protokol o sociálním pokroku. Toho by mohlo být dosaženo prostřednictvím těchto opatření:</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Opatření</w:t>
      </w:r>
      <w:r>
        <w:rPr>
          <w:rStyle w:val="Ancredenotedefin"/>
          <w:rStyle w:val="Ancredenotedefin"/>
        </w:rPr>
        <w:endnoteReference w:id="12"/>
      </w:r>
      <w:r>
        <w:rPr/>
        <w:t>:</w:t>
      </w:r>
    </w:p>
    <w:p>
      <w:pPr>
        <w:pStyle w:val="Puce3"/>
        <w:tabs>
          <w:tab w:val="clear" w:pos="720"/>
        </w:tabs>
        <w:rPr/>
      </w:pPr>
      <w:r>
        <w:rPr/>
        <w:t>1.</w:t>
        <w:tab/>
        <w:t>Posílit pravomoci Unie v oblasti sociálních politik a navrhnout harmonizované právní předpisy v celé Unii na podporu sociálních politik a zajištění rovných práv, včetně práv v oblasti zdraví, s přihlédnutím k přijatým předpisům a minimálním požadavkům na celém území. (CEP 19 a 21) EU by mohla podporovat a doplňovat politiky členských států, mimo jiné tím, že navrhne společný rámec pro zajištění minimálního příjmu, aby nikdo nebyl opomenut. Tato opatření by měla být prováděna v rámci plného provádění evropského pilíře sociálních práv a jeho akčního plánu (diskuse).</w:t>
      </w:r>
    </w:p>
    <w:p>
      <w:pPr>
        <w:pStyle w:val="Puce3"/>
        <w:tabs>
          <w:tab w:val="clear" w:pos="720"/>
        </w:tabs>
        <w:rPr/>
      </w:pPr>
      <w:r>
        <w:rPr/>
        <w:t>2.</w:t>
        <w:tab/>
        <w:t>Nekompromisujte sociální práva (veřejné zdraví, veřejné vzdělávání, politika práce). (Bod 4.a.1)</w:t>
      </w:r>
    </w:p>
    <w:p>
      <w:pPr>
        <w:pStyle w:val="Puce3"/>
        <w:tabs>
          <w:tab w:val="clear" w:pos="720"/>
        </w:tabs>
        <w:rPr/>
      </w:pPr>
      <w:r>
        <w:rPr/>
        <w:t>3.</w:t>
        <w:tab/>
        <w:t>Podporovat sociální a zdravotní výzkum v EU v souladu s prioritami považovanými za veřejný zájem a schválenými členskými státy a zajistit odpovídající financování. Toho lze částečně dosáhnout posílením spolupráce mezi oblastmi odborných znalostí, zeměmi a studijními středisky (univerzity atd.) (CEP 20).</w:t>
      </w:r>
    </w:p>
    <w:p>
      <w:pPr>
        <w:pStyle w:val="Puce3"/>
        <w:tabs>
          <w:tab w:val="clear" w:pos="720"/>
        </w:tabs>
        <w:rPr/>
      </w:pPr>
      <w:r>
        <w:rPr/>
        <w:t>4.</w:t>
        <w:tab/>
        <w:t>Poskytnout přístup ke zdravotnickým službám všem osobám mladším 16 let v celé EU, pokud tyto služby nejsou k dispozici ve vnitrostátním kontextu (diskuse).</w:t>
      </w:r>
    </w:p>
    <w:p>
      <w:pPr>
        <w:pStyle w:val="Puce3"/>
        <w:tabs>
          <w:tab w:val="clear" w:pos="720"/>
        </w:tabs>
        <w:rPr/>
      </w:pPr>
      <w:r>
        <w:rPr/>
        <w:t>5.</w:t>
        <w:tab/>
        <w:t>Zajistit, aby EU společně se sociálními partnery a vládami členských států podporovala cílený přístup občanů k důstojnému sociálnímu bydlení v souladu s jejich specifickými potřebami; finanční úsilí by mělo být sdíleno mezi soukromými dárci, vlastníky domů, příjemci bydlení, vládami členských států na ústřední a místní úrovni a Evropskou unií (ECP 25).</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2" w:name="__RefHeading___Toc298298_1346298689"/>
      <w:bookmarkEnd w:id="62"/>
      <w:r>
        <w:rPr/>
        <w:t>15. Návrh: Demografická transformace</w:t>
      </w:r>
    </w:p>
    <w:p>
      <w:pPr>
        <w:pStyle w:val="P68B1DB1Normal15"/>
        <w:rPr>
          <w:b/>
          <w:b/>
        </w:rPr>
      </w:pPr>
      <w:r>
        <w:rPr/>
        <w:t>Cíl: navrhujeme řešit problémy vyplývající z demografické transformace jako kritické součásti celkové odolnosti Evropy, zejména nízké porodnosti a neustálého stárnutí obyvatelstva, a poskytovat podporu lidem po celý život. Mělo by se jednat o komplexní akci zaměřenou na všechny generace, od dětí a mladých lidí po rodiny, obyvatelstvo v produktivním věku, starší osoby, které jsou stále připraveny pracovat, a pro ty, kteří jsou v důchodu nebo potřebují péči. Toho by mohlo být dosaženo prostřednictvím těchto opatření:</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Opatření</w:t>
      </w:r>
      <w:r>
        <w:rPr>
          <w:rStyle w:val="Ancredenotedefin"/>
          <w:rStyle w:val="Ancredenotedefin"/>
        </w:rPr>
        <w:endnoteReference w:id="13"/>
      </w:r>
      <w:r>
        <w:rPr/>
        <w:t>:</w:t>
      </w:r>
    </w:p>
    <w:p>
      <w:pPr>
        <w:pStyle w:val="Puce3"/>
        <w:tabs>
          <w:tab w:val="clear" w:pos="720"/>
        </w:tabs>
        <w:rPr/>
      </w:pPr>
      <w:r>
        <w:rPr/>
        <w:t>1.</w:t>
        <w:tab/>
        <w:t>Zajistit kvalitní, cenově dostupné a dostupné služby péče o děti v celé EU, aby matky a otcové mohli s jistotou sladit pracovní a rodinný život. Tam, kde je to vhodné, by to mohlo zahrnovat možnosti péče o děti na pracovišti nebo v jeho blízkosti. V některých členských státech je k dispozici také jednodenní péče o děti, která by měla sloužit jako příklad. Tato opatření by navíc mohla být doprovázena podpůrnými opatřeními, jako jsou snížené sazby DPH na vybavení potřebné pro děti. Je nezbytné předcházet dětské chudobě a sociálnímu vyloučení. (CEP 22–26) Posílení záruky pro děti zajištěním přístupu dětí ke službám, jako je vzdělávání a péče o děti, zdravotní péče, výživa a bydlení, by mohlo být nástrojem k dosažení tohoto cíle (e-platforma, diskuse).</w:t>
      </w:r>
    </w:p>
    <w:p>
      <w:pPr>
        <w:pStyle w:val="Puce3"/>
        <w:tabs>
          <w:tab w:val="clear" w:pos="720"/>
        </w:tabs>
        <w:rPr/>
      </w:pPr>
      <w:r>
        <w:rPr/>
        <w:t>2.</w:t>
        <w:tab/>
        <w:t>Zavést zvláštní podporu a ochranu práce pro mladé lidi. Opatření zaměřená na obyvatelstvo v produktivním věku by měla zahrnovat přístup matek a otců ke znalostem po návratu do práce (CEP 22). Posílení záruk pro mladé lidi by mohlo být nástrojem ke zlepšení přístupu mladých lidí mladších 30 let k kvalitní nabídce zaměstnání, průběžného vzdělávání, učňovské přípravy nebo stáží. (diskuse)</w:t>
      </w:r>
    </w:p>
    <w:p>
      <w:pPr>
        <w:pStyle w:val="Puce3"/>
        <w:tabs>
          <w:tab w:val="clear" w:pos="720"/>
        </w:tabs>
        <w:rPr/>
      </w:pPr>
      <w:r>
        <w:rPr/>
        <w:t>3.</w:t>
        <w:tab/>
        <w:t>Podporovat právo na volný pohyb vzdělávání v rámci Unie, zejména prostřednictvím vzájemného uznávání diplomů, platových tříd, kompetencí a kvalifikací. (diskuse)</w:t>
      </w:r>
    </w:p>
    <w:p>
      <w:pPr>
        <w:pStyle w:val="Puce3"/>
        <w:tabs>
          <w:tab w:val="clear" w:pos="720"/>
        </w:tabs>
        <w:rPr/>
      </w:pPr>
      <w:r>
        <w:rPr/>
        <w:t>4.</w:t>
        <w:tab/>
        <w:t>Zlepšit právní předpisy a jejich provádění s cílem poskytnout podporu rodinám ve všech členských státech, například pokud jde o rodičovskou dovolenou a příspěvky na porod a péči o děti. (PCE 26 a IT 5.a.1) Bydlení hraje klíčovou úlohu při podpoře rodin a mělo by být řešeno (online platforma, diskuse).</w:t>
      </w:r>
    </w:p>
    <w:p>
      <w:pPr>
        <w:pStyle w:val="Puce3"/>
        <w:tabs>
          <w:tab w:val="clear" w:pos="720"/>
        </w:tabs>
        <w:rPr/>
      </w:pPr>
      <w:r>
        <w:rPr/>
        <w:t>5.</w:t>
        <w:tab/>
        <w:t>Přijmout opatření k zajištění toho, aby všechny rodiny požívaly stejných rodinných práv ve všech členských státech. To by mělo zahrnovat právo na manželství a adopci. (PCE 27)</w:t>
      </w:r>
    </w:p>
    <w:p>
      <w:pPr>
        <w:pStyle w:val="Puce3"/>
        <w:tabs>
          <w:tab w:val="clear" w:pos="720"/>
        </w:tabs>
        <w:rPr/>
      </w:pPr>
      <w:r>
        <w:rPr/>
        <w:t>6.</w:t>
        <w:tab/>
        <w:t>Podporovat pružný věk odchodu do důchodu s ohledem na specifickou situaci starších osob. Při určování věku odchodu do důchodu je nutné rozlišovat podle profese, a proto zohlednit obzvláště náročnou práci, a to jak duševní, tak fyzickou. (PCE 21 a IT 5.a.1)</w:t>
      </w:r>
    </w:p>
    <w:p>
      <w:pPr>
        <w:pStyle w:val="Puce3"/>
        <w:tabs>
          <w:tab w:val="clear" w:pos="720"/>
        </w:tabs>
        <w:rPr/>
      </w:pPr>
      <w:r>
        <w:rPr/>
        <w:t>7.</w:t>
        <w:tab/>
        <w:t>Předcházet chudobě starších lidí zavedením minimálních důchodů. Tyto minimální úrovně by měly zohledňovat životní úroveň, hranici chudoby a kupní sílu v dotčeném členském státě. (PCE 21)</w:t>
      </w:r>
    </w:p>
    <w:p>
      <w:pPr>
        <w:pStyle w:val="Puce3"/>
        <w:tabs>
          <w:tab w:val="clear" w:pos="720"/>
        </w:tabs>
        <w:rPr/>
      </w:pPr>
      <w:r>
        <w:rPr/>
        <w:t>8.</w:t>
        <w:tab/>
        <w:t>Zajistit odpovídající sociální pomoc a zdravotní péči pro seniory. Při tom je důležité zaměřit se jak na komunitní péči, tak na péči o bydlení. Podobně musí opatření brát v úvahu jak příjemce péče, tak poskytovatele péče. (PCE 23)</w:t>
      </w:r>
    </w:p>
    <w:p>
      <w:pPr>
        <w:pStyle w:val="Puce3"/>
        <w:tabs>
          <w:tab w:val="clear" w:pos="720"/>
        </w:tabs>
        <w:rPr/>
      </w:pPr>
      <w:r>
        <w:rPr/>
        <w:t>9.</w:t>
        <w:tab/>
        <w:t>Zajistit udržitelný rozvoj a demografickou odolnost zaostávajících regionů, aby byly dynamičtější a atraktivnější, mimo jiné prostřednictvím politiky soudržnosti. (online platforma a diskuse)</w:t>
      </w:r>
    </w:p>
    <w:p>
      <w:pPr>
        <w:pStyle w:val="Puce3"/>
        <w:tabs>
          <w:tab w:val="clear" w:pos="720"/>
        </w:tabs>
        <w:rPr/>
      </w:pPr>
      <w:r>
        <w:rPr/>
        <w:t>10.</w:t>
        <w:tab/>
        <w:t>Přijmout koordinovaná opatření na evropské úrovni za účelem shromažďování údajů rozčleněných podle faktorů, jako je pohlaví, a analyzovat demografické trendy, sdílet osvědčené postupy a znalosti a pomáhat členským státům při vytváření a provádění vhodných politik, mimo jiné zřízením orgánu EU specializovaného na tuto oblast. (online platforma a diskuse).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63" w:name="__RefHeading___Toc298300_1346298689"/>
      <w:bookmarkEnd w:id="63"/>
      <w:r>
        <w:rPr/>
        <w:t>16. Návrh: Fiskální a fiskální politika</w:t>
      </w:r>
    </w:p>
    <w:p>
      <w:pPr>
        <w:pStyle w:val="P68B1DB1Normal15"/>
        <w:rPr>
          <w:b/>
          <w:b/>
        </w:rPr>
      </w:pPr>
      <w:r>
        <w:rPr/>
        <w:t>Cíl: navrhujeme, aby EU podporovala investice zaměřené na budoucnost zaměřené na ekologickou a digitální transformaci se silným sociálním a genderovým rozměrem, a to s přihlédnutím k příkladům nástroje Next Generation EU a evropského nástroje pro dočasnou podporu ke zmírnění rizik nezaměstnanosti v mimořádných situacích (SURE). Unie musí zohlednit sociální a hospodářský dopad války proti Ukrajině a souvislost mezi její správou ekonomických záležitostí a novým geopolitickým kontextem tím, že posílí svůj vlastní rozpočet o nové vlastní zdroje. Občané chtějí, aby se zdanění odvrátilo od občanů a malých a středních podniků a zaměřilo se na daňové podvodníky, velké znečišťovatele a digitální giganty, a zároveň chtějí, aby EU podporovala schopnost členských států a místních orgánů financovat samy sebe a využívat finanční prostředky EU. Tohoto cíle by mělo být dosaženo prostřednictvím těchto opatření:</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Opatření</w:t>
      </w:r>
      <w:r>
        <w:rPr>
          <w:rStyle w:val="Ancredenotedefin"/>
          <w:rStyle w:val="Ancredenotedefin"/>
        </w:rPr>
        <w:endnoteReference w:id="14"/>
      </w:r>
      <w:r>
        <w:rPr/>
        <w:t>:</w:t>
      </w:r>
    </w:p>
    <w:p>
      <w:pPr>
        <w:pStyle w:val="Puce3"/>
        <w:tabs>
          <w:tab w:val="clear" w:pos="720"/>
        </w:tabs>
        <w:rPr/>
      </w:pPr>
      <w:r>
        <w:rPr/>
        <w:t>1.</w:t>
        <w:tab/>
        <w:t>Harmonizovat a koordinovat daňové politiky v členských státech EU s cílem předcházet daňovým únikům a vyhýbání se daňovým povinnostem, vyhnout se daňovým rájům v rámci EU a zaměřit se na přemísťování v rámci Evropy, mimo jiné zajištěním toho, aby daňová rozhodnutí mohla být přijímána kvalifikovanou většinou v Radě EU. Na druhé straně existují doporučení občanských panelů, že zdanění spadá do pravomoci různých zemí, které mají své vlastní cíle a okolnosti. (PCE 13 a 31, IT 4.b.3, NL 2.3)</w:t>
      </w:r>
    </w:p>
    <w:p>
      <w:pPr>
        <w:pStyle w:val="Puce3"/>
        <w:tabs>
          <w:tab w:val="clear" w:pos="720"/>
        </w:tabs>
        <w:rPr/>
      </w:pPr>
      <w:r>
        <w:rPr/>
        <w:t>2.</w:t>
        <w:tab/>
        <w:t>Podporovat spolupráci mezi členskými státy EU s cílem zajistit, aby všechny společnosti v EU platily spravedlivý podíl daní; zavést společný základ daně z příjmů právnických osob (CCTB) nebo minimální efektivní sazbu. (NL 3)</w:t>
      </w:r>
    </w:p>
    <w:p>
      <w:pPr>
        <w:pStyle w:val="Puce3"/>
        <w:tabs>
          <w:tab w:val="clear" w:pos="720"/>
        </w:tabs>
        <w:rPr/>
      </w:pPr>
      <w:r>
        <w:rPr/>
        <w:t>3.</w:t>
        <w:tab/>
        <w:t>Zajistěte, aby společnosti platily daně tam, kde jsou vytvářeny zisky. (PCE 13)</w:t>
      </w:r>
    </w:p>
    <w:p>
      <w:pPr>
        <w:pStyle w:val="Puce3"/>
        <w:tabs>
          <w:tab w:val="clear" w:pos="720"/>
        </w:tabs>
        <w:rPr/>
      </w:pPr>
      <w:r>
        <w:rPr/>
        <w:t>4.</w:t>
        <w:tab/>
        <w:t>Zajistit, aby daňová politika podporovala evropský průmysl a zabránila ztrátám pracovních míst v Evropě. (PCE 13 a 31)</w:t>
      </w:r>
    </w:p>
    <w:p>
      <w:pPr>
        <w:pStyle w:val="Puce3"/>
        <w:tabs>
          <w:tab w:val="clear" w:pos="720"/>
        </w:tabs>
        <w:rPr/>
      </w:pPr>
      <w:r>
        <w:rPr/>
        <w:t>5.</w:t>
        <w:tab/>
        <w:t>Podrobněji prozkoumat možnost společných půjček na úrovni Unie s cílem vytvořit příznivější podmínky pro poskytování úvěrů a zároveň zachovat odpovědné fiskální politiky na úrovni členských států. (LT 9)</w:t>
      </w:r>
    </w:p>
    <w:p>
      <w:pPr>
        <w:pStyle w:val="Puce3"/>
        <w:tabs>
          <w:tab w:val="clear" w:pos="720"/>
        </w:tabs>
        <w:rPr/>
      </w:pPr>
      <w:r>
        <w:rPr/>
        <w:t>6.</w:t>
        <w:tab/>
        <w:t>Posílit monitorování čerpání a využívání finančních prostředků Unie, a to i na místní a obecní úrovni.(LT 10)</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4">
            <wp:simplePos x="0" y="0"/>
            <wp:positionH relativeFrom="column">
              <wp:posOffset>14605</wp:posOffset>
            </wp:positionH>
            <wp:positionV relativeFrom="paragraph">
              <wp:posOffset>8890</wp:posOffset>
            </wp:positionV>
            <wp:extent cx="913765" cy="913765"/>
            <wp:effectExtent l="0" t="0" r="0" b="0"/>
            <wp:wrapSquare wrapText="largest"/>
            <wp:docPr id="64" name="Obrázek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Obrázek24" descr=""/>
                    <pic:cNvPicPr>
                      <a:picLocks noChangeAspect="1" noChangeArrowheads="1"/>
                    </pic:cNvPicPr>
                  </pic:nvPicPr>
                  <pic:blipFill>
                    <a:blip r:embed="rId76"/>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64" w:name="__RefHeading___Toc298302_1346298689"/>
      <w:bookmarkEnd w:id="64"/>
      <w:r>
        <w:rPr/>
        <w:t>„</w:t>
      </w:r>
      <w:r>
        <w:rPr/>
        <w:t>EU ve světě“</w:t>
      </w:r>
    </w:p>
    <w:p>
      <w:pPr>
        <w:pStyle w:val="Titre3"/>
        <w:numPr>
          <w:ilvl w:val="2"/>
          <w:numId w:val="2"/>
        </w:numPr>
        <w:rPr/>
      </w:pPr>
      <w:bookmarkStart w:id="65" w:name="__RefHeading___Toc298304_1346298689"/>
      <w:bookmarkEnd w:id="65"/>
      <w:r>
        <w:rPr/>
        <w:t>17. Návrh: Snížení závislosti EU na zahraničních aktérech ve strategických odvětvích z hospodářského hlediska</w:t>
      </w:r>
    </w:p>
    <w:p>
      <w:pPr>
        <w:pStyle w:val="P68B1DB1Normal15"/>
        <w:rPr>
          <w:b/>
          <w:b/>
        </w:rPr>
      </w:pPr>
      <w:r>
        <w:rPr/>
        <w:t>Cíl: Navrhujeme, aby EU podnikla kroky k posílení své autonomie v klíčových strategických odvětvích, jako jsou zemědělské produkty, strategické ekonomické zboží, polovodiče, zdravotnické výrobky, inovativní digitální a environmentální technologie a energetika, a to prostřednictvím těchto opatření:</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Opatření:</w:t>
      </w:r>
    </w:p>
    <w:p>
      <w:pPr>
        <w:pStyle w:val="Puce3"/>
        <w:tabs>
          <w:tab w:val="clear" w:pos="720"/>
        </w:tabs>
        <w:rPr/>
      </w:pPr>
      <w:r>
        <w:rPr/>
        <w:t>1.</w:t>
        <w:tab/>
        <w:t>Podpora činností v oblasti výzkumu, vývoje a inovací a spolupráce mezi veřejnými a soukromými partnery v této oblasti.</w:t>
      </w:r>
    </w:p>
    <w:p>
      <w:pPr>
        <w:pStyle w:val="Puce3"/>
        <w:tabs>
          <w:tab w:val="clear" w:pos="720"/>
        </w:tabs>
        <w:rPr/>
      </w:pPr>
      <w:r>
        <w:rPr/>
        <w:t>2.</w:t>
        <w:tab/>
        <w:t>Zachování ambiciózní agendy pro obchodní jednání, která může pomoci posílit odolnost a diverzifikaci dodavatelských řetězců, zejména pokud jde o suroviny, a zároveň spravedlivěji sdílet přínosy obchodu s více partnery, a tím omezit naši expozici a závislost na malém počtu dodavatelů, kteří mohou představovat riziko</w:t>
      </w:r>
      <w:r>
        <w:rPr>
          <w:rStyle w:val="Ancredenotedefin"/>
          <w:rStyle w:val="Ancredenotedefin"/>
        </w:rPr>
        <w:endnoteReference w:id="15"/>
      </w:r>
      <w:r>
        <w:rPr/>
        <w:t>.</w:t>
      </w:r>
    </w:p>
    <w:p>
      <w:pPr>
        <w:pStyle w:val="Puce3"/>
        <w:tabs>
          <w:tab w:val="clear" w:pos="720"/>
        </w:tabs>
        <w:rPr/>
      </w:pPr>
      <w:r>
        <w:rPr/>
        <w:t>3.</w:t>
        <w:tab/>
        <w:t>Větší odolnost dodavatelských řetězců EU podporou investic do strategických odvětví v Unii, skladováním kritické výroby a zařízení a diverzifikací zdrojů dodávek kritických surovin.</w:t>
      </w:r>
    </w:p>
    <w:p>
      <w:pPr>
        <w:pStyle w:val="Puce3"/>
        <w:tabs>
          <w:tab w:val="clear" w:pos="720"/>
        </w:tabs>
        <w:rPr/>
      </w:pPr>
      <w:r>
        <w:rPr/>
        <w:t>4.</w:t>
        <w:tab/>
        <w:t>Nové investice do dotvoření vnitřního trhu a vytvoření rovných podmínek pro zvýšení přitažlivosti výroby a nákupu těchto položek v Evropské unii.</w:t>
      </w:r>
    </w:p>
    <w:p>
      <w:pPr>
        <w:pStyle w:val="Puce3"/>
        <w:tabs>
          <w:tab w:val="clear" w:pos="720"/>
        </w:tabs>
        <w:rPr/>
      </w:pPr>
      <w:r>
        <w:rPr/>
        <w:t>5.</w:t>
        <w:tab/>
        <w:t>Podporovat, aby tyto produkty byly dostupné a cenově dostupné pro evropské spotřebitele, a pomoci snížit vnější závislost, například prostřednictvím strukturálních a regionálních politik, daňových úlev, dotací, investic do infrastruktury a výzkumu, posílení konkurenceschopnosti malých a středních podniků, jakož i vzdělávacích programů s cílem zachovat odpovídající dovednosti a pracovní místa v Evropě, které jsou relevantní pro zajištění základních potřeb</w:t>
      </w:r>
      <w:r>
        <w:rPr>
          <w:rStyle w:val="Ancredenotedefin"/>
          <w:rStyle w:val="Ancredenotedefin"/>
        </w:rPr>
        <w:endnoteReference w:id="16"/>
      </w:r>
      <w:r>
        <w:rPr/>
        <w:t>.</w:t>
      </w:r>
    </w:p>
    <w:p>
      <w:pPr>
        <w:pStyle w:val="Puce3"/>
        <w:tabs>
          <w:tab w:val="clear" w:pos="720"/>
        </w:tabs>
        <w:rPr/>
      </w:pPr>
      <w:r>
        <w:rPr/>
        <w:t>6.</w:t>
        <w:tab/>
        <w:t>Evropský program na podporu malých místních producentů ve strategických odvětvích ve všech členských</w:t>
      </w:r>
      <w:r>
        <w:rPr>
          <w:rStyle w:val="Ancredenotedefin"/>
          <w:rStyle w:val="Ancredenotedefin"/>
        </w:rPr>
        <w:endnoteReference w:id="17"/>
      </w:r>
      <w:r>
        <w:rPr/>
        <w:t>státech s větším využitím programů a finančních nástrojů EU, jako je InvestEU.</w:t>
      </w:r>
    </w:p>
    <w:p>
      <w:pPr>
        <w:pStyle w:val="Puce3"/>
        <w:tabs>
          <w:tab w:val="clear" w:pos="720"/>
        </w:tabs>
        <w:rPr/>
      </w:pPr>
      <w:r>
        <w:rPr/>
        <w:t>7.</w:t>
        <w:tab/>
        <w:t>Lepší spolupráce mezi členskými státy při řízení řízení rizik dodavatelského řetězce.</w:t>
      </w:r>
      <w:r>
        <w:rPr>
          <w:rStyle w:val="Ancredenotedefin"/>
          <w:rStyle w:val="Ancredenotedefin"/>
        </w:rPr>
        <w:endnoteReference w:id="18"/>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6" w:name="__RefHeading___Toc298306_1346298689"/>
      <w:bookmarkEnd w:id="66"/>
      <w:r>
        <w:rPr/>
        <w:t>18. Návrh: Snížení závislosti EU na zahraničních aktérech v oblasti energetiky</w:t>
      </w:r>
    </w:p>
    <w:p>
      <w:pPr>
        <w:pStyle w:val="P68B1DB1Normal15"/>
        <w:rPr>
          <w:b/>
          <w:b/>
        </w:rPr>
      </w:pPr>
      <w:r>
        <w:rPr/>
        <w:t>Cíl: Navrhujeme, aby EU v souvislosti s probíhající ekologickou transformací dosáhla větší autonomie, pokud jde o výrobu a dodávky energie, a to prostřednictvím těchto opatření:</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Opatření:</w:t>
      </w:r>
    </w:p>
    <w:p>
      <w:pPr>
        <w:pStyle w:val="Puce3"/>
        <w:tabs>
          <w:tab w:val="clear" w:pos="720"/>
        </w:tabs>
        <w:rPr/>
      </w:pPr>
      <w:r>
        <w:rPr/>
        <w:t>1.</w:t>
        <w:tab/>
        <w:t>Přijetí strategie, která má zvýšit jeho nezávislost při výrobě energie. Evropský orgán by měl integrovat stávající evropské energetické agentury, koordinovat rozvoj energie z obnovitelných zdrojů a podporovat sdílení znalostí</w:t>
      </w:r>
      <w:r>
        <w:rPr>
          <w:rStyle w:val="Ancredenotedefin"/>
          <w:rStyle w:val="Ancredenotedefin"/>
        </w:rPr>
        <w:endnoteReference w:id="19"/>
      </w:r>
      <w:r>
        <w:rPr/>
        <w:t>.</w:t>
      </w:r>
    </w:p>
    <w:p>
      <w:pPr>
        <w:pStyle w:val="Puce3"/>
        <w:tabs>
          <w:tab w:val="clear" w:pos="720"/>
        </w:tabs>
        <w:rPr/>
      </w:pPr>
      <w:r>
        <w:rPr/>
        <w:t>2.</w:t>
        <w:tab/>
        <w:t>Aktivní podpora projektů veřejné dopravy a energetické účinnosti, vysokorychlostní evropské železniční sítě nákladní dopravy, rozšíření dodávek čisté a obnovitelné energie (včetně solární a větrné energie), alternativních technologií (např. vodíku nebo energetického využití odpadu) a přechodu v městských oblastech z jediné kultury automobilů na kulturu veřejné dopravy, sdílení elektromobilů a cyklistiku</w:t>
      </w:r>
      <w:r>
        <w:rPr>
          <w:rStyle w:val="Ancredenotedefin"/>
          <w:rStyle w:val="Ancredenotedefin"/>
        </w:rPr>
        <w:endnoteReference w:id="20"/>
      </w:r>
      <w:r>
        <w:rPr/>
        <w:t>.</w:t>
      </w:r>
    </w:p>
    <w:p>
      <w:pPr>
        <w:pStyle w:val="Puce3"/>
        <w:tabs>
          <w:tab w:val="clear" w:pos="720"/>
        </w:tabs>
        <w:rPr/>
      </w:pPr>
      <w:r>
        <w:rPr/>
        <w:t>3.</w:t>
        <w:tab/>
        <w:t>Zajištění spravedlivé a spravedlivé transformace, zejména podporou zranitelných občanů, kteří čelí největším výzvám při přechodu na klimatickou neutralitu a kteří již trpí vyššími cenami energie v důsledku závislosti na energii a nedávného ztrojnásobení cen energie.</w:t>
      </w:r>
    </w:p>
    <w:p>
      <w:pPr>
        <w:pStyle w:val="Normal"/>
        <w:rPr/>
      </w:pPr>
      <w:r>
        <w:rPr/>
      </w:r>
    </w:p>
    <w:p>
      <w:pPr>
        <w:pStyle w:val="Puce3"/>
        <w:tabs>
          <w:tab w:val="clear" w:pos="720"/>
        </w:tabs>
        <w:rPr/>
      </w:pPr>
      <w:r>
        <w:rPr/>
        <w:t>4.</w:t>
        <w:tab/>
        <w:t>Intenzivnější spolupráce při posuzování využívání jaderné energie v souvislosti s probíhající ekologickou transformací na energii z obnovitelných zdrojů v Evropě a zkoumání kolektivních otázek, které by mohla vyřešit nebo vytvořit, neboť ji stále využívá mnoho členských států</w:t>
      </w:r>
      <w:r>
        <w:rPr>
          <w:rStyle w:val="Ancredenotedefin"/>
          <w:rStyle w:val="Ancredenotedefin"/>
        </w:rPr>
        <w:endnoteReference w:id="21"/>
      </w:r>
      <w:r>
        <w:rPr/>
        <w:t>.</w:t>
      </w:r>
    </w:p>
    <w:p>
      <w:pPr>
        <w:pStyle w:val="Puce3"/>
        <w:tabs>
          <w:tab w:val="clear" w:pos="720"/>
        </w:tabs>
        <w:rPr/>
      </w:pPr>
      <w:r>
        <w:rPr/>
        <w:t>5.</w:t>
        <w:tab/>
        <w:t>Spolupráce s mezinárodními partnery, aby se zavázali k dosažení ambicióznějších cílů v oblasti změny klimatu na různých mezinárodních fórech, včetně G7 a G20.</w:t>
      </w:r>
    </w:p>
    <w:p>
      <w:pPr>
        <w:pStyle w:val="Puce3"/>
        <w:tabs>
          <w:tab w:val="clear" w:pos="720"/>
        </w:tabs>
        <w:rPr/>
      </w:pPr>
      <w:r>
        <w:rPr/>
        <w:t>6.</w:t>
        <w:tab/>
        <w:t>Propojení vnějšího obchodu s opatřeními politiky v oblasti změny klimatu (např. zavedením balíčku investičních opatření pro technologie a inovace šetrné ke klimatu, včetně programů financování)</w:t>
      </w:r>
      <w:r>
        <w:rPr>
          <w:rStyle w:val="Ancredenotedefin"/>
          <w:rStyle w:val="Ancredenotedefin"/>
        </w:rPr>
        <w:endnoteReference w:id="22"/>
      </w:r>
      <w:r>
        <w:rPr/>
        <w:t>.</w:t>
      </w:r>
    </w:p>
    <w:p>
      <w:pPr>
        <w:pStyle w:val="Puce3"/>
        <w:tabs>
          <w:tab w:val="clear" w:pos="720"/>
        </w:tabs>
        <w:rPr/>
      </w:pPr>
      <w:r>
        <w:rPr/>
        <w:t>7.</w:t>
        <w:tab/>
        <w:t>Společné nákupy dovážených energetických a udržitelných energetických partnerství s cílem snížit závislost Evropy na dovozu energie, zejména v oblasti plynu a ropy, a rozvíjet domácí zdroje energie v EU.</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7" w:name="__RefHeading___Toc298308_1346298689"/>
      <w:bookmarkEnd w:id="67"/>
      <w:r>
        <w:rPr/>
        <w:t>19. Návrh: Stanovení norem v rámci EU i mimo ni v oblasti obchodních a investičních vztahů</w:t>
      </w:r>
    </w:p>
    <w:p>
      <w:pPr>
        <w:pStyle w:val="P68B1DB1Normal15"/>
        <w:rPr>
          <w:b/>
          <w:b/>
        </w:rPr>
      </w:pPr>
      <w:r>
        <w:rPr/>
        <w:t>Cíl: Navrhujeme, aby EU posílila etický rozměr svých obchodních a investičních vztahů prostřednictvím těchto opatření:</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Opatření:</w:t>
      </w:r>
    </w:p>
    <w:p>
      <w:pPr>
        <w:pStyle w:val="Puce3"/>
        <w:tabs>
          <w:tab w:val="clear" w:pos="720"/>
        </w:tabs>
        <w:rPr/>
      </w:pPr>
      <w:r>
        <w:rPr/>
        <w:t>1.</w:t>
        <w:tab/>
        <w:t>Zachování a reforma naší multilaterální obchodní architektury založené na pravidlech a partnerství s podobně smýšlejícími demokraciemi.</w:t>
      </w:r>
    </w:p>
    <w:p>
      <w:pPr>
        <w:pStyle w:val="Puce3"/>
        <w:tabs>
          <w:tab w:val="clear" w:pos="720"/>
        </w:tabs>
        <w:rPr/>
      </w:pPr>
      <w:r>
        <w:rPr/>
        <w:t>2.</w:t>
        <w:tab/>
        <w:t>Účinné a přiměřené právní předpisy EU s cílem zajistit, aby byly normy důstojné práce plně uplatňovány ve všech globálních hodnotových řetězcích, a to i ve výrobních a dodavatelských procesech EU, a aby dovážené zboží splňovalo kvalitativní etické normy, normy udržitelného rozvoje a normy v oblasti lidských práv, včetně pracovních a odborových práv, tím, že budou nabízet certifikaci výrobků v souladu s těmito právními předpisy EU</w:t>
      </w:r>
      <w:r>
        <w:rPr>
          <w:rStyle w:val="Ancredenotedefin"/>
          <w:rStyle w:val="Ancredenotedefin"/>
        </w:rPr>
        <w:endnoteReference w:id="23"/>
      </w:r>
      <w:r>
        <w:rPr/>
        <w:t xml:space="preserve"> a zapojí se do celounijního dialogu zaměřeného na informování a vzdělávání o environmentálních a etických dopadech strategických změn v mezinárodním obchodu.</w:t>
      </w:r>
    </w:p>
    <w:p>
      <w:pPr>
        <w:pStyle w:val="Normal"/>
        <w:rPr/>
      </w:pPr>
      <w:r>
        <w:rPr/>
      </w:r>
    </w:p>
    <w:p>
      <w:pPr>
        <w:pStyle w:val="Puce3"/>
        <w:tabs>
          <w:tab w:val="clear" w:pos="720"/>
        </w:tabs>
        <w:rPr/>
      </w:pPr>
      <w:r>
        <w:rPr/>
        <w:t>3.</w:t>
        <w:tab/>
        <w:t>Omezení dovozu a prodeje výrobků ze zemí, které umožňují nucenou práci a dětskou práci, pravidelně aktualizovanou černou listinu podniků a povědomí spotřebitelů o dětské práci prostřednictvím informací zveřejňovaných prostřednictvím oficiálních kanálů EU</w:t>
      </w:r>
      <w:r>
        <w:rPr>
          <w:rStyle w:val="Ancredenotedefin"/>
          <w:rStyle w:val="Ancredenotedefin"/>
        </w:rPr>
        <w:endnoteReference w:id="24"/>
      </w:r>
      <w:r>
        <w:rPr/>
        <w:t>.</w:t>
      </w:r>
    </w:p>
    <w:p>
      <w:pPr>
        <w:pStyle w:val="Puce3"/>
        <w:tabs>
          <w:tab w:val="clear" w:pos="720"/>
        </w:tabs>
        <w:rPr/>
      </w:pPr>
      <w:r>
        <w:rPr/>
        <w:t>4.</w:t>
        <w:tab/>
        <w:t>Sledování a prosazování vymahatelných kapitol o obchodu a udržitelném rozvoji v dohodách EU o volném obchodu, včetně možnosti mechanismu poslední instance založeného na sankcích.</w:t>
      </w:r>
    </w:p>
    <w:p>
      <w:pPr>
        <w:pStyle w:val="Puce3"/>
        <w:tabs>
          <w:tab w:val="clear" w:pos="720"/>
        </w:tabs>
        <w:rPr/>
      </w:pPr>
      <w:r>
        <w:rPr/>
        <w:t>5.</w:t>
        <w:tab/>
        <w:t>Reforma všeobecného systému preferencí EU tak, aby zahrnovala přísná ustanovení o podmíněnosti a účinné a vhodné postupy monitorování, podávání zpráv a dialogu s cílem zlepšit dopad systému GSP na obchod, lidská práva a rozvoj v partnerských zemích s možností odejmout obchodní preference v případě nedodržení.</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8" w:name="__RefHeading___Toc298310_1346298689"/>
      <w:bookmarkEnd w:id="68"/>
      <w:r>
        <w:rPr/>
        <w:t>20. Návrh: Stanovení norem v rámci EU i mimo ni pro politiky v oblasti životního prostředí</w:t>
      </w:r>
    </w:p>
    <w:p>
      <w:pPr>
        <w:pStyle w:val="P68B1DB1Normal15"/>
        <w:rPr>
          <w:b/>
          <w:b/>
        </w:rPr>
      </w:pPr>
      <w:r>
        <w:rPr/>
        <w:t>Cíl: Navrhujeme, aby EU posílila environmentální rozměr svých obchodních vztahů prostřednictvím těchto opatření:</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Opatření:</w:t>
      </w:r>
    </w:p>
    <w:p>
      <w:pPr>
        <w:pStyle w:val="Puce3"/>
        <w:tabs>
          <w:tab w:val="clear" w:pos="720"/>
        </w:tabs>
        <w:rPr/>
      </w:pPr>
      <w:r>
        <w:rPr/>
        <w:t>1.</w:t>
        <w:tab/>
        <w:t>Harmonizace a posílení ekoznačky a povinné uvádění evropského ukazatele dopadu na životní prostředí (ecoscore) na všechny spotřební výrobky. Ekoskóre by se vypočítával na základě emisí z výroby a dopravy, jakož i škodlivosti obsahu, a to na základě seznamu nebezpečných výrobků. Ecoscore by měl řídit a monitorovat evropský orgán</w:t>
      </w:r>
      <w:r>
        <w:rPr>
          <w:rStyle w:val="Ancredenotedefin"/>
          <w:rStyle w:val="Ancredenotedefin"/>
        </w:rPr>
        <w:endnoteReference w:id="25"/>
      </w:r>
      <w:r>
        <w:rPr/>
        <w:t>.</w:t>
      </w:r>
    </w:p>
    <w:p>
      <w:pPr>
        <w:pStyle w:val="Puce3"/>
        <w:tabs>
          <w:tab w:val="clear" w:pos="720"/>
        </w:tabs>
        <w:rPr/>
      </w:pPr>
      <w:r>
        <w:rPr/>
        <w:t>2.</w:t>
        <w:tab/>
        <w:t>Přísnější normy v oblasti životního prostředí pro vývoz odpadů a přísnější kontroly a sankce za účelem zastavení nezákonného vývozu. Unie by měla členské státy vybízet, aby recyklovaly svůj vlastní odpad a využívaly jej k výrobě energie</w:t>
      </w:r>
      <w:r>
        <w:rPr>
          <w:rStyle w:val="Ancredenotedefin"/>
          <w:rStyle w:val="Ancredenotedefin"/>
        </w:rPr>
        <w:endnoteReference w:id="26"/>
      </w:r>
      <w:r>
        <w:rPr/>
        <w:t>.</w:t>
      </w:r>
    </w:p>
    <w:p>
      <w:pPr>
        <w:pStyle w:val="Puce3"/>
        <w:tabs>
          <w:tab w:val="clear" w:pos="720"/>
        </w:tabs>
        <w:rPr/>
      </w:pPr>
      <w:r>
        <w:rPr/>
        <w:t>3.</w:t>
        <w:tab/>
        <w:t>Vymezení cíle eliminace znečišťujících obalů podporou méně znečišťujících obalů nebo obalů šetrnějších k životnímu prostředí</w:t>
      </w:r>
      <w:r>
        <w:rPr>
          <w:rStyle w:val="Ancredenotedefin"/>
          <w:rStyle w:val="Ancredenotedefin"/>
        </w:rPr>
        <w:endnoteReference w:id="27"/>
      </w:r>
      <w:r>
        <w:rPr/>
        <w:t xml:space="preserve"> a navázání partnerství s rozvojovými zeměmi podporou jejich infrastruktury a zvážením vzájemně prospěšných obchodních dohod s cílem pomoci jim při přechodu na zelené zdroje energie</w:t>
      </w:r>
      <w:r>
        <w:rPr>
          <w:rStyle w:val="Ancredenotedefin"/>
          <w:rStyle w:val="Ancredenotedefin"/>
        </w:rPr>
        <w:endnoteReference w:id="28"/>
      </w:r>
      <w:r>
        <w:rPr/>
        <w:t>.</w:t>
      </w:r>
    </w:p>
    <w:p>
      <w:pPr>
        <w:pStyle w:val="Puce3"/>
        <w:tabs>
          <w:tab w:val="clear" w:pos="720"/>
        </w:tabs>
        <w:rPr/>
      </w:pPr>
      <w:r>
        <w:rPr/>
        <w:t>4.</w:t>
        <w:tab/>
        <w:t>Možnost odměňovat země s vysokými standardy udržitelnosti poskytnutím dodatečného přístupu na trh EU pro jejich zboží a služby dlouhodobé spotřeby, a to buď jednostranně prostřednictvím všeobecného systému preferencí GSP+, nebo dvoustranným prostřednictvím dohodnutých obchodních dohod nebo mnohostranně prostřednictvím iniciativ v rámci Světové obchodní organizace.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69" w:name="__RefHeading___Toc298312_1346298689"/>
      <w:bookmarkEnd w:id="69"/>
      <w:r>
        <w:rPr/>
        <w:t>21. Návrh: Rozhodování a soudržnost v rámci Unie</w:t>
      </w:r>
    </w:p>
    <w:p>
      <w:pPr>
        <w:pStyle w:val="P68B1DB1Normal15"/>
        <w:rPr>
          <w:b/>
          <w:b/>
        </w:rPr>
      </w:pPr>
      <w:r>
        <w:rPr/>
        <w:t>Cíl: Navrhujeme, aby EU zlepšila svou schopnost přijímat rychlá a účinná rozhodnutí v rámci společné zahraniční a bezpečnostní politiky (SZBP) tím, že bude vystupovat jednotně a bude jednat jako skutečně globální aktér, aby tak mohla hrát pozitivní úlohu ve světě a učinit rozdíl v reakci na jakoukoli krizi, včetně:</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Opatření:</w:t>
      </w:r>
    </w:p>
    <w:p>
      <w:pPr>
        <w:pStyle w:val="Puce3"/>
        <w:tabs>
          <w:tab w:val="clear" w:pos="720"/>
        </w:tabs>
        <w:rPr/>
      </w:pPr>
      <w:r>
        <w:rPr/>
        <w:t>1.</w:t>
        <w:tab/>
        <w:t>Zajištěním toho, aby zejména v oblasti SZBP byly záležitosti, které jsou v současné době přijímány jednomyslně, obvykle přijímány kvalifikovanou většinou</w:t>
      </w:r>
      <w:r>
        <w:rPr>
          <w:rStyle w:val="Ancredenotedefin"/>
          <w:rStyle w:val="Ancredenotedefin"/>
        </w:rPr>
        <w:endnoteReference w:id="29"/>
      </w:r>
      <w:r>
        <w:rPr/>
        <w:t>.</w:t>
      </w:r>
    </w:p>
    <w:p>
      <w:pPr>
        <w:pStyle w:val="Puce3"/>
        <w:tabs>
          <w:tab w:val="clear" w:pos="720"/>
        </w:tabs>
        <w:rPr/>
      </w:pPr>
      <w:r>
        <w:rPr/>
        <w:t>2.</w:t>
        <w:tab/>
        <w:t>Založit spolupráci v oblasti bezpečnostní a obranné politiky na nedávno schváleném strategickém kompasu a s využitím evropského mírového nástroje</w:t>
      </w:r>
      <w:r>
        <w:rPr>
          <w:rStyle w:val="Ancredenotedefin"/>
          <w:rStyle w:val="Ancredenotedefin"/>
        </w:rPr>
        <w:endnoteReference w:id="30"/>
      </w:r>
      <w:r>
        <w:rPr/>
        <w:t>.</w:t>
      </w:r>
    </w:p>
    <w:p>
      <w:pPr>
        <w:pStyle w:val="Puce3"/>
        <w:tabs>
          <w:tab w:val="clear" w:pos="720"/>
        </w:tabs>
        <w:rPr/>
      </w:pPr>
      <w:r>
        <w:rPr/>
        <w:t>3.</w:t>
        <w:tab/>
        <w:t>Posílení úlohy vysoké představitelky při zajišťování toho, aby EU vystupovala jednotně</w:t>
      </w:r>
      <w:r>
        <w:rPr>
          <w:rStyle w:val="Ancredenotedefin"/>
          <w:rStyle w:val="Ancredenotedefin"/>
        </w:rPr>
        <w:endnoteReference w:id="31"/>
      </w:r>
      <w:r>
        <w:rPr/>
        <w:t>.</w:t>
      </w:r>
    </w:p>
    <w:p>
      <w:pPr>
        <w:pStyle w:val="Puce3"/>
        <w:tabs>
          <w:tab w:val="clear" w:pos="720"/>
        </w:tabs>
        <w:rPr/>
      </w:pPr>
      <w:r>
        <w:rPr/>
        <w:t>4.</w:t>
        <w:tab/>
        <w:t>Dohodnout se na silné vizi a společné strategii pro upevnění jednoty a rozhodovací kapacity EU s cílem připravit Unii na další rozšíření</w:t>
      </w:r>
      <w:r>
        <w:rPr>
          <w:rStyle w:val="Ancredenotedefin"/>
          <w:rStyle w:val="Ancredenotedefin"/>
        </w:rPr>
        <w:endnoteReference w:id="32"/>
      </w:r>
      <w:r>
        <w:rPr/>
        <w:t>.</w:t>
      </w:r>
    </w:p>
    <w:p>
      <w:pPr>
        <w:pStyle w:val="Puce3"/>
        <w:tabs>
          <w:tab w:val="clear" w:pos="720"/>
        </w:tabs>
        <w:rPr/>
      </w:pPr>
      <w:r>
        <w:rPr/>
        <w:t>5.</w:t>
        <w:tab/>
        <w:t>Urychlenou ratifikací nedávno uzavřených obchodních dohod, aniž by se zřekli náležitého zvážení a diskuse.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0" w:name="__RefHeading___Toc298314_1346298689"/>
      <w:bookmarkEnd w:id="70"/>
      <w:r>
        <w:rPr/>
        <w:t>22. Návrh: Transparentnost EU a jejích vztahů s občany</w:t>
      </w:r>
    </w:p>
    <w:p>
      <w:pPr>
        <w:pStyle w:val="P68B1DB1Normal15"/>
        <w:rPr>
          <w:b/>
          <w:b/>
        </w:rPr>
      </w:pPr>
      <w:r>
        <w:rPr/>
        <w:t>Cíl: navrhujeme, aby EU, zejména v rámci svých činností na mezinárodní úrovni, včetně obchodních jednání, zlepšila svou dostupnost pro občany zlepšením informovanosti, vzdělávání, účasti občanů a transparentnosti, zejména tím, že: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Opatření:</w:t>
      </w:r>
    </w:p>
    <w:p>
      <w:pPr>
        <w:pStyle w:val="Puce3"/>
        <w:tabs>
          <w:tab w:val="clear" w:pos="720"/>
        </w:tabs>
        <w:rPr/>
      </w:pPr>
      <w:r>
        <w:rPr/>
        <w:t>1.</w:t>
        <w:tab/>
        <w:t>Posílení vazeb s občany a místními institucemi s cílem zlepšit transparentnost, oslovit občany a lépe s nimi komunikovat a spolupracovat s nimi na konkrétních iniciativách EU na mezinárodní úrovni</w:t>
      </w:r>
      <w:r>
        <w:rPr>
          <w:rStyle w:val="Ancredenotedefin"/>
          <w:rStyle w:val="Ancredenotedefin"/>
        </w:rPr>
        <w:endnoteReference w:id="33"/>
      </w:r>
      <w:r>
        <w:rPr/>
        <w:t>.</w:t>
      </w:r>
    </w:p>
    <w:p>
      <w:pPr>
        <w:pStyle w:val="Puce3"/>
        <w:tabs>
          <w:tab w:val="clear" w:pos="720"/>
        </w:tabs>
        <w:rPr/>
      </w:pPr>
      <w:r>
        <w:rPr/>
        <w:t>2.</w:t>
        <w:tab/>
        <w:t>Větší účast občanů na mezinárodní politice EU a akcích přímé účasti občanů, jako je konference o budoucnosti Evropy, pořádaná na vnitrostátní, místní a evropské úrovni</w:t>
      </w:r>
      <w:r>
        <w:rPr>
          <w:rStyle w:val="Ancredenotedefin"/>
          <w:rStyle w:val="Ancredenotedefin"/>
        </w:rPr>
        <w:endnoteReference w:id="34"/>
      </w:r>
      <w:r>
        <w:rPr/>
        <w:t xml:space="preserve"> a za aktivní účasti organizované občanské společnosti</w:t>
      </w:r>
      <w:r>
        <w:rPr>
          <w:rStyle w:val="Ancredenotedefin"/>
          <w:rStyle w:val="Ancredenotedefin"/>
        </w:rPr>
        <w:endnoteReference w:id="35"/>
      </w:r>
      <w:r>
        <w:rPr/>
        <w:t>.</w:t>
      </w:r>
    </w:p>
    <w:p>
      <w:pPr>
        <w:pStyle w:val="Puce3"/>
        <w:tabs>
          <w:tab w:val="clear" w:pos="720"/>
        </w:tabs>
        <w:rPr/>
      </w:pPr>
      <w:r>
        <w:rPr/>
        <w:t>3.</w:t>
        <w:tab/>
        <w:t>Plnou podporu všech příslušných zúčastněných stran občanům, kteří se rozhodnou účastnit se organizací organizované občanské společnosti, jako tomu bylo v případě onemocnění COVID-19 a Ukrajiny.</w:t>
      </w:r>
    </w:p>
    <w:p>
      <w:pPr>
        <w:pStyle w:val="Puce3"/>
        <w:tabs>
          <w:tab w:val="clear" w:pos="720"/>
        </w:tabs>
        <w:rPr/>
      </w:pPr>
      <w:r>
        <w:rPr/>
        <w:t>4.</w:t>
        <w:tab/>
        <w:t>Přidělení zvláštního rozpočtu na rozvoj vzdělávacích programů týkajících se fungování EU a jejích hodnot, které by mohla navrhnout členským státům, pokud si to přejí, aby je mohly začlenit do svých osnov (primární, sekundární a univerzitní). Kromě toho by studentům, kteří chtějí studovat v jiné evropské zemi, mohl být prostřednictvím programu Erasmus nabídnut zvláštní kurz o Unii a jejím fungování. Studenti, kteří si tento kurz zvolí, budou mít prioritu, aby mohli využít programů Erasmus.</w:t>
      </w:r>
    </w:p>
    <w:p>
      <w:pPr>
        <w:pStyle w:val="Puce3"/>
        <w:tabs>
          <w:tab w:val="clear" w:pos="720"/>
        </w:tabs>
        <w:rPr/>
      </w:pPr>
      <w:r>
        <w:rPr/>
        <w:t>5.</w:t>
        <w:tab/>
        <w:t>Zlepšení mediální strategie EU prostřednictvím většího zviditelnění v sociálních médiích a aktivní propagace jejího obsahu; podpora inovací zlepšením dostupnosti přítomnosti EU v sociálních médiích</w:t>
      </w:r>
      <w:r>
        <w:rPr>
          <w:rStyle w:val="Ancredenotedefin"/>
          <w:rStyle w:val="Ancredenotedefin"/>
        </w:rPr>
        <w:endnoteReference w:id="36"/>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71" w:name="__RefHeading___Toc298316_1346298689"/>
      <w:bookmarkEnd w:id="71"/>
      <w:r>
        <w:rPr/>
        <w:t>23. Návrh: EU jako světový lídr v oblasti míru a bezpečnosti</w:t>
      </w:r>
    </w:p>
    <w:p>
      <w:pPr>
        <w:pStyle w:val="P68B1DB1Normal15"/>
        <w:rPr>
          <w:b/>
          <w:b/>
        </w:rPr>
      </w:pPr>
      <w:r>
        <w:rPr/>
        <w:t>Cíl: navrhujeme, aby EU i nadále jednala na podporu dialogu a zajištění míru a mezinárodního řádu založeného na pravidlech, posílila multilateralismus a vycházela z dlouhodobých mírových iniciativ EU, které přispěly k udělení Nobelovy ceny v roce 2012, a zároveň posílila svou společnou bezpečnost prostřednictvím těchto opatření:</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Opatření</w:t>
      </w:r>
      <w:r>
        <w:rPr>
          <w:rStyle w:val="Ancredenotedefin"/>
          <w:rStyle w:val="Ancredenotedefin"/>
          <w:b/>
        </w:rPr>
        <w:endnoteReference w:id="37"/>
      </w:r>
      <w:r>
        <w:rPr>
          <w:rStyle w:val="Ancredenotedefin"/>
          <w:rStyle w:val="Ancredenotedefin"/>
          <w:b/>
        </w:rPr>
        <w:endnoteReference w:id="38"/>
      </w:r>
      <w:r>
        <w:rPr/>
        <w:t>:</w:t>
      </w:r>
    </w:p>
    <w:p>
      <w:pPr>
        <w:pStyle w:val="Puce3"/>
        <w:tabs>
          <w:tab w:val="clear" w:pos="720"/>
        </w:tabs>
        <w:rPr/>
      </w:pPr>
      <w:r>
        <w:rPr/>
        <w:t>1.</w:t>
        <w:tab/>
        <w:t>Společné ozbrojené síly používané pro účely sebeobrany a určené k zabránění jakékoli agresivní vojenské akci jakéhokoli druhu, které mají schopnost poskytovat pomoc v dobách krize, a to i v případě přírodní katastrofy. Mimo evropské hranice by mohly být nasazeny za výjimečných okolností, nejlépe v rámci právního mandátu Rady bezpečnosti OSN, a tedy v souladu s mezinárodním právem,</w:t>
      </w:r>
      <w:r>
        <w:rPr>
          <w:rStyle w:val="Ancredenotedefin"/>
          <w:rStyle w:val="Ancredenotedefin"/>
        </w:rPr>
        <w:endnoteReference w:id="39"/>
      </w:r>
      <w:r>
        <w:rPr/>
        <w:t>aniž by soutěžily s NATO nebo zdvojovaly NATO a respektovaly různé národní vztahy s NATO; v tomto ohledu by mělo být v rámci diskuse o strategické autonomii EU provedeno hodnocení vztahů EU s NATO.</w:t>
      </w:r>
    </w:p>
    <w:p>
      <w:pPr>
        <w:pStyle w:val="Normal"/>
        <w:rPr/>
      </w:pPr>
      <w:r>
        <w:rPr/>
      </w:r>
    </w:p>
    <w:p>
      <w:pPr>
        <w:pStyle w:val="Puce3"/>
        <w:tabs>
          <w:tab w:val="clear" w:pos="720"/>
        </w:tabs>
        <w:rPr/>
      </w:pPr>
      <w:r>
        <w:rPr/>
        <w:t>2.</w:t>
        <w:tab/>
        <w:t>Vedoucí úlohu při budování poválečného globálního bezpečnostního řádu na Ukrajině na základě nedávno přijatého strategického kompasu EU.</w:t>
      </w:r>
    </w:p>
    <w:p>
      <w:pPr>
        <w:pStyle w:val="Puce3"/>
        <w:tabs>
          <w:tab w:val="clear" w:pos="720"/>
        </w:tabs>
        <w:rPr/>
      </w:pPr>
      <w:r>
        <w:rPr/>
        <w:t>3.</w:t>
        <w:tab/>
        <w:t>Ochranu strategického výzkumu a schopností v prioritních odvětvích, jako je kosmické odvětví, kybernetická bezpečnost, zdravotnictví a životní prostředí</w:t>
      </w:r>
      <w:r>
        <w:rPr>
          <w:rStyle w:val="Ancredenotedefin"/>
          <w:rStyle w:val="Ancredenotedefin"/>
        </w:rPr>
        <w:endnoteReference w:id="40"/>
      </w:r>
      <w:r>
        <w:rPr/>
        <w:t>.</w:t>
      </w:r>
    </w:p>
    <w:p>
      <w:pPr>
        <w:pStyle w:val="Puce3"/>
        <w:tabs>
          <w:tab w:val="clear" w:pos="720"/>
        </w:tabs>
        <w:rPr/>
      </w:pPr>
      <w:r>
        <w:rPr/>
        <w:t>4.</w:t>
        <w:tab/>
        <w:t>Posílení operačních kapacit nezbytných k zajištění účinnosti doložky o vzájemné pomoci stanovené v čl. 42 odst. 7 Smlouvy o Evropské unii, která zaručuje odpovídající ochranu EU každému členskému státu napadenému třetí zemí.</w:t>
      </w:r>
    </w:p>
    <w:p>
      <w:pPr>
        <w:pStyle w:val="Puce3"/>
        <w:tabs>
          <w:tab w:val="clear" w:pos="720"/>
        </w:tabs>
        <w:rPr/>
      </w:pPr>
      <w:r>
        <w:rPr/>
        <w:t>5.</w:t>
        <w:tab/>
        <w:t>Úvahy o tom, jak objektivně a fakticky bojovat proti dezinformacím a propagandě.</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2" w:name="__RefHeading___Toc298318_1346298689"/>
      <w:bookmarkEnd w:id="72"/>
      <w:r>
        <w:rPr/>
        <w:t>24. Návrh: EU jako přední světový hráč ve vytváření vztahů</w:t>
      </w:r>
    </w:p>
    <w:p>
      <w:pPr>
        <w:pStyle w:val="P68B1DB1Normal15"/>
        <w:rPr>
          <w:b/>
          <w:b/>
        </w:rPr>
      </w:pPr>
      <w:r>
        <w:rPr/>
        <w:t>Cíl: Navrhujeme, aby EU ve svých vztazích se třetími zeměmi: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Opatření:</w:t>
      </w:r>
    </w:p>
    <w:p>
      <w:pPr>
        <w:pStyle w:val="Puce3"/>
        <w:tabs>
          <w:tab w:val="clear" w:pos="720"/>
        </w:tabs>
        <w:rPr/>
      </w:pPr>
      <w:r>
        <w:rPr/>
        <w:t>1.</w:t>
        <w:tab/>
        <w:t>Více využívaly své kolektivní politické a hospodářské síly, vystupovaly jednotně a jednaly jednotně, aniž by některé členské státy rozdělily Unii nevhodnými dvoustrannými zásahy</w:t>
      </w:r>
      <w:r>
        <w:rPr>
          <w:rStyle w:val="Ancredenotedefin"/>
          <w:rStyle w:val="Ancredenotedefin"/>
        </w:rPr>
        <w:endnoteReference w:id="41"/>
      </w:r>
      <w:r>
        <w:rPr/>
        <w:t>.</w:t>
      </w:r>
    </w:p>
    <w:p>
      <w:pPr>
        <w:pStyle w:val="Puce3"/>
        <w:tabs>
          <w:tab w:val="clear" w:pos="720"/>
        </w:tabs>
        <w:rPr/>
      </w:pPr>
      <w:r>
        <w:rPr/>
        <w:t>2.</w:t>
        <w:tab/>
        <w:t>Posiluje svou schopnost postihovat státy, vlády, subjekty, skupiny nebo organizace, jakož i jednotlivce, kteří nedodržují její základní zásady, dohody a zákony, a zajišťuje, aby stávající sankce byly rychle zavedeny a vymáhány. Sankce uložené třetím zemím by měly být přiměřené opatřením, které je vyvolaly, měly by být účinné a měly by být uplatňovány včas</w:t>
      </w:r>
      <w:r>
        <w:rPr>
          <w:rStyle w:val="Ancredenotedefin"/>
          <w:rStyle w:val="Ancredenotedefin"/>
        </w:rPr>
        <w:endnoteReference w:id="42"/>
      </w:r>
      <w:r>
        <w:rPr/>
        <w:t>.</w:t>
      </w:r>
    </w:p>
    <w:p>
      <w:pPr>
        <w:pStyle w:val="Puce3"/>
        <w:tabs>
          <w:tab w:val="clear" w:pos="720"/>
        </w:tabs>
        <w:rPr/>
      </w:pPr>
      <w:r>
        <w:rPr/>
        <w:t>3.</w:t>
        <w:tab/>
        <w:t>Podporuje udržitelný obchod založený na pravidlech a zároveň otevírá nové obchodní a investiční příležitosti pro evropské podniky. Dvoustranné obchodní a investiční dohody mají sice zásadní význam pro podporu evropské konkurenceschopnosti, avšak k zajištění rovných podmínek jsou zapotřebí normy a pravidla. EU musí zůstat aktivním a spolehlivým partnerem při vyjednávání, uzavírání a provádění obchodních dohod, které rovněž stanoví vysoké standardy udržitelnosti.</w:t>
      </w:r>
    </w:p>
    <w:p>
      <w:pPr>
        <w:pStyle w:val="Puce3"/>
        <w:tabs>
          <w:tab w:val="clear" w:pos="720"/>
        </w:tabs>
        <w:rPr/>
      </w:pPr>
      <w:r>
        <w:rPr/>
        <w:t>4.</w:t>
        <w:tab/>
        <w:t>Uzavřela hlavní mezinárodní dohody o spolupráci zastupováním Evropské unie a nikoli jednotlivých zemí</w:t>
      </w:r>
      <w:r>
        <w:rPr>
          <w:rStyle w:val="Ancredenotedefin"/>
          <w:rStyle w:val="Ancredenotedefin"/>
        </w:rPr>
        <w:endnoteReference w:id="43"/>
      </w:r>
      <w:r>
        <w:rPr/>
        <w:t>.</w:t>
      </w:r>
    </w:p>
    <w:p>
      <w:pPr>
        <w:pStyle w:val="Puce3"/>
        <w:tabs>
          <w:tab w:val="clear" w:pos="720"/>
        </w:tabs>
        <w:rPr/>
      </w:pPr>
      <w:r>
        <w:rPr/>
        <w:t>5.</w:t>
        <w:tab/>
        <w:t>Reformovat obchodní a investiční politiku EU s cílem obnovit globální multilateralismus s cílem vytvořit důstojná pracovní místa a chránit základní lidská práva, včetně práv pracovníků a odborových práv, chránit životní prostředí a biologickou rozmanitost a dodržovat Pařížskou dohodu o změně klimatu, zajistit kvalitní veřejné služby a posílit evropskou průmyslovou základnu. EU by měla přispět k obnovení globálního multilateralismu prostřednictvím hlubokých reforem založených na demokracii a míru, solidaritě a dodržování lidských práv, sociálních a environmentálních práv a posílení úlohy MOP.</w:t>
      </w:r>
    </w:p>
    <w:p>
      <w:pPr>
        <w:pStyle w:val="Puce3"/>
        <w:tabs>
          <w:tab w:val="clear" w:pos="720"/>
        </w:tabs>
        <w:rPr/>
      </w:pPr>
      <w:r>
        <w:rPr/>
        <w:t>6.</w:t>
        <w:tab/>
        <w:t>Zahrnuje boj proti obchodování s lidmi a nedovolenému přistěhovalectví, jakož i spolupráci při možných návratových operacích, do dohod o spolupráci a investicích se třetími zeměmi.</w:t>
      </w:r>
    </w:p>
    <w:p>
      <w:pPr>
        <w:pStyle w:val="Puce3"/>
        <w:tabs>
          <w:tab w:val="clear" w:pos="720"/>
        </w:tabs>
        <w:rPr/>
      </w:pPr>
      <w:r>
        <w:rPr/>
        <w:t>7.</w:t>
        <w:tab/>
        <w:t>Rozvíjet partnerství s rozvojovými zeměmi na podporu jejich infrastruktury a zvážit vzájemně prospěšné obchodní dohody, které jim pomohou při přechodu na zelené zdroje energie</w:t>
      </w:r>
      <w:r>
        <w:rPr>
          <w:rStyle w:val="Ancredenotedefin"/>
          <w:rStyle w:val="Ancredenotedefin"/>
        </w:rPr>
        <w:endnoteReference w:id="44"/>
      </w:r>
      <w:r>
        <w:rPr/>
        <w:t>.</w:t>
      </w:r>
    </w:p>
    <w:p>
      <w:pPr>
        <w:pStyle w:val="Puce3"/>
        <w:tabs>
          <w:tab w:val="clear" w:pos="720"/>
        </w:tabs>
        <w:rPr/>
      </w:pPr>
      <w:r>
        <w:rPr/>
        <w:t>8.</w:t>
        <w:tab/>
        <w:t>Rozvíjí účinnější a jednotnější politiku vůči autokratickým a hybridním režimům a rozvíjí partnerství s organizacemi občanské společnosti v těchto zemích.</w:t>
      </w:r>
    </w:p>
    <w:p>
      <w:pPr>
        <w:pStyle w:val="Puce3"/>
        <w:tabs>
          <w:tab w:val="clear" w:pos="720"/>
        </w:tabs>
        <w:rPr/>
      </w:pPr>
      <w:r>
        <w:rPr/>
        <w:t>9.</w:t>
        <w:tab/>
        <w:t>Navýší zdroje volebních pozorovatelských misí EU.</w:t>
      </w:r>
    </w:p>
    <w:p>
      <w:pPr>
        <w:pStyle w:val="Puce3"/>
        <w:tabs>
          <w:tab w:val="clear" w:pos="720"/>
        </w:tabs>
        <w:rPr/>
      </w:pPr>
      <w:r>
        <w:rPr/>
        <w:t>10.</w:t>
        <w:tab/>
        <w:t>Nabízí věrohodnou perspektivu přistoupení k kandidátským a potenciálním kandidátským zemím s cílem podpořit mír a stabilitu v Evropě a přinést prosperitu milionům Evropanů</w:t>
      </w:r>
      <w:r>
        <w:rPr>
          <w:rStyle w:val="Ancredenotedefin"/>
          <w:rStyle w:val="Ancredenotedefin"/>
        </w:rPr>
        <w:endnoteReference w:id="45"/>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t>POZN.: Několik členů pracovní skupiny se domnívá, že návrhy „Snižování závislosti EU na zahraničních aktérech v oblasti energetiky“ a „Transparentnost EU a jejích vztahů s občany“ spadají zejména do jiných pracovních skupin. Někteří členové chtěli kromě hlasování kvalifikovanou většinou zmínit alternativy k jednomyslnosti v Radě, jako jsou variabilní geometrie, ustanovení o neúčasti a posílená spolupráce. Někteří členové pracovní skupiny vyzvali k použití výrazu „udržitelný“ spíše než „etický“ v návrhu „stanovení norem v rámci EU i mimo ni v obchodních a investičních vztazích“. Existují rozdílné názory na to, zda by přistoupení nových členských států mělo i nadále vyžadovat jednomyslnou dohodu všech stávajících členských států. Objevily se různé názory na žádoucí stupeň společných ozbrojených sil. Dva členové se zmínili o vyhlídce na jednotu Irska v případě, že Severní Irsko bude v tomto směru hlasovat v souladu s ustanoveními Velkopáteční dohody a že je třeba, aby Unie byla na tuto možnost připravena.</w:t>
      </w:r>
    </w:p>
    <w:p>
      <w:pPr>
        <w:pStyle w:val="Normal"/>
        <w:rPr/>
      </w:pPr>
      <w:r>
        <w:rPr/>
      </w:r>
      <w:r>
        <w:br w:type="page"/>
      </w:r>
    </w:p>
    <w:p>
      <w:pPr>
        <w:pStyle w:val="Normal"/>
        <w:rPr/>
      </w:pPr>
      <w:r>
        <w:rPr/>
        <w:drawing>
          <wp:anchor behindDoc="0" distT="0" distB="0" distL="0" distR="0" simplePos="0" locked="0" layoutInCell="1" allowOverlap="1" relativeHeight="11">
            <wp:simplePos x="0" y="0"/>
            <wp:positionH relativeFrom="column">
              <wp:posOffset>19050</wp:posOffset>
            </wp:positionH>
            <wp:positionV relativeFrom="paragraph">
              <wp:posOffset>17145</wp:posOffset>
            </wp:positionV>
            <wp:extent cx="913765" cy="913765"/>
            <wp:effectExtent l="0" t="0" r="0" b="0"/>
            <wp:wrapSquare wrapText="largest"/>
            <wp:docPr id="65" name="Obrázek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Obrázek25" descr=""/>
                    <pic:cNvPicPr>
                      <a:picLocks noChangeAspect="1" noChangeArrowheads="1"/>
                    </pic:cNvPicPr>
                  </pic:nvPicPr>
                  <pic:blipFill>
                    <a:blip r:embed="rId77"/>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73" w:name="__RefHeading___Toc298320_1346298689"/>
      <w:bookmarkEnd w:id="73"/>
      <w:r>
        <w:rPr/>
        <w:t>Hodnoty a práva, právní stát, bezpečnost</w:t>
      </w:r>
    </w:p>
    <w:p>
      <w:pPr>
        <w:pStyle w:val="Titre3"/>
        <w:numPr>
          <w:ilvl w:val="2"/>
          <w:numId w:val="2"/>
        </w:numPr>
        <w:rPr/>
      </w:pPr>
      <w:bookmarkStart w:id="74" w:name="__RefHeading___Toc298322_1346298689"/>
      <w:bookmarkEnd w:id="74"/>
      <w:r>
        <w:rPr/>
        <w:t>25. Návrh: Právní stát, demokratické hodnoty a evropská identita</w:t>
      </w:r>
    </w:p>
    <w:p>
      <w:pPr>
        <w:pStyle w:val="P68B1DB1Normal15"/>
        <w:rPr>
          <w:b/>
          <w:b/>
        </w:rPr>
      </w:pPr>
      <w:r>
        <w:rPr/>
        <w:t>Cíl: Systematicky prosazovat právní stát ve všech členských státech, včetně:</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Opatření</w:t>
      </w:r>
      <w:r>
        <w:rPr>
          <w:rStyle w:val="Ancredenotedefin"/>
          <w:rStyle w:val="Ancredenotedefin"/>
        </w:rPr>
        <w:endnoteReference w:id="46"/>
      </w:r>
      <w:r>
        <w:rPr/>
        <w:t>:</w:t>
      </w:r>
    </w:p>
    <w:p>
      <w:pPr>
        <w:pStyle w:val="Puce3"/>
        <w:tabs>
          <w:tab w:val="clear" w:pos="720"/>
        </w:tabs>
        <w:rPr/>
      </w:pPr>
      <w:r>
        <w:rPr/>
        <w:t>1.</w:t>
        <w:tab/>
        <w:t>Zajistit, aby hodnoty a zásady zakotvené ve Smlouvách EU a v Listině základních práv Evropské unie byly nediskutovatelné a nezvratné a představovaly základní podmínky pro členství a přistoupení k Unii. Hodnoty EU musí být plně respektovány ve všech členských státech; měly by také působit jako mezinárodní standard a představovat pól přitažlivosti prostřednictvím diplomacie a dialogu. Rozšíření Unie by nemělo narušovat acquis EU, pokud jde o základní hodnoty a práva občanů</w:t>
      </w:r>
      <w:r>
        <w:rPr>
          <w:rStyle w:val="Ancredenotedefin"/>
          <w:rStyle w:val="Ancredenotedefin"/>
        </w:rPr>
        <w:endnoteReference w:id="47"/>
      </w:r>
      <w:r>
        <w:rPr/>
        <w:t>.</w:t>
      </w:r>
    </w:p>
    <w:p>
      <w:pPr>
        <w:pStyle w:val="Puce3"/>
        <w:tabs>
          <w:tab w:val="clear" w:pos="720"/>
        </w:tabs>
        <w:rPr/>
      </w:pPr>
      <w:r>
        <w:rPr/>
        <w:t>2.</w:t>
        <w:tab/>
        <w:t>Tím, že se evropské hodnoty stanou hmatatelnou realitou pro občany EU, zejména prostřednictvím interaktivnější a přímé účasti, by mělo být posíleno evropské občanství, například postavením občana Unie s právy a svobodami občanů, jakož i statutem evropských přeshraničních sdružení a neziskových organizací. Podobně by evropské hodnoty měly být podporovány prostřednictvím „integračního kufříku“ obsahujícího vzdělávací prvky a informační materiály pro občany. V neposlední řadě by měla být vytvořena evropská veřejná sféra audiovizuálních a on-line médií prostřednictvím nových investic EU, zlepšení stávajících mediálních platforem a zvýšené podpory více než 500 evropských kontaktních kanceláří přítomných na místní úrovni</w:t>
      </w:r>
      <w:r>
        <w:rPr>
          <w:rStyle w:val="Ancredenotedefin"/>
          <w:rStyle w:val="Ancredenotedefin"/>
        </w:rPr>
        <w:endnoteReference w:id="48"/>
      </w:r>
      <w:r>
        <w:rPr/>
        <w:t xml:space="preserve">. </w:t>
      </w:r>
    </w:p>
    <w:p>
      <w:pPr>
        <w:pStyle w:val="Puce3"/>
        <w:tabs>
          <w:tab w:val="clear" w:pos="720"/>
        </w:tabs>
        <w:rPr/>
      </w:pPr>
      <w:r>
        <w:rPr/>
        <w:t>3.</w:t>
        <w:tab/>
        <w:t>Listina základních práv Evropské unie by měla být všeobecně použitelná. Kromě toho by měly být organizovány výroční konference o právním státu (v návaznosti na zprávu Komise o právním státu), které by sdružovaly delegace ze všech členských států složené z občanů, úředníků, poslanců, místních orgánů, sociálních partnerů a občanské společnosti, které byly vybrány náhodně a různorodě. Je rovněž důležité dále podporovat organizace, včetně organizací občanské společnosti, které prosazují právní stát v praxi</w:t>
      </w:r>
      <w:r>
        <w:rPr>
          <w:rStyle w:val="Ancredenotedefin"/>
          <w:rStyle w:val="Ancredenotedefin"/>
        </w:rPr>
        <w:endnoteReference w:id="49"/>
      </w:r>
      <w:r>
        <w:rPr/>
        <w:t>.</w:t>
      </w:r>
    </w:p>
    <w:p>
      <w:pPr>
        <w:pStyle w:val="Puce3"/>
        <w:tabs>
          <w:tab w:val="clear" w:pos="720"/>
        </w:tabs>
        <w:rPr/>
      </w:pPr>
      <w:r>
        <w:rPr/>
        <w:t>4.</w:t>
        <w:tab/>
        <w:t>Účinným uplatňováním tzv. nařízení o podmíněnosti, posouzením oblasti působnosti uvedeného nařízení a jiných nástrojů v oblasti právního státu, jakož i zvážením rozšíření jejich oblasti působnosti na nové oblasti bez ohledu na jejich význam pro rozpočet Unie. Veškeré nezbytné opravné prostředky, včetně změn Smluv, by měly být považovány za sankcionování porušování zásad právního státu</w:t>
      </w:r>
      <w:r>
        <w:rPr>
          <w:rStyle w:val="Ancredenotedefin"/>
          <w:rStyle w:val="Ancredenotedefin"/>
        </w:rPr>
        <w:endnoteReference w:id="50"/>
      </w:r>
      <w:r>
        <w:rPr/>
        <w:t>.</w:t>
      </w:r>
    </w:p>
    <w:p>
      <w:pPr>
        <w:pStyle w:val="Puce3"/>
        <w:tabs>
          <w:tab w:val="clear" w:pos="720"/>
        </w:tabs>
        <w:rPr/>
      </w:pPr>
      <w:r>
        <w:rPr/>
        <w:t>5.</w:t>
        <w:tab/>
        <w:t>Podpora vzdělávacích a mediálních programů, které staví hodnoty Unie do středu procesu integrace migrantů a podporují interakci mezi občany Unie a migranty s cílem umožnit jejich úspěšnou integraci do společností Unie a zvýšit povědomí občanů Unie o otázkách migrace.</w:t>
      </w:r>
      <w:r>
        <w:rPr>
          <w:rStyle w:val="Ancredenotedefin"/>
          <w:rStyle w:val="Ancredenotedefin"/>
        </w:rPr>
        <w:endnoteReference w:id="51"/>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5" w:name="__RefHeading___Toc298324_1346298689"/>
      <w:bookmarkEnd w:id="75"/>
      <w:r>
        <w:rPr/>
        <w:t>26. Návrh: Ochrana osobních údajů</w:t>
      </w:r>
    </w:p>
    <w:p>
      <w:pPr>
        <w:pStyle w:val="Corpsdetexte"/>
        <w:rPr/>
      </w:pPr>
      <w:r>
        <w:rPr/>
      </w:r>
    </w:p>
    <w:p>
      <w:pPr>
        <w:pStyle w:val="P68B1DB1Normal15"/>
        <w:rPr>
          <w:b/>
          <w:b/>
        </w:rPr>
      </w:pPr>
      <w:r>
        <w:rPr/>
        <w:t>Cíl: zajistit ochranu a lepší politiku zpracování údajů pro občany, zejména: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Opatření</w:t>
      </w:r>
      <w:r>
        <w:rPr>
          <w:rStyle w:val="Ancredenotedefin"/>
          <w:rStyle w:val="Ancredenotedefin"/>
        </w:rPr>
        <w:endnoteReference w:id="52"/>
      </w:r>
      <w:r>
        <w:rPr/>
        <w:t>:</w:t>
      </w:r>
    </w:p>
    <w:p>
      <w:pPr>
        <w:pStyle w:val="Puce3"/>
        <w:tabs>
          <w:tab w:val="clear" w:pos="720"/>
        </w:tabs>
        <w:rPr/>
      </w:pPr>
      <w:r>
        <w:rPr/>
        <w:t>1.</w:t>
        <w:tab/>
        <w:t>Úplným provedením a přezkumem stávajících právních předpisů v oblasti ochrany údajů s cílem posoudit potřebu posílených mechanismů vymáhání práva pro subjekty zpracovávající osobní údaje, které v současné době spadají do pravomoci nezávislých vnitrostátních orgánů pro ochranu údajů při dodržování zásady subsidiarity. Tyto subjekty by měly být sankcionovány přísněji než při současném uplatňování pravidel v poměru k jejich ročnímu obratu (až 4 %) nebo dokonce zákazem jejich činnosti a měly by podléhat nezávislému ročnímu auditu</w:t>
      </w:r>
      <w:r>
        <w:rPr>
          <w:rStyle w:val="Ancredenotedefin"/>
          <w:rStyle w:val="Ancredenotedefin"/>
        </w:rPr>
        <w:endnoteReference w:id="53"/>
      </w:r>
      <w:r>
        <w:rPr>
          <w:rStyle w:val="Ancredenotedefin"/>
          <w:rStyle w:val="Ancredenotedefin"/>
        </w:rPr>
        <w:endnoteReference w:id="54"/>
      </w:r>
      <w:r>
        <w:rPr/>
        <w:t>.</w:t>
      </w:r>
    </w:p>
    <w:p>
      <w:pPr>
        <w:pStyle w:val="Puce3"/>
        <w:tabs>
          <w:tab w:val="clear" w:pos="720"/>
        </w:tabs>
        <w:rPr/>
      </w:pPr>
      <w:r>
        <w:rPr/>
        <w:t>2.</w:t>
        <w:tab/>
        <w:t xml:space="preserve">Větším uplatňováním zásady ochrany soukromí již od návrhu nebo standardně, například hodnocením a vývojem formulářů souhlasu s údaji, které jsou snadno srozumitelné, stručné a intuitivní a jasně uvádějí, co je třeba a co není. Uživatelé musí mít možnost udělit nebo odvolat svůj souhlas se zpracováním údajů jednoduchým, rychlým a trvalým způsobem. </w:t>
      </w:r>
      <w:r>
        <w:rPr>
          <w:rStyle w:val="Ancredenotedefin"/>
          <w:rStyle w:val="Ancredenotedefin"/>
        </w:rPr>
        <w:endnoteReference w:id="55"/>
      </w:r>
      <w:r>
        <w:rPr/>
        <w:t xml:space="preserve"> </w:t>
      </w:r>
      <w:r>
        <w:rPr>
          <w:rStyle w:val="Ancredenotedefin"/>
          <w:rStyle w:val="Ancredenotedefin"/>
        </w:rPr>
        <w:endnoteReference w:id="56"/>
      </w:r>
    </w:p>
    <w:p>
      <w:pPr>
        <w:pStyle w:val="Puce3"/>
        <w:tabs>
          <w:tab w:val="clear" w:pos="720"/>
        </w:tabs>
        <w:rPr/>
      </w:pPr>
      <w:r>
        <w:rPr/>
        <w:t>3.</w:t>
        <w:tab/>
        <w:t>Posouzení a zavedení jasnějších a ochranných pravidel pro zpracování údajů týkajících se nezletilých osob, případně v nařízení GDPR EU, zejména vytvořením zvláštní kategorie citlivých údajů nezletilých osob a harmonizací minimálního věku souhlasu v členských státech. Zatímco většina provádění pravidel pro ochranu soukromí a zvyšování povědomí by měla i nadále spadat do pravomoci členských států, zejména prostřednictvím zvýšených investic a zdrojů na vnitrostátní úrovni, Unie by rovněž měla hrát významnější úlohu, například vytvořením evropských kompetencí v oblasti občanské výchovy v oblasti ochrany údajů</w:t>
      </w:r>
      <w:r>
        <w:rPr>
          <w:rStyle w:val="Ancredenotedefin"/>
          <w:rStyle w:val="Ancredenotedefin"/>
        </w:rPr>
        <w:endnoteReference w:id="57"/>
      </w:r>
      <w:r>
        <w:rPr/>
        <w:t>.</w:t>
      </w:r>
    </w:p>
    <w:p>
      <w:pPr>
        <w:pStyle w:val="Puce3"/>
        <w:tabs>
          <w:tab w:val="clear" w:pos="720"/>
        </w:tabs>
        <w:rPr/>
      </w:pPr>
      <w:r>
        <w:rPr/>
        <w:t>4.</w:t>
        <w:tab/>
        <w:t>Lepší dodržování kritérií způsobilosti platných pro evropské a vnitrostátní orgány pro ochranu údajů, pokud jde o kvalifikaci a vhodnost, s cílem zajistit maximální nezávislost jejich členů.</w:t>
      </w:r>
      <w:r>
        <w:rPr>
          <w:rStyle w:val="Ancredenotedefin"/>
          <w:rStyle w:val="Ancredenotedefin"/>
        </w:rPr>
        <w:endnoteReference w:id="58"/>
      </w:r>
      <w:r>
        <w:rPr/>
        <w:t xml:space="preserve"> </w:t>
      </w:r>
      <w:r>
        <w:rPr>
          <w:rStyle w:val="Ancredenotedefin"/>
          <w:rStyle w:val="Ancredenotedefin"/>
        </w:rPr>
        <w:endnoteReference w:id="59"/>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6" w:name="__RefHeading___Toc298326_1346298689"/>
      <w:bookmarkEnd w:id="76"/>
      <w:r>
        <w:rPr/>
        <w:t>27. Návrh: Média, falešné zprávy, dezinformace, ověřování faktů, kybernetická bezpečnost</w:t>
      </w:r>
    </w:p>
    <w:p>
      <w:pPr>
        <w:pStyle w:val="P68B1DB1Normal15"/>
        <w:rPr>
          <w:b/>
          <w:b/>
        </w:rPr>
      </w:pPr>
      <w:r>
        <w:rPr/>
        <w:t>Cíl: Boj proti dezinformacím prostřednictvím zvýšené podpory nezávislosti a plurality sdělovacích prostředků a mediální gramotnosti, zejména: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Opatření</w:t>
      </w:r>
      <w:r>
        <w:rPr>
          <w:rStyle w:val="Ancredenotedefin"/>
          <w:rStyle w:val="Ancredenotedefin"/>
        </w:rPr>
        <w:endnoteReference w:id="60"/>
      </w:r>
      <w:r>
        <w:rPr/>
        <w:t>:</w:t>
      </w:r>
    </w:p>
    <w:p>
      <w:pPr>
        <w:pStyle w:val="Puce3"/>
        <w:tabs>
          <w:tab w:val="clear" w:pos="720"/>
        </w:tabs>
        <w:rPr/>
      </w:pPr>
      <w:r>
        <w:rPr/>
        <w:t>1.</w:t>
        <w:tab/>
        <w:t>Zavedení právních předpisů pro boj proti hrozbám pro nezávislost sdělovacích prostředků prostřednictvím minimálních norem platných v celé Unii, včetně přezkumu obchodního modelu sdělovacích prostředků s cílem zajistit integritu a nezávislost evropského mediálního trhu</w:t>
      </w:r>
      <w:r>
        <w:rPr>
          <w:rStyle w:val="Ancredenotedefin"/>
          <w:rStyle w:val="Ancredenotedefin"/>
        </w:rPr>
        <w:endnoteReference w:id="61"/>
      </w:r>
      <w:r>
        <w:rPr/>
        <w:t>.</w:t>
      </w:r>
    </w:p>
    <w:p>
      <w:pPr>
        <w:pStyle w:val="Puce3"/>
        <w:tabs>
          <w:tab w:val="clear" w:pos="720"/>
        </w:tabs>
        <w:rPr/>
      </w:pPr>
      <w:r>
        <w:rPr/>
        <w:t>2.</w:t>
        <w:tab/>
        <w:t>Důsledné uplatňování pravidel hospodářské soutěže EU v odvětví sdělovacích prostředků s cílem zabránit vytváření velkých mediálních monopolů a zajistit pluralitu a nezávislost sdělovacích prostředků na nežádoucím vměšování politických, obchodních a/nebo zahraničních zemí. Měla by být rovněž podporována kvalitní žurnalistika s uznávanými a vysokými standardy etiky a samoregulace</w:t>
      </w:r>
      <w:r>
        <w:rPr>
          <w:rStyle w:val="Ancredenotedefin"/>
          <w:rStyle w:val="Ancredenotedefin"/>
        </w:rPr>
        <w:endnoteReference w:id="62"/>
      </w:r>
      <w:r>
        <w:rPr/>
        <w:t>.</w:t>
      </w:r>
    </w:p>
    <w:p>
      <w:pPr>
        <w:pStyle w:val="Puce3"/>
        <w:tabs>
          <w:tab w:val="clear" w:pos="720"/>
        </w:tabs>
        <w:rPr/>
      </w:pPr>
      <w:r>
        <w:rPr/>
        <w:t>3.</w:t>
        <w:tab/>
        <w:t xml:space="preserve">Zřízení orgánu EU pro boj proti cíleným dezinformacím a zasahování, zlepšení vnímání situace a posílení organizací pro kontrolu faktů a nezávislých sdělovacích prostředků. Dále by měla být podporována a aktivněji podporována „nouzová čísla“ a internetové stránky, jako je Europe Direct, umožňující občanům a vnitrostátním sdělovacím prostředkům požadovat a dostávat ověřené informace o strategiích a politikách EU. </w:t>
      </w:r>
      <w:r>
        <w:rPr>
          <w:rStyle w:val="Ancredenotedefin"/>
          <w:rStyle w:val="Ancredenotedefin"/>
        </w:rPr>
        <w:endnoteReference w:id="63"/>
      </w:r>
      <w:r>
        <w:rPr/>
        <w:t xml:space="preserve"> </w:t>
      </w:r>
      <w:r>
        <w:rPr>
          <w:rStyle w:val="Ancredenotedefin"/>
          <w:rStyle w:val="Ancredenotedefin"/>
        </w:rPr>
        <w:endnoteReference w:id="64"/>
      </w:r>
    </w:p>
    <w:p>
      <w:pPr>
        <w:pStyle w:val="Puce3"/>
        <w:tabs>
          <w:tab w:val="clear" w:pos="720"/>
        </w:tabs>
        <w:rPr/>
      </w:pPr>
      <w:r>
        <w:rPr/>
        <w:t>4.</w:t>
        <w:tab/>
        <w:t xml:space="preserve">Podpora mediální gramotnosti a povědomí veřejnosti o dezinformacích a neúmyslném šíření zpráv, mimo jiné prostřednictvím povinné školní docházky. Členské státy by měly být rovněž vybízeny k tomu, aby na tento účel vyčlenily odpovídající lidské a finanční zdroje. </w:t>
      </w:r>
      <w:r>
        <w:rPr>
          <w:rStyle w:val="Ancredenotedefin"/>
          <w:rStyle w:val="Ancredenotedefin"/>
        </w:rPr>
        <w:endnoteReference w:id="65"/>
      </w:r>
    </w:p>
    <w:p>
      <w:pPr>
        <w:pStyle w:val="Puce3"/>
        <w:tabs>
          <w:tab w:val="clear" w:pos="720"/>
        </w:tabs>
        <w:rPr/>
      </w:pPr>
      <w:r>
        <w:rPr/>
        <w:t>5.</w:t>
        <w:tab/>
        <w:t>V návaznosti na stávající iniciativy, jako je Kodex zásad boje proti dezinformacím a Evropské středisko pro sledování digitálních médií (EDMO), uložit on-line platformám povinnost zveřejňovat jasné informace o algoritmech, které používají (s možností, zda uživatelé mohou souhlasit, či nikoli), a o rizicích dezinformací, jimž jsou uživatelé vystaveni, a zároveň zachovat právo na svobodu projevu a právo na soukromí.</w:t>
      </w:r>
      <w:r>
        <w:rPr>
          <w:rStyle w:val="Ancredenotedefin"/>
          <w:rStyle w:val="Ancredenotedefin"/>
        </w:rPr>
        <w:endnoteReference w:id="66"/>
      </w:r>
      <w:r>
        <w:rPr/>
        <w:t xml:space="preserve"> </w:t>
      </w:r>
      <w:r>
        <w:rPr>
          <w:rStyle w:val="Ancredenotedefin"/>
          <w:rStyle w:val="Ancredenotedefin"/>
        </w:rPr>
        <w:endnoteReference w:id="67"/>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77" w:name="__RefHeading___Toc298328_1346298689"/>
      <w:bookmarkEnd w:id="77"/>
      <w:r>
        <w:rPr/>
        <w:t>28. Návrh: Média, falešné zprávy, dezinformace, ověřování faktů, kybernetická bezpečnost (bis)</w:t>
      </w:r>
    </w:p>
    <w:p>
      <w:pPr>
        <w:pStyle w:val="P68B1DB1Normal15"/>
        <w:rPr>
          <w:b/>
          <w:b/>
        </w:rPr>
      </w:pPr>
      <w:r>
        <w:rPr/>
        <w:t>Cíl: posílení úlohy Unie při řešení kybernetických hrozeb, zejména: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Opatření:</w:t>
      </w:r>
    </w:p>
    <w:p>
      <w:pPr>
        <w:pStyle w:val="Puce3"/>
        <w:tabs>
          <w:tab w:val="clear" w:pos="720"/>
        </w:tabs>
        <w:rPr/>
      </w:pPr>
      <w:r>
        <w:rPr/>
        <w:t>1.</w:t>
        <w:tab/>
        <w:t xml:space="preserve">Posílení Agentury Evropské unie pro kybernetickou bezpečnost (ENISA) s cílem lépe chránit jednotlivce, organizace a instituce před narušením kybernetické bezpečnosti a používáním umělé inteligence pro trestné účely. Zároveň by měla být zachována důvěrnost a ochrana osobních údajů. </w:t>
      </w:r>
      <w:r>
        <w:rPr>
          <w:rStyle w:val="Ancredenotedefin"/>
          <w:rStyle w:val="Ancredenotedefin"/>
        </w:rPr>
        <w:endnoteReference w:id="68"/>
      </w:r>
      <w:r>
        <w:rPr/>
        <w:t xml:space="preserve"> </w:t>
      </w:r>
      <w:r>
        <w:rPr>
          <w:rStyle w:val="Ancredenotedefin"/>
          <w:rStyle w:val="Ancredenotedefin"/>
        </w:rPr>
        <w:endnoteReference w:id="69"/>
      </w:r>
    </w:p>
    <w:p>
      <w:pPr>
        <w:pStyle w:val="Puce3"/>
        <w:tabs>
          <w:tab w:val="clear" w:pos="720"/>
        </w:tabs>
        <w:rPr/>
      </w:pPr>
      <w:r>
        <w:rPr/>
        <w:t>2.</w:t>
        <w:tab/>
        <w:t>Zlepšení koordinace vnitrostátních orgánů pro kybernetickou bezpečnost a další úsilí o zajištění účinného provádění pravidel Unie na vnitrostátní úrovni.</w:t>
      </w:r>
      <w:r>
        <w:rPr>
          <w:rStyle w:val="Ancredenotedefin"/>
          <w:rStyle w:val="Ancredenotedefin"/>
        </w:rPr>
        <w:endnoteReference w:id="70"/>
      </w:r>
      <w:r>
        <w:rPr/>
        <w:t xml:space="preserve"> </w:t>
      </w:r>
      <w:r>
        <w:rPr>
          <w:rStyle w:val="Ancredenotedefin"/>
          <w:rStyle w:val="Ancredenotedefin"/>
        </w:rPr>
        <w:endnoteReference w:id="71"/>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78" w:name="__RefHeading___Toc298330_1346298689"/>
      <w:bookmarkEnd w:id="78"/>
      <w:r>
        <w:rPr/>
        <w:t>29. Návrh: Boj proti diskriminaci, rovnosti a kvalitě života</w:t>
      </w:r>
    </w:p>
    <w:p>
      <w:pPr>
        <w:pStyle w:val="P68B1DB1Normal15"/>
        <w:rPr>
          <w:b/>
          <w:b/>
        </w:rPr>
      </w:pPr>
      <w:r>
        <w:rPr/>
        <w:t>CÍL: Přijmout opatření k harmonizaci životních podmínek v celé Unii a ke zlepšení sociálně-ekonomické kvality života jejích občanů, zejména: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Opatření</w:t>
      </w:r>
      <w:r>
        <w:rPr>
          <w:rStyle w:val="Ancredenotedefin"/>
          <w:rStyle w:val="Ancredenotedefin"/>
        </w:rPr>
        <w:endnoteReference w:id="72"/>
      </w:r>
      <w:r>
        <w:rPr/>
        <w:t>:</w:t>
      </w:r>
    </w:p>
    <w:p>
      <w:pPr>
        <w:pStyle w:val="Puce3"/>
        <w:tabs>
          <w:tab w:val="clear" w:pos="720"/>
        </w:tabs>
        <w:rPr/>
      </w:pPr>
      <w:r>
        <w:rPr/>
        <w:t>1.</w:t>
        <w:tab/>
        <w:t>Vypracování transparentních ukazatelů kvality života, včetně hospodářských a sociálních kritérií a kritérií právního státu, po konzultaci s odborníky a sociálními partnery s cílem stanovit jasný a realistický harmonogram pro zvyšování sociálních norem a vytvoření společné sociálně-ekonomické struktury Unie, mimo jiné prostřednictvím provádění evropského pilíře sociálních práv. Tato opatření by měla být začleněna do rámce správy ekonomických záležitostí a do procesu evropského semestru</w:t>
      </w:r>
      <w:r>
        <w:rPr>
          <w:rStyle w:val="Ancredenotedefin"/>
          <w:rStyle w:val="Ancredenotedefin"/>
        </w:rPr>
        <w:endnoteReference w:id="73"/>
      </w:r>
      <w:r>
        <w:rPr>
          <w:rStyle w:val="Ancredenotedefin"/>
          <w:rStyle w:val="Ancredenotedefin"/>
        </w:rPr>
        <w:endnoteReference w:id="74"/>
      </w:r>
      <w:r>
        <w:rPr/>
        <w:t>.</w:t>
      </w:r>
    </w:p>
    <w:p>
      <w:pPr>
        <w:pStyle w:val="Puce3"/>
        <w:tabs>
          <w:tab w:val="clear" w:pos="720"/>
        </w:tabs>
        <w:rPr/>
      </w:pPr>
      <w:r>
        <w:rPr/>
        <w:t>2.</w:t>
        <w:tab/>
        <w:t>Zvýšení a usnadnění přímých veřejných investic do zdravotnictví, vzdělávání, fyzické infrastruktury a péče o seniory a osoby se zdravotním postižením. Cílem dodatečných investic by mělo být rovněž zajištění uspokojivé rovnováhy mezi pracovním a soukromým životem občanů. Tyto investice by měly být prováděny zcela transparentním způsobem, aby bylo možné sledovat celý proces</w:t>
      </w:r>
      <w:r>
        <w:rPr>
          <w:rStyle w:val="Ancredenotedefin"/>
          <w:rStyle w:val="Ancredenotedefin"/>
        </w:rPr>
        <w:endnoteReference w:id="75"/>
      </w:r>
      <w:r>
        <w:rPr/>
        <w:t>.</w:t>
      </w:r>
    </w:p>
    <w:p>
      <w:pPr>
        <w:pStyle w:val="Puce3"/>
        <w:tabs>
          <w:tab w:val="clear" w:pos="720"/>
        </w:tabs>
        <w:rPr/>
      </w:pPr>
      <w:r>
        <w:rPr/>
        <w:t>3.</w:t>
        <w:tab/>
        <w:t>Podpora zdanění velkých společností, boj proti přístupu do daňových rájů a odstranění jejich existence v EU s cílem zvýšit veřejné investice v prioritních oblastech, jako je vzdělávání (studijní granty, Erasmus) a výzkum. Boj proti daňovým únikům na úrovni EU by měl být rovněž prostředkem pro získávání finančních prostředků na iniciativy financované z veřejných prostředků</w:t>
      </w:r>
      <w:r>
        <w:rPr>
          <w:rStyle w:val="Ancredenotedefin"/>
          <w:rStyle w:val="Ancredenotedefin"/>
        </w:rPr>
        <w:endnoteReference w:id="76"/>
      </w:r>
      <w:r>
        <w:rPr>
          <w:rStyle w:val="Ancredenotedefin"/>
          <w:rStyle w:val="Ancredenotedefin"/>
        </w:rPr>
        <w:endnoteReference w:id="77"/>
      </w:r>
      <w:r>
        <w:rPr/>
        <w:t>.</w:t>
      </w:r>
    </w:p>
    <w:p>
      <w:pPr>
        <w:pStyle w:val="Puce3"/>
        <w:tabs>
          <w:tab w:val="clear" w:pos="720"/>
        </w:tabs>
        <w:rPr/>
      </w:pPr>
      <w:r>
        <w:rPr/>
        <w:t>4.</w:t>
        <w:tab/>
        <w:t>Stanovením celounijních kritérií pro boj proti diskriminaci na trhu práce a podporou zaměstnávání osob, které jsou obecně nejvíce postiženy diskriminací (včetně mladých lidí, starších osob, žen a příslušníků menšin), soukromými společnostmi, a to i prostřednictvím dotací a dočasných kvót. Do tohoto úsilí by měli být úzce zapojeni sociální partneři. Diskriminace mimo trh práce by měla být rovněž zakázána zákonem a měla by být podporována rovnost</w:t>
      </w:r>
      <w:r>
        <w:rPr>
          <w:rStyle w:val="Ancredenotedefin"/>
          <w:rStyle w:val="Ancredenotedefin"/>
        </w:rPr>
        <w:endnoteReference w:id="78"/>
      </w:r>
      <w:r>
        <w:rPr/>
        <w:t>.</w:t>
      </w:r>
    </w:p>
    <w:p>
      <w:pPr>
        <w:pStyle w:val="Puce3"/>
        <w:tabs>
          <w:tab w:val="clear" w:pos="720"/>
        </w:tabs>
        <w:rPr/>
      </w:pPr>
      <w:r>
        <w:rPr/>
        <w:t>5.</w:t>
        <w:tab/>
        <w:t>Zajištění vytváření a usnadnění existence cenově dostupných mateřských škol, veřejných i soukromých, jakož i bezplatných služeb péče o děti pro ty, kteří to potřebují</w:t>
      </w:r>
      <w:r>
        <w:rPr>
          <w:rStyle w:val="Ancredenotedefin"/>
          <w:rStyle w:val="Ancredenotedefin"/>
        </w:rPr>
        <w:endnoteReference w:id="79"/>
      </w:r>
      <w:r>
        <w:rPr/>
        <w:t>.</w:t>
      </w:r>
    </w:p>
    <w:p>
      <w:pPr>
        <w:pStyle w:val="Puce3"/>
        <w:tabs>
          <w:tab w:val="clear" w:pos="720"/>
        </w:tabs>
        <w:rPr/>
      </w:pPr>
      <w:r>
        <w:rPr/>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9" w:name="__RefHeading___Toc298332_1346298689"/>
      <w:bookmarkEnd w:id="79"/>
      <w:r>
        <w:rPr/>
        <w:t>30. Návrh: Práva zvířat, zemědělství</w:t>
      </w:r>
    </w:p>
    <w:p>
      <w:pPr>
        <w:pStyle w:val="P68B1DB1Normal15"/>
        <w:rPr>
          <w:b/>
          <w:b/>
        </w:rPr>
      </w:pPr>
      <w:r>
        <w:rPr/>
        <w:t>Cíl: Přijmout rozhodná opatření na podporu a zajištění zemědělství šetrnějšího k životnímu prostředí a klimatu, zejména: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Opatření</w:t>
      </w:r>
      <w:r>
        <w:rPr>
          <w:rStyle w:val="Ancredenotedefin"/>
          <w:rStyle w:val="Ancredenotedefin"/>
        </w:rPr>
        <w:endnoteReference w:id="80"/>
      </w:r>
      <w:r>
        <w:rPr/>
        <w:t>:</w:t>
      </w:r>
    </w:p>
    <w:p>
      <w:pPr>
        <w:pStyle w:val="Puce3"/>
        <w:tabs>
          <w:tab w:val="clear" w:pos="720"/>
        </w:tabs>
        <w:rPr/>
      </w:pPr>
      <w:r>
        <w:rPr/>
        <w:t>1.</w:t>
        <w:tab/>
        <w:t>Stanovením podrobných, měřitelných a časově vymezených minimálních kritérií pro ochranu hospodářských zvířat s cílem zajistit vyšší normy v oblasti dobrých životních podmínek zvířat v souladu se zavedením cílů udržitelnosti a na základě integrovaného přístupu k potravinovému systému</w:t>
      </w:r>
      <w:r>
        <w:rPr>
          <w:rStyle w:val="Ancredenotedefin"/>
          <w:rStyle w:val="Ancredenotedefin"/>
        </w:rPr>
        <w:endnoteReference w:id="81"/>
      </w:r>
      <w:r>
        <w:rPr>
          <w:rStyle w:val="Ancredenotedefin"/>
          <w:rStyle w:val="Ancredenotedefin"/>
        </w:rPr>
        <w:endnoteReference w:id="82"/>
      </w:r>
      <w:r>
        <w:rPr/>
        <w:t>.</w:t>
      </w:r>
    </w:p>
    <w:p>
      <w:pPr>
        <w:pStyle w:val="Puce3"/>
        <w:tabs>
          <w:tab w:val="clear" w:pos="720"/>
        </w:tabs>
        <w:rPr/>
      </w:pPr>
      <w:r>
        <w:rPr/>
        <w:t>2.</w:t>
        <w:tab/>
        <w:t>Zavedení finančních sankcí za nepříznivé účinky způsobené zemědělskou činností (např. emise skleníkových plynů, používání pesticidů, nadměrná spotřeba vody, dálková doprava atd.) v závislosti na jejich dopadu na životní prostředí. Zemědělské produkty dovážené do Unie by měly být rovněž posuzovány na tomto základě, a to i prostřednictvím cel, aby se odstranila jakákoli konkurenční výhoda vyplývající z méně přísných environmentálních norem</w:t>
      </w:r>
      <w:r>
        <w:rPr>
          <w:rStyle w:val="Ancredenotedefin"/>
          <w:rStyle w:val="Ancredenotedefin"/>
        </w:rPr>
        <w:endnoteReference w:id="83"/>
      </w:r>
      <w:r>
        <w:rPr/>
        <w:t>.</w:t>
      </w:r>
    </w:p>
    <w:p>
      <w:pPr>
        <w:pStyle w:val="Puce3"/>
        <w:tabs>
          <w:tab w:val="clear" w:pos="720"/>
        </w:tabs>
        <w:rPr/>
      </w:pPr>
      <w:r>
        <w:br w:type="column"/>
      </w:r>
      <w:r>
        <w:rPr/>
      </w:r>
    </w:p>
    <w:p>
      <w:pPr>
        <w:pStyle w:val="Puce3"/>
        <w:tabs>
          <w:tab w:val="clear" w:pos="720"/>
        </w:tabs>
        <w:rPr/>
      </w:pPr>
      <w:r>
        <w:rPr/>
        <w:t>3.</w:t>
        <w:tab/>
        <w:t>Snížení dotací na masovou zemědělskou výrobu, pokud nepřispívá k udržitelné transformaci, a přesměrování těchto zdrojů na podporu environmentálně udržitelného zemědělství a zároveň zajištění cenové dostupnosti potravinářských výrobků.</w:t>
      </w:r>
      <w:r>
        <w:rPr>
          <w:rStyle w:val="Ancredenotedefin"/>
          <w:rStyle w:val="Ancredenotedefin"/>
        </w:rPr>
        <w:endnoteReference w:id="84"/>
      </w:r>
      <w:r>
        <w:rPr/>
        <w:t xml:space="preserve"> </w:t>
      </w:r>
      <w:r>
        <w:rPr>
          <w:rStyle w:val="Ancredenotedefin"/>
          <w:rStyle w:val="Ancredenotedefin"/>
        </w:rPr>
        <w:endnoteReference w:id="85"/>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7">
            <wp:simplePos x="0" y="0"/>
            <wp:positionH relativeFrom="column">
              <wp:posOffset>27940</wp:posOffset>
            </wp:positionH>
            <wp:positionV relativeFrom="paragraph">
              <wp:posOffset>30480</wp:posOffset>
            </wp:positionV>
            <wp:extent cx="913765" cy="913765"/>
            <wp:effectExtent l="0" t="0" r="0" b="0"/>
            <wp:wrapSquare wrapText="largest"/>
            <wp:docPr id="66" name="Foto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Foto26" descr=""/>
                    <pic:cNvPicPr>
                      <a:picLocks noChangeAspect="1" noChangeArrowheads="1"/>
                    </pic:cNvPicPr>
                  </pic:nvPicPr>
                  <pic:blipFill>
                    <a:blip r:embed="rId78"/>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80" w:name="__RefHeading___Toc298334_1346298689"/>
      <w:bookmarkEnd w:id="80"/>
      <w:r>
        <w:rPr/>
        <w:t>„</w:t>
      </w:r>
      <w:r>
        <w:rPr/>
        <w:t>Digitální transformace“</w:t>
      </w:r>
    </w:p>
    <w:p>
      <w:pPr>
        <w:pStyle w:val="Normal"/>
        <w:rPr/>
      </w:pPr>
      <w:r>
        <w:rPr/>
        <w:t>Evropa musí být v čele světa a stanovit normy pro digitální transformaci a musí vytyčit evropskou cestu k etické, lidské, transparentní a bezpečné společnosti. Evropa musí zaujmout ambiciózní přístup a plně využít příležitostí, které digitalizace nabízí, a zároveň řešit rizika a výzvy spojené s digitalizací. Digitalizace se týká všech oblastí naší společnosti a je třeba ji systematicky zohledňovat. V tomto ohledu byl učiněn odkaz na Evropskou deklaraci o digitálních právech a zásadách pro digitální dekádu a bylo navrženo, aby se v budoucnu zvážilo možné vypracování Listiny digitálních práv.</w:t>
      </w:r>
    </w:p>
    <w:p>
      <w:pPr>
        <w:pStyle w:val="Normal"/>
        <w:rPr/>
      </w:pPr>
      <w:r>
        <w:rPr/>
        <w:t>Ruská agrese na Ukrajině pouze potvrzuje mnoho prvků, jimiž se návrhy zabývají, jako je potřeba digitální suverenity, zvýšená pozornost věnovaná kybernetické obraně a ochrana před dezinformacemi. To také dokazuje, že současné konflikty mají důsledky v digitální sféře a vyvolávají nové otázky, jako jsou dlouhodobé důsledky zneužití osobních údajů a nelegitimní využívání těchto údajů v budoucnu.</w:t>
      </w:r>
    </w:p>
    <w:p>
      <w:pPr>
        <w:pStyle w:val="Normal"/>
        <w:rPr/>
      </w:pPr>
      <w:r>
        <w:rPr/>
      </w:r>
    </w:p>
    <w:p>
      <w:pPr>
        <w:pStyle w:val="Titre3"/>
        <w:numPr>
          <w:ilvl w:val="2"/>
          <w:numId w:val="2"/>
        </w:numPr>
        <w:rPr/>
      </w:pPr>
      <w:bookmarkStart w:id="81" w:name="__RefHeading___Toc298336_1346298689"/>
      <w:bookmarkEnd w:id="81"/>
      <w:r>
        <w:rPr/>
        <w:t>31. Návrh: Přístup k digitální infrastruktuře</w:t>
      </w:r>
    </w:p>
    <w:p>
      <w:pPr>
        <w:pStyle w:val="Normal"/>
        <w:rPr/>
      </w:pPr>
      <w:r>
        <w:rPr/>
        <w:t>Cíl: Rovný přístup k internetu je základním právem každého evropského občana. Navrhujeme, aby všichni v Evropě měli účinný přístup k internetu a digitálním službám a aby byla posílena svrchovanost digitální infrastruktury EU, a to provedením těchto opatření:</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Opatření</w:t>
      </w:r>
      <w:r>
        <w:rPr>
          <w:rStyle w:val="Ancredenotedefin"/>
          <w:rStyle w:val="Ancredenotedefin"/>
        </w:rPr>
        <w:endnoteReference w:id="86"/>
      </w:r>
      <w:r>
        <w:rPr/>
        <w:t>:</w:t>
      </w:r>
    </w:p>
    <w:p>
      <w:pPr>
        <w:pStyle w:val="Puce3"/>
        <w:tabs>
          <w:tab w:val="clear" w:pos="720"/>
        </w:tabs>
        <w:rPr/>
      </w:pPr>
      <w:r>
        <w:rPr/>
        <w:t>1.</w:t>
        <w:tab/>
        <w:t>Investice do vysoce kvalitní a inovativní evropské digitální infrastruktury (včetně rozvoje sítí 5G a 6G v Evropě) (doporučení č. 40 a 47 evropského plánu 1 a č. 1 nizozemského národního kontaktního místa).</w:t>
      </w:r>
    </w:p>
    <w:p>
      <w:pPr>
        <w:pStyle w:val="Puce3"/>
        <w:tabs>
          <w:tab w:val="clear" w:pos="720"/>
        </w:tabs>
        <w:rPr/>
      </w:pPr>
      <w:r>
        <w:rPr/>
        <w:t>2.</w:t>
        <w:tab/>
        <w:t>Zajistit rychlý, cenově dostupný, bezpečný a stabilní přístup k internetu v celé Unii, včetně roamingu, s prioritou zřízení internetového připojení v „bílých/mrtvých zónách“, venkovských a odlehlých a okrajových oblastech s cílem řešit digitální propast mezi členskými státy a uvnitř členských států a zajistit, aby nikdo nebyl opomenut (doporučení č. 17 a 47 nizozemského NCP 1 a č. 1).</w:t>
      </w:r>
    </w:p>
    <w:p>
      <w:pPr>
        <w:pStyle w:val="Puce3"/>
        <w:tabs>
          <w:tab w:val="clear" w:pos="720"/>
        </w:tabs>
        <w:rPr/>
      </w:pPr>
      <w:r>
        <w:rPr/>
        <w:t>3.</w:t>
        <w:tab/>
        <w:t>Pokročit v zavádění digitální a elektrické infrastruktury ve veřejných i soukromých prostorách umožňujících používání elektrických a autonomních vozidel (rozprava v pracovní skupině)</w:t>
      </w:r>
      <w:r>
        <w:rPr>
          <w:rStyle w:val="Ancredenotedefin"/>
          <w:rStyle w:val="Ancredenotedefin"/>
        </w:rPr>
        <w:endnoteReference w:id="87"/>
      </w:r>
      <w:r>
        <w:rPr/>
        <w:t>.</w:t>
      </w:r>
    </w:p>
    <w:p>
      <w:pPr>
        <w:pStyle w:val="Puce3"/>
        <w:tabs>
          <w:tab w:val="clear" w:pos="720"/>
        </w:tabs>
        <w:rPr/>
      </w:pPr>
      <w:r>
        <w:rPr/>
        <w:t>4.</w:t>
        <w:tab/>
        <w:t>Přijmout opatření k zajištění spravedlivé a otevřené hospodářské soutěže a předcházení monopolům, závislosti na dodavatelích, koncentraci údajů a spoléhání se na třetí země na infrastruktuře a službách; zlepšování trhů ze spotřebitelského hlediska (doporučení CEP č. 17 1).</w:t>
      </w:r>
    </w:p>
    <w:p>
      <w:pPr>
        <w:pStyle w:val="Puce3"/>
        <w:tabs>
          <w:tab w:val="clear" w:pos="720"/>
        </w:tabs>
        <w:rPr/>
      </w:pPr>
      <w:r>
        <w:rPr/>
        <w:t>5.</w:t>
        <w:tab/>
        <w:t>Učinit děti, rodiny, seniory a zranitelné skupiny prioritou, pokud jde o přístup k internetu a IT vybavení, včetně přístupu ke vzdělávání, veřejným službám a zdraví (CEP 1 doporučení 17 a diskuse v pracovní skupině).</w:t>
      </w:r>
    </w:p>
    <w:p>
      <w:pPr>
        <w:pStyle w:val="Puce3"/>
        <w:tabs>
          <w:tab w:val="clear" w:pos="720"/>
        </w:tabs>
        <w:rPr/>
      </w:pPr>
      <w:r>
        <w:rPr/>
        <w:t>6.</w:t>
        <w:tab/>
        <w:t>Zlepšit digitální přístup k základním veřejným a soukromým službám pro občany a podniky s plnou dostupností, např. pokud jde o správní postupy, a zajistit přístup k těmto službám a podporu s nimi spojenou pro všechny, např. prostřednictvím podpůrných služeb (rozprava v pracovní skupině, vícejazyčná digitální platforma).</w:t>
      </w:r>
    </w:p>
    <w:p>
      <w:pPr>
        <w:pStyle w:val="Puce3"/>
        <w:tabs>
          <w:tab w:val="clear" w:pos="720"/>
        </w:tabs>
        <w:rPr/>
      </w:pPr>
      <w:r>
        <w:rPr/>
        <w:t>7.</w:t>
        <w:tab/>
        <w:t>Harmonizovat vysoce kvalitní digitální normy a zlepšit bezpečnou mobilitu dat s cílem usnadnit přeshraniční interoperabilitu (rozprava v pracovní skupině, vícejazyčná digitální platforma).</w:t>
      </w:r>
    </w:p>
    <w:p>
      <w:pPr>
        <w:pStyle w:val="Puce3"/>
        <w:tabs>
          <w:tab w:val="clear" w:pos="720"/>
        </w:tabs>
        <w:rPr/>
      </w:pPr>
      <w:r>
        <w:rPr/>
        <w:t>8.</w:t>
        <w:tab/>
        <w:t>Zamyslet se nad environmentálními dopady digitální infrastruktury a digitalizace s cílem zajistit udržitelnost digitální transformace a posunout se směrem k zelené digitální společnosti (rozprava v pracovní skupině, vícejazyčná digitální platforma).</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2" w:name="__RefHeading___Toc298338_1346298689"/>
      <w:bookmarkEnd w:id="82"/>
      <w:r>
        <w:rPr/>
        <w:t>32. Návrh: Digitální znalosti a dovednosti, které posilují postavení lidí</w:t>
      </w:r>
    </w:p>
    <w:p>
      <w:pPr>
        <w:pStyle w:val="P68B1DB1Normal15"/>
        <w:rPr>
          <w:b/>
          <w:b/>
        </w:rPr>
      </w:pPr>
      <w:r>
        <w:rPr/>
        <w:t>Cíl: Navrhujeme, aby EU zajistila, aby všichni evropští občané mohli využít digitalizace tím, že jim umožní získat potřebné digitální dovednosti a příležitosti, a to zavedením těchto opatření:</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Opatření</w:t>
      </w:r>
      <w:r>
        <w:rPr>
          <w:rStyle w:val="Ancredenotedefin"/>
          <w:rStyle w:val="Ancredenotedefin"/>
        </w:rPr>
        <w:endnoteReference w:id="88"/>
      </w:r>
      <w:r>
        <w:rPr/>
        <w:t>:</w:t>
      </w:r>
    </w:p>
    <w:p>
      <w:pPr>
        <w:pStyle w:val="Puce3"/>
        <w:tabs>
          <w:tab w:val="clear" w:pos="720"/>
        </w:tabs>
        <w:rPr/>
      </w:pPr>
      <w:r>
        <w:rPr/>
        <w:t>1.</w:t>
        <w:tab/>
        <w:t>Zajistit přístup k odborné přípravě a vzdělávání, včetně školních, formálních a neformálních osnov, k celoživotním digitálním dovednostem a znalostem, a to na základě stávajících iniciativ na evropské úrovni, se zvláštním důrazem na začleňování osob patřících ke zranitelným skupinám a starším lidem, jakož i na posilování digitálních dovedností dětí způsobem slučitelným s jejich řádným rozvojem a řešení digitálních nerovností, včetně digitální propasti mezi muži a ženami (doporučení EK č. 8, doporučení č. 5.2 italského národního kontaktního místa a diskuse v pracovní skupině).</w:t>
      </w:r>
    </w:p>
    <w:p>
      <w:pPr>
        <w:pStyle w:val="Puce3"/>
        <w:tabs>
          <w:tab w:val="clear" w:pos="720"/>
        </w:tabs>
        <w:rPr/>
      </w:pPr>
      <w:r>
        <w:rPr/>
        <w:t>2.</w:t>
        <w:tab/>
        <w:t>Zajistit řádné využívání internetu podporou členských států, aby rozvíjely odbornou přípravu v oblasti digitálních dovedností pro všechny věkové skupiny s harmonizovanými programy a obsahem na evropské úrovni, jako jsou internetová rizika a příležitosti, práva uživatelů na internetu a netiquette (doporučení CEP 1 č. 47 a diskuse v pracovní skupině).</w:t>
      </w:r>
    </w:p>
    <w:p>
      <w:pPr>
        <w:pStyle w:val="Puce3"/>
        <w:tabs>
          <w:tab w:val="clear" w:pos="720"/>
        </w:tabs>
        <w:rPr/>
      </w:pPr>
      <w:r>
        <w:rPr/>
        <w:t>3.</w:t>
        <w:tab/>
        <w:t>Přijmout veškerá nezbytná opatření k zajištění toho, aby digitalizace společnosti nevylučovala starší lidi a aby jim byly dostupné technologie, a to podporou příslušných programů a iniciativ, jako jsou kurzy přizpůsobené jejich potřebám. Zároveň by mělo být zajištěno, aby základní služby byly přístupné i osobně a nedigitálním způsobem (doporučení CEP 34 a 47).</w:t>
      </w:r>
    </w:p>
    <w:p>
      <w:pPr>
        <w:pStyle w:val="Puce3"/>
        <w:tabs>
          <w:tab w:val="clear" w:pos="720"/>
        </w:tabs>
        <w:rPr/>
      </w:pPr>
      <w:r>
        <w:rPr/>
        <w:t>4.</w:t>
        <w:tab/>
        <w:t>Zavést ve školách evropskou certifikaci digitálních dovedností, která připraví mladé lidi na budoucí trh práce (doporučení CEP 8 1).</w:t>
      </w:r>
    </w:p>
    <w:p>
      <w:pPr>
        <w:pStyle w:val="Puce3"/>
        <w:tabs>
          <w:tab w:val="clear" w:pos="720"/>
        </w:tabs>
        <w:rPr/>
      </w:pPr>
      <w:r>
        <w:rPr/>
        <w:t>5.</w:t>
        <w:tab/>
        <w:t>Provádět koordinované iniciativy v oblasti odborné přípravy na úrovni Unie pro rekvalifikaci a zvyšování kvalifikace pracovníků, aby si udrželi konkurenceschopnost na trhu práce, zejména s ohledem na dovednosti a kvalifikace potřebné v malých a středních podnicích, jakož i s ohledem na odbornou přípravu digitálních specialistů (doporučení CEP č. 8 a diskuse v pracovní skupině).</w:t>
      </w:r>
    </w:p>
    <w:p>
      <w:pPr>
        <w:pStyle w:val="Puce3"/>
        <w:tabs>
          <w:tab w:val="clear" w:pos="720"/>
        </w:tabs>
        <w:rPr/>
      </w:pPr>
      <w:r>
        <w:rPr/>
        <w:t>6.</w:t>
        <w:tab/>
        <w:t>Zveřejňujte stávající digitální platformy, které propojují občany se zaměstnavateli a pomáhají jim najít pracovní místa v EU, jako je EURES (doporučení CEP č. 8 1).</w:t>
      </w:r>
    </w:p>
    <w:p>
      <w:pPr>
        <w:pStyle w:val="Puce3"/>
        <w:tabs>
          <w:tab w:val="clear" w:pos="720"/>
        </w:tabs>
        <w:rPr/>
      </w:pPr>
      <w:r>
        <w:rPr/>
        <w:t>7.</w:t>
        <w:tab/>
        <w:t>Zvýšit investice a úsilí o stimulaci digitalizace vzdělávání, včetně vysokoškolského vzdělávání (rozprava v pracovní skupině/vícejazyčné digitální platformě).</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3" w:name="__RefHeading___Toc298340_1346298689"/>
      <w:bookmarkEnd w:id="83"/>
      <w:r>
        <w:rPr/>
        <w:t>33. Návrh: Bezpečná a důvěryhodná digitální společnost – kybernetická bezpečnost a dezinformace</w:t>
      </w:r>
    </w:p>
    <w:p>
      <w:pPr>
        <w:pStyle w:val="P68B1DB1Normal15"/>
        <w:rPr>
          <w:b/>
          <w:b/>
        </w:rPr>
      </w:pPr>
      <w:r>
        <w:rPr/>
        <w:t>Cíl: navrhujeme, aby EU v zájmu vytvoření bezpečné, odolné a důvěryhodné digitální společnosti zajistila účinné a včasné provádění stávajících právních předpisů a měla více pravomocí pro posílení kybernetické bezpečnosti, boj proti nezákonnému obsahu a kyberkriminalitě, řešení a řešení důsledků kybernetických hrozeb ze strany nestátních subjektů a autoritářských států a boj proti dezinformacím, a to prováděním těchto opatření:</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Opatření</w:t>
      </w:r>
      <w:r>
        <w:rPr>
          <w:rStyle w:val="Ancredenotedefin"/>
          <w:rStyle w:val="Ancredenotedefin"/>
        </w:rPr>
        <w:endnoteReference w:id="89"/>
      </w:r>
      <w:r>
        <w:rPr/>
        <w:t>:</w:t>
      </w:r>
    </w:p>
    <w:p>
      <w:pPr>
        <w:pStyle w:val="Puce3"/>
        <w:tabs>
          <w:tab w:val="clear" w:pos="720"/>
        </w:tabs>
        <w:rPr/>
      </w:pPr>
      <w:r>
        <w:rPr/>
        <w:t>1.</w:t>
        <w:tab/>
        <w:t>Posílit kapacity Europolu/Evropského centra pro boj proti kyberkriminalitě, pokud jde o finanční a lidské zdroje, s cílem umožnit aktivnější přístup k kyberkriminalitě a posílit společné evropské kapacity kybernetické obrany proti rozsáhlým útokům, mimo jiné prostřednictvím lepší spolupráce (doporučení EKP č. 39, doporučení 2.6 litevského národního kontaktního místa a NCP 1 nizozemského národního kontaktního místa a diskuse v pracovní skupině).</w:t>
      </w:r>
    </w:p>
    <w:p>
      <w:pPr>
        <w:pStyle w:val="Puce3"/>
        <w:tabs>
          <w:tab w:val="clear" w:pos="720"/>
        </w:tabs>
        <w:rPr/>
      </w:pPr>
      <w:r>
        <w:rPr/>
        <w:t>2.</w:t>
        <w:tab/>
        <w:t>Přijmout nezbytná opatření, aby byla připravena na rozsáhlé útoky a narušení služeb a byla schopna je rychle překonat, například zajištěním existence odolné infrastruktury a alternativních komunikačních kanálů (rozprava v pracovní skupině).</w:t>
      </w:r>
    </w:p>
    <w:p>
      <w:pPr>
        <w:pStyle w:val="Puce3"/>
        <w:tabs>
          <w:tab w:val="clear" w:pos="720"/>
        </w:tabs>
        <w:rPr/>
      </w:pPr>
      <w:r>
        <w:rPr/>
        <w:t>3.</w:t>
        <w:tab/>
        <w:t>Zajistit podobné sankce a jejich rychlé a účinné prosazování v členských státech v případě kyberkriminality prostřednictvím lepší koordinace místních, regionálních a vnitrostátních středisek a orgánů pro kybernetickou bezpečnost (doporučení CEP č. 39 1).</w:t>
      </w:r>
    </w:p>
    <w:p>
      <w:pPr>
        <w:pStyle w:val="Puce3"/>
        <w:tabs>
          <w:tab w:val="clear" w:pos="720"/>
        </w:tabs>
        <w:rPr/>
      </w:pPr>
      <w:r>
        <w:rPr/>
        <w:t>4.</w:t>
        <w:tab/>
        <w:t>Zlepšit digitální znalosti a kritické myšlení jako prostředek boje proti dezinformacím, online hrozbám a nenávistným projevům, jakož i zmanipulovaným rozhraním a preferenčním cenám (rozprava v pracovní skupině).</w:t>
      </w:r>
    </w:p>
    <w:p>
      <w:pPr>
        <w:pStyle w:val="Puce3"/>
        <w:tabs>
          <w:tab w:val="clear" w:pos="720"/>
        </w:tabs>
        <w:rPr/>
      </w:pPr>
      <w:r>
        <w:rPr/>
        <w:t>5.</w:t>
        <w:tab/>
        <w:t>Boj proti dezinformacím přijetím právních předpisů a pokynů, které zajistí, aby on-line platformy a společnosti sociálních médií řešily jejich dezinformační zranitelnost a uplatňovaly opatření v oblasti transparentnosti, včetně například algoritmů založených na umělé inteligenci, které mohou vyzdvihnout spolehlivost informací na sociálních médiích a nových médiích tím, že uživateli poskytnou ověřené zdroje informací. Při použití algoritmů by konečnou kontrolou v rozhodovacích procesech měla být odpovědnost lidí (doporučení CEP 1 č. 46 a diskuse v pracovní skupině).</w:t>
      </w:r>
    </w:p>
    <w:p>
      <w:pPr>
        <w:pStyle w:val="Puce3"/>
        <w:tabs>
          <w:tab w:val="clear" w:pos="720"/>
        </w:tabs>
        <w:rPr/>
      </w:pPr>
      <w:r>
        <w:rPr/>
        <w:t>6.</w:t>
        <w:tab/>
        <w:t>Podporovat digitální platformy, které přispívají k pluralitě sdělovacích prostředků a poskytovat zdroje a iniciativy k posouzení spolehlivosti a nestrannosti informací z tradičních médií (televize, tisku, rozhlasu) a jiných médií při plném respektování zásady svobody sdělovacích prostředků a poskytovat občanům informace o kvalitě informací (doporučení CEP 46).</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4" w:name="__RefHeading___Toc298342_1346298689"/>
      <w:bookmarkEnd w:id="84"/>
      <w:r>
        <w:rPr/>
        <w:t>34. Návrh: Bezpečná a důvěryhodná digitální společnost – ochrana údajů</w:t>
      </w:r>
    </w:p>
    <w:p>
      <w:pPr>
        <w:pStyle w:val="P68B1DB1Normal15"/>
        <w:rPr>
          <w:b/>
          <w:b/>
        </w:rPr>
      </w:pPr>
      <w:r>
        <w:rPr/>
        <w:t>Cíl: Podporujeme suverenitu osobních údajů, lepší informovanost a účinnější provádění a prosazování stávajících pravidel ochrany údajů (GDPR) s cílem posílit kontrolu lidí nad jejich údaji a omezit zneužívání údajů, a to zavedením následujících opatření:</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Opatření</w:t>
      </w:r>
      <w:r>
        <w:rPr>
          <w:rStyle w:val="Ancredenotedefin"/>
          <w:rStyle w:val="Ancredenotedefin"/>
        </w:rPr>
        <w:endnoteReference w:id="90"/>
      </w:r>
      <w:r>
        <w:rPr/>
        <w:t>:</w:t>
      </w:r>
    </w:p>
    <w:p>
      <w:pPr>
        <w:pStyle w:val="Puce3"/>
        <w:tabs>
          <w:tab w:val="clear" w:pos="720"/>
        </w:tabs>
        <w:rPr/>
      </w:pPr>
      <w:r>
        <w:rPr/>
        <w:t>1.</w:t>
        <w:tab/>
        <w:t>Lépe vysvětlit pravidla pro ochranu údajů, zvýšit transparentnost a zlepšit komunikaci vypracováním pokynů pro texty informovaného souhlasu, které používají jednoduchý, jasný a srozumitelný jazyk, včetně vizuální prezentace souhlasu s používáním údajů, která je doprovází informační kampaní, a zajistit, aby správci údajů měli potřebné dovednosti a poskytovali poradenství těm, kteří potřebují pomoc (doporučení 42 a 45 nizozemského národního kontaktního místa 1 a 2).</w:t>
      </w:r>
    </w:p>
    <w:p>
      <w:pPr>
        <w:pStyle w:val="Puce3"/>
        <w:tabs>
          <w:tab w:val="clear" w:pos="720"/>
        </w:tabs>
        <w:rPr/>
      </w:pPr>
      <w:r>
        <w:rPr/>
        <w:t>2.</w:t>
        <w:tab/>
        <w:t>Zajistit prosazování stávajícího zákazu standardního souhlasu pro opakované použití nebo další prodej údajů (doporučení CEP č. 42 1).</w:t>
      </w:r>
    </w:p>
    <w:p>
      <w:pPr>
        <w:pStyle w:val="Puce3"/>
        <w:tabs>
          <w:tab w:val="clear" w:pos="720"/>
        </w:tabs>
        <w:rPr/>
      </w:pPr>
      <w:r>
        <w:rPr/>
        <w:t>3.</w:t>
        <w:tab/>
        <w:t>Zajistit, aby žádosti uživatelů o konečné vymazání údajů byly vyhověny ve stanovené lhůtě (doporučení CEP č. 42).</w:t>
      </w:r>
    </w:p>
    <w:p>
      <w:pPr>
        <w:pStyle w:val="Puce3"/>
        <w:tabs>
          <w:tab w:val="clear" w:pos="720"/>
        </w:tabs>
        <w:rPr/>
      </w:pPr>
      <w:r>
        <w:rPr/>
        <w:t>4.</w:t>
        <w:tab/>
        <w:t>Poskytovat uživatelům jasné a stručné informace o tom, jak budou údaje použity a kým (doporučení CEP č. 42 1)</w:t>
      </w:r>
    </w:p>
    <w:p>
      <w:pPr>
        <w:pStyle w:val="Puce3"/>
        <w:tabs>
          <w:tab w:val="clear" w:pos="720"/>
        </w:tabs>
        <w:rPr/>
      </w:pPr>
      <w:r>
        <w:rPr/>
        <w:t>5.</w:t>
        <w:tab/>
        <w:t>Zajistit, aby neevropské společnosti dodržovaly evropská pravidla pro ochranu údajů (CEP 1 Doporučení č. 42 a 43).</w:t>
      </w:r>
    </w:p>
    <w:p>
      <w:pPr>
        <w:pStyle w:val="Puce3"/>
        <w:tabs>
          <w:tab w:val="clear" w:pos="720"/>
        </w:tabs>
        <w:rPr/>
      </w:pPr>
      <w:r>
        <w:rPr/>
        <w:t>6.</w:t>
        <w:tab/>
        <w:t>Podpora zavedení systému certifikace na úrovni EU, který bude přístupným, jasným a jednoduchým způsobem dosvědčovat dodržování obecného nařízení o ochraně osobních údajů, je viditelný na internetových stránkách a platformách a měl by být vydáván nezávislým certifikačním subjektem na evropské úrovni. To by nemělo představovat nepřiměřenou zátěž pro malé a střední podniky (doporučení CEP č. 1 č. 44 a diskuse v pracovní skupině).</w:t>
      </w:r>
    </w:p>
    <w:p>
      <w:pPr>
        <w:pStyle w:val="Puce3"/>
        <w:tabs>
          <w:tab w:val="clear" w:pos="720"/>
        </w:tabs>
        <w:rPr/>
      </w:pPr>
      <w:r>
        <w:rPr/>
        <w:t>7.</w:t>
        <w:tab/>
        <w:t>Zajistit účinnou a včasnou pomoc občanům, kteří se potýkají s obtížemi, pokud jde o námitky proti zpracování svých údajů nebo zrušení jejich souhlasu. Za tímto účelem je na evropské úrovni nezbytné lépe definovat rušivé chování a vypracovat hlavní zásady a mechanismy, které občanům umožní odmítnout zpracování jejich údajů a získat jejich výmaz, jakož i identifikovat a postihovat podvodníky (doporučení CEP 43 a diskuse v pracovní skupině).</w:t>
      </w:r>
    </w:p>
    <w:p>
      <w:pPr>
        <w:pStyle w:val="Puce3"/>
        <w:tabs>
          <w:tab w:val="clear" w:pos="720"/>
        </w:tabs>
        <w:rPr/>
      </w:pPr>
      <w:r>
        <w:rPr/>
        <w:t>8.</w:t>
        <w:tab/>
        <w:t>Stanovit sankce, včetně pokuty úměrné obratu společností a omezení jejich činnosti, například dočasné nebo konečné zákazy nežádoucího zpracování údajů, a pomáhat evropskému inspektorovi ochrany údajů a vnitrostátním agenturám při zajišťování jejich provádění (doporučení CEP č. 42 a 43 a diskuse v pracovní skupině).</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85" w:name="__RefHeading___Toc298344_1346298689"/>
      <w:bookmarkEnd w:id="85"/>
      <w:r>
        <w:rPr/>
        <w:t>35. Návrh: Digitální inovace k posílení sociálního a udržitelného hospodářství</w:t>
      </w:r>
    </w:p>
    <w:p>
      <w:pPr>
        <w:pStyle w:val="Normal"/>
        <w:rPr/>
      </w:pPr>
      <w:r>
        <w:rPr/>
        <w:t>Cíl: Navrhujeme, aby EU podporovala opatření v oblasti digitalizace, která posílí hospodářství a jednotný trh spravedlivým a udržitelným způsobem, zvýší konkurenceschopnost Evropy v oblasti technologií a inovací, zlepší jednotný digitální trh pro podniky všech velikostí a postaví Evropu do celosvětové popředí digitální transformace a digitalizace zaměřené na člověka, a to za použití těchto opatření:</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Opatření</w:t>
      </w:r>
      <w:r>
        <w:rPr>
          <w:rStyle w:val="Ancredenotedefin"/>
          <w:rStyle w:val="Ancredenotedefin"/>
        </w:rPr>
        <w:endnoteReference w:id="91"/>
      </w:r>
      <w:r>
        <w:rPr/>
        <w:t>:</w:t>
      </w:r>
    </w:p>
    <w:p>
      <w:pPr>
        <w:pStyle w:val="Puce3"/>
        <w:tabs>
          <w:tab w:val="clear" w:pos="720"/>
        </w:tabs>
        <w:rPr/>
      </w:pPr>
      <w:r>
        <w:rPr/>
        <w:t>1.</w:t>
        <w:tab/>
        <w:t>Zavést právní předpisy nebo posílit stávající právní předpisy týkající se „mobilní práce“ (zaměřené na člověka) s přihlédnutím k jejímu dopadu na fyzické a duševní zdraví pracovníků, například zaručením práva odpojit se. Přístup zaměřený na člověka předpokládá zásadu „kontroly člověka“ (doporučení č. 7 PCE 1 a diskuse v pracovní skupině)</w:t>
      </w:r>
      <w:r>
        <w:rPr>
          <w:rStyle w:val="Ancredenotedefin"/>
          <w:rStyle w:val="Ancredenotedefin"/>
        </w:rPr>
        <w:endnoteReference w:id="92"/>
      </w:r>
      <w:r>
        <w:rPr/>
        <w:t>.</w:t>
      </w:r>
    </w:p>
    <w:p>
      <w:pPr>
        <w:pStyle w:val="Puce3"/>
        <w:tabs>
          <w:tab w:val="clear" w:pos="720"/>
        </w:tabs>
        <w:rPr/>
      </w:pPr>
      <w:r>
        <w:rPr/>
        <w:t>2.</w:t>
        <w:tab/>
        <w:t>Přijetí právních předpisů na úrovni EU s cílem povzbudit společnosti k tomu, aby byly sociálně odpovědné a aby v Evropě zachovaly kvalitní „mobilní pracovní místa“, čímž se zabrání přesunu těchto pracovních míst do zemí s nižšími náklady. Pobídky mohou mít finanční povahu nebo dopad na image společnosti a měly by zohledňovat mezinárodně uznávaná environmentální a sociální kritéria a kritéria správy věcí veřejných. Za tímto účelem by Unie měla zřídit pracovní skupinu složenou z odborníků ze všech zúčastněných stran, která by tyto právní předpisy přezkoumala a posílila (doporučení CEP 7).</w:t>
      </w:r>
    </w:p>
    <w:p>
      <w:pPr>
        <w:pStyle w:val="Puce3"/>
        <w:tabs>
          <w:tab w:val="clear" w:pos="720"/>
        </w:tabs>
        <w:rPr/>
      </w:pPr>
      <w:r>
        <w:rPr/>
        <w:t>3.</w:t>
        <w:tab/>
        <w:t>Zajistit lidskou kontrolu nad rozhodovacími procesy využívajícími umělou inteligenci na pracovišti a transparentnost používaných algoritmů; zohlednit škodlivé účinky neomezeného digitálního dohledu na pracovišti; informování pracovníků a konzultace s nimi před zavedením digitálních technologií, které mají dopad na pracovní podmínky; zajistit, aby nové formy zaměstnání, např. práce na platformách, byly v souladu s právy pracovníků a poskytovaly vhodné pracovní podmínky (rozprava v pracovní skupině).</w:t>
      </w:r>
    </w:p>
    <w:p>
      <w:pPr>
        <w:pStyle w:val="Puce3"/>
        <w:tabs>
          <w:tab w:val="clear" w:pos="720"/>
        </w:tabs>
        <w:rPr/>
      </w:pPr>
      <w:r>
        <w:rPr/>
        <w:t>4.</w:t>
        <w:tab/>
        <w:t>Přijmout iniciativy na podporu práce na dálku, například vytvářením kancelářských prostor s rychlým a spolehlivým přístupem k internetu, organizováním digitálního vzdělávání a poskytováním zdrojů pro ergonomické vybavení pro práci doma (CEP 1 doporučení 17 a diskuse v pracovní skupině).</w:t>
      </w:r>
    </w:p>
    <w:p>
      <w:pPr>
        <w:pStyle w:val="Puce3"/>
        <w:tabs>
          <w:tab w:val="clear" w:pos="720"/>
        </w:tabs>
        <w:rPr/>
      </w:pPr>
      <w:r>
        <w:rPr/>
        <w:t>5.</w:t>
        <w:tab/>
        <w:t>Vytvořit veřejně dostupný digitální srovnávací přehled, který vytvoří systém hodnocení uvádějící a porovnávající současnou úroveň digitalizace společností v EU (NCP).</w:t>
      </w:r>
    </w:p>
    <w:p>
      <w:pPr>
        <w:pStyle w:val="Puce3"/>
        <w:tabs>
          <w:tab w:val="clear" w:pos="720"/>
        </w:tabs>
        <w:rPr/>
      </w:pPr>
      <w:r>
        <w:rPr/>
        <w:t>6.</w:t>
        <w:tab/>
        <w:t>Budování silné a konkurenceschopné digitální ekonomiky a spravedlivé sdílení přínosů digitální transformace v celé Evropě tím, že se zaměříme na technologie a inovace jako hnací sílu růstu, podpoří špičkový transformační výzkum a poskytne prostor inovačním ekosystémům ve všech regionech zlepšením provozního prostředí malých a středních podniků a začínajících podniků a spravedlivým přístupem k financování a odstraněním právní či jiné zátěže, která brání přeshraničním činnostem (Italské doporučení národních kontaktních míst 1.3, diskuse pracovní skupiny a mnohojazyčná digitální platforma). Budování datové infrastruktury založené na evropských hodnotách; uplatňovat zásady „digitální priority“ a „jednotného přenosu informací“ a usnadnit digitální a bezpečný přístup k údajům pro inovace a podnikání; podporovat digitalizaci veřejných služeb (rozprava v pracovní skupině a vícejazyčné digitální platformě). Plně využít potenciálu důvěryhodného a odpovědného využívání umělé inteligence a využít potenciálu technologie blockchain a cloudových služeb definováním záruk a norem, které zajišťují transparentnost a interoperabilitu, vytvářejí důvěru, usnadňují používání a odstraňují diskriminační nebo předpojaté algoritmy (rozprava v pracovní skupině a vícejazyčné digitální platformě).</w:t>
      </w:r>
    </w:p>
    <w:p>
      <w:pPr>
        <w:pStyle w:val="Puce3"/>
        <w:tabs>
          <w:tab w:val="clear" w:pos="720"/>
        </w:tabs>
        <w:rPr/>
      </w:pPr>
      <w:r>
        <w:rPr/>
        <w:t>9.</w:t>
        <w:tab/>
        <w:t>Podporovat svobodný software, jeho používání ve vzdělávání a odborné přípravě a volný přístup k výzkumu a softwaru financovanému z veřejných zdrojů (rozprava v pracovní skupině a vícejazyčné digitální platformě).</w:t>
      </w:r>
    </w:p>
    <w:p>
      <w:pPr>
        <w:pStyle w:val="Puce3"/>
        <w:tabs>
          <w:tab w:val="clear" w:pos="720"/>
        </w:tabs>
        <w:rPr/>
      </w:pPr>
      <w:r>
        <w:rPr/>
        <w:t>10.</w:t>
        <w:tab/>
        <w:t>Zavést společnou evropskou digitální identitu s cílem usnadnit přeshraniční digitální transakce a služby prostřednictvím rámce evropských norem a hlavních zásad, které poskytují nezbytné záruky (rozprava v pracovní skupině a vícejazyčné digitální platformě).</w:t>
      </w:r>
    </w:p>
    <w:p>
      <w:pPr>
        <w:pStyle w:val="Puce3"/>
        <w:tabs>
          <w:tab w:val="clear" w:pos="720"/>
        </w:tabs>
        <w:rPr/>
      </w:pPr>
      <w:r>
        <w:rPr/>
        <w:t>11.</w:t>
        <w:tab/>
        <w:t>Posoudit, zda by bylo možné digitalizovat informace o spotřebitelských a potravinářských výrobcích prostřednictvím standardizované evropské aplikace, která by poskytovala uživatelsky vstřícnější přístup k informacím a poskytla další informace o produktech a výrobním řetězci (doporučení CEP č. 16).</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Normal"/>
        <w:rPr/>
      </w:pPr>
      <w:r>
        <w:rPr/>
        <w:drawing>
          <wp:anchor behindDoc="0" distT="0" distB="0" distL="0" distR="0" simplePos="0" locked="0" layoutInCell="1" allowOverlap="1" relativeHeight="4">
            <wp:simplePos x="0" y="0"/>
            <wp:positionH relativeFrom="column">
              <wp:posOffset>14605</wp:posOffset>
            </wp:positionH>
            <wp:positionV relativeFrom="paragraph">
              <wp:posOffset>26035</wp:posOffset>
            </wp:positionV>
            <wp:extent cx="913765" cy="913765"/>
            <wp:effectExtent l="0" t="0" r="0" b="0"/>
            <wp:wrapSquare wrapText="largest"/>
            <wp:docPr id="67" name="Obrázek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Obrázek27" descr=""/>
                    <pic:cNvPicPr>
                      <a:picLocks noChangeAspect="1" noChangeArrowheads="1"/>
                    </pic:cNvPicPr>
                  </pic:nvPicPr>
                  <pic:blipFill>
                    <a:blip r:embed="rId79"/>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86" w:name="__RefHeading___Toc298346_1346298689"/>
      <w:bookmarkEnd w:id="86"/>
      <w:r>
        <w:rPr/>
        <w:t>„</w:t>
      </w:r>
      <w:r>
        <w:rPr/>
        <w:t>Evropská demokracie“</w:t>
      </w:r>
    </w:p>
    <w:p>
      <w:pPr>
        <w:pStyle w:val="Titre3"/>
        <w:numPr>
          <w:ilvl w:val="2"/>
          <w:numId w:val="2"/>
        </w:numPr>
        <w:rPr/>
      </w:pPr>
      <w:bookmarkStart w:id="87" w:name="__RefHeading___Toc298348_1346298689"/>
      <w:bookmarkEnd w:id="87"/>
      <w:r>
        <w:rPr/>
        <w:t>36. Návrh: Informace pro občany, účast a mládež</w:t>
      </w:r>
    </w:p>
    <w:p>
      <w:pPr>
        <w:pStyle w:val="P68B1DB1Normal15"/>
        <w:rPr>
          <w:b/>
          <w:b/>
        </w:rPr>
      </w:pPr>
      <w:r>
        <w:rPr/>
        <w:t>Cíl: Zvýšit účast občanů a zapojení mladých lidí do demokracie na úrovni EU s cílem vytvořit „úplnou občanskou zkušenost“ pro Evropany; zajistit, aby jejich názory byly zohledněny, a to i mimo volební období, a aby jejich účast byla skutečná. Je proto nezbytné určit, která forma účasti je nejvhodnější pro každé téma, například:</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Vytvoření nových mechanismů pro účast občanů a zefektivnění stávajících mechanismů v souladu s evropským acquis při současném zlepšení komunikace o všech těchto mechanismech. V ideálním případě by všechny informace o participativních prostorech měly být shrnuty</w:t>
      </w:r>
      <w:r>
        <w:rPr>
          <w:rStyle w:val="Ancredenotedefin"/>
          <w:rStyle w:val="Ancredenotedefin"/>
        </w:rPr>
        <w:endnoteReference w:id="93"/>
      </w:r>
      <w:r>
        <w:rPr/>
        <w:t xml:space="preserve"> na úplných oficiálních internetových stránkách s různými funkcemi</w:t>
      </w:r>
      <w:r>
        <w:rPr>
          <w:rStyle w:val="Ancredenotedefin"/>
          <w:rStyle w:val="Ancredenotedefin"/>
        </w:rPr>
        <w:endnoteReference w:id="94"/>
      </w:r>
      <w:r>
        <w:rPr/>
        <w:t>. Měl by být vytvořen mechanismus pro monitorování politických a legislativních iniciativ vyplývajících z participativních demokratických procesů</w:t>
      </w:r>
      <w:r>
        <w:rPr>
          <w:rStyle w:val="Ancredenotedefin"/>
          <w:rStyle w:val="Ancredenotedefin"/>
        </w:rPr>
        <w:endnoteReference w:id="95"/>
      </w:r>
      <w:r>
        <w:rPr/>
        <w:t>. Participativní mechanismy by měly, všechny, oslovit celou populaci s cílem oslovit různé publikum. Pozornost by měla být věnována obsahu, tématům a dovednostem moderátorů. Tyto mechanismy by měly být založeny na analýze účinků daných opatření, zejména na ženy a zranitelné osoby</w:t>
      </w:r>
      <w:r>
        <w:rPr>
          <w:rStyle w:val="Ancredenotedefin"/>
          <w:rStyle w:val="Ancredenotedefin"/>
        </w:rPr>
        <w:endnoteReference w:id="96"/>
      </w:r>
      <w:r>
        <w:rPr/>
        <w:t>.</w:t>
      </w:r>
    </w:p>
    <w:p>
      <w:pPr>
        <w:pStyle w:val="Puce3"/>
        <w:tabs>
          <w:tab w:val="clear" w:pos="720"/>
        </w:tabs>
        <w:rPr/>
      </w:pPr>
      <w:r>
        <w:rPr/>
        <w:t>2.</w:t>
        <w:tab/>
        <w:t>Zvýšením četnosti on-line a off-line interakcí mezi orgány EU a občany různými prostředky s cílem zajistit, aby se mohli účastnit procesu tvorby evropské politiky, vyjadřovat své názory a získávat zpětnou vazbu, a vypracovat chartu účasti občanů pro evropské úředníky</w:t>
      </w:r>
      <w:r>
        <w:rPr>
          <w:rStyle w:val="Ancredenotedefin"/>
          <w:rStyle w:val="Ancredenotedefin"/>
        </w:rPr>
        <w:endnoteReference w:id="97"/>
      </w:r>
      <w:r>
        <w:rPr/>
        <w:t>.</w:t>
      </w:r>
    </w:p>
    <w:p>
      <w:pPr>
        <w:pStyle w:val="Puce3"/>
        <w:tabs>
          <w:tab w:val="clear" w:pos="720"/>
        </w:tabs>
        <w:rPr/>
      </w:pPr>
      <w:r>
        <w:rPr/>
        <w:t>3.</w:t>
        <w:tab/>
        <w:t>Navrhnout uživatelsky vstřícnou digitální platformu, kde by občané – a zejména mladí lidé – mohli sdílet své nápady, klást otázky zástupcům evropských orgánů a vyjadřovat své názory na důležité evropské otázky a legislativní návrhy. Měla by být rovněž stanovena možnost organizování on-line průzkumů na této platformě</w:t>
      </w:r>
      <w:r>
        <w:rPr>
          <w:rStyle w:val="Ancredenotedefin"/>
          <w:rStyle w:val="Ancredenotedefin"/>
        </w:rPr>
        <w:endnoteReference w:id="98"/>
      </w:r>
      <w:r>
        <w:rPr/>
        <w:t>.</w:t>
      </w:r>
    </w:p>
    <w:p>
      <w:pPr>
        <w:pStyle w:val="Puce3"/>
        <w:tabs>
          <w:tab w:val="clear" w:pos="720"/>
        </w:tabs>
        <w:rPr/>
      </w:pPr>
      <w:r>
        <w:rPr/>
        <w:t>4.</w:t>
        <w:tab/>
        <w:t>Zlepšení a harmonizace stávajících mechanismů na evropské, vnitrostátní a místní úrovni, aby byly bezpečnější, dostupnější, viditelnější a inkluzivnější</w:t>
      </w:r>
      <w:r>
        <w:rPr>
          <w:rStyle w:val="Ancredenotedefin"/>
          <w:rStyle w:val="Ancredenotedefin"/>
        </w:rPr>
        <w:endnoteReference w:id="99"/>
      </w:r>
      <w:r>
        <w:rPr/>
        <w:t>.</w:t>
      </w:r>
    </w:p>
    <w:p>
      <w:pPr>
        <w:pStyle w:val="Puce3"/>
        <w:tabs>
          <w:tab w:val="clear" w:pos="720"/>
        </w:tabs>
        <w:rPr/>
      </w:pPr>
      <w:r>
        <w:rPr/>
        <w:t>5.</w:t>
        <w:tab/>
        <w:t>Zapojení organizací občanské společnosti, regionálních a místních orgánů a stávajících subjektů, jako je Evropský hospodářský a sociální výbor (EHSV) a Výboru regionů (VR</w:t>
      </w:r>
      <w:r>
        <w:rPr>
          <w:rStyle w:val="Ancredenotedefin"/>
          <w:rStyle w:val="Ancredenotedefin"/>
        </w:rPr>
        <w:endnoteReference w:id="100"/>
      </w:r>
      <w:r>
        <w:rPr/>
        <w:t>), do procesu účasti občanů</w:t>
      </w:r>
      <w:r>
        <w:rPr>
          <w:rStyle w:val="Ancredenotedefin"/>
          <w:rStyle w:val="Ancredenotedefin"/>
        </w:rPr>
        <w:endnoteReference w:id="101"/>
      </w:r>
      <w:r>
        <w:rPr/>
        <w:t>.</w:t>
      </w:r>
    </w:p>
    <w:p>
      <w:pPr>
        <w:pStyle w:val="Puce3"/>
        <w:tabs>
          <w:tab w:val="clear" w:pos="720"/>
        </w:tabs>
        <w:rPr/>
      </w:pPr>
      <w:r>
        <w:rPr/>
        <w:t>6.</w:t>
        <w:tab/>
        <w:t>Vytvořením systému místních poradců EU s cílem přiblížit evropské orgány evropským občanům</w:t>
      </w:r>
      <w:r>
        <w:rPr>
          <w:rStyle w:val="Ancredenotedefin"/>
          <w:rStyle w:val="Ancredenotedefin"/>
        </w:rPr>
        <w:endnoteReference w:id="102"/>
      </w:r>
      <w:r>
        <w:rPr/>
        <w:t>.</w:t>
      </w:r>
    </w:p>
    <w:p>
      <w:pPr>
        <w:pStyle w:val="Puce3"/>
        <w:tabs>
          <w:tab w:val="clear" w:pos="720"/>
        </w:tabs>
        <w:rPr/>
      </w:pPr>
      <w:r>
        <w:rPr/>
        <w:t>7.</w:t>
        <w:tab/>
        <w:t>Pravidelně sdružovat shromáždění občanů na právně závazném základě práva EU. Účastníci budou čerpáni losem podle kritérií reprezentativnosti a účast bude důrazně podporována. V případě potřeby poskytnou odborníci členům shromáždění informace týkající se jejich jednání. Pokud orgány nezohlední závěry těchto zasedání, budou muset své rozhodnutí odůvodnit</w:t>
      </w:r>
      <w:r>
        <w:rPr>
          <w:rStyle w:val="Ancredenotedefin"/>
          <w:rStyle w:val="Ancredenotedefin"/>
        </w:rPr>
        <w:endnoteReference w:id="103"/>
      </w:r>
      <w:r>
        <w:rPr/>
        <w:t>. Je důležité, aby zvolení zástupci konzultovali občany a občanskou společnost před přijetím politických rozhodnutí a aby zohlednili jejich příspěvky. Evropská unie je založena na zastupitelské demokracii: v evropských volbách vysílají občané svým zástupcům jasný signál a nepřímo hovoří o politikách EU</w:t>
      </w:r>
      <w:r>
        <w:rPr>
          <w:rStyle w:val="Ancredenotedefin"/>
          <w:rStyle w:val="Ancredenotedefin"/>
        </w:rPr>
        <w:endnoteReference w:id="104"/>
      </w:r>
      <w:r>
        <w:rPr/>
        <w:t>.</w:t>
      </w:r>
    </w:p>
    <w:p>
      <w:pPr>
        <w:pStyle w:val="Puce3"/>
        <w:tabs>
          <w:tab w:val="clear" w:pos="720"/>
        </w:tabs>
        <w:rPr/>
      </w:pPr>
      <w:r>
        <w:rPr/>
        <w:t>8.</w:t>
        <w:tab/>
        <w:t>Poskytování posílené finanční nebo jiné strukturální podpory občanské společnosti, zejména mladým lidem, a místním orgánům při zřizování místních rad mládeže</w:t>
      </w:r>
      <w:r>
        <w:rPr>
          <w:rStyle w:val="Ancredenotedefin"/>
          <w:rStyle w:val="Ancredenotedefin"/>
        </w:rPr>
        <w:endnoteReference w:id="105"/>
      </w:r>
      <w:r>
        <w:rPr/>
        <w:t>; zapojení občanské společnosti a sociálních partnerů by mohlo být úplným pilířem evropského akčního plánu pro demokracii a mohla by být věnována konkrétní strategie občanské společnosti</w:t>
      </w:r>
      <w:r>
        <w:rPr>
          <w:rStyle w:val="Ancredenotedefin"/>
          <w:rStyle w:val="Ancredenotedefin"/>
        </w:rPr>
        <w:endnoteReference w:id="106"/>
      </w:r>
      <w:r>
        <w:rPr/>
        <w:t>.</w:t>
      </w:r>
    </w:p>
    <w:p>
      <w:pPr>
        <w:pStyle w:val="Puce3"/>
        <w:tabs>
          <w:tab w:val="clear" w:pos="720"/>
        </w:tabs>
        <w:rPr/>
      </w:pPr>
      <w:r>
        <w:rPr/>
        <w:t>9.</w:t>
        <w:tab/>
        <w:t>Zavedení „kontroly mládeže“ právních předpisů, která by zahrnovala posouzení dopadů a mechanismus konzultací se zástupci mladých lidí v případech, kdy by právní předpisy mohly mít dopad na mladé lidi</w:t>
      </w:r>
      <w:r>
        <w:rPr>
          <w:rStyle w:val="Ancredenotedefin"/>
          <w:rStyle w:val="Ancredenotedefin"/>
        </w:rPr>
        <w:endnoteReference w:id="107"/>
      </w:r>
      <w:r>
        <w:rPr/>
        <w:t>.</w:t>
      </w:r>
    </w:p>
    <w:p>
      <w:pPr>
        <w:pStyle w:val="Puce3"/>
        <w:tabs>
          <w:tab w:val="clear" w:pos="720"/>
        </w:tabs>
        <w:rPr/>
      </w:pPr>
      <w:r>
        <w:br w:type="column"/>
      </w:r>
      <w:r>
        <w:rPr/>
      </w:r>
    </w:p>
    <w:p>
      <w:pPr>
        <w:pStyle w:val="Puce3"/>
        <w:tabs>
          <w:tab w:val="clear" w:pos="720"/>
        </w:tabs>
        <w:rPr/>
      </w:pPr>
      <w:r>
        <w:rPr/>
        <w:t>10.</w:t>
        <w:tab/>
        <w:t>Posílením spolupráce mezi normotvůrci EU a organizacemi občanské společnosti s cílem využít jejich vazeb mezi činiteli s rozhodovací pravomocí a občany</w:t>
      </w:r>
      <w:r>
        <w:rPr>
          <w:rStyle w:val="Ancredenotedefin"/>
          <w:rStyle w:val="Ancredenotedefin"/>
        </w:rPr>
        <w:endnoteReference w:id="108"/>
      </w:r>
      <w:r>
        <w:rPr/>
        <w:t>.</w:t>
      </w:r>
    </w:p>
    <w:p>
      <w:pPr>
        <w:pStyle w:val="Puce3"/>
        <w:tabs>
          <w:tab w:val="clear" w:pos="720"/>
        </w:tabs>
        <w:rPr/>
      </w:pPr>
      <w:r>
        <w:rPr/>
        <w:t>11.</w:t>
        <w:tab/>
        <w:t>Shrnutí bodů týkajících se účasti občanů na Evropské chartě příspěvku občanů k evropským záležitostem.</w:t>
      </w:r>
    </w:p>
    <w:p>
      <w:pPr>
        <w:pStyle w:val="Normal"/>
        <w:rPr/>
      </w:pPr>
      <w:r>
        <w:rPr/>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8" w:name="__RefHeading___Toc298350_1346298689"/>
      <w:bookmarkEnd w:id="88"/>
      <w:r>
        <w:rPr/>
        <w:t>37. Návrh: Informace pro občany, účast a mládež (a)</w:t>
      </w:r>
    </w:p>
    <w:p>
      <w:pPr>
        <w:pStyle w:val="P68B1DB1Normal15"/>
        <w:rPr>
          <w:b/>
          <w:b/>
        </w:rPr>
      </w:pPr>
      <w:r>
        <w:rPr/>
        <w:t>Cíl: Učinit Evropskou unii srozumitelnější a přístupnější; posílení společné evropské identity, zejména: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r>
      <w:r>
        <w:rPr>
          <w:rStyle w:val="Ancredenotedefin"/>
          <w:rStyle w:val="Ancredenotedefin"/>
          <w:b/>
        </w:rPr>
        <w:endnoteReference w:id="109"/>
      </w:r>
      <w:r>
        <w:rPr/>
        <w:t>Zajištění minimálního vzdělání v Evropské unii, zejména jejích demokratických procesů, aniž by byla opomíjena historie evropské integrace a evropského občanství. Lidé všech věkových kategorií by měli mít možnost využívat těchto programů, které by měly být koncipovány atraktivním a věkově přiměřeným způsobem, jako je rozvoj specifických vzdělávacích programů a materiálů pro děti, školy</w:t>
      </w:r>
      <w:r>
        <w:rPr>
          <w:rStyle w:val="Ancredenotedefin"/>
          <w:rStyle w:val="Ancredenotedefin"/>
        </w:rPr>
        <w:endnoteReference w:id="110"/>
      </w:r>
      <w:r>
        <w:rPr/>
        <w:t xml:space="preserve"> a organizace občanské společnosti působící v neformálním vzdělávání</w:t>
      </w:r>
      <w:r>
        <w:rPr>
          <w:rStyle w:val="Ancredenotedefin"/>
          <w:rStyle w:val="Ancredenotedefin"/>
        </w:rPr>
        <w:endnoteReference w:id="111"/>
      </w:r>
      <w:r>
        <w:rPr/>
        <w:t>.</w:t>
      </w:r>
    </w:p>
    <w:p>
      <w:pPr>
        <w:pStyle w:val="Puce3"/>
        <w:tabs>
          <w:tab w:val="clear" w:pos="720"/>
        </w:tabs>
        <w:rPr/>
      </w:pPr>
      <w:r>
        <w:rPr/>
        <w:t>2.</w:t>
        <w:tab/>
        <w:t>Zajistit, aby všichni občané měli snadný přístup ke spolehlivým informacím o Unii. Evropské orgány by měly používat dostupnější jazyk a vyvarovat se používání byrokratického žargonu ve své komunikaci při zachování kvality a technické úrovně poskytovaných informací a přizpůsobit informace různým komunikačním kanálům a profilům příjemců.</w:t>
      </w:r>
      <w:r>
        <w:rPr>
          <w:rStyle w:val="Ancredenotedefin"/>
          <w:rStyle w:val="Ancredenotedefin"/>
        </w:rPr>
        <w:endnoteReference w:id="112"/>
      </w:r>
      <w:r>
        <w:rPr/>
        <w:t xml:space="preserve"> Měly by například zvážit vytvoření mobilní aplikace, která bude obsahovat informace o politikách EU v jasném jazyce</w:t>
      </w:r>
      <w:r>
        <w:rPr>
          <w:rStyle w:val="Ancredenotedefin"/>
          <w:rStyle w:val="Ancredenotedefin"/>
        </w:rPr>
        <w:endnoteReference w:id="113"/>
      </w:r>
      <w:r>
        <w:rPr/>
        <w:t>. Zvláštní úsilí by mělo být vyvinuto s cílem oslovit mladé lidi na sociálních sítích, ale také prostřednictvím mládežnických hnutí a různých „velvyslanců“ (organizací a jednotlivců) vysvětlujících</w:t>
      </w:r>
      <w:r>
        <w:rPr>
          <w:rStyle w:val="Ancredenotedefin"/>
          <w:rStyle w:val="Ancredenotedefin"/>
        </w:rPr>
        <w:endnoteReference w:id="114"/>
      </w:r>
      <w:r>
        <w:rPr/>
        <w:t xml:space="preserve"> evropský projekt</w:t>
      </w:r>
      <w:r>
        <w:rPr>
          <w:rStyle w:val="Ancredenotedefin"/>
          <w:rStyle w:val="Ancredenotedefin"/>
        </w:rPr>
        <w:endnoteReference w:id="115"/>
      </w:r>
      <w:r>
        <w:rPr/>
        <w:t>.</w:t>
      </w:r>
    </w:p>
    <w:p>
      <w:pPr>
        <w:pStyle w:val="Puce3"/>
        <w:tabs>
          <w:tab w:val="clear" w:pos="720"/>
        </w:tabs>
        <w:rPr/>
      </w:pPr>
      <w:r>
        <w:rPr/>
        <w:t>3.</w:t>
        <w:tab/>
        <w:t>Větší využívání umělé inteligence a technologií strojového překladu k překonání jazykové bariéry</w:t>
      </w:r>
      <w:r>
        <w:rPr>
          <w:rStyle w:val="Ancredenotedefin"/>
          <w:rStyle w:val="Ancredenotedefin"/>
        </w:rPr>
        <w:endnoteReference w:id="116"/>
      </w:r>
      <w:r>
        <w:rPr/>
        <w:t>, zajištění</w:t>
      </w:r>
      <w:r>
        <w:rPr>
          <w:rStyle w:val="Ancredenotedefin"/>
          <w:rStyle w:val="Ancredenotedefin"/>
        </w:rPr>
        <w:endnoteReference w:id="117"/>
      </w:r>
      <w:r>
        <w:rPr/>
        <w:t>toho, aby všechny digitální nástroje byly přístupné osobám se zdravotním postižením</w:t>
      </w:r>
      <w:r>
        <w:rPr>
          <w:rStyle w:val="Ancredenotedefin"/>
          <w:rStyle w:val="Ancredenotedefin"/>
        </w:rPr>
        <w:endnoteReference w:id="118"/>
      </w:r>
      <w:r>
        <w:rPr/>
        <w:t xml:space="preserve"> a byly snadno použitelné.</w:t>
      </w:r>
    </w:p>
    <w:p>
      <w:pPr>
        <w:pStyle w:val="Puce3"/>
        <w:tabs>
          <w:tab w:val="clear" w:pos="720"/>
        </w:tabs>
        <w:rPr/>
      </w:pPr>
      <w:r>
        <w:rPr/>
        <w:t>4.</w:t>
        <w:tab/>
        <w:t>Obhajováním a podporou svobody, plurality a nezávislosti sdělovacích prostředků a podněcováním sdělovacích prostředků, včetně veřejnoprávního vysílání, veřejnoprávních zpravodajských agentur a evropských sdělovacích prostředků, aby pravidelněji pokrývaly evropské záležitosti a zároveň respektovaly jejich svobodu a nezávislost, aby takové zpravodajství bylo ve všech členských státech Unie pravidelné a komplexní,</w:t>
      </w:r>
      <w:r>
        <w:rPr>
          <w:rStyle w:val="Ancredenotedefin"/>
          <w:rStyle w:val="Ancredenotedefin"/>
        </w:rPr>
        <w:endnoteReference w:id="119"/>
      </w:r>
      <w:r>
        <w:rPr/>
        <w:t>zvýšilo úsilí v boji proti dezinformacím a zahraničnímu vměšování a chránilo novináře</w:t>
      </w:r>
      <w:r>
        <w:rPr>
          <w:rStyle w:val="Ancredenotedefin"/>
          <w:rStyle w:val="Ancredenotedefin"/>
        </w:rPr>
        <w:endnoteReference w:id="120"/>
      </w:r>
      <w:r>
        <w:rPr/>
        <w:t>.</w:t>
      </w:r>
    </w:p>
    <w:p>
      <w:pPr>
        <w:pStyle w:val="Puce3"/>
        <w:tabs>
          <w:tab w:val="clear" w:pos="720"/>
        </w:tabs>
        <w:rPr/>
      </w:pPr>
      <w:r>
        <w:rPr/>
      </w:r>
    </w:p>
    <w:p>
      <w:pPr>
        <w:pStyle w:val="Puce3"/>
        <w:tabs>
          <w:tab w:val="clear" w:pos="720"/>
        </w:tabs>
        <w:rPr/>
      </w:pPr>
      <w:r>
        <w:rPr/>
        <w:t>5.</w:t>
        <w:tab/>
        <w:t>Přiblížením Evropy občanům posílením</w:t>
      </w:r>
      <w:r>
        <w:rPr>
          <w:rStyle w:val="Ancredenotedefin"/>
          <w:rStyle w:val="Ancredenotedefin"/>
        </w:rPr>
        <w:endnoteReference w:id="121"/>
      </w:r>
      <w:r>
        <w:rPr/>
        <w:t xml:space="preserve"> kontaktních míst a specializovaných center („Europe Houses“) na místní úrovni, která by občanům poskytovala zdroje, informace a poradenství ohledně evropských otázek, naslouchala jejich obavám a diskutovala se sdruženími s cílem přispět k tomu, aby se názory občanů dostaly na evropskou úroveň</w:t>
      </w:r>
      <w:r>
        <w:rPr>
          <w:rStyle w:val="Ancredenotedefin"/>
          <w:rStyle w:val="Ancredenotedefin"/>
        </w:rPr>
        <w:endnoteReference w:id="122"/>
      </w:r>
      <w:r>
        <w:rPr/>
        <w:t>.</w:t>
      </w:r>
    </w:p>
    <w:p>
      <w:pPr>
        <w:pStyle w:val="Puce3"/>
        <w:tabs>
          <w:tab w:val="clear" w:pos="720"/>
        </w:tabs>
        <w:rPr/>
      </w:pPr>
      <w:r>
        <w:rPr/>
        <w:t>6.</w:t>
        <w:tab/>
        <w:t>Přijetím nových opatření k posílení společné identity mezi Evropany, například prostřednictvím fondu EU, který by podporoval on-line a offline interakce (jako jsou výměnné programy, panely nebo setkání) s různou délkou trvání mezi občany EU, organizováním evropských sportovních akcí, zřízením společných týmů nebo provedením 9. května (Den Evropy) dalším svátkem</w:t>
      </w:r>
      <w:r>
        <w:rPr>
          <w:rStyle w:val="Ancredenotedefin"/>
          <w:rStyle w:val="Ancredenotedefin"/>
        </w:rPr>
        <w:endnoteReference w:id="123"/>
      </w:r>
      <w:r>
        <w:rPr/>
        <w:t xml:space="preserve"> pro všechny evropské občany</w:t>
      </w:r>
      <w:r>
        <w:rPr>
          <w:rStyle w:val="Ancredenotedefin"/>
          <w:rStyle w:val="Ancredenotedefin"/>
        </w:rPr>
        <w:endnoteReference w:id="124"/>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9" w:name="__RefHeading___Toc298352_1346298689"/>
      <w:bookmarkEnd w:id="89"/>
      <w:r>
        <w:rPr/>
        <w:t>38. Návrh: Demokracie a volby</w:t>
      </w:r>
    </w:p>
    <w:p>
      <w:pPr>
        <w:pStyle w:val="Normal"/>
        <w:rPr/>
      </w:pPr>
      <w:r>
        <w:rPr/>
        <w:t>Cíl: Posílení evropské demokracie posílením jejích základů, podporou účasti občanů ve volbách do Evropského parlamentu, podporou nadnárodních diskusí o evropských otázkách a zajištěním silné vazby mezi občany a jejich volenými zástupci, zejména: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Zajištění ochrany evropských hodnot zakotvených ve Smlouvách, včetně právního státu a pevného sociálního modelu</w:t>
      </w:r>
      <w:r>
        <w:rPr>
          <w:rStyle w:val="Ancredenotedefin"/>
          <w:rStyle w:val="Ancredenotedefin"/>
        </w:rPr>
        <w:endnoteReference w:id="125"/>
      </w:r>
      <w:r>
        <w:rPr/>
        <w:t>, které tvoří jádro evropské demokracie. Ve vztazích se zbytkem světa by Unie měla upřednostňovat společné demokratické hodnoty v příhraničních zemích. Teprve po dosažení tohoto cíle se může stát velvyslankyní našeho demokratického modelu v zemích, které k tomu mají kapacity a vůli, a to prostřednictvím diplomacie a dialogu</w:t>
      </w:r>
      <w:r>
        <w:rPr>
          <w:rStyle w:val="Ancredenotedefin"/>
          <w:rStyle w:val="Ancredenotedefin"/>
        </w:rPr>
        <w:endnoteReference w:id="126"/>
      </w:r>
      <w:r>
        <w:rPr/>
        <w:t>.</w:t>
      </w:r>
    </w:p>
    <w:p>
      <w:pPr>
        <w:pStyle w:val="Puce3"/>
        <w:tabs>
          <w:tab w:val="clear" w:pos="720"/>
        </w:tabs>
        <w:rPr/>
      </w:pPr>
      <w:r>
        <w:rPr/>
        <w:t>2.</w:t>
        <w:tab/>
        <w:t>Zavedením možnosti uspořádat referendum v celé Unii výjimečně z podnětu Evropského parlamentu, pokud se ukáže, že určité téma je obzvláště důležité pro všechny evropské občany</w:t>
      </w:r>
      <w:r>
        <w:rPr>
          <w:rStyle w:val="Ancredenotedefin"/>
          <w:rStyle w:val="Ancredenotedefin"/>
        </w:rPr>
        <w:endnoteReference w:id="127"/>
      </w:r>
      <w:r>
        <w:rPr/>
        <w:t>.</w:t>
      </w:r>
    </w:p>
    <w:p>
      <w:pPr>
        <w:pStyle w:val="Puce3"/>
        <w:tabs>
          <w:tab w:val="clear" w:pos="720"/>
        </w:tabs>
        <w:rPr/>
      </w:pPr>
      <w:r>
        <w:rPr/>
        <w:t>3.</w:t>
        <w:tab/>
        <w:t>Změnou volebního práva Unie s cílem harmonizovat pravidla pro volby do Evropského parlamentu (např. věk zletilosti, datum voleb, požadavky vztahující se na volební obvody, kandidáty, politické strany a jejich financování), jakož i přechod na celoevropské nebo nadnárodní seznamy</w:t>
      </w:r>
      <w:r>
        <w:rPr>
          <w:rStyle w:val="Ancredenotedebasdepage"/>
          <w:rStyle w:val="Ancredenotedebasdepage"/>
        </w:rPr>
        <w:footnoteReference w:id="11"/>
      </w:r>
      <w:r>
        <w:rPr/>
        <w:t xml:space="preserve"> zahrnující kandidáty z různých členských států po zohlednění</w:t>
      </w:r>
      <w:r>
        <w:rPr>
          <w:rStyle w:val="Ancredenotedefin"/>
          <w:rStyle w:val="Ancredenotedefin"/>
        </w:rPr>
        <w:endnoteReference w:id="128"/>
      </w:r>
      <w:r>
        <w:rPr/>
        <w:t xml:space="preserve"> názorů občanů členských států v této věci</w:t>
      </w:r>
      <w:r>
        <w:rPr>
          <w:rStyle w:val="Ancredenotedefin"/>
          <w:rStyle w:val="Ancredenotedefin"/>
        </w:rPr>
        <w:endnoteReference w:id="129"/>
      </w:r>
      <w:r>
        <w:rPr/>
        <w:t>.</w:t>
      </w:r>
    </w:p>
    <w:p>
      <w:pPr>
        <w:pStyle w:val="Alineanegatifpuce"/>
        <w:numPr>
          <w:ilvl w:val="0"/>
          <w:numId w:val="3"/>
        </w:numPr>
        <w:rPr/>
      </w:pPr>
      <w:r>
        <w:rPr/>
        <w:t xml:space="preserve"> </w:t>
      </w:r>
      <w:r>
        <w:rPr/>
        <w:t>Někteří poslanci Evropského parlamentu by měli být voleni ze celoevropských seznamů, jiní by byli vybíráni na úrovni členských států</w:t>
      </w:r>
      <w:r>
        <w:rPr>
          <w:rStyle w:val="Ancredenotedefin"/>
          <w:rStyle w:val="Ancredenotedefin"/>
        </w:rPr>
        <w:endnoteReference w:id="130"/>
      </w:r>
      <w:r>
        <w:rPr/>
        <w:t>.</w:t>
      </w:r>
    </w:p>
    <w:p>
      <w:pPr>
        <w:pStyle w:val="Alineanegatifpuce"/>
        <w:numPr>
          <w:ilvl w:val="0"/>
          <w:numId w:val="3"/>
        </w:numPr>
        <w:rPr/>
      </w:pPr>
      <w:r>
        <w:rPr/>
        <w:t xml:space="preserve"> </w:t>
      </w:r>
      <w:r>
        <w:rPr/>
        <w:t>Cílem reformy by mělo být rovněž usnadnit uspořádání digitálního hlasování</w:t>
      </w:r>
      <w:r>
        <w:rPr>
          <w:rStyle w:val="Ancredenotedefin"/>
          <w:rStyle w:val="Ancredenotedefin"/>
        </w:rPr>
        <w:endnoteReference w:id="131"/>
      </w:r>
      <w:r>
        <w:rPr/>
        <w:t xml:space="preserve"> a zaručit skutečné právo osob se zdravotním postižením volit</w:t>
      </w:r>
      <w:r>
        <w:rPr>
          <w:rStyle w:val="Ancredenotedefin"/>
          <w:rStyle w:val="Ancredenotedefin"/>
        </w:rPr>
        <w:endnoteReference w:id="132"/>
      </w:r>
      <w:r>
        <w:rPr/>
        <w:t>.</w:t>
      </w:r>
    </w:p>
    <w:p>
      <w:pPr>
        <w:pStyle w:val="Puce3"/>
        <w:tabs>
          <w:tab w:val="clear" w:pos="720"/>
        </w:tabs>
        <w:rPr/>
      </w:pPr>
      <w:r>
        <w:rPr/>
        <w:t>4.</w:t>
        <w:tab/>
        <w:t>Posílení vazeb mezi občany a jejich volenými zástupci s přihlédnutím k vnitrostátním zvláštnostem: občané chtějí mít pocit, že poslanci Evropského parlamentu a poslanci vnitrostátních parlamentů jsou jim blízcí a reagují na své obavy konkrétními opatřeními</w:t>
      </w:r>
      <w:r>
        <w:rPr>
          <w:rStyle w:val="Ancredenotedefin"/>
          <w:rStyle w:val="Ancredenotedefin"/>
        </w:rPr>
        <w:endnoteReference w:id="133"/>
      </w:r>
      <w:r>
        <w:rPr/>
        <w:t>. Jedná se o univerzální problém a lidé všech věkových kategorií by se měli zapojit</w:t>
      </w:r>
      <w:r>
        <w:rPr>
          <w:rStyle w:val="Ancredenotedefin"/>
          <w:rStyle w:val="Ancredenotedefin"/>
        </w:rPr>
        <w:endnoteReference w:id="134"/>
      </w:r>
      <w:r>
        <w:rPr/>
        <w:t>.</w:t>
      </w:r>
    </w:p>
    <w:p>
      <w:pPr>
        <w:pStyle w:val="Alineanegatifpuce"/>
        <w:numPr>
          <w:ilvl w:val="0"/>
          <w:numId w:val="3"/>
        </w:numPr>
        <w:rPr/>
      </w:pPr>
      <w:r>
        <w:rPr/>
        <w:t xml:space="preserve"> </w:t>
      </w:r>
      <w:r>
        <w:rPr/>
        <w:t>Evropští občané by měli mít větší váhu při volbě předsedy Komise. Tohoto cíle by mohlo být dosaženo přímou volbou předsedy Komise</w:t>
      </w:r>
      <w:r>
        <w:rPr>
          <w:rStyle w:val="Ancredenotedefin"/>
          <w:rStyle w:val="Ancredenotedefin"/>
        </w:rPr>
        <w:endnoteReference w:id="135"/>
      </w:r>
      <w:r>
        <w:rPr/>
        <w:t xml:space="preserve"> nebo systémem kandidátů na nejvyšší místo</w:t>
      </w:r>
      <w:r>
        <w:rPr>
          <w:rStyle w:val="Ancredenotedebasdepage"/>
          <w:rStyle w:val="Ancredenotedebasdepage"/>
        </w:rPr>
        <w:footnoteReference w:id="12"/>
      </w:r>
      <w:r>
        <w:rPr/>
        <w:t>.</w:t>
      </w:r>
    </w:p>
    <w:p>
      <w:pPr>
        <w:pStyle w:val="Alineanegatifpuce"/>
        <w:numPr>
          <w:ilvl w:val="0"/>
          <w:numId w:val="3"/>
        </w:numPr>
        <w:rPr/>
      </w:pPr>
      <w:r>
        <w:rPr/>
        <w:t xml:space="preserve"> </w:t>
      </w:r>
      <w:r>
        <w:rPr/>
        <w:t>Evropský parlament by měl mít právo na legislativní iniciativu, aby mohl navrhnout</w:t>
      </w:r>
      <w:r>
        <w:rPr>
          <w:rStyle w:val="Ancredenotedefin"/>
          <w:rStyle w:val="Ancredenotedefin"/>
        </w:rPr>
        <w:endnoteReference w:id="136"/>
      </w:r>
      <w:r>
        <w:rPr/>
        <w:t xml:space="preserve"> témata k diskusi a poté přijmout nezbytné texty, které by navázaly na doporučení vyplývající z jednání</w:t>
      </w:r>
      <w:r>
        <w:rPr>
          <w:rStyle w:val="Ancredenotedefin"/>
          <w:rStyle w:val="Ancredenotedefin"/>
        </w:rPr>
        <w:endnoteReference w:id="137"/>
      </w:r>
      <w:r>
        <w:rPr/>
        <w:t>.</w:t>
      </w:r>
    </w:p>
    <w:p>
      <w:pPr>
        <w:pStyle w:val="Alineanegatifpuce"/>
        <w:numPr>
          <w:ilvl w:val="0"/>
          <w:numId w:val="3"/>
        </w:numPr>
        <w:rPr/>
      </w:pPr>
      <w:r>
        <w:rPr/>
        <w:t xml:space="preserve"> </w:t>
      </w:r>
      <w:r>
        <w:rPr/>
        <w:t>O rozpočtu EU by měl rozhodovat Evropský parlament, stejně jako parlamenty na vnitrostátní úrovni</w:t>
      </w:r>
      <w:r>
        <w:rPr>
          <w:rStyle w:val="Ancredenotedebasdepage"/>
          <w:rStyle w:val="Ancredenotedebasdepage"/>
        </w:rPr>
        <w:footnoteReference w:id="13"/>
      </w:r>
      <w:r>
        <w:rPr/>
        <w:t>.</w:t>
      </w:r>
      <w:r>
        <w:rPr>
          <w:rStyle w:val="Ancredenotedefin"/>
          <w:rStyle w:val="Ancredenotedefin"/>
        </w:rPr>
        <w:endnoteReference w:id="138"/>
      </w:r>
      <w:r>
        <w:rPr/>
        <w:t xml:space="preserve"> </w:t>
      </w:r>
    </w:p>
    <w:p>
      <w:pPr>
        <w:pStyle w:val="Alineanegatifpuce"/>
        <w:numPr>
          <w:ilvl w:val="0"/>
          <w:numId w:val="3"/>
        </w:numPr>
        <w:rPr/>
      </w:pPr>
      <w:r>
        <w:rPr/>
        <w:t xml:space="preserve"> </w:t>
      </w:r>
      <w:r>
        <w:rPr/>
        <w:t>Politické strany, organizace občanské společnosti a odbory by měly být dynamičtější a dostupnější, aby se občané více angažovali a investovali do evropské demokracie</w:t>
      </w:r>
      <w:r>
        <w:rPr>
          <w:rStyle w:val="Ancredenotedefin"/>
          <w:rStyle w:val="Ancredenotedefin"/>
        </w:rPr>
        <w:endnoteReference w:id="139"/>
      </w:r>
      <w:r>
        <w:rPr/>
        <w:t>. To by rovněž podpořilo začlenění evropských otázek do veřejných debat organizovaných politickými stranami, organizacemi občanské společnosti a sociálními partnery, ať už před volbami do Evropského parlamentu nebo před celostátními, regionálními nebo místními volbami</w:t>
      </w:r>
      <w:r>
        <w:rPr>
          <w:rStyle w:val="Ancredenotedefin"/>
          <w:rStyle w:val="Ancredenotedefin"/>
        </w:rPr>
        <w:endnoteReference w:id="140"/>
      </w:r>
      <w:r>
        <w:rPr/>
        <w:t>.</w:t>
      </w:r>
    </w:p>
    <w:p>
      <w:pPr>
        <w:pStyle w:val="Puce3"/>
        <w:tabs>
          <w:tab w:val="clear" w:pos="720"/>
        </w:tabs>
        <w:rPr/>
      </w:pPr>
      <w:r>
        <w:rPr/>
        <w:t>5.</w:t>
        <w:tab/>
        <w:t>Demokracie je ztělesněna v institucích a společnosti obecně, a to i na pracovišti, a to díky sociálním partnerům</w:t>
      </w:r>
      <w:r>
        <w:rPr>
          <w:rStyle w:val="Ancredenotedefin"/>
          <w:rStyle w:val="Ancredenotedefin"/>
        </w:rPr>
        <w:endnoteReference w:id="141"/>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90" w:name="__RefHeading___Toc298354_1346298689"/>
      <w:bookmarkEnd w:id="90"/>
      <w:r>
        <w:rPr/>
        <w:t>39. Návrh: Rozhodovací proces Unie</w:t>
      </w:r>
    </w:p>
    <w:p>
      <w:pPr>
        <w:pStyle w:val="P68B1DB1Normal15"/>
        <w:rPr>
          <w:b/>
          <w:b/>
        </w:rPr>
      </w:pPr>
      <w:r>
        <w:rPr/>
        <w:t>Cíl: Zlepšit rozhodovací proces Unie s cílem zajistit její schopnost jednat při zohlednění zájmů každého členského státu a zajištění transparentního a srozumitelného procesu pro občany, zejména: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Přezkum pravidel pro rozhodování a hlasování v evropských orgánech. Otázka jednomyslného hlasování si zasluhuje zvláštní pozornost, neboť jakoukoli dohodu velmi ztěžuje. Měla by být zajištěna spravedlnost při vážení hlasů, aby byly chráněny zájmy malých zemí</w:t>
      </w:r>
      <w:r>
        <w:rPr>
          <w:rStyle w:val="Ancredenotedefin"/>
          <w:rStyle w:val="Ancredenotedefin"/>
        </w:rPr>
        <w:endnoteReference w:id="142"/>
      </w:r>
      <w:r>
        <w:rPr/>
        <w:t>.</w:t>
      </w:r>
    </w:p>
    <w:p>
      <w:pPr>
        <w:pStyle w:val="Alineanegatifpuce"/>
        <w:numPr>
          <w:ilvl w:val="0"/>
          <w:numId w:val="3"/>
        </w:numPr>
        <w:rPr/>
      </w:pPr>
      <w:r>
        <w:rPr/>
        <w:t xml:space="preserve"> </w:t>
      </w:r>
      <w:r>
        <w:rPr/>
        <w:t>Všechna rozhodnutí, která jsou v současnosti přijímána jednomyslně, by měla být v budoucnu přijímána kvalifikovanou většinou. Jedinou výjimkou by mělo být přijetí nových členských států do Evropské unie a změna základních zásad Unie zakotvených v článku 2 Smlouvy o Evropské unii a v Listině základních práv Evropské unie</w:t>
      </w:r>
      <w:r>
        <w:rPr>
          <w:rStyle w:val="Ancredenotedefin"/>
          <w:rStyle w:val="Ancredenotedefin"/>
        </w:rPr>
        <w:endnoteReference w:id="143"/>
      </w:r>
      <w:r>
        <w:rPr/>
        <w:t>.</w:t>
      </w:r>
    </w:p>
    <w:p>
      <w:pPr>
        <w:pStyle w:val="Puce3"/>
        <w:tabs>
          <w:tab w:val="clear" w:pos="720"/>
        </w:tabs>
        <w:rPr/>
      </w:pPr>
      <w:r>
        <w:rPr/>
        <w:t>2.</w:t>
        <w:tab/>
        <w:t>Zajištění transparentnosti rozhodovacího procesu, umožnění nezávislých pozorovatelů občanů pozorně sledovat tento proces, uplatňování širšího práva na přístup k dokumentům</w:t>
      </w:r>
      <w:r>
        <w:rPr>
          <w:rStyle w:val="Ancredenotedefin"/>
          <w:rStyle w:val="Ancredenotedefin"/>
        </w:rPr>
        <w:endnoteReference w:id="144"/>
      </w:r>
      <w:r>
        <w:rPr/>
        <w:t xml:space="preserve"> a navázání užších vazeb a posílený dialog mezi občany a evropskými orgány na tomto základě</w:t>
      </w:r>
      <w:r>
        <w:rPr>
          <w:rStyle w:val="Ancredenotedefin"/>
          <w:rStyle w:val="Ancredenotedefin"/>
        </w:rPr>
        <w:endnoteReference w:id="145"/>
      </w:r>
      <w:r>
        <w:rPr/>
        <w:t>.</w:t>
      </w:r>
    </w:p>
    <w:p>
      <w:pPr>
        <w:pStyle w:val="Alineanegatifpuce"/>
        <w:numPr>
          <w:ilvl w:val="0"/>
          <w:numId w:val="3"/>
        </w:numPr>
        <w:rPr/>
      </w:pPr>
      <w:r>
        <w:rPr/>
        <w:t xml:space="preserve"> </w:t>
      </w:r>
      <w:r>
        <w:rPr/>
        <w:t>Unie musí zlepšit transparentnost svého rozhodovacího procesu a svých orgánů. Například zasedání Rady a Evropského parlamentu, včetně hlasování, by měla být šířena stejným způsobem na internetu. To by umožnilo zainteresovaným občanům sledovat tvorbu politik EU a ukládalo by to tvůrcům politik povinnost podávat zprávy o svých opatřeních</w:t>
      </w:r>
      <w:r>
        <w:rPr>
          <w:rStyle w:val="Ancredenotedefin"/>
          <w:rStyle w:val="Ancredenotedefin"/>
        </w:rPr>
        <w:endnoteReference w:id="146"/>
      </w:r>
      <w:r>
        <w:rPr/>
        <w:t>. Mělo by být rovněž posíleno vyšetřovací právo Evropského parlamentu.</w:t>
      </w:r>
      <w:r>
        <w:rPr>
          <w:rStyle w:val="Ancredenotedefin"/>
          <w:rStyle w:val="Ancredenotedefin"/>
        </w:rPr>
        <w:endnoteReference w:id="147"/>
      </w:r>
      <w:r>
        <w:rPr/>
        <w:t xml:space="preserve"> Pozměňovací návrh č. 44A pracovní skupiny.</w:t>
      </w:r>
    </w:p>
    <w:p>
      <w:pPr>
        <w:pStyle w:val="Alineanegatifpuce"/>
        <w:numPr>
          <w:ilvl w:val="0"/>
          <w:numId w:val="3"/>
        </w:numPr>
        <w:rPr/>
      </w:pPr>
      <w:r>
        <w:rPr/>
        <w:t xml:space="preserve"> </w:t>
      </w:r>
      <w:r>
        <w:rPr/>
        <w:t>Rozhodovací proces Unie by měl být dále rozvíjen tak, aby zahrnoval více národních, regionálních a místních zástupců, sociálních partnerů a organizací občanské společnosti</w:t>
      </w:r>
      <w:r>
        <w:rPr>
          <w:rStyle w:val="Ancredenotedefin"/>
          <w:rStyle w:val="Ancredenotedefin"/>
        </w:rPr>
        <w:endnoteReference w:id="148"/>
      </w:r>
      <w:r>
        <w:rPr/>
        <w:t>. Je třeba posílit meziparlamentní spolupráci a dialog. Evropský parlament by měl rovněž více zapojit vnitrostátní parlamenty do evropského legislativního postupu, například tím, že je zve na slyšení</w:t>
      </w:r>
      <w:r>
        <w:rPr>
          <w:rStyle w:val="Ancredenotedefin"/>
          <w:rStyle w:val="Ancredenotedefin"/>
        </w:rPr>
        <w:endnoteReference w:id="149"/>
      </w:r>
      <w:r>
        <w:rPr/>
        <w:t>. Kromě toho by bylo užitečné získat větší zapojení orgánů na nižší než celostátní úrovni a VR, aby bylo možné lépe zohlednit jejich zkušenosti s prováděním evropských právních předpisů</w:t>
      </w:r>
      <w:r>
        <w:rPr>
          <w:rStyle w:val="Ancredenotedefin"/>
          <w:rStyle w:val="Ancredenotedefin"/>
        </w:rPr>
        <w:endnoteReference w:id="150"/>
      </w:r>
      <w:r>
        <w:rPr/>
        <w:t>.</w:t>
      </w:r>
    </w:p>
    <w:p>
      <w:pPr>
        <w:pStyle w:val="Puce3"/>
        <w:tabs>
          <w:tab w:val="clear" w:pos="720"/>
        </w:tabs>
        <w:rPr/>
      </w:pPr>
      <w:r>
        <w:rPr/>
        <w:t>3.</w:t>
        <w:tab/>
        <w:t>Zvážením změny názvů evropských orgánů s cílem vyjasnit úlohu a úlohu každého z nich v rozhodovacím procesu Unie v očích občanů</w:t>
      </w:r>
      <w:r>
        <w:rPr>
          <w:rStyle w:val="Ancredenotedefin"/>
          <w:rStyle w:val="Ancredenotedefin"/>
        </w:rPr>
        <w:endnoteReference w:id="151"/>
      </w:r>
      <w:r>
        <w:rPr/>
        <w:t>.</w:t>
      </w:r>
    </w:p>
    <w:p>
      <w:pPr>
        <w:pStyle w:val="Alineanegatifpuce"/>
        <w:numPr>
          <w:ilvl w:val="0"/>
          <w:numId w:val="3"/>
        </w:numPr>
        <w:rPr/>
      </w:pPr>
      <w:r>
        <w:rPr/>
        <w:t xml:space="preserve"> </w:t>
      </w:r>
      <w:r>
        <w:rPr/>
        <w:t>Rozhodovací proces EU by měl být založen na jasnější a srozumitelnější struktuře, která se podobá vnitrostátním systémům</w:t>
      </w:r>
      <w:r>
        <w:rPr>
          <w:rStyle w:val="Ancredenotedefin"/>
          <w:rStyle w:val="Ancredenotedefin"/>
        </w:rPr>
        <w:endnoteReference w:id="152"/>
      </w:r>
      <w:r>
        <w:rPr/>
        <w:t xml:space="preserve"> a výslovně uvádí rozdělení pravomocí mezi evropské orgány a členské státy</w:t>
      </w:r>
      <w:r>
        <w:rPr>
          <w:rStyle w:val="Ancredenotedefin"/>
          <w:rStyle w:val="Ancredenotedefin"/>
        </w:rPr>
        <w:endnoteReference w:id="153"/>
      </w:r>
      <w:r>
        <w:rPr/>
        <w:t>.</w:t>
      </w:r>
    </w:p>
    <w:p>
      <w:pPr>
        <w:pStyle w:val="Alineanegatifpuce"/>
        <w:numPr>
          <w:ilvl w:val="0"/>
          <w:numId w:val="3"/>
        </w:numPr>
        <w:rPr/>
      </w:pPr>
      <w:r>
        <w:rPr/>
        <w:t xml:space="preserve"> </w:t>
      </w:r>
      <w:r>
        <w:rPr/>
        <w:t>Například Rada Evropské unie by mohla být přejmenována na „Senát Unie“ a Evropská komise „Výkonná komise Unie“</w:t>
      </w:r>
      <w:r>
        <w:rPr>
          <w:rStyle w:val="Ancredenotedefin"/>
          <w:rStyle w:val="Ancredenotedefin"/>
        </w:rPr>
        <w:endnoteReference w:id="154"/>
      </w:r>
      <w:r>
        <w:rPr/>
        <w:t>.</w:t>
      </w:r>
    </w:p>
    <w:p>
      <w:pPr>
        <w:pStyle w:val="Puce3"/>
        <w:tabs>
          <w:tab w:val="clear" w:pos="720"/>
        </w:tabs>
        <w:rPr/>
      </w:pPr>
      <w:r>
        <w:rPr/>
        <w:t>4.</w:t>
        <w:tab/>
        <w:t>Posílení schopnosti Unie dosahovat výsledků v klíčových oblastech</w:t>
      </w:r>
      <w:r>
        <w:rPr>
          <w:rStyle w:val="Ancredenotedefin"/>
          <w:rStyle w:val="Ancredenotedefin"/>
        </w:rPr>
        <w:endnoteReference w:id="155"/>
      </w:r>
      <w:r>
        <w:rPr/>
        <w:t>.</w:t>
      </w:r>
    </w:p>
    <w:p>
      <w:pPr>
        <w:pStyle w:val="Puce3"/>
        <w:tabs>
          <w:tab w:val="clear" w:pos="720"/>
        </w:tabs>
        <w:rPr/>
      </w:pPr>
      <w:r>
        <w:rPr/>
        <w:t>5.</w:t>
        <w:tab/>
        <w:t>Zajištění mechanismů sociálního dialogu a konzultací s občany ve všech fázích rozhodovacího procesu Unie, od posouzení dopadů až po návrh a provádění opatření</w:t>
      </w:r>
      <w:r>
        <w:rPr>
          <w:rStyle w:val="Ancredenotedefin"/>
          <w:rStyle w:val="Ancredenotedefin"/>
        </w:rPr>
        <w:endnoteReference w:id="156"/>
      </w:r>
      <w:r>
        <w:rPr/>
        <w:t>.</w:t>
      </w:r>
    </w:p>
    <w:p>
      <w:pPr>
        <w:pStyle w:val="Puce3"/>
        <w:tabs>
          <w:tab w:val="clear" w:pos="720"/>
        </w:tabs>
        <w:rPr/>
      </w:pPr>
      <w:r>
        <w:rPr/>
        <w:t>6.</w:t>
        <w:tab/>
        <w:t>Reforma fungování Evropské unie, včetně užšího zapojení sociálních partnerů a organizací občanské společnosti. Je třeba posílit stávající struktury, aby rozhodovací proces lépe odrážel potřeby a očekávání evropských občanů, kteří jsou ústředním prvkem evropské demokracie. V této souvislosti musí EHSV získat prostředky k tomu, aby mohl hrát významnější institucionální úlohu, a sice garanta a zprostředkovatele participativních demokratických činností, jako je strukturovaný dialog s organizacemi občanské společnosti a panelovými skupinami občanů. Dynamická občanská společnost má zásadní význam pro demokratický život Unie</w:t>
      </w:r>
      <w:r>
        <w:rPr>
          <w:rStyle w:val="Ancredenotedefin"/>
          <w:rStyle w:val="Ancredenotedefin"/>
        </w:rPr>
        <w:endnoteReference w:id="157"/>
      </w:r>
      <w:r>
        <w:rPr/>
        <w:t>.</w:t>
      </w:r>
    </w:p>
    <w:p>
      <w:pPr>
        <w:pStyle w:val="Puce3"/>
        <w:tabs>
          <w:tab w:val="clear" w:pos="720"/>
        </w:tabs>
        <w:rPr/>
      </w:pPr>
      <w:r>
        <w:rPr/>
        <w:t>7.</w:t>
        <w:tab/>
        <w:t>Znovuotevřením diskuse o ústavě, je-li to relevantní, s cílem jasně definovat naše hodnoty. Ústava by mohla přinést větší přesnost, mobilizovat občany a dohodnout se na pravidlech rozhodovacího procesu</w:t>
      </w:r>
      <w:r>
        <w:rPr>
          <w:rStyle w:val="Ancredenotedefin"/>
          <w:rStyle w:val="Ancredenotedefin"/>
        </w:rPr>
        <w:endnoteReference w:id="158"/>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91" w:name="__RefHeading___Toc298356_1346298689"/>
      <w:bookmarkEnd w:id="91"/>
      <w:r>
        <w:rPr/>
        <w:t>40. Návrh: Subsidiarita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Aktivní subsidiarita a víceúrovňová správa jsou klíčovými zásadami, má-li Evropská unie působit demokraticky a odpovědně</w:t>
      </w:r>
      <w:r>
        <w:rPr>
          <w:rStyle w:val="Ancredenotedefin"/>
          <w:rStyle w:val="Ancredenotedefin"/>
        </w:rPr>
        <w:endnoteReference w:id="159"/>
      </w:r>
      <w:r>
        <w:rPr/>
        <w:t>;</w:t>
      </w:r>
    </w:p>
    <w:p>
      <w:pPr>
        <w:pStyle w:val="Puce3"/>
        <w:tabs>
          <w:tab w:val="clear" w:pos="720"/>
        </w:tabs>
        <w:rPr/>
      </w:pPr>
      <w:r>
        <w:rPr/>
        <w:t>2.</w:t>
        <w:tab/>
        <w:t>EU musí revidovat mechanismus, kterým vnitrostátní parlamenty přezkoumávají, zda evropské legislativní návrhy zasahují do pravomocí členských států, či nikoli; vnitrostátní parlamenty by měly mít možnost předkládat evropským orgánům legislativní iniciativy. Tyto mechanismy by měly být rozšířeny na všechny regionální parlamenty s legislativními pravomocemi</w:t>
      </w:r>
      <w:r>
        <w:rPr>
          <w:rStyle w:val="Ancredenotedefin"/>
          <w:rStyle w:val="Ancredenotedefin"/>
        </w:rPr>
        <w:endnoteReference w:id="160"/>
      </w:r>
      <w:r>
        <w:rPr/>
        <w:t>.</w:t>
      </w:r>
    </w:p>
    <w:p>
      <w:pPr>
        <w:pStyle w:val="Puce3"/>
        <w:tabs>
          <w:tab w:val="clear" w:pos="720"/>
        </w:tabs>
        <w:rPr/>
      </w:pPr>
      <w:r>
        <w:rPr/>
        <w:t>3.</w:t>
        <w:tab/>
        <w:t>VR by měl být reformován, aby se otevřely vhodné kanály pro dialog s regiony, městy a obcemi. Měla by hrát významnější úlohu</w:t>
      </w:r>
      <w:r>
        <w:rPr>
          <w:rStyle w:val="Ancredenotedefin"/>
          <w:rStyle w:val="Ancredenotedefin"/>
        </w:rPr>
        <w:endnoteReference w:id="161"/>
      </w:r>
      <w:r>
        <w:rPr/>
        <w:t xml:space="preserve"> v institucionální architektuře při řešení otázek s územními důsledky</w:t>
      </w:r>
      <w:r>
        <w:rPr>
          <w:rStyle w:val="Ancredenotedefin"/>
          <w:rStyle w:val="Ancredenotedefin"/>
        </w:rPr>
        <w:endnoteReference w:id="162"/>
      </w:r>
      <w:r>
        <w:rPr/>
        <w:t>.</w:t>
      </w:r>
    </w:p>
    <w:p>
      <w:pPr>
        <w:pStyle w:val="Normal"/>
        <w:rPr/>
      </w:pPr>
      <w:r>
        <w:rPr/>
      </w:r>
    </w:p>
    <w:p>
      <w:pPr>
        <w:pStyle w:val="Puce3"/>
        <w:tabs>
          <w:tab w:val="clear" w:pos="720"/>
        </w:tabs>
        <w:rPr/>
      </w:pPr>
      <w:r>
        <w:rPr/>
        <w:t>4.</w:t>
        <w:tab/>
        <w:t>Systematické používání společné definice subsidiarity, kterou schválily všechny evropské orgány, by mohlo jasněji definovat, na které úrovni (evropská, vnitrostátní nebo regionální) rozhodnutí by měla být přijímána</w:t>
      </w:r>
      <w:r>
        <w:rPr>
          <w:rStyle w:val="Ancredenotedefin"/>
          <w:rStyle w:val="Ancredenotedefin"/>
        </w:rPr>
        <w:endnoteReference w:id="163"/>
      </w:r>
      <w:r>
        <w:rPr/>
        <w:t>.</w:t>
      </w:r>
    </w:p>
    <w:p>
      <w:pPr>
        <w:pStyle w:val="Puce3"/>
        <w:tabs>
          <w:tab w:val="clear" w:pos="720"/>
        </w:tabs>
        <w:rPr/>
      </w:pPr>
      <w:r>
        <w:rPr/>
        <w:t>5.</w:t>
        <w:tab/>
        <w:t>Sociální partneři a organizace občanské společnosti, které jsou ústředním prvkem evropské demokracie, musí být lépe zapojeny do rozhodovacího procesu. Dynamická společnost má zásadní význam pro demokratický život Unie.</w:t>
      </w:r>
      <w:r>
        <w:rPr>
          <w:rStyle w:val="Ancredenotedefin"/>
          <w:rStyle w:val="Ancredenotedefin"/>
        </w:rPr>
        <w:endnoteReference w:id="164"/>
      </w:r>
    </w:p>
    <w:p>
      <w:pPr>
        <w:pStyle w:val="Puce3"/>
        <w:tabs>
          <w:tab w:val="clear" w:pos="720"/>
        </w:tabs>
        <w:rPr/>
      </w:pPr>
      <w:r>
        <w:rPr/>
        <w:t>6.</w:t>
        <w:tab/>
        <w:t>Naléhavě vyzýváme orgány EU, aby provedly závěry této pracovní skupiny a zajistily jejich účinnost. Toho lze dosáhnout prostřednictvím stávajících ustanovení Lisabonské smlouvy a v případě potřeby i prostřednictvím výzvy k zahájení Evropského konventu</w:t>
      </w:r>
      <w:r>
        <w:rPr>
          <w:rStyle w:val="Ancredenotedefin"/>
          <w:rStyle w:val="Ancredenotedefin"/>
        </w:rPr>
        <w:endnoteReference w:id="165"/>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8">
            <wp:simplePos x="0" y="0"/>
            <wp:positionH relativeFrom="column">
              <wp:posOffset>19050</wp:posOffset>
            </wp:positionH>
            <wp:positionV relativeFrom="paragraph">
              <wp:posOffset>21590</wp:posOffset>
            </wp:positionV>
            <wp:extent cx="913765" cy="913765"/>
            <wp:effectExtent l="0" t="0" r="0" b="0"/>
            <wp:wrapSquare wrapText="largest"/>
            <wp:docPr id="68" name="Foto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Foto28" descr=""/>
                    <pic:cNvPicPr>
                      <a:picLocks noChangeAspect="1" noChangeArrowheads="1"/>
                    </pic:cNvPicPr>
                  </pic:nvPicPr>
                  <pic:blipFill>
                    <a:blip r:embed="rId80"/>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92" w:name="__RefHeading___Toc298358_1346298689"/>
      <w:bookmarkEnd w:id="92"/>
      <w:r>
        <w:rPr/>
        <w:t>„</w:t>
      </w:r>
      <w:r>
        <w:rPr/>
        <w:t>Migrace“</w:t>
      </w:r>
    </w:p>
    <w:p>
      <w:pPr>
        <w:pStyle w:val="Titre3"/>
        <w:numPr>
          <w:ilvl w:val="2"/>
          <w:numId w:val="2"/>
        </w:numPr>
        <w:rPr/>
      </w:pPr>
      <w:bookmarkStart w:id="93" w:name="__RefHeading___Toc298360_1346298689"/>
      <w:bookmarkEnd w:id="93"/>
      <w:r>
        <w:rPr/>
        <w:t>41. Návrh: Legální migrace</w:t>
      </w:r>
    </w:p>
    <w:p>
      <w:pPr>
        <w:pStyle w:val="P68B1DB1Normal15"/>
        <w:rPr>
          <w:b/>
          <w:b/>
        </w:rPr>
      </w:pPr>
      <w:r>
        <w:rPr/>
        <w:t>Cíl: Posílení úlohy EU v oblasti legální migrace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Opatření</w:t>
      </w:r>
      <w:r>
        <w:rPr>
          <w:rStyle w:val="Ancredenotedefin"/>
          <w:rStyle w:val="Ancredenotedefin"/>
        </w:rPr>
        <w:endnoteReference w:id="166"/>
      </w:r>
      <w:r>
        <w:rPr/>
        <w:t>:</w:t>
      </w:r>
    </w:p>
    <w:p>
      <w:pPr>
        <w:pStyle w:val="Puce3"/>
        <w:tabs>
          <w:tab w:val="clear" w:pos="720"/>
        </w:tabs>
        <w:rPr/>
      </w:pPr>
      <w:r>
        <w:rPr/>
        <w:t>1.</w:t>
        <w:tab/>
        <w:t>Zahájit komunikační kampaň na evropské úrovni s cílem zajistit, aby síť EURES (Evropská síť služeb zaměstnanosti), portál EU pro přistěhovalectví a evropský nástroj pro profilování dovedností pro státní příslušníky třetích zemí byly evropským občanům lépe známy a podniky EU je při náboru častěji využívaly (doporučení č. 6).</w:t>
      </w:r>
    </w:p>
    <w:p>
      <w:pPr>
        <w:pStyle w:val="Puce3"/>
        <w:tabs>
          <w:tab w:val="clear" w:pos="720"/>
        </w:tabs>
        <w:rPr/>
      </w:pPr>
      <w:r>
        <w:rPr/>
        <w:t>2.</w:t>
        <w:tab/>
        <w:t>Zřízení evropského subjektu pro přístup migrantů na trh práce v EU, nebo pokud tomu tak není, rozšíření pravomocí Evropské sítě služeb zaměstnanosti (EURES), např. zlepšení projektů partnerství v oblasti přitažlivosti talentů (doporučení č. 7 a diskuse v pracovní skupině), s možností plnění nabídky dovedností a poptávky on-line v zemi odeslání na základě hodnotících kritérií (doporučení č. 9 a diskuse v pracovní skupině). Unie by měla členské státy vybízet ke zjednodušení procesu přijímání a integrace legálních migrantů a jejich přístupu na trh práce v Unii zlepšením interoperability mezi různými dotčenými správními orgány (rozprava v pracovní skupině).</w:t>
      </w:r>
    </w:p>
    <w:p>
      <w:pPr>
        <w:pStyle w:val="Puce3"/>
        <w:tabs>
          <w:tab w:val="clear" w:pos="720"/>
        </w:tabs>
        <w:rPr/>
      </w:pPr>
      <w:r>
        <w:rPr/>
        <w:t>3.</w:t>
        <w:tab/>
        <w:t>Zlepšit fungování a provádění směrnice o modré kartě s cílem přilákat dovednosti, které hospodářství EU potřebuje (doporučení č. 7 a diskuse v rámci pracovní skupiny), s náležitým ohledem na riziko odlivu mozků (podle opatření 1 návrhu č. 42).</w:t>
      </w:r>
    </w:p>
    <w:p>
      <w:pPr>
        <w:pStyle w:val="Puce3"/>
        <w:tabs>
          <w:tab w:val="clear" w:pos="720"/>
        </w:tabs>
        <w:rPr/>
      </w:pPr>
      <w:r>
        <w:rPr/>
        <w:t>4.</w:t>
        <w:tab/>
        <w:t>Harmonickým způsobem podporovat vzestupnou konvergenci pracovních podmínek v celé Unii s cílem řešit nerovnosti v pracovních podmínkách, zajistit účinnou politiku EU v oblasti migrace pracovních sil a hájit práva pracovníků. V této souvislosti posílit úlohu odborů na vnitrostátní a nadnárodní úrovni (doporučení č. 28 a diskuse v rámci pracovní skupiny) ve spolupráci s organizacemi zaměstnavatelů (rozprava na plenárním zasedání).</w:t>
      </w:r>
    </w:p>
    <w:p>
      <w:pPr>
        <w:pStyle w:val="Puce3"/>
        <w:tabs>
          <w:tab w:val="clear" w:pos="720"/>
        </w:tabs>
        <w:rPr/>
      </w:pPr>
      <w:r>
        <w:rPr/>
        <w:t>5.</w:t>
        <w:tab/>
        <w:t>Zvýšit úsilí o informování a vzdělávání občanů členských států v otázkách migrace a integrace (doporučení 30, doporučení panelu LT č. 9 a diskuse pracovní skupiny).</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94" w:name="__RefHeading___Toc298362_1346298689"/>
      <w:bookmarkEnd w:id="94"/>
      <w:r>
        <w:rPr/>
        <w:t>42. Návrh: Nelegální migrace</w:t>
      </w:r>
    </w:p>
    <w:p>
      <w:pPr>
        <w:pStyle w:val="P68B1DB1Normal15"/>
        <w:rPr>
          <w:b/>
          <w:b/>
        </w:rPr>
      </w:pPr>
      <w:r>
        <w:rPr/>
        <w:t>Cíl: Posílení úlohy Unie v boji proti všem formám nelegální migrace a posilování ochrany vnějších hranic Evropské unie při současném dodržování lidských práv</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Opatření</w:t>
      </w:r>
      <w:r>
        <w:rPr>
          <w:rStyle w:val="Ancredenotedefin"/>
          <w:rStyle w:val="Ancredenotedefin"/>
        </w:rPr>
        <w:endnoteReference w:id="167"/>
      </w:r>
      <w:r>
        <w:rPr/>
        <w:t>:</w:t>
      </w:r>
    </w:p>
    <w:p>
      <w:pPr>
        <w:pStyle w:val="Puce3"/>
        <w:tabs>
          <w:tab w:val="clear" w:pos="720"/>
        </w:tabs>
        <w:rPr/>
      </w:pPr>
      <w:r>
        <w:rPr/>
        <w:t>1.</w:t>
        <w:tab/>
        <w:t>Aktivně se, například prostřednictvím dohod o partnerství, podílí na hospodářském a sociálním rozvoji zemí mimo Evropskou unii, z nichž dochází k velkému přílivu migrantů, s cílem řešit základní příčiny migrace, včetně změny klimatu. Tato opatření by měla být transparentní a přinést hmatatelné výsledky s měřitelnými účinky, které by měly být jasně sděleny občanům EU (doporučení 27, doporučení 3 NL a diskuse v pracovní skupině).</w:t>
      </w:r>
    </w:p>
    <w:p>
      <w:pPr>
        <w:pStyle w:val="Puce3"/>
        <w:tabs>
          <w:tab w:val="clear" w:pos="720"/>
        </w:tabs>
        <w:rPr/>
      </w:pPr>
      <w:r>
        <w:rPr/>
        <w:t>2.</w:t>
        <w:tab/>
        <w:t>Zajistit ochranu všech vnějších hranic zlepšením transparentnosti a odpovědnosti agentury Frontex a posílením její úlohy (doporučení č. 8 a diskuse v rámci pracovní skupiny) a přizpůsobením právních předpisů EU tak, aby lépe řešily současné problémy nelegální migrace, jako je obchodování s lidmi, obchodování s lidmi, sexuální vykořisťování, hybridní útoky spáchané státy vykořisťující migranty a porušování lidských práv (doporučení č. 10 a diskuse v rámci pracovní skupiny).</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95" w:name="__RefHeading___Toc298364_1346298689"/>
      <w:bookmarkEnd w:id="95"/>
      <w:r>
        <w:rPr/>
        <w:t>43. Návrh: Nelegální migrace (bis)</w:t>
      </w:r>
    </w:p>
    <w:p>
      <w:pPr>
        <w:pStyle w:val="P68B1DB1Normal15"/>
        <w:rPr>
          <w:b/>
          <w:b/>
        </w:rPr>
      </w:pPr>
      <w:r>
        <w:rPr/>
        <w:t>Cíl: Uplatňovat společná pravidla jednotně ve všech členských státech, pokud jde o první přijímání migrantů</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Opatření</w:t>
      </w:r>
      <w:r>
        <w:rPr>
          <w:rStyle w:val="Ancredenotedefin"/>
          <w:rStyle w:val="Ancredenotedefin"/>
        </w:rPr>
        <w:endnoteReference w:id="168"/>
      </w:r>
      <w:r>
        <w:rPr/>
        <w:t>:</w:t>
      </w:r>
    </w:p>
    <w:p>
      <w:pPr>
        <w:pStyle w:val="Puce3"/>
        <w:tabs>
          <w:tab w:val="clear" w:pos="720"/>
        </w:tabs>
        <w:rPr/>
      </w:pPr>
      <w:r>
        <w:rPr/>
        <w:t>1.</w:t>
        <w:tab/>
        <w:t>Vypracovat celounijní opatření k zajištění bezpečnosti a ochrany zdraví všech migrantů, zejména těhotných žen, dětí, nezletilých osob bez doprovodu a všech zranitelných osob (doporučení 10 a 38 a diskuse v pracovní skupině).</w:t>
      </w:r>
    </w:p>
    <w:p>
      <w:pPr>
        <w:pStyle w:val="Normal"/>
        <w:rPr/>
      </w:pPr>
      <w:r>
        <w:rPr/>
      </w:r>
    </w:p>
    <w:p>
      <w:pPr>
        <w:pStyle w:val="Puce3"/>
        <w:tabs>
          <w:tab w:val="clear" w:pos="720"/>
        </w:tabs>
        <w:rPr/>
      </w:pPr>
      <w:r>
        <w:rPr/>
        <w:t>2.</w:t>
        <w:tab/>
        <w:t>Zvýšit finanční, logistickou a operativní podporu EU, a to i místním orgánům, regionálním činitelům s rozhodovací pravomocí a organizacím občanské společnosti, pro řízení prvního přijetí, což by mohlo vést k integraci uprchlíků nebo legálních migrantů do EU a k repatriaci nelegálních migrantů (doporučení č. 35 a diskuse v pracovní skupině).</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r>
    </w:p>
    <w:p>
      <w:pPr>
        <w:pStyle w:val="Titre3"/>
        <w:numPr>
          <w:ilvl w:val="2"/>
          <w:numId w:val="2"/>
        </w:numPr>
        <w:rPr/>
      </w:pPr>
      <w:bookmarkStart w:id="96" w:name="__RefHeading___Toc298366_1346298689"/>
      <w:bookmarkEnd w:id="96"/>
      <w:r>
        <w:rPr/>
        <w:t>44. Návrh: Azyl, integrace</w:t>
      </w:r>
    </w:p>
    <w:p>
      <w:pPr>
        <w:pStyle w:val="P68B1DB1Normal15"/>
        <w:rPr>
          <w:b/>
          <w:b/>
        </w:rPr>
      </w:pPr>
      <w:r>
        <w:rPr/>
        <w:t>Cíl: Posílení úlohy Unie a reforma evropského azylového systému na základě zásad solidarity a spravedlivého sdílení odpovědnosti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Opatření</w:t>
      </w:r>
      <w:r>
        <w:rPr>
          <w:rStyle w:val="Ancredenotedefin"/>
          <w:rStyle w:val="Ancredenotedefin"/>
        </w:rPr>
        <w:endnoteReference w:id="169"/>
      </w:r>
      <w:r>
        <w:rPr/>
        <w:t>:</w:t>
      </w:r>
    </w:p>
    <w:p>
      <w:pPr>
        <w:pStyle w:val="Puce3"/>
        <w:tabs>
          <w:tab w:val="clear" w:pos="720"/>
        </w:tabs>
        <w:rPr/>
      </w:pPr>
      <w:r>
        <w:rPr/>
        <w:t>1.</w:t>
        <w:tab/>
        <w:t>Přijmout společná pravidla Unie pro postupy posuzování žádostí o mezinárodní ochranu v členských státech, která se jednotně použijí na všechny žadatele o azyl. Tyto postupy musí respektovat lidskou důstojnost a mezinárodní právo (doporučení č. 29, doporučení 3.8 a 4.4, s. 15 a diskuse v pracovní skupině). Vzhledem k tomu, že přijímání žadatelů o azyl zahrnuje různé subjekty na vnitrostátní úrovni, měla by Unie vybízet členské státy, aby tento proces zjednodušily a urychlily zlepšením interoperability mezi různými dotčenými správními orgány a aby zřídily jednotný úřad (okénko nebo jednotné kontaktní místo) pro žadatele o azyl s cílem zefektivnit vnitrostátní správní postupy (doporučení 37 a diskuse v pracovní skupině).</w:t>
      </w:r>
    </w:p>
    <w:p>
      <w:pPr>
        <w:pStyle w:val="Puce3"/>
        <w:tabs>
          <w:tab w:val="clear" w:pos="720"/>
        </w:tabs>
        <w:rPr/>
      </w:pPr>
      <w:r>
        <w:rPr/>
        <w:t>2.</w:t>
        <w:tab/>
        <w:t>Přezkoumat dublinský systém s cílem zajistit solidaritu a spravedlivé rozdělení odpovědnosti, včetně rozdělení migrantů mezi členské státy; mohlo by se uvažovat i o dalších formách podpory (doporučení 33, 36, 37, 40; LT doporučení č. 2; doporučení IT 3.8 (s. 15) a NL 2, rozprava v pracovní skupině a rozprava na plenárním zasedání).</w:t>
      </w:r>
    </w:p>
    <w:p>
      <w:pPr>
        <w:pStyle w:val="Puce3"/>
        <w:tabs>
          <w:tab w:val="clear" w:pos="720"/>
        </w:tabs>
        <w:rPr/>
      </w:pPr>
      <w:r>
        <w:rPr/>
        <w:t>3.</w:t>
        <w:tab/>
        <w:t>Posílit minimální normy pro přijímání žadatelů o azyl stanovené ve směrnici 2013/33/EU prostřednictvím přísnějších legislativních opatření ke zlepšení přijímacích zařízení a ubytování (doporučení CEP 31, doporučení 5.6, s. 11 a diskuse v pracovní skupině).</w:t>
      </w:r>
    </w:p>
    <w:p>
      <w:pPr>
        <w:pStyle w:val="Puce3"/>
        <w:tabs>
          <w:tab w:val="clear" w:pos="720"/>
        </w:tabs>
        <w:rPr/>
      </w:pPr>
      <w:r>
        <w:rPr/>
        <w:t>4.</w:t>
        <w:tab/>
        <w:t>Zvláštní pozornost by měla být věnována těhotným ženám, dětem, a zejména nezletilým osobám bez doprovodu (doporučení č. 38 a diskuse v pracovní skupině).</w:t>
      </w:r>
    </w:p>
    <w:p>
      <w:pPr>
        <w:pStyle w:val="Puce3"/>
        <w:tabs>
          <w:tab w:val="clear" w:pos="720"/>
        </w:tabs>
        <w:rPr/>
      </w:pPr>
      <w:r>
        <w:rPr/>
        <w:t>5.</w:t>
        <w:tab/>
        <w:t>Posílit a zvýšit finanční a lidské zdroje a řídící kapacity Agentury Evropské unie pro azyl za účelem koordinace a řízení relokace žadatelů o azyl v členských státech EU s cílem dosáhnout spravedlivého rozdělení (doporučení 36 a 37, doporučení 3 LT a diskuse v pracovní skupině).</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97" w:name="__RefHeading___Toc298368_1346298689"/>
      <w:bookmarkEnd w:id="97"/>
      <w:r>
        <w:rPr/>
        <w:t>45. Návrh: Azyl, integrace(bis)</w:t>
      </w:r>
    </w:p>
    <w:p>
      <w:pPr>
        <w:pStyle w:val="P68B1DB1Normal15"/>
        <w:rPr>
          <w:b/>
          <w:b/>
        </w:rPr>
      </w:pPr>
      <w:r>
        <w:rPr/>
        <w:t>Cíl: Zlepšení integračních politik ve všech členských státech</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Opatření</w:t>
      </w:r>
      <w:r>
        <w:rPr>
          <w:rStyle w:val="Ancredenotedefin"/>
          <w:rStyle w:val="Ancredenotedefin"/>
        </w:rPr>
        <w:endnoteReference w:id="170"/>
      </w:r>
      <w:r>
        <w:rPr/>
        <w:t>:</w:t>
      </w:r>
    </w:p>
    <w:p>
      <w:pPr>
        <w:pStyle w:val="Puce3"/>
        <w:tabs>
          <w:tab w:val="clear" w:pos="720"/>
        </w:tabs>
        <w:rPr/>
      </w:pPr>
      <w:r>
        <w:rPr/>
        <w:t>1.</w:t>
        <w:tab/>
        <w:t>Unie rovněž za účasti místních a regionálních orgánů a za přispění organizací občanské společnosti zajistí, aby se všichni žadatelé o azyl a uprchlíci účastnili jazykových a integračních kurzů a činností, jakož i odborné přípravy při posuzování jejich žádosti o pobyt (doporučení č. 32, doporučení FR č. 13, diskuse v pracovní skupině a diskuse na plenárním zasedání).</w:t>
      </w:r>
    </w:p>
    <w:p>
      <w:pPr>
        <w:pStyle w:val="Puce3"/>
        <w:tabs>
          <w:tab w:val="clear" w:pos="720"/>
        </w:tabs>
        <w:rPr/>
      </w:pPr>
      <w:r>
        <w:rPr/>
        <w:t>2.</w:t>
        <w:tab/>
        <w:t>Žadatelé o azyl se správnou kvalifikací by měli mít přístup na trh práce, pokud možno s cílem posílit svou autonomii, v celé Unii (doporučení č. 7 a diskuse v pracovní skupině).</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3">
            <wp:simplePos x="0" y="0"/>
            <wp:positionH relativeFrom="column">
              <wp:posOffset>10160</wp:posOffset>
            </wp:positionH>
            <wp:positionV relativeFrom="paragraph">
              <wp:posOffset>3810</wp:posOffset>
            </wp:positionV>
            <wp:extent cx="913765" cy="913765"/>
            <wp:effectExtent l="0" t="0" r="0" b="0"/>
            <wp:wrapSquare wrapText="largest"/>
            <wp:docPr id="69" name="Fotografie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Fotografie29" descr=""/>
                    <pic:cNvPicPr>
                      <a:picLocks noChangeAspect="1" noChangeArrowheads="1"/>
                    </pic:cNvPicPr>
                  </pic:nvPicPr>
                  <pic:blipFill>
                    <a:blip r:embed="rId81"/>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98" w:name="__RefHeading___Toc298370_1346298689"/>
      <w:bookmarkEnd w:id="98"/>
      <w:r>
        <w:rPr/>
        <w:t>Vzdělávání, kultura, mládež a sport</w:t>
      </w:r>
    </w:p>
    <w:p>
      <w:pPr>
        <w:pStyle w:val="Titre3"/>
        <w:numPr>
          <w:ilvl w:val="2"/>
          <w:numId w:val="2"/>
        </w:numPr>
        <w:rPr/>
      </w:pPr>
      <w:bookmarkStart w:id="99" w:name="__RefHeading___Toc298372_1346298689"/>
      <w:bookmarkEnd w:id="99"/>
      <w:r>
        <w:rPr/>
        <w:t>46. Návrh: Vzdělávání</w:t>
      </w:r>
    </w:p>
    <w:p>
      <w:pPr>
        <w:pStyle w:val="P68B1DB1Normal15"/>
        <w:rPr>
          <w:b/>
          <w:b/>
        </w:rPr>
      </w:pPr>
      <w:r>
        <w:rPr/>
        <w:t>Cíl: EU a její členské státy by měly usilovat o vytvoření inkluzivního evropského vzdělávacího prostoru, v němž budou mít všichni občané rovný přístup ke kvalitnímu celoživotnímu učení a vzdělávání, včetně lidí žijících ve venkovských a odlehlých oblastech. Za tímto účelem by Evropská unie a její členské státy měly zejména: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Opatření:</w:t>
      </w:r>
    </w:p>
    <w:p>
      <w:pPr>
        <w:pStyle w:val="Puce3"/>
        <w:tabs>
          <w:tab w:val="clear" w:pos="720"/>
        </w:tabs>
        <w:rPr/>
      </w:pPr>
      <w:r>
        <w:rPr/>
        <w:t>1.</w:t>
        <w:tab/>
        <w:t>Koordinovat úroveň všech různých vzdělávacích programů v Evropské unii přijímáním celostátního, regionálního a místního obsahu a vytvářet užší vazby mezi vzdělávacími systémy, zejména prostřednictvím rovnocennosti diplomů</w:t>
      </w:r>
      <w:r>
        <w:rPr>
          <w:rStyle w:val="Ancredenotedefin"/>
          <w:rStyle w:val="Ancredenotedefin"/>
        </w:rPr>
        <w:endnoteReference w:id="171"/>
      </w:r>
      <w:r>
        <w:rPr/>
        <w:t>. Certifikovaná minimální norma pro výuku základních předmětů by měla být přijata již od základní školy</w:t>
      </w:r>
      <w:r>
        <w:rPr>
          <w:rStyle w:val="Ancredenotedefin"/>
          <w:rStyle w:val="Ancredenotedefin"/>
        </w:rPr>
        <w:endnoteReference w:id="172"/>
      </w:r>
      <w:r>
        <w:rPr/>
        <w:t>171. V oblasti vzdělávání by měly být zřízeny sdílené pravomoci, přinejmenším pokud jde o občanskou výchovu, a výkon této pravomoci Unií nemůže bránit členským státům ve výkonu jejich vlastních pravomocí. Diplomy a odborné vzdělávání by měly být validovány a vzájemně uznávány ve všech členských státech Unie</w:t>
      </w:r>
      <w:r>
        <w:rPr>
          <w:rStyle w:val="Ancredenotedefin"/>
          <w:rStyle w:val="Ancredenotedefin"/>
        </w:rPr>
        <w:endnoteReference w:id="173"/>
      </w:r>
      <w:r>
        <w:rPr/>
        <w:t>. Evropská unie by měla rovněž využívat uznávání neformálního</w:t>
      </w:r>
      <w:r>
        <w:rPr>
          <w:rStyle w:val="Ancredenotedefin"/>
          <w:rStyle w:val="Ancredenotedefin"/>
        </w:rPr>
        <w:endnoteReference w:id="174"/>
      </w:r>
      <w:r>
        <w:rPr/>
        <w:t xml:space="preserve"> a informálního učení a mládežnických organizací, které jej nabízejí, jakož i období studia v zahraničí.</w:t>
      </w:r>
    </w:p>
    <w:p>
      <w:pPr>
        <w:pStyle w:val="Puce3"/>
        <w:tabs>
          <w:tab w:val="clear" w:pos="720"/>
        </w:tabs>
        <w:rPr/>
      </w:pPr>
      <w:r>
        <w:rPr/>
        <w:t>2.</w:t>
        <w:tab/>
        <w:t>Rozvoj celoživotního učení a vzdělávání v Evropě, které obstojí i v budoucnu – v souladu s právem na odbornou přípravu na pracovišti pro všechny – se zaměřením na tyto aspekty:</w:t>
        <w:br/>
        <w:t>Občanská výchova o demokratických procesech a hodnotách EU a historii Evropy</w:t>
      </w:r>
      <w:r>
        <w:rPr>
          <w:rStyle w:val="Ancredenotedefin"/>
          <w:rStyle w:val="Ancredenotedefin"/>
        </w:rPr>
        <w:endnoteReference w:id="175"/>
      </w:r>
      <w:r>
        <w:rPr/>
        <w:t>. Měl by být vytvořen společný modul, který se bude učit ve všech členských státech. Rovněž je třeba zlepšit znalosti ekonomiky, aby bylo možné lépe porozumět procesu evropské integrace</w:t>
      </w:r>
      <w:r>
        <w:rPr>
          <w:rStyle w:val="Ancredenotedefin"/>
          <w:rStyle w:val="Ancredenotedefin"/>
        </w:rPr>
        <w:endnoteReference w:id="176"/>
      </w:r>
      <w:r>
        <w:rPr/>
        <w:t>.</w:t>
        <w:br/>
        <w:t>− Digitální dovednosti</w:t>
      </w:r>
      <w:r>
        <w:rPr>
          <w:rStyle w:val="Ancredenotedefin"/>
          <w:rStyle w:val="Ancredenotedefin"/>
        </w:rPr>
        <w:endnoteReference w:id="177"/>
      </w:r>
      <w:r>
        <w:rPr/>
        <w:t>.</w:t>
        <w:br/>
        <w:t>STIAM</w:t>
      </w:r>
      <w:r>
        <w:rPr>
          <w:rStyle w:val="Ancredenotedefin"/>
          <w:rStyle w:val="Ancredenotedefin"/>
        </w:rPr>
        <w:endnoteReference w:id="178"/>
      </w:r>
      <w:r>
        <w:rPr/>
        <w:br/>
        <w:t>Podnikání a výzkum.</w:t>
        <w:br/>
        <w:t>Rozvoj kritického myšlení. Mediální gramotnost by měla být zlepšena s cílem zajistit bezpečnost na internetu a umožnit občanům ve všech členských státech nezávisle posoudit, zda jsou informace důvěryhodné či nikoli, a identifikovat nepravdivé informace a zároveň využít příležitostí, které nabízí internet. Toto vzdělávání by mělo zahrnovat organizaci specifických kurzů na úrovni základního vzdělávání a mělo by být v jiných veřejných prostorách nabízeno občanům všech věkových kategorií pod záštitou specializovaného orgánu na úrovni Unie, přičemž by mělo být využíváno osvědčených postupů, které existují ve všech členských státech. EU by měla zajistit, aby finanční prostředky konkrétně přidělené na tyto činnosti byly použity k zamýšlenému účelu</w:t>
      </w:r>
      <w:r>
        <w:rPr>
          <w:rStyle w:val="Ancredenotedefin"/>
          <w:rStyle w:val="Ancredenotedefin"/>
        </w:rPr>
        <w:endnoteReference w:id="179"/>
      </w:r>
      <w:r>
        <w:rPr/>
        <w:t>.</w:t>
        <w:br/>
        <w:t>začlenění netechnických dovedností do všech kurzů ve školních osnovách. Netechnickou způsobilostí se rozumí: vzájemné naslouchání, dialog, odolnost, porozumění, respekt a uznání druhých, kritické myšlení, sebeučení a zachování zvědavosti a zaměření na výsledky</w:t>
      </w:r>
      <w:r>
        <w:rPr>
          <w:rStyle w:val="Ancredenotedefin"/>
          <w:rStyle w:val="Ancredenotedefin"/>
        </w:rPr>
        <w:endnoteReference w:id="180"/>
      </w:r>
      <w:r>
        <w:rPr/>
        <w:t>; Dát každému příležitost dozvědět se více o udržitelnosti životního prostředí a jejích souvislostech se zdravím. Biodiverzita by měla být ve škole povinným tématem. Měla by začít ve škole se specifickými tématy zabývajícími se všemi ekologickými otázkami a zahrnovat exkurze, aby představily relevantní skutečné příklady, a to vše s pomocí programu financování</w:t>
      </w:r>
      <w:r>
        <w:rPr>
          <w:rStyle w:val="Ancredenotedefin"/>
          <w:rStyle w:val="Ancredenotedefin"/>
        </w:rPr>
        <w:endnoteReference w:id="181"/>
      </w:r>
      <w:r>
        <w:rPr/>
        <w:t xml:space="preserve">. </w:t>
        <w:br/>
        <w:t>Boj proti šikaně ve školách a rasismu.</w:t>
      </w:r>
    </w:p>
    <w:p>
      <w:pPr>
        <w:pStyle w:val="Puce3"/>
        <w:tabs>
          <w:tab w:val="clear" w:pos="720"/>
        </w:tabs>
        <w:rPr/>
      </w:pPr>
      <w:r>
        <w:rPr/>
        <w:t>3.</w:t>
        <w:tab/>
        <w:t>Podporovat odbornou přípravu</w:t>
      </w:r>
      <w:r>
        <w:rPr>
          <w:rStyle w:val="Ancredenotedefin"/>
          <w:rStyle w:val="Ancredenotedefin"/>
        </w:rPr>
        <w:endnoteReference w:id="182"/>
      </w:r>
      <w:r>
        <w:rPr/>
        <w:t>učitelů s cílem poučit se z osvědčených postupů a využívat aktuální inovativní a kreativní výukové techniky, které odrážejí vývoj pedagogických metod, včetně praktických činností, a to i na základě poznatků, které je třeba vyvodit z pandemie COVID-19 a jiných typů krizí, jakož i podpory příležitostí k mobilitě</w:t>
      </w:r>
      <w:r>
        <w:rPr>
          <w:rStyle w:val="Ancredenotedefin"/>
          <w:rStyle w:val="Ancredenotedefin"/>
        </w:rPr>
        <w:endnoteReference w:id="183"/>
      </w:r>
      <w:r>
        <w:rPr/>
        <w:t>.</w:t>
      </w:r>
    </w:p>
    <w:p>
      <w:pPr>
        <w:pStyle w:val="Puce3"/>
        <w:tabs>
          <w:tab w:val="clear" w:pos="720"/>
        </w:tabs>
        <w:rPr/>
      </w:pPr>
      <w:r>
        <w:rPr/>
        <w:t>4.</w:t>
        <w:tab/>
        <w:t>V zájmu uspokojení vzdělávacích potřeb všech dětí a rodin upřednostňuje přístup k vybavení a účinné širokopásmové připojení</w:t>
      </w:r>
      <w:r>
        <w:rPr>
          <w:rStyle w:val="Ancredenotedefin"/>
          <w:rStyle w:val="Ancredenotedefin"/>
        </w:rPr>
        <w:endnoteReference w:id="184"/>
      </w:r>
      <w:r>
        <w:rPr/>
        <w:t>.</w:t>
      </w:r>
    </w:p>
    <w:p>
      <w:pPr>
        <w:pStyle w:val="Puce3"/>
        <w:tabs>
          <w:tab w:val="clear" w:pos="720"/>
        </w:tabs>
        <w:rPr/>
      </w:pPr>
      <w:r>
        <w:rPr/>
        <w:t>5.</w:t>
        <w:tab/>
        <w:t>Zřídit informační platformu pro výměnu znalostí a zkušeností na úrovni Unie sdílením informací o nadnárodních kurzech vzdělávání a odborné přípravy v Unii, prezentovat příklady osvědčených postupů a poskytovat občanům příležitost prezentovat nové nápady pro přeshraniční výměny. Měl by poskytovat vzdělávací materiály o změně klimatu, otázkách životního prostředí a digitalizaci a poskytovat informace o stávajících specializovaných fórech o hlavních tématech</w:t>
      </w:r>
      <w:r>
        <w:rPr>
          <w:rStyle w:val="Ancredenotedefin"/>
          <w:rStyle w:val="Ancredenotedefin"/>
        </w:rPr>
        <w:endnoteReference w:id="185"/>
      </w:r>
      <w:r>
        <w:rPr/>
        <w:t>. — To by mohlo doprovázet program financování na podporu využívání a využívání informací platformy.</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100" w:name="__RefHeading___Toc298374_1346298689"/>
      <w:bookmarkEnd w:id="100"/>
      <w:r>
        <w:rPr/>
        <w:t>47. Návrh: Otázky týkající se evropské mládeže</w:t>
      </w:r>
    </w:p>
    <w:p>
      <w:pPr>
        <w:pStyle w:val="P68B1DB1Normal15"/>
        <w:rPr>
          <w:b/>
          <w:b/>
        </w:rPr>
      </w:pPr>
      <w:r>
        <w:rPr/>
        <w:t>Cíl: EU a její členské státy by se měly zaměřit na specifické potřeby mladých lidí ve všech příslušných politikách, včetně regionální politiky EU, s cílem poskytnout jim nejlepší možné podmínky pro studium a práci a zahájení nezávislého života a zapojit je do demokratického života a rozhodovacích procesů, a to i na evropské úrovni. Mládežnické organizace hrají klíčovou roli. K dosažení tohoto cíle navrhujeme následující:</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Opatření:</w:t>
      </w:r>
    </w:p>
    <w:p>
      <w:pPr>
        <w:pStyle w:val="Puce3"/>
        <w:tabs>
          <w:tab w:val="clear" w:pos="720"/>
        </w:tabs>
        <w:rPr/>
      </w:pPr>
      <w:r>
        <w:rPr/>
        <w:t>1.</w:t>
        <w:tab/>
        <w:t>Poskytnout mladým lidem více příležitostí k účasti a zastoupení v demokratických a rozhodovacích procesech na všech úrovních a podporovat stávající programy v této oblasti, mimo jiné pořádáním občanských panelů s dětmi (např. ve věku 10–16 let) ve školách. Evropští zástupci by se mohli setkat se školáky ve svých školách s cílem posílit blízkost a porozumění Evropě od útlého věku</w:t>
      </w:r>
      <w:r>
        <w:rPr>
          <w:rStyle w:val="Ancredenotedefin"/>
          <w:rStyle w:val="Ancredenotedefin"/>
        </w:rPr>
        <w:endnoteReference w:id="186"/>
      </w:r>
      <w:r>
        <w:rPr/>
        <w:t>. Aby byla všechna politická rozhodnutí EU analyzována z pohledu mládeže, měl by být vypracován „test mládeže“ na evropské úrovni, aby se zajistilo, že veškeré nové politické a legislativní návrhy budou předmětem posouzení dopadů zaměřeného na mládež, včetně konzultací s mládeží.</w:t>
      </w:r>
    </w:p>
    <w:p>
      <w:pPr>
        <w:pStyle w:val="Puce3"/>
        <w:tabs>
          <w:tab w:val="clear" w:pos="720"/>
        </w:tabs>
        <w:rPr/>
      </w:pPr>
      <w:r>
        <w:rPr/>
        <w:t>2.</w:t>
        <w:tab/>
        <w:t>Mělo by být projednáno a zváženo udělení volebního práva od 16 let ve volbách do Evropského parlamentu spolu s posílením výchovy k občanství a EU. Vnitrostátní politické strany by rovněž měly zajistit, aby byli mladší kandidáti zařazeni na své kandidátní listiny pro volby do Evropského parlamentu</w:t>
      </w:r>
      <w:r>
        <w:rPr>
          <w:rStyle w:val="Ancredenotedefin"/>
          <w:rStyle w:val="Ancredenotedefin"/>
        </w:rPr>
        <w:endnoteReference w:id="187"/>
      </w:r>
      <w:r>
        <w:rPr/>
        <w:t>.</w:t>
      </w:r>
    </w:p>
    <w:p>
      <w:pPr>
        <w:pStyle w:val="Puce3"/>
        <w:tabs>
          <w:tab w:val="clear" w:pos="720"/>
        </w:tabs>
        <w:rPr/>
      </w:pPr>
      <w:r>
        <w:rPr/>
        <w:t>3.</w:t>
        <w:tab/>
        <w:t>Lépe připravit mladé lidi na vstup do pracovní síly, poskytnout studentům středních škol (od 12 let) možnost účastnit se kvalitních pozorovacích návštěv u neziskových a neziskových organizací, a to v úzké spolupráci mezi školami, místními orgány a příslušnými organizacemi a podniky</w:t>
      </w:r>
      <w:r>
        <w:rPr>
          <w:rStyle w:val="Ancredenotedefin"/>
          <w:rStyle w:val="Ancredenotedefin"/>
        </w:rPr>
        <w:endnoteReference w:id="188"/>
      </w:r>
      <w:r>
        <w:rPr/>
        <w:t>. Tyto návštěvy by měly být považovány za součást širšího procesu profesního poradenství ve formálním vzdělávání, aby mladí lidé mohli mít první kontakt se světem práce, aby mohli řídit své profesní volby a/nebo uvažovat o tom, že se stanou podnikatelem.</w:t>
      </w:r>
    </w:p>
    <w:p>
      <w:pPr>
        <w:pStyle w:val="Puce3"/>
        <w:tabs>
          <w:tab w:val="clear" w:pos="720"/>
        </w:tabs>
        <w:rPr/>
      </w:pPr>
      <w:r>
        <w:rPr/>
        <w:t>4.</w:t>
        <w:tab/>
        <w:t>Větší finanční prostředky EU v rámci nástroje NextGenerationEU by měly být rovněž věnovány na provádění posílené evropské záruky pro mladé lidi, včetně většího zapojení, zvýšení informovanosti, lepší kvality nabídky, financování a opatření ze strany všech členských států a příslušných úrovní orgánů. Vzhledem k tomu, že mládežnické organizace jsou schopny lépe identifikovat potřeby mladých lidí, měly by vlády členských států spolupracovat s mládežnickými organizacemi prostřednictvím úzkého dialogu s cílem zajistit co nejúčinnější provádění záruk pro mladé lidi.</w:t>
      </w:r>
    </w:p>
    <w:p>
      <w:pPr>
        <w:pStyle w:val="Puce3"/>
        <w:tabs>
          <w:tab w:val="clear" w:pos="720"/>
        </w:tabs>
        <w:rPr/>
      </w:pPr>
      <w:r>
        <w:rPr/>
        <w:t>5.</w:t>
        <w:tab/>
        <w:t>Zajistit, aby stáže a pracovní místa mladých lidí splňovaly normy kvality, zejména pokud jde o odměňování, a to ukončením minimálních mezd pro mladé lidi a jakýchkoli jiných diskriminačních ustanovení pracovněprávních předpisů týkajících se mládeže a zákazem neplacených stáží na trhu práce a mimo formální vzdělávání prostřednictvím právního nástroje</w:t>
      </w:r>
      <w:r>
        <w:rPr>
          <w:rStyle w:val="Ancredenotedefin"/>
          <w:rStyle w:val="Ancredenotedefin"/>
        </w:rPr>
        <w:endnoteReference w:id="189"/>
      </w:r>
      <w:r>
        <w:rPr/>
        <w:t>.</w:t>
      </w:r>
    </w:p>
    <w:p>
      <w:pPr>
        <w:pStyle w:val="Puce3"/>
        <w:tabs>
          <w:tab w:val="clear" w:pos="720"/>
        </w:tabs>
        <w:rPr/>
      </w:pPr>
      <w:r>
        <w:rPr/>
        <w:t>6.</w:t>
        <w:tab/>
        <w:t>Zajistit přiměřenou životní úroveň mladých lidí, včetně přístupu k sociální ochraně a bydlení. Mladí lidé by měli mít přístup k úrovni sociální ochrany, která je rovnocenná úrovni ochrany jiných věkových skupin. Rovněž by měl být usnadněn přístup mladých lidí k cenově dostupnému bydlení, a to i prostřednictvím finančních prostředků EU</w:t>
      </w:r>
      <w:r>
        <w:rPr>
          <w:rStyle w:val="Ancredenotedefin"/>
          <w:rStyle w:val="Ancredenotedefin"/>
        </w:rPr>
        <w:endnoteReference w:id="190"/>
      </w:r>
      <w:r>
        <w:rPr/>
        <w:t>.</w:t>
      </w:r>
    </w:p>
    <w:p>
      <w:pPr>
        <w:pStyle w:val="Puce3"/>
        <w:tabs>
          <w:tab w:val="clear" w:pos="720"/>
        </w:tabs>
        <w:rPr/>
      </w:pPr>
      <w:r>
        <w:rPr/>
        <w:t>7.</w:t>
        <w:tab/>
        <w:t>Je třeba přijmout zvláštní opatření, která zabrání odlivu mozků z určitých regionů a zemí v Unii kvůli nedostatečným příležitostem pro mladé lidi a zároveň učiní Evropu atraktivnější, aby se zabránilo úniku evropských talentů a pracovních sil do třetích zemí, aby se zabránilo narušení územní soudržnosti, zejména pokud jde o regiony, které trpí značnou ztrátou mladých talentů, a to i prostřednictvím finančních prostředků EU</w:t>
      </w:r>
      <w:r>
        <w:rPr>
          <w:rStyle w:val="Ancredenotedefin"/>
          <w:rStyle w:val="Ancredenotedefin"/>
        </w:rPr>
        <w:endnoteReference w:id="191"/>
      </w:r>
      <w:r>
        <w:rPr/>
        <w:t>.</w:t>
      </w:r>
    </w:p>
    <w:p>
      <w:pPr>
        <w:pStyle w:val="Puce3"/>
        <w:tabs>
          <w:tab w:val="clear" w:pos="720"/>
        </w:tabs>
        <w:rPr/>
      </w:pPr>
      <w:r>
        <w:rPr/>
        <w:t>8.</w:t>
        <w:tab/>
        <w:t>V případě vážné krize (např. zdravotní krize, válka) by měly být dobře vypracované plány s podrobnými scénáři připraveny k pružnému zavedení, aby se minimalizoval dopad na vzdělávání, odbornou přípravu, přechod na trh práce a duševní pohodu mladých lidí</w:t>
      </w:r>
      <w:r>
        <w:rPr>
          <w:rStyle w:val="Ancredenotedefin"/>
          <w:rStyle w:val="Ancredenotedefin"/>
        </w:rPr>
        <w:endnoteReference w:id="192"/>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101" w:name="__RefHeading___Toc298376_1346298689"/>
      <w:bookmarkEnd w:id="101"/>
      <w:r>
        <w:rPr/>
        <w:t>48. Návrh: Kultura a výměny</w:t>
      </w:r>
    </w:p>
    <w:p>
      <w:pPr>
        <w:pStyle w:val="P68B1DB1Normal15"/>
        <w:rPr>
          <w:b/>
          <w:b/>
        </w:rPr>
      </w:pPr>
      <w:r>
        <w:rPr/>
        <w:t>Cíl: Za účelem podpory kultury výměny a podpory evropské identity a rozmanitosti v různých oblastech by členské státy měly za pomoci Evropské unie: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Opatření</w:t>
      </w:r>
      <w:r>
        <w:rPr>
          <w:rStyle w:val="Ancredenotedefin"/>
          <w:rStyle w:val="Ancredenotedefin"/>
          <w:b/>
        </w:rPr>
        <w:endnoteReference w:id="193"/>
      </w:r>
      <w:r>
        <w:rPr/>
        <w:t>:</w:t>
      </w:r>
    </w:p>
    <w:p>
      <w:pPr>
        <w:pStyle w:val="Puce3"/>
        <w:tabs>
          <w:tab w:val="clear" w:pos="720"/>
        </w:tabs>
        <w:rPr/>
      </w:pPr>
      <w:r>
        <w:rPr/>
        <w:t>1.</w:t>
        <w:tab/>
        <w:t>Podporovat evropské výměny v různých oblastech, fyzicky i digitálně, včetně vzdělávacích výměn, twinningu, cestování a profesní mobility (zejména pro učitele a místní volené úředníky). Tyto výměny by měly být přístupné všem ve všech členských státech bez ohledu na věk, úroveň vzdělání, původ a finanční prostředky</w:t>
      </w:r>
      <w:r>
        <w:rPr>
          <w:rStyle w:val="Ancredenotedefin"/>
          <w:rStyle w:val="Ancredenotedefin"/>
        </w:rPr>
        <w:endnoteReference w:id="194"/>
      </w:r>
      <w:r>
        <w:rPr/>
        <w:t>. Za tímto účelem by Unie měla zejména posílit stávající programy výměny a mobility na úrovni Unie, jako je Evropský sbor solidarity, Erasmus+ a DiscoverEU, zajistit širší a různorodou účast v těchto programech a zvážit přidání nových prvků, jako je další cíl občanské služby podporované dobrovolnictvím (pro Evropský sbor solidarity) a „název ke kulturnímu přístupu“ (pro DiscoverEU). V této oblasti musí hrát vedoucí úlohu místní a regionální orgány pod záštitou Výboru regionů.</w:t>
      </w:r>
    </w:p>
    <w:p>
      <w:pPr>
        <w:pStyle w:val="Puce3"/>
        <w:tabs>
          <w:tab w:val="clear" w:pos="720"/>
        </w:tabs>
        <w:rPr/>
      </w:pPr>
      <w:r>
        <w:rPr/>
        <w:t>2.</w:t>
        <w:tab/>
        <w:t>Podporovat mnohojazyčnost jako bránu do jiných kultur již od útlého věku. Regionální a menšinové jazyky potřebují dodatečnou ochranu s ohledem na Úmluvu Rady Evropy o menšinových jazycích a Rámcovou úmluvu o ochraně národnostních menšin. EU by měla zvážit zřízení orgánu na podporu jazykové rozmanitosti na evropské úrovni. Od základních škol by se mělo vyžadovat, aby děti získaly dovednosti v jiném aktivním jazyce EU, než je jejich vlastní, na nejvyšší možné úrovni. Aby se usnadnila schopnost evropských občanů komunikovat s širšími skupinami ostatních Evropanů a jako faktor evropské soudržnosti, měly by členské státy podporovat výuku jazyka členských států EU, které přímo sousedí s příhraničními regiony, a získání certifikované úrovně angličtiny</w:t>
      </w:r>
      <w:r>
        <w:rPr>
          <w:rStyle w:val="Ancredenotedefin"/>
          <w:rStyle w:val="Ancredenotedefin"/>
        </w:rPr>
        <w:endnoteReference w:id="195"/>
      </w:r>
      <w:r>
        <w:rPr/>
        <w:t>.</w:t>
      </w:r>
    </w:p>
    <w:p>
      <w:pPr>
        <w:pStyle w:val="Puce3"/>
        <w:tabs>
          <w:tab w:val="clear" w:pos="720"/>
        </w:tabs>
        <w:rPr/>
      </w:pPr>
      <w:r>
        <w:rPr/>
        <w:t>3.</w:t>
        <w:tab/>
        <w:t>Vytvářet příležitosti ke sdílení evropských kultur, sbližovat národy a prosazovat společnou evropskou identitu, například prostřednictvím akcí a setkání za účasti všech cílových skupin a pořádaných na různých místech. Příkladem je pořádání Světových dnů umění</w:t>
      </w:r>
      <w:r>
        <w:rPr>
          <w:rStyle w:val="Ancredenotedefin"/>
          <w:rStyle w:val="Ancredenotedefin"/>
        </w:rPr>
        <w:endnoteReference w:id="196"/>
      </w:r>
      <w:r>
        <w:rPr/>
        <w:t>, evropská výstava s pedagogickými akcemi nebo přeměna Dne Evropy (9. května) na oficiální evropský svátek pro všechny občany EU</w:t>
      </w:r>
      <w:r>
        <w:rPr>
          <w:rStyle w:val="Ancredenotedefin"/>
          <w:rStyle w:val="Ancredenotedefin"/>
        </w:rPr>
        <w:endnoteReference w:id="197"/>
      </w:r>
      <w:r>
        <w:rPr/>
        <w:t>.</w:t>
      </w:r>
    </w:p>
    <w:p>
      <w:pPr>
        <w:pStyle w:val="Puce3"/>
        <w:tabs>
          <w:tab w:val="clear" w:pos="720"/>
        </w:tabs>
        <w:rPr/>
      </w:pPr>
      <w:r>
        <w:rPr/>
      </w:r>
    </w:p>
    <w:p>
      <w:pPr>
        <w:pStyle w:val="Puce3"/>
        <w:tabs>
          <w:tab w:val="clear" w:pos="720"/>
        </w:tabs>
        <w:rPr/>
      </w:pPr>
      <w:r>
        <w:rPr/>
        <w:t>4.</w:t>
        <w:tab/>
        <w:t>Chránit evropské kulturní dědictví a evropskou kulturu,</w:t>
      </w:r>
      <w:r>
        <w:rPr>
          <w:rStyle w:val="Ancredenotedefin"/>
          <w:rStyle w:val="Ancredenotedefin"/>
        </w:rPr>
        <w:endnoteReference w:id="198"/>
      </w:r>
      <w:r>
        <w:rPr/>
        <w:t>zejména uznáním místních a regionálních zvláštností v oblasti kultury a výroby,</w:t>
      </w:r>
      <w:r>
        <w:rPr>
          <w:rStyle w:val="Ancredenotedefin"/>
          <w:rStyle w:val="Ancredenotedefin"/>
        </w:rPr>
        <w:endnoteReference w:id="199"/>
      </w:r>
      <w:r>
        <w:rPr/>
        <w:t>novými iniciativami na jeho zachování a oslavou, mobilitou na podporu výměny kulturního dědictví a podporou stávajících opatření, jako je Kreativní Evropa, Nový evropský Bauhaus, twinningové programy měst a Evropská hlavní města kultury, v souladu s cíli udržitelného rozvoje.</w:t>
      </w:r>
    </w:p>
    <w:p>
      <w:pPr>
        <w:pStyle w:val="Puce3"/>
        <w:tabs>
          <w:tab w:val="clear" w:pos="720"/>
        </w:tabs>
        <w:rPr/>
      </w:pPr>
      <w:r>
        <w:rPr/>
        <w:t>5.</w:t>
        <w:tab/>
        <w:t>Přijmout opatření k zajištění dostatečné ochrany odborníků v oblasti kultury na úrovni EU, zejména v případě jakékoli budoucí krize, prostřednictvím přijetí právního statutu na evropské úrovni.</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102" w:name="__RefHeading___Toc298378_1346298689"/>
      <w:bookmarkEnd w:id="102"/>
      <w:r>
        <w:rPr/>
        <w:t>49. Návrh: Sportovci</w:t>
      </w:r>
    </w:p>
    <w:p>
      <w:pPr>
        <w:pStyle w:val="P68B1DB1Normal15"/>
        <w:rPr>
          <w:b/>
          <w:b/>
        </w:rPr>
      </w:pPr>
      <w:r>
        <w:rPr/>
        <w:t>Cíl: Sport má pro naši společnost zásadní význam – abychom hájili své hodnoty, vedli zdravý životní styl a věk v dobrém zdravotním stavu, podporovali kulturu výměny a oslavovali rozmanitost evropského dědictví. Z tohoto důvodu by členské státy měly s pomocí Evropské unie usilovat o:</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Opatření:</w:t>
      </w:r>
    </w:p>
    <w:p>
      <w:pPr>
        <w:pStyle w:val="Puce3"/>
        <w:tabs>
          <w:tab w:val="clear" w:pos="720"/>
        </w:tabs>
        <w:rPr/>
      </w:pPr>
      <w:r>
        <w:rPr/>
        <w:t>1.</w:t>
        <w:tab/>
        <w:t>Zdůraznit hodnoty, zejména rovnost žen a mužů, rovnost a začlenění, které se mohou konkrétně projevit v praxi sportu po celou dobu vzdělávací cesty.</w:t>
      </w:r>
    </w:p>
    <w:p>
      <w:pPr>
        <w:pStyle w:val="Puce3"/>
        <w:tabs>
          <w:tab w:val="clear" w:pos="720"/>
        </w:tabs>
        <w:rPr/>
      </w:pPr>
      <w:r>
        <w:rPr/>
        <w:t>2.</w:t>
        <w:tab/>
        <w:t>Zvýšit povědomí o zdravotních přínosech sportu a fyzické aktivity</w:t>
      </w:r>
      <w:r>
        <w:rPr>
          <w:rStyle w:val="Ancredenotedefin"/>
          <w:rStyle w:val="Ancredenotedefin"/>
        </w:rPr>
        <w:endnoteReference w:id="200"/>
      </w:r>
      <w:r>
        <w:rPr/>
        <w:t>.</w:t>
      </w:r>
    </w:p>
    <w:p>
      <w:pPr>
        <w:pStyle w:val="Puce3"/>
        <w:tabs>
          <w:tab w:val="clear" w:pos="720"/>
        </w:tabs>
        <w:rPr/>
      </w:pPr>
      <w:r>
        <w:rPr/>
        <w:t>3.</w:t>
        <w:tab/>
        <w:t>Začlenit sportovní aktivity do výměnných programů a programů mobility na úrovni EU</w:t>
      </w:r>
      <w:r>
        <w:rPr>
          <w:rStyle w:val="Ancredenotedefin"/>
          <w:rStyle w:val="Ancredenotedefin"/>
        </w:rPr>
        <w:endnoteReference w:id="201"/>
      </w:r>
      <w:r>
        <w:rPr/>
        <w:t>200.</w:t>
      </w:r>
    </w:p>
    <w:p>
      <w:pPr>
        <w:pStyle w:val="Puce3"/>
        <w:tabs>
          <w:tab w:val="clear" w:pos="720"/>
        </w:tabs>
        <w:rPr/>
      </w:pPr>
      <w:r>
        <w:rPr/>
        <w:t>4.</w:t>
        <w:tab/>
        <w:t>Zlepšit pozornost věnovanou nejen profesionálním a komerčním sportům, ale také místním a tradičním sportům, které jsou svědky evropské kulturní rozmanitosti, s cílem propagovat kulturní dědictví a podporovat sportovní šampiony v neprofesionálním prostředí.</w:t>
      </w:r>
    </w:p>
    <w:p>
      <w:pPr>
        <w:pStyle w:val="Normal"/>
        <w:rPr/>
      </w:pPr>
      <w:r>
        <w:rPr/>
      </w:r>
    </w:p>
    <w:p>
      <w:pPr>
        <w:pStyle w:val="Puce3"/>
        <w:tabs>
          <w:tab w:val="clear" w:pos="720"/>
        </w:tabs>
        <w:rPr/>
      </w:pPr>
      <w:r>
        <w:rPr/>
        <w:t>5.</w:t>
        <w:tab/>
        <w:t>Zároveň podporovat propagaci evropské identity pořádáním více mezievropských sportovních akcí,</w:t>
      </w:r>
      <w:r>
        <w:rPr/>
        <w:commentReference w:id="0"/>
      </w:r>
      <w:r>
        <w:rPr/>
        <w:t>zřizováním sportovních týmů EU nebo zobrazováním evropských vlajek nebo symbolů na evropských sportovních akcích.</w:t>
      </w:r>
    </w:p>
    <w:p>
      <w:pPr>
        <w:pStyle w:val="Puce3"/>
        <w:tabs>
          <w:tab w:val="clear" w:pos="720"/>
        </w:tabs>
        <w:rPr/>
      </w:pPr>
      <w:r>
        <w:rPr/>
        <w:t>6.</w:t>
        <w:tab/>
        <w:t>Více investovat do komunikace, jako je Evropský týden sportu, aby občané v celé EU mohli společně těžit z nejlepších příležitostí.</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1"/>
        <w:numPr>
          <w:ilvl w:val="0"/>
          <w:numId w:val="2"/>
        </w:numPr>
        <w:rPr/>
      </w:pPr>
      <w:bookmarkStart w:id="103" w:name="__RefHeading___Toc298380_1346298689"/>
      <w:bookmarkEnd w:id="103"/>
      <w:r>
        <w:rPr/>
        <w:t>Závěrečné úvahy Výkonné rady</w:t>
      </w:r>
    </w:p>
    <w:p>
      <w:pPr>
        <w:pStyle w:val="Normal"/>
        <w:rPr/>
      </w:pPr>
      <w:r>
        <w:rPr/>
      </w:r>
      <w:r>
        <w:br w:type="page"/>
      </w:r>
    </w:p>
    <w:p>
      <w:pPr>
        <w:pStyle w:val="Corpsdetexte"/>
        <w:rPr/>
      </w:pPr>
      <w:r>
        <w:rPr/>
        <w:t>Hlavním cílem konference o budoucnosti Evropy bylo zajistit, aby Evropská unie byla připravena čelit současným i budoucím výzvám tím, že občanům poskytne příležitost vyjádřit své obavy a ambice a ve spolupráci se zástupci tří orgánů, vnitrostátních parlamentů a dalších zúčastněných stran poskytne vodítko pro budoucnost. Aby bylo tohoto cíle dosaženo, konference musela být cvičením zaměřeným na občany, založeným na přístupu zdola nahoru, schopným vytvořit nový prostor pro diskusi o evropských prioritách a vypracovat přehled toho, co občané od Evropské unie očekávají.</w:t>
      </w:r>
    </w:p>
    <w:p>
      <w:pPr>
        <w:pStyle w:val="Corpsdetexte"/>
        <w:rPr/>
      </w:pPr>
      <w:r>
        <w:rPr/>
        <w:t>Tato konference skutečně dokázala sehrát tuto roli. Konference se zúčastnili evropští občané ze všech oblastí života a ze všech koutů Unie a předložili doporučení z panelových diskusí občanů a návrhů týkajících se budoucnosti Evropy, a to ve spolupráci s následným plenárním zasedáním, včetně členů Evropského parlamentu, Rady a Evropské komise, jakož i zástupců všech vnitrostátních parlamentů, Výboru regionů, regionálních a místních volených zástupců, Evropského hospodářského a sociálního výboru, sociálních partnerů a občanské společnosti a dalších klíčových aktérů. Nástroje a metodika vyvinuté pro tento proces představují jedinečný soubor zdrojů, které by mohly sloužit jako základ pro budoucí cvičení týkající se účasti občanů a poradní demokracie na úrovni EU.</w:t>
      </w:r>
    </w:p>
    <w:p>
      <w:pPr>
        <w:pStyle w:val="Corpsdetexte"/>
        <w:rPr/>
      </w:pPr>
      <w:r>
        <w:rPr/>
        <w:t>Díky mnoha akcím a diskusím v celé EU, interaktivní vícejazyčné digitální platformě, evropským a vnitrostátním panelovým panelům občanů a plenárnímu zasedání konference nyní konference předložila závěrečnou zprávu, včetně přehledu práce vykonané v letošním roce trvale, jakož i návrhů předložených plenárním shromážděním pro budoucnost Evropy. Z těchto návrhů je velmi zřejmé, že EU musí jednat, aby uspěla v ekologické a digitální transformaci, posílila odolnost Evropy a její sociální smlouvu a zároveň řešila nerovnosti a zajistila, aby Evropská unie byla spravedlivou, udržitelnou, inovativní a konkurenceschopnou ekonomikou, která nikoho neopomíjí.</w:t>
      </w:r>
    </w:p>
    <w:p>
      <w:pPr>
        <w:pStyle w:val="Corpsdetexte"/>
        <w:rPr/>
      </w:pPr>
      <w:r>
        <w:rPr/>
        <w:t>Vývoj geopolitické situace během konference, a zejména ruská agrese proti Ukrajině, rovněž ukázal, že EU musí být asertivnější a musí hrát vedoucí úlohu na světové scéně při prosazování svých hodnot a norem ve stále otřesenějším světě.</w:t>
      </w:r>
    </w:p>
    <w:p>
      <w:pPr>
        <w:pStyle w:val="Corpsdetexte"/>
        <w:rPr/>
      </w:pPr>
      <w:r>
        <w:rPr/>
        <w:t>Konference poskytla jasné pokyny v těchto oblastech a tři orgány EU musí nyní zvážit, jak řešit vyjádřené obavy, ambice a myšlenky. Dalším krokem v tomto procesu je vypracování konkrétních opatření EU založených na výsledcích konference, jak je uvedeno v této závěrečné zprávě. Orgány EU proto nyní posoudí tuto zprávu a její následná opatření, a to v rámci svých pravomocí a v souladu se Smlouvami. Na podzim 2022 se uskuteční následná akce, jejímž cílem bude informovat občany o tom, jak budou instituce plnit svůj závazek zajistit, aby byli nasloucháni budoucnosti Evropy a drželi ji v rukou.</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r>
    </w:p>
    <w:p>
      <w:pPr>
        <w:pStyle w:val="Normal"/>
        <w:rPr/>
      </w:pPr>
      <w:r>
        <w:rPr/>
      </w:r>
    </w:p>
    <w:p>
      <w:pPr>
        <w:pStyle w:val="Normal"/>
        <w:rPr/>
      </w:pPr>
      <w:r>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r>
      <w:r>
        <w:br w:type="page"/>
      </w:r>
    </w:p>
    <w:p>
      <w:pPr>
        <w:pStyle w:val="Normal"/>
        <w:spacing w:before="13610" w:after="57"/>
        <w:rPr/>
      </w:pPr>
      <w:r>
        <w:rPr/>
        <w:drawing>
          <wp:anchor behindDoc="0" distT="0" distB="0" distL="0" distR="0" simplePos="0" locked="0" layoutInCell="1" allowOverlap="1" relativeHeight="29">
            <wp:simplePos x="0" y="0"/>
            <wp:positionH relativeFrom="column">
              <wp:align>center</wp:align>
            </wp:positionH>
            <wp:positionV relativeFrom="paragraph">
              <wp:posOffset>635</wp:posOffset>
            </wp:positionV>
            <wp:extent cx="6120130" cy="8642350"/>
            <wp:effectExtent l="0" t="0" r="0" b="0"/>
            <wp:wrapSquare wrapText="largest"/>
            <wp:docPr id="70" name="Obrázek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Obrázek30" descr=""/>
                    <pic:cNvPicPr>
                      <a:picLocks noChangeAspect="1" noChangeArrowheads="1"/>
                    </pic:cNvPicPr>
                  </pic:nvPicPr>
                  <pic:blipFill>
                    <a:blip r:embed="rId82"/>
                    <a:stretch>
                      <a:fillRect/>
                    </a:stretch>
                  </pic:blipFill>
                  <pic:spPr bwMode="auto">
                    <a:xfrm>
                      <a:off x="0" y="0"/>
                      <a:ext cx="6120130" cy="8642350"/>
                    </a:xfrm>
                    <a:prstGeom prst="rect">
                      <a:avLst/>
                    </a:prstGeom>
                  </pic:spPr>
                </pic:pic>
              </a:graphicData>
            </a:graphic>
          </wp:anchor>
        </w:drawing>
      </w:r>
      <w:r>
        <w:br w:type="page"/>
      </w:r>
    </w:p>
    <w:p>
      <w:pPr>
        <w:pStyle w:val="Titre1"/>
        <w:numPr>
          <w:ilvl w:val="0"/>
          <w:numId w:val="2"/>
        </w:numPr>
        <w:rPr/>
      </w:pPr>
      <w:bookmarkStart w:id="104" w:name="__RefHeading___Toc297141_1346298689"/>
      <w:bookmarkEnd w:id="104"/>
      <w:r>
        <w:rPr/>
        <w:t>Příloha I – Doporučení čtyř evropských panelových diskusí občanů</w:t>
      </w:r>
    </w:p>
    <w:p>
      <w:pPr>
        <w:pStyle w:val="Normal"/>
        <w:widowControl w:val="false"/>
        <w:spacing w:lineRule="exact" w:line="412"/>
        <w:ind w:left="0" w:right="0" w:hanging="0"/>
        <w:jc w:val="left"/>
        <w:rPr>
          <w:rFonts w:ascii="Arial" w:hAnsi="Arial"/>
          <w:b/>
          <w:b/>
          <w:color w:val="000000"/>
          <w:sz w:val="24"/>
        </w:rPr>
      </w:pPr>
      <w:r>
        <w:rPr>
          <w:b/>
          <w:color w:val="000000"/>
          <w:sz w:val="24"/>
        </w:rPr>
        <w:drawing>
          <wp:anchor behindDoc="0" distT="0" distB="0" distL="0" distR="0" simplePos="0" locked="0" layoutInCell="1" allowOverlap="1" relativeHeight="31">
            <wp:simplePos x="0" y="0"/>
            <wp:positionH relativeFrom="column">
              <wp:posOffset>0</wp:posOffset>
            </wp:positionH>
            <wp:positionV relativeFrom="paragraph">
              <wp:posOffset>126365</wp:posOffset>
            </wp:positionV>
            <wp:extent cx="4378325" cy="5307330"/>
            <wp:effectExtent l="0" t="0" r="0" b="0"/>
            <wp:wrapTopAndBottom/>
            <wp:docPr id="71" name="Obrázek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Obrázek31" descr=""/>
                    <pic:cNvPicPr>
                      <a:picLocks noChangeAspect="1" noChangeArrowheads="1"/>
                    </pic:cNvPicPr>
                  </pic:nvPicPr>
                  <pic:blipFill>
                    <a:blip r:embed="rId83"/>
                    <a:stretch>
                      <a:fillRect/>
                    </a:stretch>
                  </pic:blipFill>
                  <pic:spPr bwMode="auto">
                    <a:xfrm>
                      <a:off x="0" y="0"/>
                      <a:ext cx="4378325" cy="5307330"/>
                    </a:xfrm>
                    <a:prstGeom prst="rect">
                      <a:avLst/>
                    </a:prstGeom>
                  </pic:spPr>
                </pic:pic>
              </a:graphicData>
            </a:graphic>
          </wp:anchor>
        </w:drawing>
      </w:r>
      <w:r>
        <w:br w:type="page"/>
      </w:r>
    </w:p>
    <w:p>
      <w:pPr>
        <w:pStyle w:val="Normal"/>
        <w:rPr/>
      </w:pPr>
      <w:r>
        <w:rPr/>
        <mc:AlternateContent>
          <mc:Choice Requires="wps">
            <w:drawing>
              <wp:anchor behindDoc="0" distT="72390" distB="72390" distL="72390" distR="72390" simplePos="0" locked="0" layoutInCell="1" allowOverlap="1" relativeHeight="32">
                <wp:simplePos x="0" y="0"/>
                <wp:positionH relativeFrom="column">
                  <wp:posOffset>128270</wp:posOffset>
                </wp:positionH>
                <wp:positionV relativeFrom="paragraph">
                  <wp:posOffset>2223770</wp:posOffset>
                </wp:positionV>
                <wp:extent cx="4250690" cy="3210560"/>
                <wp:effectExtent l="0" t="0" r="0" b="0"/>
                <wp:wrapTopAndBottom/>
                <wp:docPr id="72" name="Rámec13"/>
                <a:graphic xmlns:a="http://schemas.openxmlformats.org/drawingml/2006/main">
                  <a:graphicData uri="http://schemas.microsoft.com/office/word/2010/wordprocessingShape">
                    <wps:wsp>
                      <wps:cNvSpPr/>
                      <wps:spPr>
                        <a:xfrm>
                          <a:off x="0" y="0"/>
                          <a:ext cx="4250160" cy="3209760"/>
                        </a:xfrm>
                        <a:prstGeom prst="rect">
                          <a:avLst/>
                        </a:prstGeom>
                        <a:noFill/>
                        <a:ln>
                          <a:noFill/>
                        </a:ln>
                      </wps:spPr>
                      <wps:style>
                        <a:lnRef idx="0"/>
                        <a:fillRef idx="0"/>
                        <a:effectRef idx="0"/>
                        <a:fontRef idx="minor"/>
                      </wps:style>
                      <wps:txbx>
                        <w:txbxContent>
                          <w:p>
                            <w:pPr>
                              <w:pStyle w:val="P68B1DB1Normal16"/>
                              <w:spacing w:before="57" w:after="57"/>
                              <w:rPr>
                                <w:color w:val="FFFFFF"/>
                                <w:sz w:val="72"/>
                              </w:rPr>
                            </w:pPr>
                            <w:r>
                              <w:rPr/>
                              <w:t xml:space="preserve">Konference na téma </w:t>
                            </w:r>
                          </w:p>
                          <w:p>
                            <w:pPr>
                              <w:pStyle w:val="P68B1DB1Normal16"/>
                              <w:rPr>
                                <w:color w:val="FFFFFF"/>
                                <w:sz w:val="72"/>
                              </w:rPr>
                            </w:pPr>
                            <w:r>
                              <w:rPr/>
                              <w:t xml:space="preserve">budoucnost Evropy </w:t>
                            </w:r>
                          </w:p>
                          <w:p>
                            <w:pPr>
                              <w:pStyle w:val="P68B1DB1Normal17"/>
                              <w:rPr>
                                <w:color w:val="FFFFFF"/>
                              </w:rPr>
                            </w:pPr>
                            <w:r>
                              <w:rPr/>
                              <w:t xml:space="preserve"> </w:t>
                            </w:r>
                            <w:r>
                              <w:rPr/>
                              <w:t>Evropský</w:t>
                            </w:r>
                            <w:r>
                              <w:rPr>
                                <w:sz w:val="32"/>
                              </w:rPr>
                              <w:t xml:space="preserve">panel občanů 1: Silnější ekonomika, sociální spravedlnost a zaměstnanost/vzdělávání, kultura, mládež a sport/digitální transformace </w:t>
                            </w:r>
                          </w:p>
                          <w:p>
                            <w:pPr>
                              <w:pStyle w:val="P68B1DB1Normal17"/>
                              <w:rPr>
                                <w:color w:val="FFFFFF"/>
                              </w:rPr>
                            </w:pPr>
                            <w:r>
                              <w:rPr/>
                              <w:t xml:space="preserve"> </w:t>
                            </w:r>
                          </w:p>
                          <w:p>
                            <w:pPr>
                              <w:pStyle w:val="P68B1DB1Normal17"/>
                              <w:rPr>
                                <w:color w:val="FFFFFF"/>
                              </w:rPr>
                            </w:pPr>
                            <w:r>
                              <w:rPr/>
                              <w:t>Doporučení</w:t>
                            </w:r>
                          </w:p>
                          <w:p>
                            <w:pPr>
                              <w:pStyle w:val="P68B1DB1Normal17"/>
                              <w:rPr>
                                <w:color w:val="FFFFFF"/>
                              </w:rPr>
                            </w:pPr>
                            <w:r>
                              <w:rPr/>
                              <w:t xml:space="preserve"> </w:t>
                            </w:r>
                            <w:r>
                              <w:rPr/>
                              <w:t>Fotografie © Evropská unie, 2021 – EP/Kenton Thatcher</w:t>
                            </w:r>
                          </w:p>
                          <w:p>
                            <w:pPr>
                              <w:pStyle w:val="Normal"/>
                              <w:spacing w:before="57" w:after="57"/>
                              <w:rPr/>
                            </w:pPr>
                            <w:r>
                              <w:rPr/>
                            </w:r>
                          </w:p>
                        </w:txbxContent>
                      </wps:txbx>
                      <wps:bodyPr lIns="54000" rIns="54000" tIns="54000" bIns="54000">
                        <a:noAutofit/>
                      </wps:bodyPr>
                    </wps:wsp>
                  </a:graphicData>
                </a:graphic>
              </wp:anchor>
            </w:drawing>
          </mc:Choice>
          <mc:Fallback>
            <w:pict>
              <v:rect id="shape_0" ID="Rámec13" fillcolor="white" stroked="f" style="position:absolute;margin-left:10.1pt;margin-top:175.1pt;width:334.6pt;height:252.7pt">
                <w10:wrap type="square"/>
                <v:fill o:detectmouseclick="t" type="solid" color2="black" opacity="0"/>
                <v:stroke color="#3465a4" joinstyle="round" endcap="flat"/>
                <v:textbox>
                  <w:txbxContent>
                    <w:p>
                      <w:pPr>
                        <w:pStyle w:val="P68B1DB1Normal16"/>
                        <w:spacing w:before="57" w:after="57"/>
                        <w:rPr>
                          <w:color w:val="FFFFFF"/>
                          <w:sz w:val="72"/>
                        </w:rPr>
                      </w:pPr>
                      <w:r>
                        <w:rPr/>
                        <w:t xml:space="preserve">Konference na téma </w:t>
                      </w:r>
                    </w:p>
                    <w:p>
                      <w:pPr>
                        <w:pStyle w:val="P68B1DB1Normal16"/>
                        <w:rPr>
                          <w:color w:val="FFFFFF"/>
                          <w:sz w:val="72"/>
                        </w:rPr>
                      </w:pPr>
                      <w:r>
                        <w:rPr/>
                        <w:t xml:space="preserve">budoucnost Evropy </w:t>
                      </w:r>
                    </w:p>
                    <w:p>
                      <w:pPr>
                        <w:pStyle w:val="P68B1DB1Normal17"/>
                        <w:rPr>
                          <w:color w:val="FFFFFF"/>
                        </w:rPr>
                      </w:pPr>
                      <w:r>
                        <w:rPr/>
                        <w:t xml:space="preserve"> </w:t>
                      </w:r>
                      <w:r>
                        <w:rPr/>
                        <w:t>Evropský</w:t>
                      </w:r>
                      <w:r>
                        <w:rPr>
                          <w:sz w:val="32"/>
                        </w:rPr>
                        <w:t xml:space="preserve">panel občanů 1: Silnější ekonomika, sociální spravedlnost a zaměstnanost/vzdělávání, kultura, mládež a sport/digitální transformace </w:t>
                      </w:r>
                    </w:p>
                    <w:p>
                      <w:pPr>
                        <w:pStyle w:val="P68B1DB1Normal17"/>
                        <w:rPr>
                          <w:color w:val="FFFFFF"/>
                        </w:rPr>
                      </w:pPr>
                      <w:r>
                        <w:rPr/>
                        <w:t xml:space="preserve"> </w:t>
                      </w:r>
                    </w:p>
                    <w:p>
                      <w:pPr>
                        <w:pStyle w:val="P68B1DB1Normal17"/>
                        <w:rPr>
                          <w:color w:val="FFFFFF"/>
                        </w:rPr>
                      </w:pPr>
                      <w:r>
                        <w:rPr/>
                        <w:t>Doporučení</w:t>
                      </w:r>
                    </w:p>
                    <w:p>
                      <w:pPr>
                        <w:pStyle w:val="P68B1DB1Normal17"/>
                        <w:rPr>
                          <w:color w:val="FFFFFF"/>
                        </w:rPr>
                      </w:pPr>
                      <w:r>
                        <w:rPr/>
                        <w:t xml:space="preserve"> </w:t>
                      </w:r>
                      <w:r>
                        <w:rPr/>
                        <w:t>Fotografie © Evropská unie, 2021 – EP/Kenton Thatcher</w:t>
                      </w:r>
                    </w:p>
                    <w:p>
                      <w:pPr>
                        <w:pStyle w:val="Normal"/>
                        <w:spacing w:before="57" w:after="57"/>
                        <w:rPr/>
                      </w:pPr>
                      <w:r>
                        <w:rPr/>
                      </w:r>
                    </w:p>
                  </w:txbxContent>
                </v:textbox>
              </v:rect>
            </w:pict>
          </mc:Fallback>
        </mc:AlternateContent>
      </w:r>
    </w:p>
    <w:p>
      <w:pPr>
        <w:pStyle w:val="Titre2"/>
        <w:numPr>
          <w:ilvl w:val="1"/>
          <w:numId w:val="2"/>
        </w:numPr>
        <w:rPr/>
      </w:pPr>
      <w:bookmarkStart w:id="105" w:name="__RefHeading___Toc297143_1346298689"/>
      <w:bookmarkEnd w:id="105"/>
      <w:r>
        <w:rPr/>
        <w:t xml:space="preserve">Evropský panel občanů 1: Silnější ekonomika, sociální spravedlnost a zaměstnanost/vzdělávání, kultura, mládež a sport/digitální transformace </w:t>
      </w:r>
    </w:p>
    <w:p>
      <w:pPr>
        <w:pStyle w:val="P68B1DB1Normal18"/>
        <w:widowControl w:val="false"/>
        <w:spacing w:lineRule="exact" w:line="468"/>
        <w:ind w:left="425" w:right="0" w:hanging="0"/>
        <w:jc w:val="left"/>
        <w:rPr/>
      </w:pPr>
      <w:r>
        <w:rPr>
          <w:b/>
          <w:color w:val="1C4587"/>
        </w:rPr>
        <w:t>DOPORUČENÍ PŘIJATÁ POROTOU (BUDE PŘEDLOŽENA NA PLENÁRNÍM ZASEDÁNÍ)</w:t>
      </w:r>
      <w:r>
        <w:rPr>
          <w:color w:val="000000"/>
        </w:rPr>
        <w:t xml:space="preserve"> </w:t>
      </w:r>
    </w:p>
    <w:p>
      <w:pPr>
        <w:pStyle w:val="Titre3"/>
        <w:numPr>
          <w:ilvl w:val="2"/>
          <w:numId w:val="2"/>
        </w:numPr>
        <w:rPr/>
      </w:pPr>
      <w:bookmarkStart w:id="106" w:name="__RefHeading___Toc297145_1346298689"/>
      <w:bookmarkEnd w:id="106"/>
      <w:r>
        <w:rPr/>
        <w:t xml:space="preserve">Osa 1: Práce v Evropě </w:t>
      </w:r>
    </w:p>
    <w:p>
      <w:pPr>
        <w:pStyle w:val="Titre4"/>
        <w:numPr>
          <w:ilvl w:val="3"/>
          <w:numId w:val="2"/>
        </w:numPr>
        <w:rPr/>
      </w:pPr>
      <w:bookmarkStart w:id="107" w:name="__RefHeading___Toc297147_1346298689"/>
      <w:bookmarkEnd w:id="107"/>
      <w:r>
        <w:rPr/>
        <w:t xml:space="preserve">Dílčí osa 1.1 Trh práce </w:t>
      </w:r>
    </w:p>
    <w:p>
      <w:pPr>
        <w:pStyle w:val="P68B1DB1Normal15"/>
        <w:rPr>
          <w:b/>
          <w:b/>
        </w:rPr>
      </w:pPr>
      <w:r>
        <w:rPr/>
        <w:t xml:space="preserve">1. Doporučujeme zavést minimální mzdu s cílem zajistit podobnou kvalitu života ve všech členských státech. Jsme si vědomi pokračujícího úsilí v rámci směrnice EU COM(2020) 682 o harmonizaci způsobu života. Minimální mzda musí zaručit minimální čistý příjem, aby bylo dosaženo základního cíle: všichni, kdo to potřebují, by měli mít vyšší příjem. Minimální mzda by měla zohledňovat tyto aspekty: </w:t>
      </w:r>
    </w:p>
    <w:p>
      <w:pPr>
        <w:pStyle w:val="P68B1DB1Normal15"/>
        <w:rPr>
          <w:b/>
          <w:b/>
        </w:rPr>
      </w:pPr>
      <w:r>
        <w:rPr/>
        <w:t xml:space="preserve">● </w:t>
      </w:r>
      <w:r>
        <w:rPr/>
        <w:t xml:space="preserve">EU by měla zajistit jeho účinné provádění, neboť v současné době ne všechny členské státy správně uplatňují ochranu pracovníků; </w:t>
      </w:r>
    </w:p>
    <w:p>
      <w:pPr>
        <w:pStyle w:val="P68B1DB1Normal15"/>
        <w:rPr>
          <w:b/>
          <w:b/>
        </w:rPr>
      </w:pPr>
      <w:r>
        <w:rPr/>
        <w:t xml:space="preserve">● </w:t>
      </w:r>
      <w:r>
        <w:rPr/>
        <w:t xml:space="preserve">zvláštní pozornost by měla být věnována sledování zlepšování životní úrovně; </w:t>
      </w:r>
    </w:p>
    <w:p>
      <w:pPr>
        <w:pStyle w:val="Normal"/>
        <w:rPr/>
      </w:pPr>
      <w:r>
        <w:rPr>
          <w:b/>
        </w:rPr>
        <w:t xml:space="preserve">● </w:t>
      </w:r>
      <w:r>
        <w:rPr>
          <w:b/>
        </w:rPr>
        <w:t>minimální mzda musí zohledňovat kupní sílu v různých zemích. K jeho přizpůsobení změnám životních nákladů (např. s ohledem na inflaci) je nutný pravidelný přezkum.</w:t>
      </w:r>
      <w:r>
        <w:rPr/>
        <w:t xml:space="preserve"> </w:t>
      </w:r>
    </w:p>
    <w:p>
      <w:pPr>
        <w:pStyle w:val="Normal"/>
        <w:rPr/>
      </w:pPr>
      <w:r>
        <w:rPr/>
        <w:t xml:space="preserve"> </w:t>
      </w:r>
    </w:p>
    <w:p>
      <w:pPr>
        <w:pStyle w:val="Normal"/>
        <w:rPr/>
      </w:pPr>
      <w:r>
        <w:rPr/>
        <w:t xml:space="preserve">Toto doporučení předkládáme, protože minimální mzda posiluje sociální spravedlnost na trhu práce a zlepšuje konkrétní životní podmínky pracovníků ve všech členských státech, což je obzvláště důležité v souvislosti s rychle se měnícím pracovním prostředím, například v důsledku digitalizace. </w:t>
      </w:r>
    </w:p>
    <w:p>
      <w:pPr>
        <w:pStyle w:val="Normal"/>
        <w:rPr/>
      </w:pPr>
      <w:r>
        <w:rPr/>
        <w:t xml:space="preserve"> </w:t>
      </w:r>
    </w:p>
    <w:p>
      <w:pPr>
        <w:pStyle w:val="P68B1DB1Normal15"/>
        <w:rPr>
          <w:b/>
          <w:b/>
        </w:rPr>
      </w:pPr>
      <w:r>
        <w:rPr/>
        <w:t xml:space="preserve">2. Již existuje legislativní akt EU (směrnice EU 2003/88/ES o pracovní době), ale k zajištění zdravé rovnováhy mezi pracovním a soukromým životem nestačí. Jako první krok doporučujeme přezkoumat stávající rámec, aby se zajistilo, že bude přizpůsoben současným okolnostem. Za druhé by EU měla zavést přísnější monitorovací mechanismus, který zajistí jeho provádění ve všech členských státech. Zvláštní pozornost by měla být věnována různým odvětvím s různou úrovní stresu a zátěže, a to jak psychicky, tak fyzicky. Zároveň však jiná odvětví závisejí na větší flexibilitě svých zaměstnanců, aby se přizpůsobili specifickým potřebám společností. </w:t>
      </w:r>
    </w:p>
    <w:p>
      <w:pPr>
        <w:pStyle w:val="Normal"/>
        <w:rPr/>
      </w:pPr>
      <w:r>
        <w:rPr/>
        <w:t xml:space="preserve">Toto doporučení předkládáme z důvodu důležitosti lepší rovnováhy mezi pracovním a soukromým životem. Lepší rovnováha mezi pracovním a soukromým životem posiluje sociální soudržnost a přispívá k vytvoření rovných podmínek mezi pracovníky. Kromě toho má pozitivní dopad na individuální blahobyt pracovníků. </w:t>
      </w:r>
    </w:p>
    <w:p>
      <w:pPr>
        <w:pStyle w:val="Normal"/>
        <w:rPr/>
      </w:pPr>
      <w:r>
        <w:rPr/>
        <w:t xml:space="preserve"> </w:t>
      </w:r>
    </w:p>
    <w:p>
      <w:pPr>
        <w:pStyle w:val="Titre4"/>
        <w:numPr>
          <w:ilvl w:val="3"/>
          <w:numId w:val="2"/>
        </w:numPr>
        <w:rPr/>
      </w:pPr>
      <w:bookmarkStart w:id="108" w:name="__RefHeading___Toc297151_1346298689"/>
      <w:bookmarkEnd w:id="108"/>
      <w:r>
        <w:rPr/>
        <w:t xml:space="preserve">Dílčí osa 1.2 Mládež a zaměstnanost </w:t>
      </w:r>
    </w:p>
    <w:p>
      <w:pPr>
        <w:pStyle w:val="Normal"/>
        <w:rPr/>
      </w:pPr>
      <w:r>
        <w:rPr/>
        <w:t xml:space="preserve"> </w:t>
      </w:r>
    </w:p>
    <w:p>
      <w:pPr>
        <w:pStyle w:val="P68B1DB1Normal15"/>
        <w:rPr>
          <w:b/>
          <w:b/>
        </w:rPr>
      </w:pPr>
      <w:r>
        <w:rPr/>
        <w:t xml:space="preserve">3. Doporučujeme harmonizovat úroveň všech různých vzdělávacích programů v EU a přijmout vnitrostátní obsah. Proto doporučujeme, aby všechny odborné diplomy byly validovány a vzájemně uznávány ve všech členských státech EU. </w:t>
      </w:r>
    </w:p>
    <w:p>
      <w:pPr>
        <w:pStyle w:val="Normal"/>
        <w:rPr/>
      </w:pPr>
      <w:r>
        <w:rPr/>
        <w:t xml:space="preserve"> </w:t>
      </w:r>
    </w:p>
    <w:p>
      <w:pPr>
        <w:pStyle w:val="Normal"/>
        <w:rPr/>
      </w:pPr>
      <w:r>
        <w:rPr/>
        <w:t xml:space="preserve">Toto doporučení předkládáme, protože chceme usnadnit mobilitu evropské pracovní síly a snížit administrativní zátěž. </w:t>
      </w:r>
    </w:p>
    <w:p>
      <w:pPr>
        <w:pStyle w:val="Normal"/>
        <w:rPr/>
      </w:pPr>
      <w:r>
        <w:rPr/>
      </w:r>
    </w:p>
    <w:p>
      <w:pPr>
        <w:pStyle w:val="P68B1DB1Normal15"/>
        <w:rPr>
          <w:b/>
          <w:b/>
        </w:rPr>
      </w:pPr>
      <w:r>
        <w:rPr/>
        <w:t xml:space="preserve">4. Doporučujeme studentům středních škol (od 12 let) poskytnout přehled o jejich budoucím trhu práce tím, že jim poskytneme příležitost účastnit se různých kvalitních pozorovacích návštěv u neziskových a neziskových organizací. Navrhujeme povzbudit společnosti, aby přivítaly studenty na pozorovací stáže tím, že jim udělí granty. V odlehlých oblastech s omezenými příležitostmi musí místní školy, veřejné orgány, organizace a podniky úzce spolupracovat, aby bylo zajištěno, že tyto pozorovací návštěvy budou rovněž k dispozici. </w:t>
      </w:r>
    </w:p>
    <w:p>
      <w:pPr>
        <w:pStyle w:val="Normal"/>
        <w:rPr/>
      </w:pPr>
      <w:r>
        <w:rPr/>
        <w:t xml:space="preserve"> </w:t>
      </w:r>
    </w:p>
    <w:p>
      <w:pPr>
        <w:pStyle w:val="Normal"/>
        <w:rPr/>
      </w:pPr>
      <w:r>
        <w:rPr/>
        <w:t xml:space="preserve">Toto doporučení předkládáme, protože chceme, aby mladí lidé získali představu o různých příležitostech, které trh práce nabízí, aby si mohli lépe vybrat své studium a svou budoucí práci a pochopit význam výběru správného vzdělání. Naučila by jim také pocit odpovědnosti a respektu k trhu práce a pomohla by jim integrovat se na trh práce a poskytovat jim výhody pro všechny. </w:t>
      </w:r>
    </w:p>
    <w:p>
      <w:pPr>
        <w:pStyle w:val="Normal"/>
        <w:rPr/>
      </w:pPr>
      <w:r>
        <w:rPr/>
        <w:t xml:space="preserve"> </w:t>
      </w:r>
    </w:p>
    <w:p>
      <w:pPr>
        <w:pStyle w:val="P68B1DB1Normal15"/>
        <w:rPr>
          <w:b/>
          <w:b/>
        </w:rPr>
      </w:pPr>
      <w:r>
        <w:rPr/>
        <w:t xml:space="preserve">5. Doporučujeme začlenit praxi netechnických dovedností do všech školních osnov. Netechnickými dovednostmi máme na mysli: vzájemné naslouchání, dialog, odolnost, porozumění, respekt a uznání druhých, kritické myšlení, sebeučení a zůstat zvědavý a orientovaný na výsledky. Učitelé by měli být vyškoleni v předávání těchto dovedností prostřednictvím úzké spolupráce se sociálními pracovníky a/nebo psychology. Další návrhy na implementaci: pořádání studentských výměnných programů mezi školami, účast na meziškolních sportovních a kulturních akcích atd. </w:t>
      </w:r>
    </w:p>
    <w:p>
      <w:pPr>
        <w:pStyle w:val="Normal"/>
        <w:rPr/>
      </w:pPr>
      <w:r>
        <w:rPr/>
        <w:t xml:space="preserve"> </w:t>
      </w:r>
    </w:p>
    <w:p>
      <w:pPr>
        <w:pStyle w:val="Normal"/>
        <w:rPr/>
      </w:pPr>
      <w:r>
        <w:rPr/>
        <w:t xml:space="preserve">Toto doporučení předkládáme, protože netechnické dovednosti jsou nezbytnými základními dovednostmi, které jsou ztraceny v digitálním věku a které budou naši mladí lidé ve svém budoucím životě naprosto potřebovat. Proto trváme na začlenění těchto dovedností do školních osnov, aby mladí lidé byli odolní a vyhnuli se duševním problémům, se kterými se mohou setkat v budoucím životě, nebo je překonali. Sociální dovednosti posilují mezilidské vztahy a pomáhají lidem najít si své místo ve společnosti. </w:t>
      </w:r>
    </w:p>
    <w:p>
      <w:pPr>
        <w:pStyle w:val="Normal"/>
        <w:rPr/>
      </w:pPr>
      <w:r>
        <w:rPr/>
        <w:t xml:space="preserve"> </w:t>
      </w:r>
    </w:p>
    <w:p>
      <w:pPr>
        <w:pStyle w:val="P68B1DB1Normal15"/>
        <w:rPr>
          <w:b/>
          <w:b/>
        </w:rPr>
      </w:pPr>
      <w:r>
        <w:rPr/>
        <w:t xml:space="preserve">6. Doporučujeme, aby v případě vážné krize (zdravotní krize, válka atd.) byly dobře navržené plány s podrobnými scénáři připraveny k pružnému nasazení, aby se minimalizoval dopad na vzdělávání, odbornou přípravu a duševní pohodu našich mladých lidí atd. zvýšení nákladů na vzdělávání nebo odbornou přípravu, povinné prodloužení studia, nemožnost dokončit stáže, nárůst problémů v oblasti duševního zdraví. Tyto plány musí být prováděny tak, aby se minimalizoval dopad na mladé lidi a jejich přechod na trh práce. </w:t>
      </w:r>
    </w:p>
    <w:p>
      <w:pPr>
        <w:pStyle w:val="Normal"/>
        <w:rPr/>
      </w:pPr>
      <w:r>
        <w:rPr/>
        <w:t xml:space="preserve"> </w:t>
      </w:r>
    </w:p>
    <w:p>
      <w:pPr>
        <w:pStyle w:val="Normal"/>
        <w:rPr/>
      </w:pPr>
      <w:r>
        <w:rPr/>
        <w:t xml:space="preserve">Toto doporučení předkládáme, protože mladí lidé jsou v době krize velmi zranitelní. </w:t>
      </w:r>
    </w:p>
    <w:p>
      <w:pPr>
        <w:pStyle w:val="Normal"/>
        <w:rPr/>
      </w:pPr>
      <w:r>
        <w:rPr/>
        <w:t xml:space="preserve"> </w:t>
      </w:r>
    </w:p>
    <w:p>
      <w:pPr>
        <w:pStyle w:val="Titre4"/>
        <w:numPr>
          <w:ilvl w:val="3"/>
          <w:numId w:val="2"/>
        </w:numPr>
        <w:rPr/>
      </w:pPr>
      <w:bookmarkStart w:id="109" w:name="__RefHeading___Toc297153_1346298689"/>
      <w:bookmarkEnd w:id="109"/>
      <w:r>
        <w:rPr/>
        <w:t xml:space="preserve">Dílčí osa 1.3 Digitální transformace na pracovišti </w:t>
      </w:r>
    </w:p>
    <w:p>
      <w:pPr>
        <w:pStyle w:val="Normal"/>
        <w:rPr/>
      </w:pPr>
      <w:r>
        <w:rPr/>
        <w:t xml:space="preserve"> </w:t>
      </w:r>
    </w:p>
    <w:p>
      <w:pPr>
        <w:pStyle w:val="P68B1DB1Normal15"/>
        <w:rPr>
          <w:b/>
          <w:b/>
        </w:rPr>
      </w:pPr>
      <w:r>
        <w:rPr/>
        <w:t xml:space="preserve">7. Doporučujeme, aby EU zavedla nebo posílila stávající právní předpisy týkající se inteligentní práce, tj. práce na internetu a práce na dálku, např. doma nebo z jiného připojeného internetového místa. Rovněž doporučujeme, aby EU přijala právní předpisy, které povzbudí podniky k tomu, aby byly sociálně odpovědné a udržovaly kvalitní mobilní pracovní místa v EU. Pobídky mohou mít finanční povahu a/nebo hrát na image společnosti a měly by zohledňovat mezinárodně uznávaná environmentální, sociální a správní kritéria. Za tímto účelem by EU měla zřídit pracovní skupinu složenou z odborníků ze všech zúčastněných stran, která by tyto právní předpisy přezkoumala a posílila. </w:t>
      </w:r>
    </w:p>
    <w:p>
      <w:pPr>
        <w:pStyle w:val="Normal"/>
        <w:rPr/>
      </w:pPr>
      <w:r>
        <w:rPr/>
        <w:t xml:space="preserve"> </w:t>
      </w:r>
    </w:p>
    <w:p>
      <w:pPr>
        <w:pStyle w:val="Normal"/>
        <w:rPr/>
      </w:pPr>
      <w:r>
        <w:rPr/>
        <w:t xml:space="preserve">Toto doporučení předkládáme, protože musíme podporovat kvalitní mobilní pracovní místa a vyhnout se jejich přemístění do třetích zemí s nižšími náklady. Pandemie COVID-19 a globální hospodářské trendy zdůrazňují naléhavost ochrany pracovních míst v EU a regulace mobilní práce. </w:t>
      </w:r>
    </w:p>
    <w:p>
      <w:pPr>
        <w:pStyle w:val="Normal"/>
        <w:rPr/>
      </w:pPr>
      <w:r>
        <w:rPr/>
        <w:t xml:space="preserve"> </w:t>
      </w:r>
    </w:p>
    <w:p>
      <w:pPr>
        <w:pStyle w:val="P68B1DB1Normal15"/>
        <w:rPr>
          <w:b/>
          <w:b/>
        </w:rPr>
      </w:pPr>
      <w:r>
        <w:rPr/>
        <w:t xml:space="preserve">8. Doporučujeme, aby EU zaručila všem občanům EU právo na digitální odbornou přípravu. Zejména digitální dovednosti mladých lidí by mohly být posíleny zavedením osvědčení EU ve školách, které by je připravilo na budoucí trh práce. Rovněž doporučujeme zvláštní odbornou přípravu na úrovni EU pro rekvalifikaci a zvyšování kvalifikace pracovníků, aby byli i nadále konkurenceschopní na trhu práce. V neposlední řadě doporučujeme, aby EU zvýšila povědomí o stávajících digitálních platformách, které propojují občany se zaměstnavateli a pomáhají jim při hledání pracovních míst v EU, např. EURES. </w:t>
      </w:r>
    </w:p>
    <w:p>
      <w:pPr>
        <w:pStyle w:val="Normal"/>
        <w:rPr/>
      </w:pPr>
      <w:r>
        <w:rPr/>
        <w:t xml:space="preserve"> </w:t>
      </w:r>
    </w:p>
    <w:p>
      <w:pPr>
        <w:pStyle w:val="Normal"/>
        <w:rPr/>
      </w:pPr>
      <w:r>
        <w:rPr/>
        <w:t xml:space="preserve">Toto doporučení předkládáme, protože certifikované digitální dovednosti jsou nezbytné pro přístup na trh práce a pro rekvalifikaci pracovníků a zachování konkurenceschopnosti. </w:t>
      </w:r>
    </w:p>
    <w:p>
      <w:pPr>
        <w:pStyle w:val="Normal"/>
        <w:rPr/>
      </w:pPr>
      <w:r>
        <w:rPr/>
        <w:t xml:space="preserve"> </w:t>
      </w:r>
    </w:p>
    <w:p>
      <w:pPr>
        <w:pStyle w:val="Titre3"/>
        <w:numPr>
          <w:ilvl w:val="2"/>
          <w:numId w:val="2"/>
        </w:numPr>
        <w:rPr/>
      </w:pPr>
      <w:bookmarkStart w:id="110" w:name="__RefHeading___Toc297155_1346298689"/>
      <w:bookmarkEnd w:id="110"/>
      <w:r>
        <w:rPr/>
        <w:t xml:space="preserve">Osa 2 Ekonomika orientovaná na budoucnost </w:t>
      </w:r>
    </w:p>
    <w:p>
      <w:pPr>
        <w:pStyle w:val="Normal"/>
        <w:rPr/>
      </w:pPr>
      <w:r>
        <w:rPr/>
        <w:t xml:space="preserve"> </w:t>
      </w:r>
    </w:p>
    <w:p>
      <w:pPr>
        <w:pStyle w:val="Titre4"/>
        <w:numPr>
          <w:ilvl w:val="3"/>
          <w:numId w:val="2"/>
        </w:numPr>
        <w:rPr/>
      </w:pPr>
      <w:bookmarkStart w:id="111" w:name="__RefHeading___Toc297157_1346298689"/>
      <w:bookmarkEnd w:id="111"/>
      <w:r>
        <w:rPr/>
        <w:t xml:space="preserve">Dílčí osa 2.1 Inovace a evropská konkurenceschopnost </w:t>
      </w:r>
    </w:p>
    <w:p>
      <w:pPr>
        <w:pStyle w:val="Normal"/>
        <w:rPr/>
      </w:pPr>
      <w:r>
        <w:rPr/>
        <w:t xml:space="preserve"> </w:t>
      </w:r>
    </w:p>
    <w:p>
      <w:pPr>
        <w:pStyle w:val="P68B1DB1Normal15"/>
        <w:rPr>
          <w:b/>
          <w:b/>
        </w:rPr>
      </w:pPr>
      <w:r>
        <w:rPr/>
        <w:t xml:space="preserve">9. Doporučujeme, aby EU vytvořila příležitosti pro investice do výzkumu a inovací pro různé subjekty (univerzity, podniky, výzkumné ústavy atd.) s cílem rozvíjet: </w:t>
      </w:r>
    </w:p>
    <w:p>
      <w:pPr>
        <w:pStyle w:val="P68B1DB1Normal15"/>
        <w:rPr>
          <w:b/>
          <w:b/>
        </w:rPr>
      </w:pPr>
      <w:r>
        <w:rPr/>
        <w:t xml:space="preserve">● </w:t>
      </w:r>
      <w:r>
        <w:rPr/>
        <w:t xml:space="preserve">nové, udržitelnější a biodiverzifikované materiály nahrazující ty, které se v současné době používají, </w:t>
      </w:r>
    </w:p>
    <w:p>
      <w:pPr>
        <w:pStyle w:val="P68B1DB1Normal15"/>
        <w:rPr>
          <w:b/>
          <w:b/>
        </w:rPr>
      </w:pPr>
      <w:r>
        <w:rPr/>
        <w:t xml:space="preserve">● </w:t>
      </w:r>
      <w:r>
        <w:rPr/>
        <w:t xml:space="preserve">inovativní využití stávajících materiálů (na základě mimo jiné recyklace a nejmodernějších technik s nejnižší environmentální stopou). </w:t>
      </w:r>
    </w:p>
    <w:p>
      <w:pPr>
        <w:pStyle w:val="Normal"/>
        <w:rPr/>
      </w:pPr>
      <w:r>
        <w:rPr>
          <w:b/>
        </w:rPr>
        <w:t>Doporučujeme, aby se jednalo o trvalý a dlouhodobý závazek EU (alespoň do roku 2050).</w:t>
      </w:r>
      <w:r>
        <w:rPr/>
        <w:t xml:space="preserve"> </w:t>
      </w:r>
    </w:p>
    <w:p>
      <w:pPr>
        <w:pStyle w:val="Normal"/>
        <w:rPr/>
      </w:pPr>
      <w:r>
        <w:rPr/>
        <w:t xml:space="preserve"> </w:t>
      </w:r>
    </w:p>
    <w:p>
      <w:pPr>
        <w:pStyle w:val="Normal"/>
        <w:rPr/>
      </w:pPr>
      <w:r>
        <w:rPr/>
        <w:t xml:space="preserve">Toto doporučení vydáváme proto, že žijeme na planetě s omezenými zdroji. Máme-li mít budoucnost, musíme chránit klima a hledat alternativy, které budou respektovat planetu. Chceme také, aby se EU stala vedoucím hráčem v této oblasti se silnou konkurenční výhodou na mezinárodní scéně. Cílem doporučení je dosáhnout inovativních výsledků, které mohou být uplatňovány ve velkém měřítku a mohou být prováděny v různých oblastech a zemích. Měla by rovněž pozitivní dopad na hospodářství a trh práce prostřednictvím vytváření nových pracovních příležitostí v oblasti udržitelných inovací. Mohlo by to přispět k boji proti sociálním nespravedlnostem, pokud by stávající výrobní prostředky založené na vykořisťování byly nahrazeny jinými, etičtějšími. </w:t>
      </w:r>
    </w:p>
    <w:p>
      <w:pPr>
        <w:pStyle w:val="Normal"/>
        <w:rPr/>
      </w:pPr>
      <w:r>
        <w:rPr/>
        <w:t xml:space="preserve"> </w:t>
      </w:r>
    </w:p>
    <w:p>
      <w:pPr>
        <w:pStyle w:val="P68B1DB1Normal15"/>
        <w:rPr>
          <w:b/>
          <w:b/>
        </w:rPr>
      </w:pPr>
      <w:r>
        <w:rPr/>
        <w:t xml:space="preserve">10. Doporučujeme, aby se EU dlouhodobě zavázala k výraznému zvýšení svého podílu udržitelně vyráběné energie s využitím široké škály obnovitelných zdrojů s nejnižší environmentální stopou (na základě komplexní analýzy životního cyklu). Kromě toho by EU měla investovat do zlepšování a udržování kvality elektroenergetické infrastruktury a sítě. Rovněž doporučujeme, aby byl přístup k energii a cenová dostupnost uznány jako základní právo občanů. </w:t>
      </w:r>
    </w:p>
    <w:p>
      <w:pPr>
        <w:pStyle w:val="P68B1DB1Normal15"/>
        <w:rPr>
          <w:b/>
          <w:b/>
        </w:rPr>
      </w:pPr>
      <w:r>
        <w:rPr/>
        <w:t xml:space="preserve"> </w:t>
      </w:r>
    </w:p>
    <w:p>
      <w:pPr>
        <w:pStyle w:val="Normal"/>
        <w:rPr/>
      </w:pPr>
      <w:r>
        <w:rPr/>
        <w:t xml:space="preserve">Toto doporučení předkládáme z následujících důvodů: </w:t>
      </w:r>
    </w:p>
    <w:p>
      <w:pPr>
        <w:pStyle w:val="Normal"/>
        <w:rPr/>
      </w:pPr>
      <w:r>
        <w:rPr/>
        <w:t xml:space="preserve">● </w:t>
      </w:r>
      <w:r>
        <w:rPr/>
        <w:t xml:space="preserve">diverzifikace zdrojů energie (včetně solárních, větrných, vodíkových, mořských vod nebo jakékoli jiné budoucí udržitelné metody) by zvýšila nezávislost EU v oblasti energetiky; </w:t>
      </w:r>
    </w:p>
    <w:p>
      <w:pPr>
        <w:pStyle w:val="Normal"/>
        <w:rPr/>
      </w:pPr>
      <w:r>
        <w:rPr/>
        <w:t xml:space="preserve">● </w:t>
      </w:r>
      <w:r>
        <w:rPr/>
        <w:t xml:space="preserve">sníží náklady na elektřinu pro občany EU; </w:t>
      </w:r>
    </w:p>
    <w:p>
      <w:pPr>
        <w:pStyle w:val="Normal"/>
        <w:rPr/>
      </w:pPr>
      <w:r>
        <w:rPr/>
        <w:t xml:space="preserve">● </w:t>
      </w:r>
      <w:r>
        <w:rPr/>
        <w:t xml:space="preserve">vytvoří pracovní místa a restrukturalizuje trh s energií (zejména v regionech, které se dosud spoléhaly na fosilní paliva); </w:t>
      </w:r>
    </w:p>
    <w:p>
      <w:pPr>
        <w:pStyle w:val="Normal"/>
        <w:rPr/>
      </w:pPr>
      <w:r>
        <w:rPr/>
        <w:t xml:space="preserve">● </w:t>
      </w:r>
      <w:r>
        <w:rPr/>
        <w:t xml:space="preserve">mohla by podpořit vědecký rozvoj inovativních technik dodávek energie; </w:t>
      </w:r>
    </w:p>
    <w:p>
      <w:pPr>
        <w:pStyle w:val="Normal"/>
        <w:rPr/>
      </w:pPr>
      <w:r>
        <w:rPr/>
        <w:t xml:space="preserve">● </w:t>
      </w:r>
      <w:r>
        <w:rPr/>
        <w:t xml:space="preserve">kvalita elektrické infrastruktury a rozvodné sítě je stejně důležitá jako zdroje energie, protože umožňuje plynulou, efektivní a cenově dostupnou distribuci a přenos energie. </w:t>
      </w:r>
    </w:p>
    <w:p>
      <w:pPr>
        <w:pStyle w:val="Normal"/>
        <w:rPr/>
      </w:pPr>
      <w:r>
        <w:rPr/>
        <w:t xml:space="preserve"> </w:t>
      </w:r>
    </w:p>
    <w:p>
      <w:pPr>
        <w:pStyle w:val="P68B1DB1Normal15"/>
        <w:rPr>
          <w:b/>
          <w:b/>
        </w:rPr>
      </w:pPr>
      <w:r>
        <w:rPr/>
        <w:t xml:space="preserve">11. Doporučujeme, aby EU aktivně podporovala ekologičtější výrobní procesy tím, že bude dotovat nebo jinak odměňovat společnosti, které investují do snižování environmentálních nákladů na jejich výrobu. Vyzýváme také k úsilí o rozvoj postindustriálních lokalit a vytvoření chráněných zelených oblastí kolem stávajících lokalit. Společnosti by měly být povinny toto úsilí financovat, alespoň částečně, ze svých vlastních peněz. </w:t>
      </w:r>
    </w:p>
    <w:p>
      <w:pPr>
        <w:pStyle w:val="Normal"/>
        <w:rPr/>
      </w:pPr>
      <w:r>
        <w:rPr/>
        <w:t xml:space="preserve"> </w:t>
      </w:r>
    </w:p>
    <w:p>
      <w:pPr>
        <w:pStyle w:val="Normal"/>
        <w:rPr/>
      </w:pPr>
      <w:r>
        <w:rPr/>
        <w:t xml:space="preserve">Toto doporučení vydáváme, protože výrobní procesy jsou důležitou součástí dodavatelského řetězce. Učinit je šetrnější k životnímu prostředí by mohlo výrazně snížit náš dopad na klima. Jsme přesvědčeni, že společnosti a průmyslová odvětví by měly nést odpovědnost za způsob, jakým vyrábějí své výrobky (včetně opatření na rekultivaci a ochranu životního prostředí). Ekologizace výrobních procesů rovněž připravuje podniky na budoucnost a posiluje jejich odolnost (což chrání pracovní místa). </w:t>
      </w:r>
    </w:p>
    <w:p>
      <w:pPr>
        <w:pStyle w:val="Normal"/>
        <w:rPr/>
      </w:pPr>
      <w:r>
        <w:rPr/>
      </w:r>
    </w:p>
    <w:p>
      <w:pPr>
        <w:pStyle w:val="Titre4"/>
        <w:numPr>
          <w:ilvl w:val="3"/>
          <w:numId w:val="2"/>
        </w:numPr>
        <w:rPr/>
      </w:pPr>
      <w:bookmarkStart w:id="112" w:name="__RefHeading___Toc297159_1346298689"/>
      <w:bookmarkEnd w:id="112"/>
      <w:r>
        <w:rPr/>
        <w:t xml:space="preserve">Dílčí osa 2.2 Udržitelné hospodářství/podosa 2.3 Zdanění </w:t>
      </w:r>
    </w:p>
    <w:p>
      <w:pPr>
        <w:pStyle w:val="Normal"/>
        <w:rPr/>
      </w:pPr>
      <w:r>
        <w:rPr/>
        <w:t xml:space="preserve"> </w:t>
      </w:r>
    </w:p>
    <w:p>
      <w:pPr>
        <w:pStyle w:val="P68B1DB1Normal15"/>
        <w:rPr>
          <w:b/>
          <w:b/>
        </w:rPr>
      </w:pPr>
      <w:r>
        <w:rPr/>
        <w:t xml:space="preserve">12. Doporučujeme opustit plastové obaly a generalizovat opakovaně použitelné obaly. Spotřebitelům a podnikům by měly být poskytnuty pobídky, aby pro spotřebitele nebylo dražší nakupovat volně ložené výrobky („ve velkém“ v angličtině nebo „sfuso“ v italštině) než balené výrobky. Společnosti, které přispívají k tomuto přechodu, by měly mít prospěch z daňových výhod a jiné by měly platit více daní. Výrobky, které nelze opětovně použít, by měly být recyklovatelné a/nebo biologicky rozložitelné. Je nezbytné zřídit veřejnou nebo dozorčí instituci, která bude odpovídat za sledování, stanovení pravidel a jejich šíření všem. Doporučuje se vzdělávat a komunikovat – a to i prostřednictvím sociálních médií – o těchto opatřeních a oslovit podniky i spotřebitele, aby změnili své dlouhodobé chování. Společnosti (např. stavební společnosti) by měly být podporovány a měly by jim pomoci nalézt nejlepší řešení pro jejich odpad. </w:t>
      </w:r>
    </w:p>
    <w:p>
      <w:pPr>
        <w:pStyle w:val="Normal"/>
        <w:rPr/>
      </w:pPr>
      <w:r>
        <w:rPr/>
        <w:t xml:space="preserve"> </w:t>
      </w:r>
    </w:p>
    <w:p>
      <w:pPr>
        <w:pStyle w:val="Normal"/>
        <w:rPr/>
      </w:pPr>
      <w:r>
        <w:rPr/>
        <w:t xml:space="preserve">Toto doporučení vydáváme, protože všichni musíme být zodpovědní za své činy. Proto je třeba přehodnotit všechny výrobní procesy. Recyklace vyžaduje mnoho zdrojů (voda, energie), a proto nemůže být jediným řešením, což je důvod, proč nabízíme prodej výrobků ve velkém. Recyklace by se měla používat pouze pro snadno recyklovatelné materiály a z finského příkladu jsme se dozvěděli, že je možné recyklovat ve velkém měřítku. </w:t>
      </w:r>
    </w:p>
    <w:p>
      <w:pPr>
        <w:pStyle w:val="Normal"/>
        <w:rPr/>
      </w:pPr>
      <w:r>
        <w:rPr/>
      </w:r>
    </w:p>
    <w:p>
      <w:pPr>
        <w:pStyle w:val="P68B1DB1Normal15"/>
        <w:rPr>
          <w:b/>
          <w:b/>
        </w:rPr>
      </w:pPr>
      <w:r>
        <w:rPr/>
        <w:t xml:space="preserve">13. Doporučujeme zavést stejná daňová pravidla v celé Evropě a harmonizovat daňovou politiku v celé EU. Harmonizace v této oblasti by měla jednotlivým členským státům ponechat prostor pro stanovení vlastních pravidel a zároveň zamezit daňovým únikům. Skoncuje se škodlivými daňovými praktikami a daňovou soutěží. Daně by měly být ukládány na obchodní transakce, pokud k nim dochází: když společnost prodává v zemi, měla by platit daně v této zemi. Cílem těchto nových pravidel by bylo zabránit přemísťování a zajistit, aby výroba a transakce probíhaly mezi evropskými zeměmi. </w:t>
      </w:r>
    </w:p>
    <w:p>
      <w:pPr>
        <w:pStyle w:val="Normal"/>
        <w:rPr/>
      </w:pPr>
      <w:r>
        <w:rPr/>
        <w:t xml:space="preserve"> </w:t>
      </w:r>
    </w:p>
    <w:p>
      <w:pPr>
        <w:pStyle w:val="Normal"/>
        <w:rPr/>
      </w:pPr>
      <w:r>
        <w:rPr/>
        <w:t xml:space="preserve">Toto doporučení předkládáme na ochranu a rozvoj zaměstnanosti a hospodářské činnosti v Evropě způsobem, který je spravedlivý vůči všem členským státům. Tímto způsobem bude mít Evropa společné chápání daňového systému a skončí absurdní monopolní situace velmi velkých společností, které ve srovnání s menšími společnostmi neplatí dostatek daní. Kromě toho budou finanční zdroje přesměrovány na místo, kde probíhají obchodní činnosti. </w:t>
      </w:r>
    </w:p>
    <w:p>
      <w:pPr>
        <w:pStyle w:val="Normal"/>
        <w:rPr/>
      </w:pPr>
      <w:r>
        <w:rPr/>
        <w:t xml:space="preserve"> </w:t>
      </w:r>
    </w:p>
    <w:p>
      <w:pPr>
        <w:pStyle w:val="P68B1DB1Normal15"/>
        <w:rPr>
          <w:b/>
          <w:b/>
        </w:rPr>
      </w:pPr>
      <w:r>
        <w:rPr/>
        <w:t xml:space="preserve">14. Doporučujeme odstranit naprogramovaný zastaralý systém ze všech elektronických zařízení. Změna by měla probíhat individuálně i komerčně, aby bylo zajištěno, že zařízení mohou být dlouhodobě opravována a modernizována a mohou být uchovávána po dlouhou dobu. Doporučujeme propagovat renovovaná zařízení. Předpisy by měly vyžadovat, aby společnosti zaručily právo na opravu, včetně aktualizací a aktualizací softwaru, a aby v dlouhodobém horizontu recyklovaly všechna zařízení. Doporučuje se také, aby každá společnost používala standardní konektory. </w:t>
      </w:r>
    </w:p>
    <w:p>
      <w:pPr>
        <w:pStyle w:val="P68B1DB1Normal15"/>
        <w:rPr>
          <w:b/>
          <w:b/>
        </w:rPr>
      </w:pPr>
      <w:r>
        <w:rPr/>
        <w:t xml:space="preserve"> </w:t>
      </w:r>
    </w:p>
    <w:p>
      <w:pPr>
        <w:pStyle w:val="Normal"/>
        <w:rPr/>
      </w:pPr>
      <w:r>
        <w:rPr/>
        <w:t xml:space="preserve">Toto doporučení vydáváme, protože v moderním světě mají výrobky tendenci trvat dva roky a naším přáním je, aby měly mnohem delší životnost, asi 10 let. Tento návrh bude mít pozitivní dopad na změnu klimatu a ekologii. Sníží se tím i náklady pro spotřebitele, stejně jako spotřebitelství. </w:t>
      </w:r>
    </w:p>
    <w:p>
      <w:pPr>
        <w:pStyle w:val="Normal"/>
        <w:rPr/>
      </w:pPr>
      <w:r>
        <w:rPr/>
      </w:r>
    </w:p>
    <w:p>
      <w:pPr>
        <w:pStyle w:val="P68B1DB1Normal15"/>
        <w:rPr>
          <w:b/>
          <w:b/>
        </w:rPr>
      </w:pPr>
      <w:r>
        <w:rPr/>
        <w:t xml:space="preserve">15. Doporučujeme všem pomoci dozvědět se více o našem životním prostředí a jeho vazbách na individuální zdraví prostřednictvím vzdělávání. Vzdělávací cesty pomohou každému definovat své vlastní osobní strategie pro integraci těchto témat do jejich každodenního života. Toto vzdělávání by mělo začít ve škole se specifickými předměty zabývajícími se všemi ekologickými otázkami a měli bychom se i nadále vzdělávat po celý život (například v práci). Pomůže snížit množství odpadu a chránit životní prostředí a lidské zdraví a podpoří místní spotřebu zdravých a nezpracovaných produktů od místních výrobců. Ti, kteří nečiní nic pro to, aby snížili svůj odpad, budou muset absolvovat bezplatné školení v této oblasti. Aby bylo možné přizpůsobit způsob života, musí být ceny spravedlivé jak pro výrobce, tak pro spotřebitele. Proto navrhujeme, aby drobní místní výrobci, kteří jsou šetrní k životnímu prostředí, měli prospěch z osvobození od daně. </w:t>
      </w:r>
    </w:p>
    <w:p>
      <w:pPr>
        <w:pStyle w:val="Normal"/>
        <w:rPr/>
      </w:pPr>
      <w:r>
        <w:rPr/>
        <w:t xml:space="preserve"> </w:t>
      </w:r>
    </w:p>
    <w:p>
      <w:pPr>
        <w:pStyle w:val="Normal"/>
        <w:rPr/>
      </w:pPr>
      <w:r>
        <w:rPr/>
        <w:t xml:space="preserve">Toto doporučení vydáváme, protože jsme přesvědčeni, že mnoho lidí se těmito otázkami ještě necítí znepokojeno. To je důvod, proč je třeba zavést vzdělání pro všechny. Kromě toho, místní a zdravé produkty mají tendenci být nedostupné pro mnoho lidí. Musíme zajistit, aby místní produkty byly přístupnější pro všechny. </w:t>
      </w:r>
    </w:p>
    <w:p>
      <w:pPr>
        <w:pStyle w:val="Normal"/>
        <w:rPr/>
      </w:pPr>
      <w:r>
        <w:rPr/>
      </w:r>
    </w:p>
    <w:p>
      <w:pPr>
        <w:pStyle w:val="Titre4"/>
        <w:numPr>
          <w:ilvl w:val="3"/>
          <w:numId w:val="2"/>
        </w:numPr>
        <w:rPr/>
      </w:pPr>
      <w:bookmarkStart w:id="113" w:name="__RefHeading___Toc297161_1346298689"/>
      <w:bookmarkEnd w:id="113"/>
      <w:r>
        <w:rPr/>
        <w:t xml:space="preserve">Dílčí osa 2.4 Zemědělství/podosa 2.5 Digitální infrastruktura </w:t>
      </w:r>
    </w:p>
    <w:p>
      <w:pPr>
        <w:pStyle w:val="Normal"/>
        <w:rPr/>
      </w:pPr>
      <w:r>
        <w:rPr/>
        <w:t xml:space="preserve"> </w:t>
      </w:r>
    </w:p>
    <w:p>
      <w:pPr>
        <w:pStyle w:val="P68B1DB1Normal15"/>
        <w:rPr>
          <w:b/>
          <w:b/>
        </w:rPr>
      </w:pPr>
      <w:r>
        <w:rPr/>
        <w:t xml:space="preserve">16. Doporučujeme zavedení společného evropského systému označování spotřebitelů a výživy, který bude snadno pochopitelný (např. alergeny, země původu atd.); doporučujeme transparentnost probíhajících schvalovacích procesů a digitalizaci informací o výrobcích prostřednictvím standardizované evropské aplikace, která by poskytovala uživatelsky přívětivější přístup k informacím a poskytovala další informace o produktech a výrobním řetězci. Vidíme také potřebu skutečně nezávislého orgánu, který bude regulovat potravinové normy v celé EU a bude mít legislativní pravomoc vymáhat sankce. </w:t>
      </w:r>
    </w:p>
    <w:p>
      <w:pPr>
        <w:pStyle w:val="Normal"/>
        <w:rPr/>
      </w:pPr>
      <w:r>
        <w:rPr/>
        <w:t xml:space="preserve"> </w:t>
      </w:r>
    </w:p>
    <w:p>
      <w:pPr>
        <w:pStyle w:val="Normal"/>
        <w:rPr/>
      </w:pPr>
      <w:r>
        <w:rPr/>
        <w:t xml:space="preserve">Tato doporučení předkládáme, protože všichni občané EU by se měli moci spolehnout na stejnou kvalitu potravin. Integrita potravinářských výrobků je nezbytná pro zajištění bezpečnosti občanů. Tato doporučení byla formulována s cílem harmonizovaným způsobem zlepšit monitorování povolovacích postupů a transparentnost produkce potravin. </w:t>
      </w:r>
    </w:p>
    <w:p>
      <w:pPr>
        <w:pStyle w:val="Normal"/>
        <w:rPr/>
      </w:pPr>
      <w:r>
        <w:rPr/>
      </w:r>
    </w:p>
    <w:p>
      <w:pPr>
        <w:pStyle w:val="P68B1DB1Normal15"/>
        <w:rPr>
          <w:b/>
          <w:b/>
        </w:rPr>
      </w:pPr>
      <w:r>
        <w:rPr/>
        <w:t xml:space="preserve">17. Doporučujeme, aby byla infrastruktura ve vlastnictví státu, aby se zabránilo vzniku monopolů v odvětví telekomunikací a internetových služeb. Přístup k internetu by měl být právem; prioritou by mělo být zavedení připojení k internetu do „bílých oblastí/mrtvých zón“ (oblasti bez přístupu k internetu). Pokud jde o přístup k internetu a počítačovému vybavení, děti a rodiny jsou prioritou, zejména pokud jde o vzdělávání a zejména v době pandemie. Je zapotřebí iniciativy na podporu práce na dálku, například vytvářením kancelářských prostor s přístupem k rychlému a spolehlivému internetovému připojení nebo organizováním digitálního školení. </w:t>
      </w:r>
    </w:p>
    <w:p>
      <w:pPr>
        <w:pStyle w:val="Normal"/>
        <w:rPr/>
      </w:pPr>
      <w:r>
        <w:rPr/>
        <w:t xml:space="preserve"> </w:t>
      </w:r>
    </w:p>
    <w:p>
      <w:pPr>
        <w:pStyle w:val="Normal"/>
        <w:rPr/>
      </w:pPr>
      <w:r>
        <w:rPr/>
        <w:t xml:space="preserve">Toto doporučení předkládáme, protože musíme zajistit, aby digitální transformace probíhala spravedlivě. Přístup k internetu má zásadní význam pro demokracii a je právem všech evropských občanů. </w:t>
      </w:r>
    </w:p>
    <w:p>
      <w:pPr>
        <w:pStyle w:val="Normal"/>
        <w:rPr/>
      </w:pPr>
      <w:r>
        <w:rPr/>
      </w:r>
    </w:p>
    <w:p>
      <w:pPr>
        <w:pStyle w:val="Normal"/>
        <w:rPr/>
      </w:pPr>
      <w:r>
        <w:rPr>
          <w:b/>
        </w:rPr>
        <w:t>18. Doporučujeme respektovat místní hmyz a chránit ho před invazivními druhy. Navrhujeme také podporovat a hájit povinnost poskytovat zelené plochy v nových urbanizačních projektech. Požadujeme, aby se biologická rozmanitost stala povinným tématem ve školách a aby byla předmětem školních aktivit, například praktických aktivit. Je důležité zvýšit povědomí veřejnosti o biologické rozmanitosti prostřednictvím mediálních kampaní a „soutěží“ propagovaných v celé EU (soutěže na úrovni místní komunity). Doporučujeme stanovit závazné vnitrostátní cíle ve všech členských státech EU pro opětovné zalesňování domorodými stromy a znovuzavedení místní flóry</w:t>
      </w:r>
      <w:r>
        <w:rPr/>
        <w:t xml:space="preserve">. </w:t>
      </w:r>
    </w:p>
    <w:p>
      <w:pPr>
        <w:pStyle w:val="Normal"/>
        <w:rPr/>
      </w:pPr>
      <w:r>
        <w:rPr/>
        <w:t xml:space="preserve"> </w:t>
      </w:r>
    </w:p>
    <w:p>
      <w:pPr>
        <w:pStyle w:val="Normal"/>
        <w:rPr/>
      </w:pPr>
      <w:r>
        <w:rPr/>
        <w:t xml:space="preserve">Toto doporučení předkládáme, protože biologická rozmanitost má zásadní význam pro životní prostředí, kvalitu života a boj proti změně klimatu. </w:t>
      </w:r>
    </w:p>
    <w:p>
      <w:pPr>
        <w:pStyle w:val="Titre3"/>
        <w:numPr>
          <w:ilvl w:val="2"/>
          <w:numId w:val="2"/>
        </w:numPr>
        <w:rPr/>
      </w:pPr>
      <w:r>
        <w:rPr/>
      </w:r>
    </w:p>
    <w:p>
      <w:pPr>
        <w:pStyle w:val="Titre3"/>
        <w:numPr>
          <w:ilvl w:val="2"/>
          <w:numId w:val="2"/>
        </w:numPr>
        <w:rPr/>
      </w:pPr>
      <w:bookmarkStart w:id="114" w:name="__RefHeading___Toc297163_1346298689"/>
      <w:bookmarkEnd w:id="114"/>
      <w:r>
        <w:rPr/>
        <w:t xml:space="preserve">Osa 3 Spravedlivá společnost </w:t>
      </w:r>
    </w:p>
    <w:p>
      <w:pPr>
        <w:pStyle w:val="Normal"/>
        <w:rPr/>
      </w:pPr>
      <w:bookmarkStart w:id="115" w:name="__RefHeading___Toc297165_1346298689"/>
      <w:bookmarkEnd w:id="115"/>
      <w:r>
        <w:rPr/>
        <w:t xml:space="preserve"> </w:t>
      </w:r>
    </w:p>
    <w:p>
      <w:pPr>
        <w:pStyle w:val="Titre4"/>
        <w:numPr>
          <w:ilvl w:val="3"/>
          <w:numId w:val="2"/>
        </w:numPr>
        <w:rPr/>
      </w:pPr>
      <w:bookmarkStart w:id="116" w:name="__RefHeading___Toc297167_1346298689"/>
      <w:bookmarkEnd w:id="116"/>
      <w:r>
        <w:rPr/>
        <w:t xml:space="preserve">Dílčí osa 3.1 Sociální zabezpečení </w:t>
      </w:r>
    </w:p>
    <w:p>
      <w:pPr>
        <w:pStyle w:val="Normal"/>
        <w:rPr/>
      </w:pPr>
      <w:r>
        <w:rPr/>
        <w:t xml:space="preserve"> </w:t>
      </w:r>
    </w:p>
    <w:p>
      <w:pPr>
        <w:pStyle w:val="P68B1DB1Normal15"/>
        <w:rPr>
          <w:b/>
          <w:b/>
        </w:rPr>
      </w:pPr>
      <w:r>
        <w:rPr/>
        <w:t xml:space="preserve">19. Doporučujeme prosazovat rovná práva a sociální politiky, včetně politik v oblasti zdraví, harmonizovaných v celé EU, s přihlédnutím k přijatým předpisům a minimálním požadavkům v celé zemi. </w:t>
      </w:r>
    </w:p>
    <w:p>
      <w:pPr>
        <w:pStyle w:val="Normal"/>
        <w:rPr/>
      </w:pPr>
      <w:r>
        <w:rPr/>
        <w:t xml:space="preserve"> </w:t>
      </w:r>
    </w:p>
    <w:p>
      <w:pPr>
        <w:pStyle w:val="Normal"/>
        <w:rPr/>
      </w:pPr>
      <w:r>
        <w:rPr/>
        <w:t xml:space="preserve">Toto doporučení předkládáme, protože mezi členskými státy existují velké rozdíly, pokud jde o sociální politiky, které je třeba snížit, aby byl zajištěn důstojný život pro všechny občany a aby byla poskytnuta nezbytná péče a podpora zranitelným osobám z různých důvodů (zdraví, věk, sexuální orientace atd.). </w:t>
      </w:r>
    </w:p>
    <w:p>
      <w:pPr>
        <w:pStyle w:val="Normal"/>
        <w:rPr/>
      </w:pPr>
      <w:r>
        <w:rPr/>
      </w:r>
    </w:p>
    <w:p>
      <w:pPr>
        <w:pStyle w:val="P68B1DB1Normal15"/>
        <w:rPr>
          <w:b/>
          <w:b/>
        </w:rPr>
      </w:pPr>
      <w:r>
        <w:rPr/>
        <w:t xml:space="preserve">20. Doporučujeme podporovat sociální a zdravotní výzkum v EU v souladu s prioritami považovanými za veřejný zájem a schválenými členskými státy a poskytnutím odpovídajícího financování. Musíme posílit spolupráci mezi oblastmi odborných znalostí, zeměmi, studijními středisky (univerzity atd.). </w:t>
      </w:r>
    </w:p>
    <w:p>
      <w:pPr>
        <w:pStyle w:val="Normal"/>
        <w:rPr/>
      </w:pPr>
      <w:r>
        <w:rPr/>
        <w:t xml:space="preserve"> </w:t>
      </w:r>
    </w:p>
    <w:p>
      <w:pPr>
        <w:pStyle w:val="Normal"/>
        <w:rPr/>
      </w:pPr>
      <w:r>
        <w:rPr/>
        <w:t xml:space="preserve">Toto doporučení předkládáme, protože existuje mnoho oblastí, kde potřebujeme rozvíjet a prohloubit naše znalosti. Zkušenosti s pandemií jsou příkladem toho, jak je výzkum nezbytný pro zlepšení života, že spolupráce mezi veřejností a soukromým sektorem a mezi vládami je nezbytná a že je nezbytná finanční podpora. </w:t>
      </w:r>
    </w:p>
    <w:p>
      <w:pPr>
        <w:pStyle w:val="Normal"/>
        <w:rPr/>
      </w:pPr>
      <w:r>
        <w:rPr/>
      </w:r>
    </w:p>
    <w:p>
      <w:pPr>
        <w:pStyle w:val="P68B1DB1Normal15"/>
        <w:rPr>
          <w:b/>
          <w:b/>
        </w:rPr>
      </w:pPr>
      <w:r>
        <w:rPr/>
        <w:t xml:space="preserve">21. Doporučujeme, aby EU zvýšila pravomoci v oblasti sociálních politik s cílem harmonizovat minimální pravidla a důchodové dávky v celé EU a zavést nové, a to na základě důkladné diagnózy. Minimální důchod musí být nad hranicí chudoby. Věk odchodu do důchodu by se měl lišit v závislosti na kategoriích povolání a měl by být nižší u mentálně a fyzicky náročných povolání. Zároveň by mělo být zaručeno právo na práci starším lidem, kteří chtějí pokračovat v dobrovolné práci. </w:t>
      </w:r>
    </w:p>
    <w:p>
      <w:pPr>
        <w:pStyle w:val="Normal"/>
        <w:rPr/>
      </w:pPr>
      <w:r>
        <w:rPr/>
        <w:t xml:space="preserve"> </w:t>
      </w:r>
    </w:p>
    <w:p>
      <w:pPr>
        <w:pStyle w:val="Normal"/>
        <w:rPr/>
      </w:pPr>
      <w:r>
        <w:rPr/>
        <w:t xml:space="preserve">Toto doporučení vydáváme, protože se zvyšuje očekávaná délka života a klesá porodnost. Evropská populace stárne, a proto musíme podniknout další kroky, abychom se vyhnuli riziku marginalizace starších osob a zaručili jim důstojný život. </w:t>
      </w:r>
    </w:p>
    <w:p>
      <w:pPr>
        <w:pStyle w:val="Normal"/>
        <w:rPr/>
      </w:pPr>
      <w:r>
        <w:rPr/>
        <w:t xml:space="preserve"> </w:t>
      </w:r>
    </w:p>
    <w:p>
      <w:pPr>
        <w:pStyle w:val="Normal"/>
        <w:rPr/>
      </w:pPr>
      <w:r>
        <w:rPr>
          <w:b/>
        </w:rPr>
        <w:t>22. Doporučujeme přijmout soubor opatření na podporu zvýšení porodnosti a zajištění vhodných řešení péče o děti. Tato opatření by se měla mimo jiné týkat cenově dostupných a přístupných služeb péče o děti (v práci, noční době, snížené DPH u dětských zařízení), bydlení, stability zaměstnání, podpory mateřství, zvláštní podpory a ochrany práce pro mladé lidi a rodiče, jakož i podpory matek a otců v podobě přístupu ke znalostem po návratu do práce.</w:t>
      </w:r>
      <w:r>
        <w:rPr/>
        <w:t xml:space="preserve"> </w:t>
      </w:r>
    </w:p>
    <w:p>
      <w:pPr>
        <w:pStyle w:val="Normal"/>
        <w:rPr/>
      </w:pPr>
      <w:r>
        <w:rPr/>
        <w:t xml:space="preserve"> </w:t>
      </w:r>
    </w:p>
    <w:p>
      <w:pPr>
        <w:pStyle w:val="Normal"/>
        <w:rPr/>
      </w:pPr>
      <w:r>
        <w:rPr/>
        <w:t xml:space="preserve">Toto doporučení předkládáme proto, že se EU vyznačuje nízkou porodností, která rovněž přispívá ke stárnutí evropského obyvatelstva a která vyžaduje okamžitá opatření. Cílem navrhovaného balíčku je zajistit, aby mladé rodiny měly nezbytnou stabilitu pro péči o děti. </w:t>
      </w:r>
    </w:p>
    <w:p>
      <w:pPr>
        <w:pStyle w:val="Normal"/>
        <w:rPr/>
      </w:pPr>
      <w:r>
        <w:rPr/>
      </w:r>
    </w:p>
    <w:p>
      <w:pPr>
        <w:pStyle w:val="P68B1DB1Normal15"/>
        <w:rPr>
          <w:b/>
          <w:b/>
        </w:rPr>
      </w:pPr>
      <w:r>
        <w:rPr/>
        <w:t xml:space="preserve">23. Doporučujeme zajistit sociální pomoc a zdravotní péči pro seniory doma i v pečovatelských domech. Je také třeba zlepšit podporu pro osoby, které pečují o starší osoby (v blízkosti). </w:t>
      </w:r>
    </w:p>
    <w:p>
      <w:pPr>
        <w:pStyle w:val="Normal"/>
        <w:rPr/>
      </w:pPr>
      <w:r>
        <w:rPr/>
        <w:t xml:space="preserve"> </w:t>
      </w:r>
    </w:p>
    <w:p>
      <w:pPr>
        <w:pStyle w:val="Normal"/>
        <w:rPr/>
      </w:pPr>
      <w:r>
        <w:rPr/>
        <w:t xml:space="preserve">Toto doporučení předkládáme, protože se zvyšuje očekávaná délka života a klesá porodnost; Evropská populace stárne, a proto musíme podniknout další kroky, abychom se vyhnuli riziku marginalizace starších osob a zaručili jim důstojný život. </w:t>
      </w:r>
    </w:p>
    <w:p>
      <w:pPr>
        <w:pStyle w:val="Normal"/>
        <w:rPr/>
      </w:pPr>
      <w:r>
        <w:rPr/>
        <w:t xml:space="preserve"> </w:t>
      </w:r>
    </w:p>
    <w:p>
      <w:pPr>
        <w:pStyle w:val="P68B1DB1Normal15"/>
        <w:rPr>
          <w:b/>
          <w:b/>
        </w:rPr>
      </w:pPr>
      <w:r>
        <w:rPr/>
        <w:t xml:space="preserve">24. Doporučujeme, aby EU podporovala paliativní péči a asistovanou smrt [eutanazie] v souladu s konkrétním souborem pravidel a předpisů. </w:t>
      </w:r>
    </w:p>
    <w:p>
      <w:pPr>
        <w:pStyle w:val="Normal"/>
        <w:rPr/>
      </w:pPr>
      <w:r>
        <w:rPr/>
        <w:t xml:space="preserve"> </w:t>
      </w:r>
    </w:p>
    <w:p>
      <w:pPr>
        <w:pStyle w:val="Normal"/>
        <w:rPr/>
      </w:pPr>
      <w:r>
        <w:rPr/>
        <w:t xml:space="preserve">Toto doporučení vydáváme, protože by to snížilo bolest pacientů a rodin a zajistilo důstojný konec života. </w:t>
      </w:r>
    </w:p>
    <w:p>
      <w:pPr>
        <w:pStyle w:val="Normal"/>
        <w:rPr/>
      </w:pPr>
      <w:r>
        <w:rPr/>
        <w:t xml:space="preserve"> </w:t>
      </w:r>
    </w:p>
    <w:p>
      <w:pPr>
        <w:pStyle w:val="Titre4"/>
        <w:numPr>
          <w:ilvl w:val="3"/>
          <w:numId w:val="2"/>
        </w:numPr>
        <w:rPr/>
      </w:pPr>
      <w:bookmarkStart w:id="117" w:name="__RefHeading___Toc297169_1346298689"/>
      <w:bookmarkEnd w:id="117"/>
      <w:r>
        <w:rPr/>
        <w:t xml:space="preserve">Dílčí osa 3.2 Rovnost práv </w:t>
      </w:r>
    </w:p>
    <w:p>
      <w:pPr>
        <w:pStyle w:val="Normal"/>
        <w:rPr/>
      </w:pPr>
      <w:r>
        <w:rPr/>
        <w:t xml:space="preserve"> </w:t>
      </w:r>
    </w:p>
    <w:p>
      <w:pPr>
        <w:pStyle w:val="P68B1DB1Normal15"/>
        <w:rPr>
          <w:b/>
          <w:b/>
        </w:rPr>
      </w:pPr>
      <w:r>
        <w:rPr/>
        <w:t xml:space="preserve">25. Doporučujeme, aby EU podporovala cílený přístup občanů k důstojnému sociálnímu bydlení podle jejich specifických potřeb. Finanční úsilí by mělo být sdíleno mezi soukromými dárci, vlastníky domů, příjemci bydlení, vládami členských států na ústřední a místní úrovni a Evropskou unií. Cílem by mělo být usnadnit výstavbu/opravu stávajícího fondu sociálního bydlení, mimo jiné prostřednictvím družstevních sdružení, pronájmu a nákupu. Podpora by měla být poskytnuta na základě jasných kritérií (např. maximální plocha/osoba, která má být dotována, příjem příjemců atd.). </w:t>
      </w:r>
    </w:p>
    <w:p>
      <w:pPr>
        <w:pStyle w:val="Normal"/>
        <w:rPr/>
      </w:pPr>
      <w:r>
        <w:rPr/>
        <w:t xml:space="preserve"> </w:t>
      </w:r>
    </w:p>
    <w:p>
      <w:pPr>
        <w:pStyle w:val="Normal"/>
        <w:rPr/>
      </w:pPr>
      <w:r>
        <w:rPr/>
        <w:t xml:space="preserve">Toto doporučení předkládáme, protože zlepšení přístupu k bydlení by zajistilo, že občané EU požívají hmatatelných rovných práv a pomohou zmírnit sociální napětí. EU je především vyzývána, aby dohlížela na mechanismus podpory; vnitrostátní a místní orgány by měly vyvinout větší úsilí při řešení problémů s bydlením. </w:t>
      </w:r>
    </w:p>
    <w:p>
      <w:pPr>
        <w:pStyle w:val="Normal"/>
        <w:rPr/>
      </w:pPr>
      <w:r>
        <w:rPr/>
      </w:r>
    </w:p>
    <w:p>
      <w:pPr>
        <w:pStyle w:val="P68B1DB1Normal15"/>
        <w:rPr>
          <w:b/>
          <w:b/>
        </w:rPr>
      </w:pPr>
      <w:r>
        <w:rPr/>
        <w:t xml:space="preserve">26. Doporučujeme, aby EU zlepšila regulaci a jednotné provádění podpůrných opatření pro rodiny s dětmi ve všech členských státech. Tato opatření zahrnují zejména: zvýšení délky rodičovské dovolené, výše příspěvku na porod a příspěvku na péči o dítě. </w:t>
      </w:r>
    </w:p>
    <w:p>
      <w:pPr>
        <w:pStyle w:val="Normal"/>
        <w:rPr/>
      </w:pPr>
      <w:r>
        <w:rPr/>
        <w:t xml:space="preserve"> </w:t>
      </w:r>
    </w:p>
    <w:p>
      <w:pPr>
        <w:pStyle w:val="Normal"/>
        <w:rPr/>
      </w:pPr>
      <w:r>
        <w:rPr/>
        <w:t xml:space="preserve">Toto doporučení předkládáme, protože se domníváme, že tato opatření by zmírnila demografický problém, kterému EU čelí. Rovněž by zlepšila rovnost žen a mužů mezi rodiči. </w:t>
      </w:r>
    </w:p>
    <w:p>
      <w:pPr>
        <w:pStyle w:val="Normal"/>
        <w:rPr/>
      </w:pPr>
      <w:r>
        <w:rPr/>
      </w:r>
    </w:p>
    <w:p>
      <w:pPr>
        <w:pStyle w:val="P68B1DB1Normal15"/>
        <w:rPr>
          <w:b/>
          <w:b/>
        </w:rPr>
      </w:pPr>
      <w:r>
        <w:rPr/>
        <w:t xml:space="preserve">27. Doporučujeme, aby EU podnikla kroky k zajištění toho, aby všechny rodiny požívaly stejných rodinných práv ve všech členských státech. Tato práva zahrnují právo na manželství a adopci. </w:t>
      </w:r>
    </w:p>
    <w:p>
      <w:pPr>
        <w:pStyle w:val="Normal"/>
        <w:rPr/>
      </w:pPr>
      <w:r>
        <w:rPr/>
        <w:t xml:space="preserve"> </w:t>
      </w:r>
    </w:p>
    <w:p>
      <w:pPr>
        <w:pStyle w:val="Normal"/>
        <w:rPr/>
      </w:pPr>
      <w:r>
        <w:rPr/>
        <w:t xml:space="preserve">Toto doporučení předkládáme, protože jsme přesvědčeni, že všichni občané EU by měli mít stejná práva, včetně rodinných práv. Rodina je základní formou společenské organizace. Šťastná rodina přispívá ke zdravé společnosti. Cílem doporučení je zajistit, aby všichni občané měli rodinná práva bez ohledu na pohlaví, dospělost, etnický původ nebo fyzické zdraví. </w:t>
      </w:r>
    </w:p>
    <w:p>
      <w:pPr>
        <w:pStyle w:val="Normal"/>
        <w:rPr/>
      </w:pPr>
      <w:r>
        <w:rPr/>
        <w:t xml:space="preserve"> </w:t>
      </w:r>
    </w:p>
    <w:p>
      <w:pPr>
        <w:pStyle w:val="Titre4"/>
        <w:numPr>
          <w:ilvl w:val="3"/>
          <w:numId w:val="2"/>
        </w:numPr>
        <w:rPr/>
      </w:pPr>
      <w:bookmarkStart w:id="118" w:name="__RefHeading___Toc297171_1346298689"/>
      <w:bookmarkEnd w:id="118"/>
      <w:commentRangeStart w:id="1"/>
      <w:r>
        <w:rPr/>
        <w:t xml:space="preserve">Podosa 3.3 Equity/podosy 3.4 Přístup ke sportu </w:t>
      </w:r>
      <w:commentRangeEnd w:id="1"/>
      <w:r>
        <w:commentReference w:id="1"/>
      </w:r>
      <w:r>
        <w:rPr/>
      </w:r>
    </w:p>
    <w:p>
      <w:pPr>
        <w:pStyle w:val="Normal"/>
        <w:rPr/>
      </w:pPr>
      <w:r>
        <w:rPr/>
        <w:t xml:space="preserve"> </w:t>
      </w:r>
    </w:p>
    <w:p>
      <w:pPr>
        <w:pStyle w:val="P68B1DB1Normal15"/>
        <w:rPr>
          <w:b/>
          <w:b/>
        </w:rPr>
      </w:pPr>
      <w:r>
        <w:rPr/>
        <w:t xml:space="preserve">28. Doporučujeme důrazně prosazovat strategii EU pro rovnost žen a mužů na období 2020–2025 a dát jí vysokou prioritu jakožto naléhavá otázka účinně řešená členskými státy. EU by měla a) definovat ukazatele (postihy, mzdové rozdíly, zaměstnanost, vedení atd.), sledovat strategii na ročním základě a být transparentní, pokud jde o dosažené výsledky; a b) zřídit veřejného ochránce práv s cílem získat přímou zpětnou vazbu od občanů. </w:t>
      </w:r>
    </w:p>
    <w:p>
      <w:pPr>
        <w:pStyle w:val="Normal"/>
        <w:rPr/>
      </w:pPr>
      <w:r>
        <w:rPr/>
        <w:t xml:space="preserve"> </w:t>
      </w:r>
    </w:p>
    <w:p>
      <w:pPr>
        <w:pStyle w:val="Normal"/>
        <w:rPr/>
      </w:pPr>
      <w:r>
        <w:rPr/>
        <w:t xml:space="preserve">Toto doporučení předkládáme, protože se domníváme, že genderová situace v EU zdaleka není uspokojivá. Na evropské úrovni by měla existovat harmonie v oblasti rovnosti žen a mužů a občanských práv, aby bylo dosaženo cílů rovnosti žen a mužů a občanských práv ve všech zemích, nejen v těch zemích, kde je kompromis silnější. Zavázali jsme se k přítomnosti a přínosu žen na mocných pozicích a ve všech typech profesí, abychom měli různorodou a naplňující Evropskou unii. Ženy jsou v mnoha situacích znevýhodněny (i když mají dobrou úroveň vzdělání/certifikované vysokoškolské vzdělání nebo jiná privilegia), takže taková strategie je naprosto nezbytná. </w:t>
      </w:r>
    </w:p>
    <w:p>
      <w:pPr>
        <w:pStyle w:val="Normal"/>
        <w:rPr/>
      </w:pPr>
      <w:r>
        <w:rPr/>
      </w:r>
    </w:p>
    <w:p>
      <w:pPr>
        <w:pStyle w:val="P68B1DB1Normal15"/>
        <w:rPr>
          <w:b/>
          <w:b/>
        </w:rPr>
      </w:pPr>
      <w:r>
        <w:rPr/>
        <w:t xml:space="preserve">29. Doporučujeme, aby EU podporovala a zvyšovala povědomí veřejnosti o sportu a tělesné aktivitě ve všech členských státech vzhledem k jejich přínosům pro zdraví. Sport a tělesná aktivita by měly být zahrnuty do sociálních politik, politik duševního a tělesného zdraví, vzdělávání a politiky práce (tj. podpora předepisování sportu a/nebo tělesné aktivity lékaři a případně zajištění přístupu ke sportovním zařízením; 1 hodina práce/týden pro fyzickou aktivitu atd.). </w:t>
      </w:r>
    </w:p>
    <w:p>
      <w:pPr>
        <w:pStyle w:val="Normal"/>
        <w:rPr/>
      </w:pPr>
      <w:r>
        <w:rPr/>
        <w:t xml:space="preserve"> </w:t>
      </w:r>
    </w:p>
    <w:p>
      <w:pPr>
        <w:pStyle w:val="Normal"/>
        <w:rPr/>
      </w:pPr>
      <w:r>
        <w:rPr/>
        <w:t xml:space="preserve">Toto doporučení vydáváme, protože se jedná o dlouhodobou investici. Investice do sportu a fyzické aktivity snižují náklady a zátěž pro zdravotnické služby. Například sport a fyzická aktivita jako zdravotní intervence by zkrátily trvání léčby a zvýšily jejich účinnost. Tato strategie se již úspěšně provádí v některých zemích, jako je Německo. Sport je způsob, jak budovat hodnoty, jako je závazek, úsilí, sebeúcta, respekt nebo kamarádství. Sedavý životní styl je častější než u předchozích generací, mimo jiné kvůli většímu počtu pracovních míst v kancelářích a/nebo změnám ve volnočasových návycích. </w:t>
      </w:r>
    </w:p>
    <w:p>
      <w:pPr>
        <w:pStyle w:val="Normal"/>
        <w:rPr/>
      </w:pPr>
      <w:r>
        <w:rPr/>
      </w:r>
    </w:p>
    <w:p>
      <w:pPr>
        <w:pStyle w:val="P68B1DB1Normal15"/>
        <w:rPr>
          <w:b/>
          <w:b/>
        </w:rPr>
      </w:pPr>
      <w:r>
        <w:rPr/>
        <w:t xml:space="preserve">30. Doporučujeme, aby EU uložila každému členskému státu povinnost mít minimální mzdu, která je definována podle životních nákladů na jeho území a je považována za spravedlivou mzdu, která umožňuje minimální životní podmínky nad hranicí chudoby. Každý členský stát ji musí monitorovat. </w:t>
      </w:r>
    </w:p>
    <w:p>
      <w:pPr>
        <w:pStyle w:val="Normal"/>
        <w:rPr/>
      </w:pPr>
      <w:r>
        <w:rPr/>
        <w:t xml:space="preserve"> </w:t>
      </w:r>
    </w:p>
    <w:p>
      <w:pPr>
        <w:pStyle w:val="Normal"/>
        <w:rPr/>
      </w:pPr>
      <w:r>
        <w:rPr/>
        <w:t xml:space="preserve">Toto doporučení vydáváme, protože je nespravedlivé, abychom nedosáhli konce měsíce, kdy pracujeme. Spravedlivé mzdy by měly přispívat ke kvalitě života na sociální úrovni. Nespravedlivé mzdy mají pro státy vysoké náklady (bezpečnost, daňové úniky, vyšší sociální náklady atd.). </w:t>
      </w:r>
    </w:p>
    <w:p>
      <w:pPr>
        <w:pStyle w:val="Normal"/>
        <w:rPr/>
      </w:pPr>
      <w:r>
        <w:rPr/>
      </w:r>
    </w:p>
    <w:p>
      <w:pPr>
        <w:pStyle w:val="P68B1DB1Normal15"/>
        <w:rPr>
          <w:b/>
          <w:b/>
        </w:rPr>
      </w:pPr>
      <w:r>
        <w:rPr/>
        <w:t xml:space="preserve">31. Doporučujeme harmonizaci daní v členských státech na úrovni EU (vyvarovat se daňových rájů v EU a bojovat proti přemísťování v rámci Evropy), jakož i daňovou pobídku, která by odrazovala od přemísťování pracovních míst mimo Evropu. </w:t>
      </w:r>
    </w:p>
    <w:p>
      <w:pPr>
        <w:pStyle w:val="Normal"/>
        <w:rPr/>
      </w:pPr>
      <w:r>
        <w:rPr/>
        <w:t xml:space="preserve"> </w:t>
      </w:r>
    </w:p>
    <w:p>
      <w:pPr>
        <w:pStyle w:val="Normal"/>
        <w:rPr/>
      </w:pPr>
      <w:r>
        <w:rPr/>
        <w:t xml:space="preserve">Toto doporučení předkládáme, protože jsme znepokojeni dopadem přemístění pracovních míst mimo Evropu a domníváme se, že by to zabránilo daňové soutěži mezi členskými státy EU. </w:t>
      </w:r>
    </w:p>
    <w:p>
      <w:pPr>
        <w:pStyle w:val="Normal"/>
        <w:rPr/>
      </w:pPr>
      <w:r>
        <w:rPr/>
      </w:r>
    </w:p>
    <w:p>
      <w:pPr>
        <w:pStyle w:val="Titre3"/>
        <w:numPr>
          <w:ilvl w:val="2"/>
          <w:numId w:val="2"/>
        </w:numPr>
        <w:rPr/>
      </w:pPr>
      <w:bookmarkStart w:id="119" w:name="__RefHeading___Toc297173_1346298689"/>
      <w:bookmarkEnd w:id="119"/>
      <w:r>
        <w:rPr/>
        <w:t xml:space="preserve">Osa 4 Vzdělávání v Evropě </w:t>
      </w:r>
    </w:p>
    <w:p>
      <w:pPr>
        <w:pStyle w:val="Normal"/>
        <w:rPr/>
      </w:pPr>
      <w:r>
        <w:rPr/>
        <w:t xml:space="preserve"> </w:t>
      </w:r>
    </w:p>
    <w:p>
      <w:pPr>
        <w:pStyle w:val="Titre4"/>
        <w:numPr>
          <w:ilvl w:val="3"/>
          <w:numId w:val="2"/>
        </w:numPr>
        <w:rPr/>
      </w:pPr>
      <w:bookmarkStart w:id="120" w:name="__RefHeading___Toc297175_1346298689"/>
      <w:bookmarkEnd w:id="120"/>
      <w:commentRangeStart w:id="2"/>
      <w:r>
        <w:rPr/>
        <w:t xml:space="preserve">Dílčí osa 4.1 Evropská identita/podosa 4.2 Digitální vzdělávání </w:t>
      </w:r>
      <w:commentRangeEnd w:id="2"/>
      <w:r>
        <w:commentReference w:id="2"/>
      </w:r>
      <w:r>
        <w:rPr/>
      </w:r>
    </w:p>
    <w:p>
      <w:pPr>
        <w:pStyle w:val="Normal"/>
        <w:rPr/>
      </w:pPr>
      <w:r>
        <w:rPr/>
        <w:t xml:space="preserve"> </w:t>
      </w:r>
    </w:p>
    <w:p>
      <w:pPr>
        <w:pStyle w:val="P68B1DB1Normal15"/>
        <w:rPr>
          <w:b/>
          <w:b/>
        </w:rPr>
      </w:pPr>
      <w:r>
        <w:rPr/>
        <w:t xml:space="preserve">32. Doporučujeme podporovat mnohojazyčnost od útlého věku, například z mateřské školy. Počínaje základní školou by mělo být povinné, aby děti dosáhly úrovně C1 v jiném aktivním jazyce EU, než je jejich vlastní. </w:t>
      </w:r>
    </w:p>
    <w:p>
      <w:pPr>
        <w:pStyle w:val="Normal"/>
        <w:rPr/>
      </w:pPr>
      <w:r>
        <w:rPr/>
        <w:t xml:space="preserve"> </w:t>
      </w:r>
    </w:p>
    <w:p>
      <w:pPr>
        <w:pStyle w:val="Normal"/>
        <w:rPr/>
      </w:pPr>
      <w:r>
        <w:rPr/>
        <w:t xml:space="preserve">Toto doporučení předkládáme, protože mnohojazyčnost je nástrojem, který propojuje občany a most s jinými kulturami, čímž zpřístupňuje další země a jejich kultury. Posiluje evropskou identitu a mezikulturní výměny. Je důležité seznámit se s ostatními kulturami v kontextu Evropské unie. Schopnost konverzace na dobré úrovni ve dvou jazycích by proto přispěla k vytvoření společné evropské identity a k porozumění dalším evropským kulturám. EU musí úzce spolupracovat se vzdělávacími institucemi, aby dosáhla dobrých výsledků ve vzdělávání. Je rovněž nezbytné vytvořit zvláštní program (např. digitální platformy, rozšířené programy Erasmus+ atd.), který bude výhradně podporovat mnohojazyčnost. Současné evropské školy mohou sloužit jako vzor v tomto ohledu. EU by měla vytvářet a aktivně podporovat více takových škol. </w:t>
      </w:r>
    </w:p>
    <w:p>
      <w:pPr>
        <w:pStyle w:val="Normal"/>
        <w:rPr/>
      </w:pPr>
      <w:r>
        <w:rPr/>
      </w:r>
    </w:p>
    <w:p>
      <w:pPr>
        <w:pStyle w:val="P68B1DB1Normal15"/>
        <w:rPr>
          <w:b/>
          <w:b/>
        </w:rPr>
      </w:pPr>
      <w:r>
        <w:rPr/>
        <w:t xml:space="preserve">33. Doporučujeme, aby EU zvýšila mezi mladými lidmi povědomí o nebezpečích spojených s internetem a digitalizací vytvořením povinného předmětu základního vzdělávání. EU by měla vyvinout nástroje a vytvořit společné vzdělávací prostory pro mladé lidi, aby se mohli společně učit. </w:t>
      </w:r>
    </w:p>
    <w:p>
      <w:pPr>
        <w:pStyle w:val="Normal"/>
        <w:rPr/>
      </w:pPr>
      <w:r>
        <w:rPr/>
        <w:t xml:space="preserve"> </w:t>
      </w:r>
    </w:p>
    <w:p>
      <w:pPr>
        <w:pStyle w:val="Normal"/>
        <w:rPr/>
      </w:pPr>
      <w:r>
        <w:rPr/>
        <w:t xml:space="preserve">Toto doporučení předkládáme, protože současné iniciativy nebo programy v této oblasti nejsou dostatečné. Mnoho občanů EU si navíc není vědomo stávajících iniciativ EU v těchto oblastech. Děti si nejsou dostatečně vědomy nebezpečí internetu, což je důvod, proč bychom měli udělat mnohem více pro zvýšení povědomí mezi mladší generací. </w:t>
      </w:r>
    </w:p>
    <w:p>
      <w:pPr>
        <w:pStyle w:val="Normal"/>
        <w:rPr/>
      </w:pPr>
      <w:r>
        <w:rPr/>
        <w:t xml:space="preserve"> </w:t>
      </w:r>
    </w:p>
    <w:p>
      <w:pPr>
        <w:pStyle w:val="P68B1DB1Normal15"/>
        <w:rPr>
          <w:b/>
          <w:b/>
        </w:rPr>
      </w:pPr>
      <w:r>
        <w:rPr/>
        <w:t xml:space="preserve">34. Doporučujeme, aby EU usilovala o to, aby technologie byla přístupnější starším lidem, a to podporou programů a iniciativ, například formou kurzů přizpůsobených jejich potřebám. EU by měla zaručit právo využívat digitální technologie těm, kdo ji chtějí, a navrhnout alternativy pro ty, kteří ji nechtějí. </w:t>
      </w:r>
    </w:p>
    <w:p>
      <w:pPr>
        <w:pStyle w:val="Normal"/>
        <w:rPr/>
      </w:pPr>
      <w:r>
        <w:rPr/>
        <w:t xml:space="preserve"> </w:t>
      </w:r>
    </w:p>
    <w:p>
      <w:pPr>
        <w:pStyle w:val="Normal"/>
        <w:rPr/>
      </w:pPr>
      <w:r>
        <w:rPr/>
        <w:t xml:space="preserve">Toto doporučení předkládáme, protože EU by měla zajistit, aby se starší lidé mohli zapojit do digitálního světa a aby nikdo nebyl diskriminován. Pro generace, které nemají zkušenosti s používáním určitých technologií, by měly být zavedeny zjednodušené nástroje, aby bylo možné je začlenit do dnešního světa. Doporučujeme lépe podporovat stávající iniciativy, aby si je občané byli vědomi. Starší lidé by neměli být v EU diskriminováni, pokud jde o používání nástrojů IT. (Jako incident to znamená, že občané by měli mít možnost žít svůj život, aniž by museli procházet internetovou sítí). EU by měla starším lidem organizovat a poskytovat stálou bezplatnou pomoc s cílem usnadnit přístup k digitálním nástrojům. </w:t>
      </w:r>
    </w:p>
    <w:p>
      <w:pPr>
        <w:pStyle w:val="Normal"/>
        <w:rPr/>
      </w:pPr>
      <w:r>
        <w:rPr/>
      </w:r>
    </w:p>
    <w:p>
      <w:pPr>
        <w:pStyle w:val="Titre4"/>
        <w:numPr>
          <w:ilvl w:val="3"/>
          <w:numId w:val="2"/>
        </w:numPr>
        <w:rPr/>
      </w:pPr>
      <w:bookmarkStart w:id="121" w:name="__RefHeading___Toc297177_1346298689"/>
      <w:bookmarkEnd w:id="121"/>
      <w:r>
        <w:rPr/>
        <w:t xml:space="preserve">Podosa 4.3 Kulturní výměna/podosa 4.4 Životní výchova </w:t>
      </w:r>
    </w:p>
    <w:p>
      <w:pPr>
        <w:pStyle w:val="Normal"/>
        <w:rPr/>
      </w:pPr>
      <w:r>
        <w:rPr/>
        <w:t xml:space="preserve"> </w:t>
      </w:r>
    </w:p>
    <w:p>
      <w:pPr>
        <w:pStyle w:val="P68B1DB1Normal15"/>
        <w:rPr>
          <w:b/>
          <w:b/>
        </w:rPr>
      </w:pPr>
      <w:r>
        <w:rPr/>
        <w:t xml:space="preserve">35. Doporučujeme, aby EU vytvořila platformu, kde budou pro vzdělávací účely k dispozici vzdělávací materiály týkající se změny klimatu, udržitelnosti a životního prostředí. Tyto informace by měly být založeny na faktech, ověřovány odborníky a přizpůsobeny každému členskému státu. Platforma: </w:t>
      </w:r>
    </w:p>
    <w:p>
      <w:pPr>
        <w:pStyle w:val="P68B1DB1Normal15"/>
        <w:rPr>
          <w:b/>
          <w:b/>
        </w:rPr>
      </w:pPr>
      <w:r>
        <w:rPr/>
        <w:t xml:space="preserve">● </w:t>
      </w:r>
      <w:r>
        <w:rPr/>
        <w:t xml:space="preserve">měly by zahrnovat lekce pro různé cílové skupiny, např. pro osoby žijící v městských nebo venkovských oblastech, pro všechny věkové skupiny a předchozí úrovně znalostí; </w:t>
      </w:r>
    </w:p>
    <w:p>
      <w:pPr>
        <w:pStyle w:val="P68B1DB1Normal15"/>
        <w:rPr>
          <w:b/>
          <w:b/>
        </w:rPr>
      </w:pPr>
      <w:r>
        <w:rPr/>
        <w:t xml:space="preserve">● </w:t>
      </w:r>
      <w:r>
        <w:rPr/>
        <w:t xml:space="preserve">musí být zpřístupněna všem členským státům a musí být snadno přístupná; </w:t>
      </w:r>
    </w:p>
    <w:p>
      <w:pPr>
        <w:pStyle w:val="P68B1DB1Normal15"/>
        <w:rPr>
          <w:b/>
          <w:b/>
        </w:rPr>
      </w:pPr>
      <w:r>
        <w:rPr/>
        <w:t xml:space="preserve">● </w:t>
      </w:r>
      <w:r>
        <w:rPr/>
        <w:t xml:space="preserve">měl by do svého provádění zahrnout plán podpory, který by měl zahrnovat dotčené podniky; </w:t>
      </w:r>
    </w:p>
    <w:p>
      <w:pPr>
        <w:pStyle w:val="P68B1DB1Normal15"/>
        <w:rPr>
          <w:b/>
          <w:b/>
        </w:rPr>
      </w:pPr>
      <w:r>
        <w:rPr/>
        <w:t xml:space="preserve">● </w:t>
      </w:r>
      <w:r>
        <w:rPr/>
        <w:t xml:space="preserve">by mohlo být zpřístupněno současně s programem financování na podporu využívání a provádění informací dostupných na platformě. Toto financování by mělo rovněž podpořit návštěvy v terénu s cílem představit konkrétní příklady. </w:t>
      </w:r>
    </w:p>
    <w:p>
      <w:pPr>
        <w:pStyle w:val="Normal"/>
        <w:rPr/>
      </w:pPr>
      <w:r>
        <w:rPr/>
        <w:t xml:space="preserve"> </w:t>
      </w:r>
    </w:p>
    <w:p>
      <w:pPr>
        <w:pStyle w:val="Normal"/>
        <w:rPr/>
      </w:pPr>
      <w:r>
        <w:rPr/>
        <w:t xml:space="preserve">Toto doporučení předkládáme, protože lidé všech věkových kategorií potřebují přístup k věcným informacím o tom, jak řešit změny klimatu, udržitelnost a otázky životního prostředí. Důležité pojmy, jako je ekologická stopa, musí pochopit všichni, zejména mladí lidé, protože to, co se učíme dětem, nás doprovází po celý život. Tato témata jsou složitá a dezinformace jsou rozšířené. Potřebujeme spolehlivý zdroj a EU má důvěryhodnost a zdroje, aby se mohla této úlohy ujmout. To je rovněž důležité, protože úroveň znalostí a přístupu k důvěryhodným informacím se v jednotlivých členských státech liší. </w:t>
      </w:r>
    </w:p>
    <w:p>
      <w:pPr>
        <w:pStyle w:val="Normal"/>
        <w:rPr/>
      </w:pPr>
      <w:r>
        <w:rPr/>
      </w:r>
    </w:p>
    <w:p>
      <w:pPr>
        <w:pStyle w:val="P68B1DB1Normal15"/>
        <w:rPr>
          <w:b/>
          <w:b/>
        </w:rPr>
      </w:pPr>
      <w:r>
        <w:rPr/>
        <w:t xml:space="preserve">36. Doporučujeme, aby EU upřednostnila zajištění dostupnosti výměnných programů pro všechny (věkové skupiny, členské státy, úrovně vzdělávání a finanční kapacity) a umožnění stáží nebo výměn mezi odvětvími, zeměmi, vzdělávacími institucemi, městy a podniky. EU by měla být odpovědná za zahájení, zprostředkování a financování kulturních a sociálních výměn v celé EU, a to jak fyzických, tak digitálních. EU musí tyto iniciativy aktivně podporovat a zaměřit se na osoby, které dosud nejsou obeznámeny s kulturními a sociálními výměnnými programy. Konference o budoucnosti Evropy, pro kterou byli občané náhodně vybráni, je dokonalým příkladem evropské výměny. Chceme více iniciativ tohoto druhu, ale chceme také menší iniciativy, stejně jako výměny v oblasti sportu, hudby, (sociální) stáže atd. </w:t>
      </w:r>
    </w:p>
    <w:p>
      <w:pPr>
        <w:pStyle w:val="P68B1DB1Normal15"/>
        <w:rPr>
          <w:b/>
          <w:b/>
        </w:rPr>
      </w:pPr>
      <w:r>
        <w:rPr/>
        <w:t xml:space="preserve"> </w:t>
      </w:r>
    </w:p>
    <w:p>
      <w:pPr>
        <w:pStyle w:val="Normal"/>
        <w:rPr/>
      </w:pPr>
      <w:r>
        <w:rPr/>
        <w:t xml:space="preserve">Toto doporučení vydáváme, protože je důležité vytvořit pocit sounáležitosti a soudržnosti a podporovat toleranci naší velkolepé rozmanitosti a perspektiv, jakož i rozvoj individuálních dovedností. Tento proces bude rozvíjet přátelství, vzájemné porozumění a kritické myšlení. Rádi bychom podpořili zapojení všech členů našich komunit, a to i těch, kteří se těchto iniciativ dosud neúčastnili. </w:t>
      </w:r>
    </w:p>
    <w:p>
      <w:pPr>
        <w:pStyle w:val="Normal"/>
        <w:rPr/>
      </w:pPr>
      <w:r>
        <w:rPr/>
      </w:r>
    </w:p>
    <w:p>
      <w:pPr>
        <w:pStyle w:val="Titre4"/>
        <w:numPr>
          <w:ilvl w:val="3"/>
          <w:numId w:val="2"/>
        </w:numPr>
        <w:rPr/>
      </w:pPr>
      <w:bookmarkStart w:id="122" w:name="__RefHeading___Toc297179_1346298689"/>
      <w:bookmarkEnd w:id="122"/>
      <w:r>
        <w:rPr/>
        <w:t xml:space="preserve">Dílčí osa 4.5 Kvalita, financování a přístup ke vzdělávání/podosa 4.6 Harmonizace vzdělávání </w:t>
      </w:r>
    </w:p>
    <w:p>
      <w:pPr>
        <w:pStyle w:val="Normal"/>
        <w:rPr/>
      </w:pPr>
      <w:r>
        <w:rPr/>
        <w:t xml:space="preserve"> </w:t>
      </w:r>
    </w:p>
    <w:p>
      <w:pPr>
        <w:pStyle w:val="P68B1DB1Normal15"/>
        <w:rPr>
          <w:b/>
          <w:b/>
        </w:rPr>
      </w:pPr>
      <w:r>
        <w:rPr/>
        <w:t xml:space="preserve">37. Doporučujeme, aby všechny členské státy stanovily a přijaly minimální standard certifikovaného vzdělávání v základních předmětech od základní školy. Cílem je zajistit, aby všichni občané měli rovný přístup ke kvalitnímu vzdělávání, které zaručí rovnost a rovnost. </w:t>
      </w:r>
    </w:p>
    <w:p>
      <w:pPr>
        <w:pStyle w:val="Normal"/>
        <w:rPr/>
      </w:pPr>
      <w:r>
        <w:rPr/>
      </w:r>
    </w:p>
    <w:p>
      <w:pPr>
        <w:pStyle w:val="Normal"/>
        <w:rPr/>
      </w:pPr>
      <w:r>
        <w:rPr/>
        <w:t xml:space="preserve">Toto doporučení předkládáme z následujících důvodů: </w:t>
      </w:r>
    </w:p>
    <w:p>
      <w:pPr>
        <w:pStyle w:val="Normal"/>
        <w:rPr/>
      </w:pPr>
      <w:r>
        <w:rPr/>
        <w:t xml:space="preserve">● </w:t>
      </w:r>
      <w:r>
        <w:rPr/>
        <w:t xml:space="preserve">existence minimálního standardu by posílila důvěru rodičů, učitelů a studentů v jejich vzdělávací systémy a zároveň by ponechala prostor pro iniciativu a rozmanitost. </w:t>
      </w:r>
    </w:p>
    <w:p>
      <w:pPr>
        <w:pStyle w:val="Normal"/>
        <w:rPr/>
      </w:pPr>
      <w:r>
        <w:rPr/>
        <w:t xml:space="preserve">Pokud bude naše doporučení provedeno, posílí a posílí společnou evropskou identitu, podpoří soudržnost, jednotu a pocit sounáležitosti. </w:t>
      </w:r>
    </w:p>
    <w:p>
      <w:pPr>
        <w:pStyle w:val="Normal"/>
        <w:rPr/>
      </w:pPr>
      <w:r>
        <w:rPr/>
        <w:t xml:space="preserve">● </w:t>
      </w:r>
      <w:r>
        <w:rPr/>
        <w:t xml:space="preserve">Provádění tohoto doporučení by posílilo spolupráci a výměny mezi školami v celé EU, což by zlepšilo vztahy mezi pedagogickými pracovníky a žáky a výrazně usnadnilo výměnné programy. </w:t>
      </w:r>
    </w:p>
    <w:p>
      <w:pPr>
        <w:pStyle w:val="Normal"/>
        <w:rPr/>
      </w:pPr>
      <w:r>
        <w:rPr/>
      </w:r>
    </w:p>
    <w:p>
      <w:pPr>
        <w:pStyle w:val="P68B1DB1Normal15"/>
        <w:rPr>
          <w:b/>
          <w:b/>
        </w:rPr>
      </w:pPr>
      <w:r>
        <w:rPr/>
        <w:t xml:space="preserve">38. Doporučujeme vyučovat angličtinu podle certifikovatelného standardu jako hlavní předmět na základních školách ve všech členských státech EU s cílem usnadnit a posílit schopnost evropských občanů účinně komunikovat. </w:t>
      </w:r>
    </w:p>
    <w:p>
      <w:pPr>
        <w:pStyle w:val="Normal"/>
        <w:rPr/>
      </w:pPr>
      <w:r>
        <w:rPr/>
        <w:t xml:space="preserve"> </w:t>
      </w:r>
    </w:p>
    <w:p>
      <w:pPr>
        <w:pStyle w:val="Normal"/>
        <w:rPr/>
      </w:pPr>
      <w:r>
        <w:rPr/>
        <w:t xml:space="preserve">Toto doporučení předkládáme z následujících důvodů: </w:t>
      </w:r>
    </w:p>
    <w:p>
      <w:pPr>
        <w:pStyle w:val="Normal"/>
        <w:rPr/>
      </w:pPr>
      <w:r>
        <w:rPr/>
        <w:t xml:space="preserve">● </w:t>
      </w:r>
      <w:r>
        <w:rPr/>
        <w:t xml:space="preserve">to by umožnilo větší jednotu a rovnost posílením schopnosti občanů komunikovat mezi sebou a podporovat silnější společnou evropskou identitu; </w:t>
      </w:r>
    </w:p>
    <w:p>
      <w:pPr>
        <w:pStyle w:val="Normal"/>
        <w:rPr/>
      </w:pPr>
      <w:r>
        <w:rPr/>
        <w:t xml:space="preserve">● </w:t>
      </w:r>
      <w:r>
        <w:rPr/>
        <w:t xml:space="preserve">tím by se rozšířil trh práce a byl by flexibilnější a přístupnější, což by občanům poskytlo důvěru v práci a komunikaci ve všech ostatních členských státech, které nabízejí více osobní a profesní perspektivy. </w:t>
      </w:r>
    </w:p>
    <w:p>
      <w:pPr>
        <w:pStyle w:val="Normal"/>
        <w:rPr/>
      </w:pPr>
      <w:r>
        <w:rPr/>
        <w:t xml:space="preserve">● </w:t>
      </w:r>
      <w:r>
        <w:rPr/>
        <w:t xml:space="preserve">takový přístup by umožnil šíření společného evropského jazyka ve velmi krátké době; </w:t>
      </w:r>
    </w:p>
    <w:p>
      <w:pPr>
        <w:pStyle w:val="Normal"/>
        <w:rPr/>
      </w:pPr>
      <w:r>
        <w:rPr/>
        <w:t xml:space="preserve">● </w:t>
      </w:r>
      <w:r>
        <w:rPr/>
        <w:t xml:space="preserve">používání společného jazyka urychluje sdílení informací, což by prospělo spolupráci, společné reakci na krize, humanitární pomoci a sbližování mezi Evropou a Evropany. </w:t>
      </w:r>
    </w:p>
    <w:p>
      <w:pPr>
        <w:pStyle w:val="Normal"/>
        <w:rPr/>
      </w:pPr>
      <w:r>
        <w:rPr/>
      </w:r>
    </w:p>
    <w:p>
      <w:pPr>
        <w:pStyle w:val="Titre3"/>
        <w:numPr>
          <w:ilvl w:val="2"/>
          <w:numId w:val="2"/>
        </w:numPr>
        <w:rPr/>
      </w:pPr>
      <w:bookmarkStart w:id="123" w:name="__RefHeading___Toc297181_1346298689"/>
      <w:bookmarkEnd w:id="123"/>
      <w:r>
        <w:rPr/>
        <w:t xml:space="preserve">Osa 5 Etická a bezpečná digitální transformace </w:t>
      </w:r>
    </w:p>
    <w:p>
      <w:pPr>
        <w:pStyle w:val="Normal"/>
        <w:rPr/>
      </w:pPr>
      <w:r>
        <w:rPr/>
        <w:t xml:space="preserve"> </w:t>
      </w:r>
    </w:p>
    <w:p>
      <w:pPr>
        <w:pStyle w:val="Titre4"/>
        <w:numPr>
          <w:ilvl w:val="3"/>
          <w:numId w:val="2"/>
        </w:numPr>
        <w:rPr/>
      </w:pPr>
      <w:bookmarkStart w:id="124" w:name="__RefHeading___Toc297183_1346298689"/>
      <w:bookmarkEnd w:id="124"/>
      <w:commentRangeStart w:id="3"/>
      <w:r>
        <w:rPr/>
        <w:t xml:space="preserve">Dílčí osa 5.1 Demokratizace digitální transformace/podosy 5.2 Kybernetická bezpečnost </w:t>
      </w:r>
      <w:commentRangeEnd w:id="3"/>
      <w:r>
        <w:commentReference w:id="3"/>
      </w:r>
      <w:r>
        <w:rPr/>
      </w:r>
    </w:p>
    <w:p>
      <w:pPr>
        <w:pStyle w:val="Normal"/>
        <w:rPr/>
      </w:pPr>
      <w:r>
        <w:rPr/>
        <w:t xml:space="preserve"> </w:t>
      </w:r>
    </w:p>
    <w:p>
      <w:pPr>
        <w:pStyle w:val="P68B1DB1Normal15"/>
        <w:rPr>
          <w:b/>
          <w:b/>
        </w:rPr>
      </w:pPr>
      <w:r>
        <w:rPr/>
        <w:t xml:space="preserve">39. Doporučujeme, aby EU měla více pravomocí v boji proti nezákonnému obsahu a kyberkriminalitě. Doporučujeme posílit kapacitu Europolu/Evropského centra pro boj proti kyberkriminalitě, včetně: </w:t>
      </w:r>
    </w:p>
    <w:p>
      <w:pPr>
        <w:pStyle w:val="P68B1DB1Normal15"/>
        <w:rPr>
          <w:b/>
          <w:b/>
        </w:rPr>
      </w:pPr>
      <w:r>
        <w:rPr/>
        <w:t xml:space="preserve">● </w:t>
      </w:r>
      <w:r>
        <w:rPr/>
        <w:t xml:space="preserve">zvýšení finančních zdrojů a personálního obsazení </w:t>
      </w:r>
    </w:p>
    <w:p>
      <w:pPr>
        <w:pStyle w:val="P68B1DB1Normal15"/>
        <w:rPr>
          <w:b/>
          <w:b/>
        </w:rPr>
      </w:pPr>
      <w:r>
        <w:rPr/>
        <w:t xml:space="preserve">● </w:t>
      </w:r>
      <w:r>
        <w:rPr/>
        <w:t xml:space="preserve">zaručení podobných sankcí v každé zemi ● zajištění rychlé a účinné kontroly zákonnosti </w:t>
      </w:r>
    </w:p>
    <w:p>
      <w:pPr>
        <w:pStyle w:val="Normal"/>
        <w:rPr/>
      </w:pPr>
      <w:r>
        <w:rPr/>
        <w:t xml:space="preserve"> </w:t>
      </w:r>
    </w:p>
    <w:p>
      <w:pPr>
        <w:pStyle w:val="Normal"/>
        <w:rPr/>
      </w:pPr>
      <w:r>
        <w:rPr/>
        <w:t xml:space="preserve">Toto doporučení předkládáme, abychom zajistili svobodu na internetu a zároveň zajistili trest za diskriminaci, zneužívání a obtěžování. Podporujeme myšlenku evropského veřejného orgánu, protože nechceme ponechat regulaci on-line platforem na soukromých společnostech. On-line platformy musí převzít odpovědnost za distribuovaný obsah, ale chceme se ujistit, že to nejsou jejich zájmy, které převládají. Regulace obsahu a stíhání pachatelů musí být včasné a účinné, aby měly rovněž odrazující účinek na škodlivé osoby. </w:t>
      </w:r>
    </w:p>
    <w:p>
      <w:pPr>
        <w:pStyle w:val="Normal"/>
        <w:rPr/>
      </w:pPr>
      <w:r>
        <w:rPr/>
      </w:r>
    </w:p>
    <w:p>
      <w:pPr>
        <w:pStyle w:val="P68B1DB1Normal15"/>
        <w:rPr>
          <w:b/>
          <w:b/>
        </w:rPr>
      </w:pPr>
      <w:r>
        <w:rPr/>
        <w:t xml:space="preserve">40. Doporučujeme, aby EU investovala do inovativní a vysoce kvalitní digitální infrastruktury (jako je 5G vyvíjená v Evropě) s cílem zajistit nezávislost Evropy a zabránit závislosti na třetích zemích nebo soukromých společnostech. EU by rovněž měla věnovat zvláštní pozornost investicím v zaostávajících regionech. </w:t>
      </w:r>
    </w:p>
    <w:p>
      <w:pPr>
        <w:pStyle w:val="Normal"/>
        <w:rPr/>
      </w:pPr>
      <w:r>
        <w:rPr/>
        <w:t xml:space="preserve"> </w:t>
      </w:r>
    </w:p>
    <w:p>
      <w:pPr>
        <w:pStyle w:val="Normal"/>
        <w:rPr/>
      </w:pPr>
      <w:r>
        <w:rPr/>
        <w:t xml:space="preserve">Toto doporučení předkládáme, protože digitální infrastruktura hraje klíčovou úlohu v evropském hospodářství i v každodenním životě Evropanů, což usnadňují. Evropa proto potřebuje vysoce kvalitní digitální infrastrukturu. Pokud to závisí na třetích stranách, Evropa může být zranitelná vůči negativním vlivům soukromých společností nebo cizích zemí. Evropa by proto měla investovat do digitální infrastruktury, aby se zlepšila její autonomie. Je rovněž důležité zajistit digitální začlenění tím, že se zajistí, aby méně digitálně rozvinuté regiony těžily z investic. </w:t>
      </w:r>
    </w:p>
    <w:p>
      <w:pPr>
        <w:pStyle w:val="Normal"/>
        <w:rPr/>
      </w:pPr>
      <w:r>
        <w:rPr/>
      </w:r>
    </w:p>
    <w:p>
      <w:pPr>
        <w:pStyle w:val="P68B1DB1Normal15"/>
        <w:rPr>
          <w:b/>
          <w:b/>
        </w:rPr>
      </w:pPr>
      <w:r>
        <w:rPr/>
        <w:t xml:space="preserve">41. Doporučujeme, aby EU podporovala vzdělávání v oblasti falešných zpráv, dezinformací a online bezpečnosti v evropských školách. Měla by vycházet z příkladů osvědčených postupů z celé EU. EU by měla zřídit organizaci specificky pověřenou prosazováním této činnosti a poskytováním doporučení vzdělávacím systémům. Měla by rovněž podporovat neformální vzdělávání a inovativní a kreativní výukové techniky (např. participativní hry). </w:t>
      </w:r>
    </w:p>
    <w:p>
      <w:pPr>
        <w:pStyle w:val="Normal"/>
        <w:rPr/>
      </w:pPr>
      <w:r>
        <w:rPr/>
      </w:r>
    </w:p>
    <w:p>
      <w:pPr>
        <w:pStyle w:val="Normal"/>
        <w:rPr/>
      </w:pPr>
      <w:r>
        <w:rPr/>
        <w:t xml:space="preserve">Toto doporučení předkládáme, protože zavedení kurzů o online bezpečnosti a kultuře digitální bezpečnosti (boj proti podvodům na internetu, falešným zprávám atd.) ve škole je důležité, abychom každému poskytli nástroje na ochranu před on-line hrozbami. Je důležité zaměřit se na mladé lidi, kteří jsou těmto hrozbám velmi vystaveni. Školy mohou také komunikovat s rodiči, aby podpořily osvědčené postupy. Tyto kurzy mohou být založeny na příkladech osvědčených postupů v Evropě (např. ve Finsku) a zároveň se přizpůsobují potřebám každé země. </w:t>
      </w:r>
    </w:p>
    <w:p>
      <w:pPr>
        <w:pStyle w:val="Normal"/>
        <w:rPr/>
      </w:pPr>
      <w:r>
        <w:rPr/>
        <w:t xml:space="preserve"> </w:t>
      </w:r>
    </w:p>
    <w:p>
      <w:pPr>
        <w:pStyle w:val="Titre4"/>
        <w:numPr>
          <w:ilvl w:val="3"/>
          <w:numId w:val="2"/>
        </w:numPr>
        <w:rPr/>
      </w:pPr>
      <w:bookmarkStart w:id="125" w:name="__RefHeading___Toc297185_1346298689"/>
      <w:bookmarkEnd w:id="125"/>
      <w:r>
        <w:rPr/>
        <w:t xml:space="preserve">Dílčí osa 5.3 Ochrana údajů </w:t>
      </w:r>
    </w:p>
    <w:p>
      <w:pPr>
        <w:pStyle w:val="Normal"/>
        <w:rPr/>
      </w:pPr>
      <w:r>
        <w:rPr/>
        <w:t xml:space="preserve"> </w:t>
      </w:r>
    </w:p>
    <w:p>
      <w:pPr>
        <w:pStyle w:val="P68B1DB1Normal15"/>
        <w:rPr>
          <w:b/>
          <w:b/>
        </w:rPr>
      </w:pPr>
      <w:r>
        <w:rPr/>
        <w:t xml:space="preserve">42. Doporučujeme dále omezit zneužívání údajů „datovými giganty“ zvýšením souladu s obecným nařízením o ochraně osobních údajů (obecné nařízení o ochraně osobních údajů), vytvořením standardizovaných mechanismů v celé EU a zajištěním toho, aby i neevropské společnosti působící v EU dodržovaly toto nařízení. Toto zlepšení by mělo poskytnout jasné a stručné vysvětlení podmínek použití údajů, aby se zamezilo nejednoznačnosti a poskytování dodatečných informací o tom, jak budou údaje používány a kým, a aby se zabránilo tomu, že souhlas s opětovným použitím a dalším prodejem údajů je standardní možností. Měla by zajistit, aby údaje byly trvale vymazány, pokud o to občan požádá. Měla by rovněž posílit jednotnost monitorování dodržování pravidel, pokud jde o profilování jednotlivců na základě jejich online činností. Navrhujeme dva druhy sankcí: pokuta úměrná obratu společnosti a omezení činnosti společnosti. </w:t>
      </w:r>
    </w:p>
    <w:p>
      <w:pPr>
        <w:pStyle w:val="Normal"/>
        <w:rPr/>
      </w:pPr>
      <w:r>
        <w:rPr/>
        <w:t xml:space="preserve"> </w:t>
      </w:r>
    </w:p>
    <w:p>
      <w:pPr>
        <w:pStyle w:val="Normal"/>
        <w:rPr/>
      </w:pPr>
      <w:r>
        <w:rPr/>
        <w:t xml:space="preserve">Toto doporučení předkládáme, protože transparentnost je v současné době velmi omezená, pokud jde o druh shromažďovaných údajů, způsob jejich zpracování a totožnost osob, kterým jsou tyto údaje prodávány. Musíme dále omezit zneužívání moci datovými giganty a zajistit, aby občané souhlasili se zpracováním svých údajů vědomě. </w:t>
      </w:r>
    </w:p>
    <w:p>
      <w:pPr>
        <w:pStyle w:val="Normal"/>
        <w:rPr/>
      </w:pPr>
      <w:r>
        <w:rPr/>
        <w:t xml:space="preserve"> </w:t>
      </w:r>
    </w:p>
    <w:p>
      <w:pPr>
        <w:pStyle w:val="P68B1DB1Normal15"/>
        <w:rPr>
          <w:b/>
          <w:b/>
        </w:rPr>
      </w:pPr>
      <w:r>
        <w:rPr/>
        <w:t xml:space="preserve">43. Doporučujeme vytvořit nezávislou celoevropskou agenturu, která by měla jasně definovat rušivé chování (např. spam) a vypracovat pokyny, jak mohou občané bránit zpracování svých údajů a získat jejich výmaz, zejména od třetích stran. Tato agentura musí mít mandát k identifikaci a postihování podvodníků a organizací, které nedodržují pravidla. Měla by se zaměřit na zajištění toho, aby subjekty usazené mimo EU, ale působící tam působí, dodržovaly pravidla EU. Byla by financována orgány EU a skládala by se ze společné rady nezávislých orgánů (tj. odborníků z akademické obce a subjektů zastupujících odborníky). Mělo by to mít rotující présidium. Navrhujeme dva druhy sankcí: pokuta úměrná obratu podniků a omezením činnosti podniků. </w:t>
      </w:r>
    </w:p>
    <w:p>
      <w:pPr>
        <w:pStyle w:val="Normal"/>
        <w:rPr/>
      </w:pPr>
      <w:r>
        <w:rPr/>
      </w:r>
    </w:p>
    <w:p>
      <w:pPr>
        <w:pStyle w:val="Normal"/>
        <w:rPr/>
      </w:pPr>
      <w:r>
        <w:rPr/>
        <w:t xml:space="preserve">Toto doporučení předkládáme, protože neexistuje žádná centrální agentura se silným mandátem, která by mohla občanům pomoci, zejména pokud mají problém a potřebují pomoc, poradenství nebo podporu. Neexistují žádná jasná a závazná pravidla, která musí společnosti dodržovat. Pokud jde o sankce, nejsou uplatňovány nebo mají na společnosti zanedbatelný dopad. </w:t>
      </w:r>
    </w:p>
    <w:p>
      <w:pPr>
        <w:pStyle w:val="Normal"/>
        <w:rPr/>
      </w:pPr>
      <w:r>
        <w:rPr/>
        <w:t xml:space="preserve"> </w:t>
      </w:r>
    </w:p>
    <w:p>
      <w:pPr>
        <w:pStyle w:val="P68B1DB1Normal15"/>
        <w:rPr>
          <w:b/>
          <w:b/>
        </w:rPr>
      </w:pPr>
      <w:r>
        <w:rPr/>
        <w:t xml:space="preserve">44. Doporučujeme vytvořit certifikační systém EU, který by transparentním způsobem prokázal soulad s obecným nařízením o ochraně osobních údajů (obecné nařízení o ochraně osobních údajů) a který by zajistil, že informace o ochraně údajů budou prezentovány přístupným, jasným a jednoduchým způsobem. Tento certifikát by byl povinný a viditelný na webových stránkách a platformách. Měl by být vydáván nezávislým certifikačním subjektem na evropské úrovni, existujícím nebo vytvořeným za tímto účelem, který by nebyl spojen s vnitrostátními vládami nebo soukromým sektorem. </w:t>
      </w:r>
    </w:p>
    <w:p>
      <w:pPr>
        <w:pStyle w:val="Normal"/>
        <w:rPr/>
      </w:pPr>
      <w:r>
        <w:rPr/>
        <w:t xml:space="preserve"> </w:t>
      </w:r>
    </w:p>
    <w:p>
      <w:pPr>
        <w:pStyle w:val="Normal"/>
        <w:rPr/>
      </w:pPr>
      <w:r>
        <w:rPr/>
        <w:t xml:space="preserve">Toto doporučení předkládáme, protože v současné době existuje jen malá nebo žádná transparentnost ohledně toho, jak jsou data chráněna každou společností, a uživatelé/zákazníci nemohou činit informovaná rozhodnutí. </w:t>
      </w:r>
    </w:p>
    <w:p>
      <w:pPr>
        <w:pStyle w:val="Normal"/>
        <w:rPr/>
      </w:pPr>
      <w:r>
        <w:rPr/>
      </w:r>
    </w:p>
    <w:p>
      <w:pPr>
        <w:pStyle w:val="P68B1DB1Normal15"/>
        <w:rPr>
          <w:b/>
          <w:b/>
        </w:rPr>
      </w:pPr>
      <w:r>
        <w:rPr/>
        <w:t xml:space="preserve">45. Doporučujeme lépe vysvětlit GDPR (obecné nařízení o ochraně osobních údajů) a zlepšit komunikaci o něm vytvořením standardního textu o dodržování předpisů, který používá jednoduchý a jasný jazyk, srozumitelný pro všechny. Tento text by měl představovat klíčové poselství a/nebo základní zásady. Postup souhlasu by měl být vizuálnější (např. žádost o výslovné povolení přístupu k telefonu prostřednictvím žádosti). Měla by být doprovázena informační kampaní (včetně televize) a systematicky povinnými kurzy (alespoň pro ty, kteří pracují s údaji) a poradenstvím ohledně záměru těch, kteří potřebují pomoc. </w:t>
      </w:r>
    </w:p>
    <w:p>
      <w:pPr>
        <w:pStyle w:val="Normal"/>
        <w:rPr/>
      </w:pPr>
      <w:r>
        <w:rPr/>
        <w:t xml:space="preserve"> </w:t>
      </w:r>
    </w:p>
    <w:p>
      <w:pPr>
        <w:pStyle w:val="Normal"/>
        <w:rPr/>
      </w:pPr>
      <w:r>
        <w:rPr/>
        <w:t xml:space="preserve">Toto doporučení předkládáme, protože v současné době je znění GDPR příliš vágní a příliš technické a množství informací je ohromující a není přístupné všem. Komunikace také není v jednotlivých zemích podobná a často vylučuje různé skupiny, zejména starší lidi a osoby narozené před digitálními technologiemi. </w:t>
      </w:r>
    </w:p>
    <w:p>
      <w:pPr>
        <w:pStyle w:val="Normal"/>
        <w:rPr/>
      </w:pPr>
      <w:r>
        <w:rPr/>
      </w:r>
    </w:p>
    <w:p>
      <w:pPr>
        <w:pStyle w:val="Titre4"/>
        <w:numPr>
          <w:ilvl w:val="3"/>
          <w:numId w:val="2"/>
        </w:numPr>
        <w:rPr/>
      </w:pPr>
      <w:bookmarkStart w:id="126" w:name="__RefHeading___Toc297187_1346298689"/>
      <w:bookmarkEnd w:id="126"/>
      <w:r>
        <w:rPr/>
        <w:t xml:space="preserve">Podosa 5.4 Digitální transformace a zdraví </w:t>
      </w:r>
    </w:p>
    <w:p>
      <w:pPr>
        <w:pStyle w:val="Normal"/>
        <w:rPr/>
      </w:pPr>
      <w:r>
        <w:rPr/>
        <w:t xml:space="preserve"> </w:t>
      </w:r>
    </w:p>
    <w:p>
      <w:pPr>
        <w:pStyle w:val="P68B1DB1Normal15"/>
        <w:rPr>
          <w:b/>
          <w:b/>
        </w:rPr>
      </w:pPr>
      <w:r>
        <w:rPr/>
        <w:t xml:space="preserve">46. Doporučujeme, aby EU řešila problém „falešných informací“ dvěma způsoby: </w:t>
      </w:r>
    </w:p>
    <w:p>
      <w:pPr>
        <w:pStyle w:val="P68B1DB1Normal15"/>
        <w:rPr>
          <w:b/>
          <w:b/>
        </w:rPr>
      </w:pPr>
      <w:r>
        <w:rPr/>
        <w:t xml:space="preserve">● </w:t>
      </w:r>
      <w:r>
        <w:rPr/>
        <w:t xml:space="preserve">právní předpisy umožňující společnostem sociálních médií zavést algoritmy strojového učení, které mohou vyzdvihnout spolehlivost informací na sociálních médiích a nových médiích a poskytovat uživateli ověřené zdroje informací. Doporučujeme, aby algoritmy byly řízeny odborníky, aby bylo zajištěno jejich řádné fungování; </w:t>
      </w:r>
    </w:p>
    <w:p>
      <w:pPr>
        <w:pStyle w:val="P68B1DB1Normal15"/>
        <w:rPr>
          <w:b/>
          <w:b/>
        </w:rPr>
      </w:pPr>
      <w:r>
        <w:rPr/>
        <w:t xml:space="preserve">● </w:t>
      </w:r>
      <w:r>
        <w:rPr/>
        <w:t xml:space="preserve">zřízení digitální platformy pro přiřazení skóre k informacím z tradičních médií (např. televize, tisku, rozhlasu) bez ohledu na politické a ekonomické zájmy a která informuje občany o kvalitě informací bez uplatnění jakékoli formy cenzury. Tato platforma by měla podléhat veřejné kontrole a dodržovat nejvyšší standardy transparentnosti a EU by měla zajistit, aby byly finanční prostředky, které jí byly přiděleny, použity k zamýšlenému účelu. </w:t>
      </w:r>
    </w:p>
    <w:p>
      <w:pPr>
        <w:pStyle w:val="Normal"/>
        <w:rPr/>
      </w:pPr>
      <w:r>
        <w:rPr/>
        <w:t xml:space="preserve"> </w:t>
      </w:r>
    </w:p>
    <w:p>
      <w:pPr>
        <w:pStyle w:val="Normal"/>
        <w:rPr/>
      </w:pPr>
      <w:r>
        <w:rPr/>
        <w:t xml:space="preserve">Toto doporučení vydáváme proto, že se jedná o různé druhy sdělovacích prostředků a domníváme se, že sankce nebo odstranění obsahu by mohly vést k cenzuře a podkopávat svobodu projevu a svobodu tisku. Doporučujeme, aby odborníci kontrolovali a kontrolovali správné fungování algoritmu, aby se ujistili, že funguje správně. V neposlední řadě doporučujeme, aby byla platforma apolitická a nezávislá, aby byla zajištěna transparentnost a svoboda projevu. Navíc vzhledem k tomu, že je nemožné zcela se zbavit nepravdivých informací, přispěje zpřístupnění těchto nástrojů občanům ke snížení jejich účinků v Evropě. </w:t>
      </w:r>
    </w:p>
    <w:p>
      <w:pPr>
        <w:pStyle w:val="Normal"/>
        <w:rPr/>
      </w:pPr>
      <w:r>
        <w:rPr/>
        <w:t xml:space="preserve"> </w:t>
      </w:r>
    </w:p>
    <w:p>
      <w:pPr>
        <w:pStyle w:val="P68B1DB1Normal15"/>
        <w:rPr>
          <w:b/>
          <w:b/>
        </w:rPr>
      </w:pPr>
      <w:r>
        <w:rPr/>
        <w:t xml:space="preserve">47. Doporučujeme, aby EU provedla různá opatření k zajištění zdravého používání internetu: </w:t>
      </w:r>
    </w:p>
    <w:p>
      <w:pPr>
        <w:pStyle w:val="P68B1DB1Normal15"/>
        <w:rPr>
          <w:b/>
          <w:b/>
        </w:rPr>
      </w:pPr>
      <w:r>
        <w:rPr/>
        <w:t xml:space="preserve">● </w:t>
      </w:r>
      <w:r>
        <w:rPr/>
        <w:t xml:space="preserve">V první řadě musí EU řešit nedostatek infrastruktury a vybavení, které občanům brání v přístupu k internetu; </w:t>
      </w:r>
    </w:p>
    <w:p>
      <w:pPr>
        <w:pStyle w:val="P68B1DB1Normal15"/>
        <w:rPr>
          <w:b/>
          <w:b/>
        </w:rPr>
      </w:pPr>
      <w:r>
        <w:rPr/>
        <w:t xml:space="preserve">● </w:t>
      </w:r>
      <w:r>
        <w:rPr/>
        <w:t xml:space="preserve">Dále doporučujeme, aby EU vybízela členské státy, aby zavedly odbornou přípravu na internetu a jeho rizika pro všechny věkové skupiny. Toho lze dosáhnout zavedením kurzů ve školách pro děti a mládež a vytvořením různých osnov a učebních osnov, které by oslovily dospělé a starší občany. Obsah těchto kurzů by měl být stanoven na evropské úrovni skupinou nezávislých odborníků. </w:t>
      </w:r>
    </w:p>
    <w:p>
      <w:pPr>
        <w:pStyle w:val="P68B1DB1Normal15"/>
        <w:rPr>
          <w:b/>
          <w:b/>
        </w:rPr>
      </w:pPr>
      <w:r>
        <w:rPr/>
        <w:t xml:space="preserve">● </w:t>
      </w:r>
      <w:r>
        <w:rPr/>
        <w:t xml:space="preserve">A konečně vyzýváme EU, aby přijala veškerá nezbytná opatření k zajištění toho, aby digitalizace společnosti nevylučovala starší osoby, a aby zajistila, že základní služby budou přístupné i osobně. </w:t>
      </w:r>
    </w:p>
    <w:p>
      <w:pPr>
        <w:pStyle w:val="Normal"/>
        <w:rPr/>
      </w:pPr>
      <w:r>
        <w:rPr/>
      </w:r>
    </w:p>
    <w:p>
      <w:pPr>
        <w:pStyle w:val="P68B1DB1Normal15"/>
        <w:rPr>
          <w:b/>
          <w:b/>
        </w:rPr>
      </w:pPr>
      <w:r>
        <w:rPr/>
        <w:t xml:space="preserve">● </w:t>
      </w:r>
      <w:r>
        <w:rPr/>
        <w:t xml:space="preserve">EU by měla zajistit, aby finanční prostředky konkrétně přidělené na tyto činnosti byly použity k zamýšlenému účelu. </w:t>
      </w:r>
    </w:p>
    <w:p>
      <w:pPr>
        <w:pStyle w:val="Normal"/>
        <w:rPr/>
      </w:pPr>
      <w:r>
        <w:rPr/>
        <w:t xml:space="preserve"> </w:t>
      </w:r>
    </w:p>
    <w:p>
      <w:pPr>
        <w:pStyle w:val="Normal"/>
        <w:rPr/>
      </w:pPr>
      <w:r>
        <w:rPr/>
        <w:t xml:space="preserve">Toto doporučení předkládáme vzhledem k nedostatku infrastruktury a vybavení (např. zařízení) na některých místech v Evropě a potřebě zajistit připojení před vzděláváním občanů, protože víme, že přístup k internetu je v některých regionech a pro určité profily omezený. Doporučujeme uspořádat kurzy s cílem pomoci dětem získat digitální dovednosti, poskytnout další programy na pomoc starším lidem digitalizovat a podniknout nezbytné kroky k zajištění toho, aby digitální transformace nenarušovala práva starších lidí. </w:t>
      </w:r>
    </w:p>
    <w:p>
      <w:pPr>
        <w:pStyle w:val="Normal"/>
        <w:rPr/>
      </w:pPr>
      <w:r>
        <w:rPr/>
      </w:r>
    </w:p>
    <w:p>
      <w:pPr>
        <w:pStyle w:val="P68B1DB1Normal15"/>
        <w:rPr>
          <w:b/>
          <w:b/>
        </w:rPr>
      </w:pPr>
      <w:r>
        <w:rPr/>
        <w:t xml:space="preserve">48. Doporučujeme, aby EU podporovala vzdělávání občanů v každém členském státě s cílem posílit kritické myšlení, skepticismus a ověřování faktů a naučit je nezávisle posuzovat, zda jsou informace spolehlivé či nikoli. Toto vzdělávání by mělo zahrnovat organizaci specifických kurzů na základní úrovni vzdělávání a mělo by být v jiných veřejných prostorách nabízeno občanům všech věkových kategorií, kteří z něj chtějí mít prospěch. EU by měla zajistit, aby finanční prostředky konkrétně přidělené na tyto činnosti byly použity k zamýšlenému účelu. </w:t>
      </w:r>
    </w:p>
    <w:p>
      <w:pPr>
        <w:pStyle w:val="Normal"/>
        <w:rPr/>
      </w:pPr>
      <w:r>
        <w:rPr/>
        <w:t xml:space="preserve"> </w:t>
      </w:r>
    </w:p>
    <w:p>
      <w:pPr>
        <w:pStyle w:val="Normal"/>
        <w:rPr/>
      </w:pPr>
      <w:r>
        <w:rPr/>
        <w:t xml:space="preserve">Toto doporučení vydáváme, protože si myslíme, že je nemožné se zcela zbavit nepravdivých informací. Toto školení pomůže občanům rozpoznat je pro sebe. V důsledku toho se sníží dopad nepravdivých informací na společnost a na samotné občany. Občanům by také nabídla více příležitostí k jednání, spíše než aby se spoléhala na instituce, aby získaly spolehlivé informace. </w:t>
      </w:r>
    </w:p>
    <w:p>
      <w:pPr>
        <w:pStyle w:val="Normal"/>
        <w:rPr/>
      </w:pPr>
      <w:r>
        <w:rPr/>
        <w:t xml:space="preserve"> </w:t>
      </w:r>
    </w:p>
    <w:p>
      <w:pPr>
        <w:pStyle w:val="Titre3"/>
        <w:numPr>
          <w:ilvl w:val="2"/>
          <w:numId w:val="2"/>
        </w:numPr>
        <w:rPr/>
      </w:pPr>
      <w:bookmarkStart w:id="127" w:name="__RefHeading___Toc297189_1346298689"/>
      <w:bookmarkEnd w:id="127"/>
      <w:r>
        <w:rPr/>
        <w:t xml:space="preserve">Příloha: DALŠÍ DOPORUČENÍ POSUZOVANÁ KOMISÍ, KTERÁ NEBYLA PŘIJATA </w:t>
      </w:r>
    </w:p>
    <w:p>
      <w:pPr>
        <w:pStyle w:val="Normal"/>
        <w:rPr/>
      </w:pPr>
      <w:r>
        <w:rPr/>
        <w:t xml:space="preserve"> </w:t>
      </w:r>
    </w:p>
    <w:p>
      <w:pPr>
        <w:pStyle w:val="Titre4"/>
        <w:numPr>
          <w:ilvl w:val="3"/>
          <w:numId w:val="2"/>
        </w:numPr>
        <w:rPr/>
      </w:pPr>
      <w:bookmarkStart w:id="128" w:name="__RefHeading___Toc297191_1346298689"/>
      <w:bookmarkEnd w:id="128"/>
      <w:r>
        <w:rPr/>
        <w:t xml:space="preserve">Osa 3 Spravedlivá společnost </w:t>
      </w:r>
    </w:p>
    <w:p>
      <w:pPr>
        <w:pStyle w:val="Normal"/>
        <w:rPr/>
      </w:pPr>
      <w:r>
        <w:rPr/>
        <w:t xml:space="preserve"> </w:t>
      </w:r>
    </w:p>
    <w:p>
      <w:pPr>
        <w:pStyle w:val="Normal"/>
        <w:rPr/>
      </w:pPr>
      <w:r>
        <w:rPr/>
        <w:t xml:space="preserve">Dílčí osa 3.2 Rovnost práv </w:t>
      </w:r>
    </w:p>
    <w:p>
      <w:pPr>
        <w:pStyle w:val="Normal"/>
        <w:rPr/>
      </w:pPr>
      <w:r>
        <w:rPr/>
        <w:t xml:space="preserve"> </w:t>
      </w:r>
    </w:p>
    <w:p>
      <w:pPr>
        <w:pStyle w:val="P68B1DB1Normal15"/>
        <w:rPr>
          <w:b/>
          <w:b/>
        </w:rPr>
      </w:pPr>
      <w:r>
        <w:rPr/>
        <w:t xml:space="preserve">Doporučujeme, aby EU vytvořila mechanismus pro sledování a dodržování práv menšin (např. portál nebo kancelář, kde by lidé mohli podávat stížnosti). </w:t>
      </w:r>
    </w:p>
    <w:p>
      <w:pPr>
        <w:pStyle w:val="Normal"/>
        <w:rPr/>
      </w:pPr>
      <w:r>
        <w:rPr/>
        <w:t xml:space="preserve"> </w:t>
      </w:r>
    </w:p>
    <w:p>
      <w:pPr>
        <w:pStyle w:val="Normal"/>
        <w:rPr/>
      </w:pPr>
      <w:r>
        <w:rPr/>
        <w:t xml:space="preserve">Toto doporučení vydáváme, protože věříme, že každý jednotlivec může vyjádřit svůj názor a má právo hledat a přijímat pomoc. Takový úřad je nezbytný ke snížení napětí mezi menšinami a většinou. </w:t>
      </w:r>
    </w:p>
    <w:p>
      <w:pPr>
        <w:pStyle w:val="Normal"/>
        <w:rPr/>
      </w:pPr>
      <w:r>
        <w:rPr/>
      </w:r>
    </w:p>
    <w:p>
      <w:pPr>
        <w:pStyle w:val="Normal"/>
        <w:rPr/>
      </w:pPr>
      <w:r>
        <w:rPr/>
        <w:t xml:space="preserve">Podosa 3.3 Equity/podosy 3.4 Přístup ke sportu </w:t>
      </w:r>
    </w:p>
    <w:p>
      <w:pPr>
        <w:pStyle w:val="Normal"/>
        <w:rPr/>
      </w:pPr>
      <w:r>
        <w:rPr/>
        <w:t xml:space="preserve"> </w:t>
      </w:r>
    </w:p>
    <w:p>
      <w:pPr>
        <w:pStyle w:val="P68B1DB1Normal15"/>
        <w:rPr>
          <w:b/>
          <w:b/>
        </w:rPr>
      </w:pPr>
      <w:r>
        <w:rPr/>
        <w:t xml:space="preserve">Doporučujeme, aby EU zvyšovala povědomí o fyzické aktivitě prostřednictvím „modelování rolí“, a to za účasti veřejných osobností (takže akce pořádané Parlamentem by měly zahrnovat určitou formu fyzické aktivity nebo pohybu, a to po dobu několika sekund, jako je protahování, chůze nebo skákání). </w:t>
      </w:r>
    </w:p>
    <w:p>
      <w:pPr>
        <w:pStyle w:val="Normal"/>
        <w:rPr/>
      </w:pPr>
      <w:r>
        <w:rPr/>
        <w:t xml:space="preserve"> </w:t>
      </w:r>
    </w:p>
    <w:p>
      <w:pPr>
        <w:pStyle w:val="Normal"/>
        <w:rPr/>
      </w:pPr>
      <w:r>
        <w:rPr/>
        <w:t xml:space="preserve">Toto doporučení předkládáme, protože mobilizace veřejných osob na fyzickou aktivitu zvýší povědomí veřejnosti. </w:t>
      </w:r>
    </w:p>
    <w:p>
      <w:pPr>
        <w:pStyle w:val="Normal"/>
        <w:rPr/>
      </w:pPr>
      <w:r>
        <w:rPr/>
      </w:r>
    </w:p>
    <w:p>
      <w:pPr>
        <w:pStyle w:val="Titre4"/>
        <w:numPr>
          <w:ilvl w:val="3"/>
          <w:numId w:val="2"/>
        </w:numPr>
        <w:rPr/>
      </w:pPr>
      <w:bookmarkStart w:id="129" w:name="__RefHeading___Toc297193_1346298689"/>
      <w:bookmarkEnd w:id="129"/>
      <w:r>
        <w:rPr/>
        <w:t xml:space="preserve">Osa 5 Etická a bezpečná digitální transformace </w:t>
      </w:r>
    </w:p>
    <w:p>
      <w:pPr>
        <w:pStyle w:val="Normal"/>
        <w:rPr/>
      </w:pPr>
      <w:r>
        <w:rPr/>
        <w:t xml:space="preserve"> </w:t>
      </w:r>
    </w:p>
    <w:p>
      <w:pPr>
        <w:pStyle w:val="Normal"/>
        <w:rPr/>
      </w:pPr>
      <w:r>
        <w:rPr/>
        <w:t xml:space="preserve">Dílčí osa 5.3 Ochrana údajů </w:t>
      </w:r>
    </w:p>
    <w:p>
      <w:pPr>
        <w:pStyle w:val="Normal"/>
        <w:rPr/>
      </w:pPr>
      <w:r>
        <w:rPr/>
        <w:t xml:space="preserve"> </w:t>
      </w:r>
    </w:p>
    <w:p>
      <w:pPr>
        <w:pStyle w:val="P68B1DB1Normal15"/>
        <w:rPr>
          <w:b/>
          <w:b/>
        </w:rPr>
      </w:pPr>
      <w:r>
        <w:rPr/>
        <w:t xml:space="preserve">Doporučujeme vytvoření webového ID, které bude uchovávat osobní a citlivé údaje, ale zpřístupní je pouze úřadům a policii. Online platformy a prodejci budou používat online kód spojený s tímto internetovým identifikátorem a údaje nezbytné pro danou činnost. Výchozí nastavení pro sdílení dat pomocí tohoto identifikátoru by nemělo být schváleno. Údaje by měly být sděleny pouze přímo dotčeným stranám, a nikoli třetí straně. Jsou-li údaje sděleny třetí straně, měl by mít občan možnost proti nim snadno vznést námitky. Údaje by měly být k dispozici pouze po omezenou dobu nebo pro konkrétní transakci. Povolení k používání údajů by mělo být časově omezeno nebo by mělo být jasně definováno, co mohou společnosti s těmito údaji dělat. </w:t>
      </w:r>
    </w:p>
    <w:p>
      <w:pPr>
        <w:pStyle w:val="Normal"/>
        <w:rPr/>
      </w:pPr>
      <w:r>
        <w:rPr/>
        <w:t xml:space="preserve"> </w:t>
      </w:r>
    </w:p>
    <w:p>
      <w:pPr>
        <w:pStyle w:val="Normal"/>
        <w:rPr/>
      </w:pPr>
      <w:r>
        <w:rPr/>
        <w:t xml:space="preserve">Toto doporučení předkládáme, protože v současné době mohou společnosti shromažďovat všechny údaje, včetně osobních údajů a citlivých údajů, a používat je pro mnoho účelů, aniž by přesně sdělily, jak a proč. Takže operátoři získají více informací, než skutečně potřebují, aby nám poskytli služby a poté mohou bez našeho souhlasu znovu prodat nebo znovu použít jiné údaje. Zároveň to zajistí odpovědnost uživatelů internetu při zachování jejich relativní anonymity. </w:t>
      </w:r>
      <w:r>
        <w:br w:type="page"/>
      </w:r>
    </w:p>
    <w:p>
      <w:pPr>
        <w:pStyle w:val="Titre2"/>
        <w:numPr>
          <w:ilvl w:val="1"/>
          <w:numId w:val="2"/>
        </w:numPr>
        <w:rPr/>
      </w:pPr>
      <w:bookmarkStart w:id="130" w:name="__RefHeading___Toc297195_1346298689"/>
      <w:bookmarkEnd w:id="130"/>
      <w:r>
        <w:rPr/>
        <w:t xml:space="preserve">Evropský panel občanů 2: „Evropská demokracie; hodnoty a práva, právní stát, bezpečnost </w:t>
      </w:r>
    </w:p>
    <w:p>
      <w:pPr>
        <w:pStyle w:val="Normal"/>
        <w:rPr/>
      </w:pPr>
      <w:r>
        <w:rPr/>
      </w:r>
    </w:p>
    <w:p>
      <w:pPr>
        <w:pStyle w:val="Normal"/>
        <w:rPr/>
      </w:pPr>
      <w:r>
        <w:rPr/>
        <w:t xml:space="preserve">DOPORUČENÍ PŘIJATÁ ODBORNOU SKUPINOU (PŘEDKLÁDAJÍ SE NA PLENÁRNÍM ZASEDÁNÍ) </w:t>
      </w:r>
    </w:p>
    <w:p>
      <w:pPr>
        <w:pStyle w:val="Normal"/>
        <w:rPr/>
      </w:pPr>
      <w:r>
        <w:rPr/>
        <w:t xml:space="preserve"> </w:t>
      </w:r>
    </w:p>
    <w:p>
      <w:pPr>
        <w:pStyle w:val="Titre3"/>
        <w:numPr>
          <w:ilvl w:val="2"/>
          <w:numId w:val="2"/>
        </w:numPr>
        <w:rPr/>
      </w:pPr>
      <w:bookmarkStart w:id="131" w:name="__RefHeading___Toc297197_1346298689"/>
      <w:bookmarkEnd w:id="131"/>
      <w:r>
        <w:rPr/>
        <w:t xml:space="preserve">Osa 1: Zaručení práv a nediskriminace </w:t>
      </w:r>
    </w:p>
    <w:p>
      <w:pPr>
        <w:pStyle w:val="Normal"/>
        <w:rPr/>
      </w:pPr>
      <w:r>
        <w:rPr/>
        <w:t xml:space="preserve"> </w:t>
      </w:r>
    </w:p>
    <w:p>
      <w:pPr>
        <w:pStyle w:val="Titre4"/>
        <w:numPr>
          <w:ilvl w:val="3"/>
          <w:numId w:val="2"/>
        </w:numPr>
        <w:rPr/>
      </w:pPr>
      <w:bookmarkStart w:id="132" w:name="__RefHeading___Toc297199_1346298689"/>
      <w:bookmarkEnd w:id="132"/>
      <w:r>
        <w:rPr/>
        <w:t xml:space="preserve">Dílčí osa 1.1 Nediskriminace/podosa 1.2 Rovnost žen a mužů </w:t>
      </w:r>
    </w:p>
    <w:p>
      <w:pPr>
        <w:pStyle w:val="Normal"/>
        <w:rPr/>
      </w:pPr>
      <w:r>
        <w:rPr/>
        <w:t xml:space="preserve"> </w:t>
      </w:r>
    </w:p>
    <w:p>
      <w:pPr>
        <w:pStyle w:val="P68B1DB1Normal15"/>
        <w:rPr>
          <w:b/>
          <w:b/>
        </w:rPr>
      </w:pPr>
      <w:r>
        <w:rPr/>
        <w:t xml:space="preserve">1. „Doporučujeme, aby EU zahrnula kritéria pro boj proti diskriminaci na trhu práce (kvóty pro mladé lidi, starší osoby, ženy, menšiny). Pokud společnosti splní tato kritéria, obdrží dotace nebo daňové úlevy.“ </w:t>
      </w:r>
    </w:p>
    <w:p>
      <w:pPr>
        <w:pStyle w:val="P68B1DB1Normal15"/>
        <w:rPr>
          <w:b/>
          <w:b/>
        </w:rPr>
      </w:pPr>
      <w:r>
        <w:rPr/>
        <w:t xml:space="preserve">Doporučujeme zvýšit povědomí zaměstnanců o následujících otázkách: </w:t>
      </w:r>
    </w:p>
    <w:p>
      <w:pPr>
        <w:pStyle w:val="P68B1DB1Normal15"/>
        <w:rPr>
          <w:b/>
          <w:b/>
        </w:rPr>
      </w:pPr>
      <w:r>
        <w:rPr/>
        <w:t xml:space="preserve">● </w:t>
      </w:r>
      <w:r>
        <w:rPr/>
        <w:t xml:space="preserve">nadnárodní a vnitrostátní instituce (např. odborové organizace); </w:t>
      </w:r>
    </w:p>
    <w:p>
      <w:pPr>
        <w:pStyle w:val="P68B1DB1Normal15"/>
        <w:rPr>
          <w:b/>
          <w:b/>
        </w:rPr>
      </w:pPr>
      <w:r>
        <w:rPr/>
        <w:t xml:space="preserve">● </w:t>
      </w:r>
      <w:r>
        <w:rPr/>
        <w:t xml:space="preserve">mechanismy k zajištění toho, aby společnosti dodržovaly stávající pravidla nediskriminace na pracovišti; </w:t>
      </w:r>
    </w:p>
    <w:p>
      <w:pPr>
        <w:pStyle w:val="P68B1DB1Normal15"/>
        <w:rPr>
          <w:b/>
          <w:b/>
        </w:rPr>
      </w:pPr>
      <w:r>
        <w:rPr/>
        <w:t xml:space="preserve">● </w:t>
      </w:r>
      <w:r>
        <w:rPr/>
        <w:t xml:space="preserve">kvalifikační programy pro sociální skupiny, které čelí diskriminaci na trhu práce (mladí lidé, starší osoby, ženy, menšiny). </w:t>
      </w:r>
    </w:p>
    <w:p>
      <w:pPr>
        <w:pStyle w:val="Normal"/>
        <w:rPr/>
      </w:pPr>
      <w:r>
        <w:rPr/>
        <w:t xml:space="preserve"> </w:t>
      </w:r>
    </w:p>
    <w:p>
      <w:pPr>
        <w:pStyle w:val="P68B1DB1Normal15"/>
        <w:rPr>
          <w:b/>
          <w:b/>
        </w:rPr>
      </w:pPr>
      <w:r>
        <w:rPr/>
        <w:t xml:space="preserve">Doporučujeme přijmout právní předpisy EU ve dvou fázích. Zaprvé by měly být poskytovány dotace na přijímání zaměstnanců z určitých kategorií, které by mohly být diskriminovány. Zadruhé, legislativní akt by měl vyžadovat, aby zaměstnavatelé zaměstnávali tyto skupiny po minimální dobu. </w:t>
      </w:r>
    </w:p>
    <w:p>
      <w:pPr>
        <w:pStyle w:val="Normal"/>
        <w:rPr/>
      </w:pPr>
      <w:r>
        <w:rPr/>
        <w:t xml:space="preserve"> </w:t>
      </w:r>
    </w:p>
    <w:p>
      <w:pPr>
        <w:pStyle w:val="Normal"/>
        <w:rPr/>
      </w:pPr>
      <w:r>
        <w:rPr/>
        <w:t xml:space="preserve">EU je totiž odpovědná za udržování rovnováhy mezi zájmy volného trhu a ochranou zranitelných skupin, které je třeba právně chránit. Heterogenní skupiny jsou pro firmy žádoucí, protože nabízejí různorodou kvalifikaci. Dotace jsou dodatečnou pobídkou, kterou je třeba poskytnout společnostem. </w:t>
      </w:r>
    </w:p>
    <w:p>
      <w:pPr>
        <w:pStyle w:val="Normal"/>
        <w:rPr/>
      </w:pPr>
      <w:r>
        <w:rPr/>
        <w:t xml:space="preserve"> </w:t>
      </w:r>
    </w:p>
    <w:p>
      <w:pPr>
        <w:pStyle w:val="P68B1DB1Normal15"/>
        <w:rPr>
          <w:b/>
          <w:b/>
        </w:rPr>
      </w:pPr>
      <w:r>
        <w:rPr/>
        <w:t xml:space="preserve">2. „Doporučujeme, aby EU vytvořila program pobídek, který usnadní vytváření cenově dostupných mateřských škol a dětských hřišť ve velkých a malých podnicích. Sdílená zařízení jsou také schůdným řešením pro malé podniky, aby mohly využívat dotace. </w:t>
      </w:r>
    </w:p>
    <w:p>
      <w:pPr>
        <w:pStyle w:val="P68B1DB1Normal15"/>
        <w:rPr>
          <w:b/>
          <w:b/>
        </w:rPr>
      </w:pPr>
      <w:r>
        <w:rPr/>
        <w:t xml:space="preserve">Doporučujeme, aby EU uložila společnostem povinnost založit mateřské školy v poměru k počtu zaměstnanců. </w:t>
      </w:r>
    </w:p>
    <w:p>
      <w:pPr>
        <w:pStyle w:val="Normal"/>
        <w:rPr/>
      </w:pPr>
      <w:r>
        <w:rPr/>
        <w:t xml:space="preserve"> </w:t>
      </w:r>
    </w:p>
    <w:p>
      <w:pPr>
        <w:pStyle w:val="Normal"/>
        <w:rPr/>
      </w:pPr>
      <w:r>
        <w:rPr/>
        <w:t xml:space="preserve">Doporučujeme to, protože sladění rodinného a pracovního života zlepšuje pracovní výkon, snižuje nezaměstnanost a staví rodiče, zejména ženy, do pozice, která jim umožňuje pokračovat v kariéře. Se zaměřením na sociální rozměr navrhované řešení zajišťuje bezpečnost dětí a snižuje úzkost rodičů. </w:t>
      </w:r>
    </w:p>
    <w:p>
      <w:pPr>
        <w:pStyle w:val="Normal"/>
        <w:rPr/>
      </w:pPr>
      <w:r>
        <w:rPr/>
      </w:r>
    </w:p>
    <w:p>
      <w:pPr>
        <w:pStyle w:val="Titre4"/>
        <w:numPr>
          <w:ilvl w:val="3"/>
          <w:numId w:val="2"/>
        </w:numPr>
        <w:rPr/>
      </w:pPr>
      <w:bookmarkStart w:id="133" w:name="__RefHeading___Toc297201_1346298689"/>
      <w:bookmarkEnd w:id="133"/>
      <w:r>
        <w:rPr/>
        <w:t xml:space="preserve">Dílčí osa 1.3: Ochrana lidských práv a práv přírody a zvířat </w:t>
      </w:r>
    </w:p>
    <w:p>
      <w:pPr>
        <w:pStyle w:val="Normal"/>
        <w:rPr/>
      </w:pPr>
      <w:r>
        <w:rPr/>
        <w:t xml:space="preserve"> </w:t>
      </w:r>
    </w:p>
    <w:p>
      <w:pPr>
        <w:pStyle w:val="P68B1DB1Normal15"/>
        <w:rPr>
          <w:b/>
          <w:b/>
        </w:rPr>
      </w:pPr>
      <w:r>
        <w:rPr/>
        <w:t xml:space="preserve">3. „Doporučujeme zachovat dobré životní podmínky a udržitelnost zvířat změnou směrnice 98/58/ES o ochraně zvířat v hospodářstvích. Je třeba definovat podrobnější minimální kritéria. Musí být přesné, měřitelné a časově omezené. Minimální kritéria musí být stanovena tak, aby vedla k vyšším standardům dobrých životních podmínek zvířat a zároveň umožnila přechod k udržitelnému klimatu a životnímu prostředí a ekologickému zemědělství. </w:t>
      </w:r>
    </w:p>
    <w:p>
      <w:pPr>
        <w:pStyle w:val="Normal"/>
        <w:rPr/>
      </w:pPr>
      <w:r>
        <w:rPr/>
        <w:t xml:space="preserve"> </w:t>
      </w:r>
    </w:p>
    <w:p>
      <w:pPr>
        <w:pStyle w:val="Normal"/>
        <w:rPr/>
      </w:pPr>
      <w:r>
        <w:rPr/>
        <w:t xml:space="preserve">Jako občané se domníváme, že je důležité, aby byly v EU harmonizovány přísnější minimální normy pro chov hospodářských zvířat. Jsme si vědomi toho, že přechod by mohl představovat problémy v některých zemědělských odvětvích, která dostávají dotace, a v těch, která přecházejí k ekologickému a udržitelnému zemědělství. Domníváme se však, že je velmi důležité zajistit, aby k tomuto přechodu došlo. </w:t>
      </w:r>
    </w:p>
    <w:p>
      <w:pPr>
        <w:pStyle w:val="Normal"/>
        <w:rPr/>
      </w:pPr>
      <w:r>
        <w:rPr/>
        <w:t xml:space="preserve"> </w:t>
      </w:r>
    </w:p>
    <w:p>
      <w:pPr>
        <w:pStyle w:val="P68B1DB1Normal15"/>
        <w:rPr>
          <w:b/>
          <w:b/>
        </w:rPr>
      </w:pPr>
      <w:r>
        <w:rPr/>
        <w:t xml:space="preserve">4. Doporučujeme podporovat zemědělství šetrnější k životnímu prostředí a ke klimatu v Evropě i ve světě, například zdaněním všech negativních emisí, pesticidů a extrémního využívání vody v závislosti na jejich dopadu na životní prostředí. Cla na všechny zemědělské produkty dovážené do Unie musí odstranit konkurenční výhody třetích zemí, které nesplňují stejné normy jako Unie. Na podporu zemědělství šetrného ke zvířatům doporučujeme zdanit emise způsobené přepravou zvířat na dlouhé vzdálenosti. </w:t>
      </w:r>
    </w:p>
    <w:p>
      <w:pPr>
        <w:pStyle w:val="Normal"/>
        <w:rPr/>
      </w:pPr>
      <w:r>
        <w:rPr/>
        <w:t xml:space="preserve"> </w:t>
      </w:r>
    </w:p>
    <w:p>
      <w:pPr>
        <w:pStyle w:val="Normal"/>
        <w:rPr/>
      </w:pPr>
      <w:r>
        <w:rPr/>
        <w:t xml:space="preserve">Zavedením takového systému se domníváme, že je možné podpořit přechod na zemědělství šetrné ke klimatu a šetrné k životnímu prostředí. </w:t>
      </w:r>
    </w:p>
    <w:p>
      <w:pPr>
        <w:pStyle w:val="Normal"/>
        <w:rPr/>
      </w:pPr>
      <w:r>
        <w:rPr/>
        <w:t xml:space="preserve"> </w:t>
      </w:r>
    </w:p>
    <w:p>
      <w:pPr>
        <w:pStyle w:val="P68B1DB1Normal15"/>
        <w:rPr>
          <w:b/>
          <w:b/>
        </w:rPr>
      </w:pPr>
      <w:r>
        <w:rPr/>
        <w:t xml:space="preserve">5. Zatímco v poslední době koluje spousta falešných zpráv, doporučujeme podporovat nezávislejší, objektivnější a vyváženější mediální pokrytí tím, že podnikneme následující kroky: 1. vypracovat směrnici EU, kterou se stanoví minimální normy pro nezávislost sdělovacích prostředků; 2. podporovat na úrovni Unie rozvoj mediálních dovedností pro každého občana.“ </w:t>
      </w:r>
    </w:p>
    <w:p>
      <w:pPr>
        <w:pStyle w:val="Normal"/>
        <w:rPr/>
      </w:pPr>
      <w:r>
        <w:rPr/>
        <w:t xml:space="preserve"> </w:t>
      </w:r>
    </w:p>
    <w:p>
      <w:pPr>
        <w:pStyle w:val="Normal"/>
        <w:rPr/>
      </w:pPr>
      <w:r>
        <w:rPr/>
        <w:t xml:space="preserve">EU musí vypracovat směrnici, která zaručí nezávislost sdělovacích prostředků a svobodu projevu. </w:t>
      </w:r>
    </w:p>
    <w:p>
      <w:pPr>
        <w:pStyle w:val="Normal"/>
        <w:rPr/>
      </w:pPr>
      <w:r>
        <w:rPr/>
        <w:t xml:space="preserve"> </w:t>
      </w:r>
    </w:p>
    <w:p>
      <w:pPr>
        <w:pStyle w:val="Normal"/>
        <w:rPr/>
      </w:pPr>
      <w:r>
        <w:rPr>
          <w:b/>
        </w:rPr>
        <w:t>6. Doporučujeme, abychom přestali dotovat masovou zemědělskou produkci, pokud nepovedou k přechodu na klima, ekologické a udržitelné zemědělství. Místo toho doporučujeme přesměrovat granty na podporu udržitelné transformace.</w:t>
      </w:r>
      <w:r>
        <w:rPr/>
        <w:t xml:space="preserve"> </w:t>
      </w:r>
    </w:p>
    <w:p>
      <w:pPr>
        <w:pStyle w:val="Normal"/>
        <w:rPr/>
      </w:pPr>
      <w:r>
        <w:rPr/>
        <w:t xml:space="preserve"> </w:t>
      </w:r>
    </w:p>
    <w:p>
      <w:pPr>
        <w:pStyle w:val="Normal"/>
        <w:rPr/>
      </w:pPr>
      <w:r>
        <w:rPr/>
        <w:t xml:space="preserve">Namísto subvencování zemědělského odvětví masového chovu by měly být dotace přesměrovány na zemědělské podniky, které jsou v procesu transformace, aby splňovaly nové minimální normy v oblasti dobrých životních podmínek zvířat. </w:t>
      </w:r>
    </w:p>
    <w:p>
      <w:pPr>
        <w:pStyle w:val="Normal"/>
        <w:rPr/>
      </w:pPr>
      <w:r>
        <w:rPr/>
        <w:t xml:space="preserve"> </w:t>
      </w:r>
    </w:p>
    <w:p>
      <w:pPr>
        <w:pStyle w:val="Titre4"/>
        <w:numPr>
          <w:ilvl w:val="3"/>
          <w:numId w:val="2"/>
        </w:numPr>
        <w:rPr/>
      </w:pPr>
      <w:bookmarkStart w:id="134" w:name="__RefHeading___Toc297203_1346298689"/>
      <w:bookmarkEnd w:id="134"/>
      <w:r>
        <w:rPr/>
        <w:t xml:space="preserve">Dílčí osa 1.4 Právo na soukromí </w:t>
      </w:r>
    </w:p>
    <w:p>
      <w:pPr>
        <w:pStyle w:val="Normal"/>
        <w:rPr/>
      </w:pPr>
      <w:r>
        <w:rPr/>
        <w:t xml:space="preserve"> </w:t>
      </w:r>
    </w:p>
    <w:p>
      <w:pPr>
        <w:pStyle w:val="P68B1DB1Normal15"/>
        <w:rPr>
          <w:b/>
          <w:b/>
        </w:rPr>
      </w:pPr>
      <w:r>
        <w:rPr/>
        <w:t xml:space="preserve">7. „Doporučujeme, aby subjekty, které zpracovávají osobní údaje, byly povoleny na úrovni EU. Tyto subjekty budou muset být rovněž podrobeny nezávislému, externímu každoročnímu auditu ochrany údajů. Tyto subjekty budou sankcionovány za porušení ochrany údajů úměrně jejich ročnímu obratu, a to přísnějším způsobem, než je stanoveno ve stávajícím nařízení. Schválení by mělo být zrušeno po dvou po sobě jdoucích porušeních a ihned po závažném porušení. </w:t>
      </w:r>
    </w:p>
    <w:p>
      <w:pPr>
        <w:pStyle w:val="Normal"/>
        <w:rPr/>
      </w:pPr>
      <w:r>
        <w:rPr/>
        <w:t xml:space="preserve"> </w:t>
      </w:r>
    </w:p>
    <w:p>
      <w:pPr>
        <w:pStyle w:val="Normal"/>
        <w:rPr/>
      </w:pPr>
      <w:r>
        <w:rPr/>
        <w:t xml:space="preserve">Tato opatření doporučujeme, protože stávající regulace (GDPR) není dostatečná a subjekty musí být lépe kontrolovány a sankcionovány, aby se zajistilo, že neporušují ochranu údajů a právo na soukromí. </w:t>
      </w:r>
    </w:p>
    <w:p>
      <w:pPr>
        <w:pStyle w:val="Normal"/>
        <w:rPr/>
      </w:pPr>
      <w:r>
        <w:rPr/>
        <w:t xml:space="preserve"> </w:t>
      </w:r>
    </w:p>
    <w:p>
      <w:pPr>
        <w:pStyle w:val="P68B1DB1Normal15"/>
        <w:rPr>
          <w:b/>
          <w:b/>
        </w:rPr>
      </w:pPr>
      <w:r>
        <w:rPr/>
        <w:t xml:space="preserve">8. „Doporučujeme posílit pravomoci Unie v těchto oblastech: 1) vzdělávání v oblasti ochrany údajů, 2) povědomí o ochraně údajů a 3) ochrana osobních údajů nezletilých osob. Doporučujeme vyjasnit a posílit pravidla týkající se zpracování údajů nezletilých osob v GDPR, včetně pravidel týkajících se souhlasu, ověřování věku a kontroly zákonnými zástupci. Doporučujeme také zavést do GDPR zvláštní kategorii citlivých údajů nezletilých (např. trestní rejstřík, zdravotní informace, nahotu), aby nezletilé osoby byly chráněny před jakoukoli formou zneužívání a diskriminace. </w:t>
      </w:r>
    </w:p>
    <w:p>
      <w:pPr>
        <w:pStyle w:val="Normal"/>
        <w:rPr/>
      </w:pPr>
      <w:r>
        <w:rPr/>
        <w:t xml:space="preserve"> </w:t>
      </w:r>
    </w:p>
    <w:p>
      <w:pPr>
        <w:pStyle w:val="Normal"/>
        <w:rPr/>
      </w:pPr>
      <w:r>
        <w:rPr/>
        <w:t xml:space="preserve">Toto doporučení je nezbytné, protože nezletilí jsou obzvláště zranitelní vůči ochraně údajů a porušování soukromí a protože v současné době si obecná populace (zejména nezletilí, učitelé a zákonní zástupci) není dostatečně vědoma ochrany údajů. Všichni se musí naučit používat online a offline datové služby a chránit práva dětí na soukromí. Kromě toho mohou zákonní zástupci často souhlasit se zpracováním údajů o dětech, aniž by byli plně informováni nebo informováni, a děti mohou souhlas rodičů falšovat. A konečně, toto doporučení je nezbytné, protože neexistuje skutečná celoevropská informační kampaň zaměřená zejména na nezletilé osoby, zákonné opatrovníky a učitele, přičemž taková kampaň je nezbytná. </w:t>
      </w:r>
    </w:p>
    <w:p>
      <w:pPr>
        <w:pStyle w:val="Normal"/>
        <w:rPr/>
      </w:pPr>
      <w:r>
        <w:rPr/>
      </w:r>
    </w:p>
    <w:p>
      <w:pPr>
        <w:pStyle w:val="P68B1DB1Normal15"/>
        <w:rPr>
          <w:b/>
          <w:b/>
        </w:rPr>
      </w:pPr>
      <w:r>
        <w:rPr/>
        <w:t xml:space="preserve">9. Doporučujeme zavést standardizované zásady ochrany osobních údajů a snadno srozumitelné, stručné a intuitivní formuláře souhlasu, které jasně uvádějí, co je zpracování údajů nezbytně nutné a co je volitelné. Doporučujeme, aby odvolání souhlasu bylo snadné, rychlé a trvalé. Doporučujeme subjektům zakázat, aby omezily své služby více, než je nezbytné, pokud nebyl udělen souhlas s volitelným zpracováním údajů. </w:t>
      </w:r>
    </w:p>
    <w:p>
      <w:pPr>
        <w:pStyle w:val="Normal"/>
        <w:rPr/>
      </w:pPr>
      <w:r>
        <w:rPr/>
        <w:t xml:space="preserve"> </w:t>
      </w:r>
    </w:p>
    <w:p>
      <w:pPr>
        <w:pStyle w:val="Normal"/>
        <w:rPr/>
      </w:pPr>
      <w:r>
        <w:rPr/>
        <w:t xml:space="preserve">Doporučujeme to, protože stávající pravidla EU nejsou dostatečně přesná, odvolání souhlasu je dlouhé, dočasné a složité a subjekty nemají zájem nabízet své služby občanům, kteří se dovolávají svého práva na ochranu údajů. </w:t>
      </w:r>
    </w:p>
    <w:p>
      <w:pPr>
        <w:pStyle w:val="Normal"/>
        <w:rPr/>
      </w:pPr>
      <w:r>
        <w:rPr/>
        <w:t xml:space="preserve"> </w:t>
      </w:r>
    </w:p>
    <w:p>
      <w:pPr>
        <w:pStyle w:val="Titre3"/>
        <w:numPr>
          <w:ilvl w:val="2"/>
          <w:numId w:val="2"/>
        </w:numPr>
        <w:rPr/>
      </w:pPr>
      <w:bookmarkStart w:id="135" w:name="__RefHeading___Toc297205_1346298689"/>
      <w:bookmarkEnd w:id="135"/>
      <w:r>
        <w:rPr/>
        <w:t xml:space="preserve">Osa 2: Ochrana demokracie a právního státu </w:t>
      </w:r>
    </w:p>
    <w:p>
      <w:pPr>
        <w:pStyle w:val="Normal"/>
        <w:rPr/>
      </w:pPr>
      <w:r>
        <w:rPr/>
        <w:t xml:space="preserve"> </w:t>
      </w:r>
    </w:p>
    <w:p>
      <w:pPr>
        <w:pStyle w:val="Titre4"/>
        <w:numPr>
          <w:ilvl w:val="3"/>
          <w:numId w:val="2"/>
        </w:numPr>
        <w:rPr/>
      </w:pPr>
      <w:bookmarkStart w:id="136" w:name="__RefHeading___Toc297207_1346298689"/>
      <w:bookmarkEnd w:id="136"/>
      <w:r>
        <w:rPr/>
        <w:t xml:space="preserve">Dílčí osa 2.1 Ochrana právního státu </w:t>
      </w:r>
    </w:p>
    <w:p>
      <w:pPr>
        <w:pStyle w:val="Normal"/>
        <w:rPr/>
      </w:pPr>
      <w:r>
        <w:rPr/>
        <w:t xml:space="preserve"> </w:t>
      </w:r>
    </w:p>
    <w:p>
      <w:pPr>
        <w:pStyle w:val="P68B1DB1Normal15"/>
        <w:rPr>
          <w:b/>
          <w:b/>
        </w:rPr>
      </w:pPr>
      <w:r>
        <w:rPr/>
        <w:t xml:space="preserve">10. „Doporučujeme, aby nařízení o podmíněnosti (2020/2092, přijaté dne 16. prosince 2020) bylo změněno tak, aby se vztahovalo spíše na všechna porušení právního státu než na porušování, které má dopad na rozpočet EU.“ </w:t>
      </w:r>
    </w:p>
    <w:p>
      <w:pPr>
        <w:pStyle w:val="Normal"/>
        <w:rPr/>
      </w:pPr>
      <w:r>
        <w:rPr/>
        <w:t xml:space="preserve"> </w:t>
      </w:r>
    </w:p>
    <w:p>
      <w:pPr>
        <w:pStyle w:val="Normal"/>
        <w:rPr/>
      </w:pPr>
      <w:r>
        <w:rPr/>
        <w:t xml:space="preserve">Nařízení o podmíněnosti umožňuje pozastavit vyplácení finančních prostředků EU členským státům, které porušují zásady právního státu. Ve stávajícím znění se však vztahuje pouze na porušení, která mají nebo pravděpodobně budou mít dopad na rozpočet EU. Kromě toho stávající znění nařízení o podmíněnosti chrání rozpočet EU a orgány EU spíše než občany dotčených členských států. Proto doporučujeme změnit stávající znění nařízení tak, aby zahrnovalo všechna porušení zásad právního státu. </w:t>
      </w:r>
    </w:p>
    <w:p>
      <w:pPr>
        <w:pStyle w:val="Normal"/>
        <w:rPr/>
      </w:pPr>
      <w:r>
        <w:rPr/>
        <w:t xml:space="preserve"> </w:t>
      </w:r>
    </w:p>
    <w:p>
      <w:pPr>
        <w:pStyle w:val="P68B1DB1Normal15"/>
        <w:rPr>
          <w:b/>
          <w:b/>
        </w:rPr>
      </w:pPr>
      <w:r>
        <w:rPr/>
        <w:t xml:space="preserve">11. „Doporučujeme, aby EU pořádala výroční konference o právním státu po zveřejnění výroční zprávy o právním státu (mechanismus Komise pro sledování dodržování zásad právního státu členskými státy). Členské státy by měly mít povinnost vyslat na konferenci různé sociální delegace, včetně občanů a státních zaměstnanců.“ </w:t>
      </w:r>
    </w:p>
    <w:p>
      <w:pPr>
        <w:pStyle w:val="Normal"/>
        <w:rPr/>
      </w:pPr>
      <w:r>
        <w:rPr/>
        <w:t xml:space="preserve"> </w:t>
      </w:r>
    </w:p>
    <w:p>
      <w:pPr>
        <w:pStyle w:val="Normal"/>
        <w:rPr/>
      </w:pPr>
      <w:r>
        <w:rPr/>
        <w:t xml:space="preserve">Tato konference by podpořila dialog mezi občany EU o otázkách právního státu, jakož i dialog mezi občany a odborníky, kteří vypracovávají výroční zprávy o právním státu. Věříme, že v atmosféře vzájemného uznání a sdílení budou účastníci schopni vrátit osvědčené postupy a nápady zpět do svých domovských zemí. Konference by navíc zvýšila povědomí o zásadě právního státu a o závěrech a procesech, na nichž je založena výroční zpráva o právním státu, a porozuměla jí. Rovněž by přilákal pozornost sdělovacích prostředků a umožnil by občanům sdílet své zkušenosti a porovnávat je se zjištěními uvedenými ve zprávě. </w:t>
      </w:r>
    </w:p>
    <w:p>
      <w:pPr>
        <w:pStyle w:val="Normal"/>
        <w:rPr/>
      </w:pPr>
      <w:r>
        <w:rPr/>
      </w:r>
    </w:p>
    <w:p>
      <w:pPr>
        <w:pStyle w:val="Titre4"/>
        <w:numPr>
          <w:ilvl w:val="3"/>
          <w:numId w:val="2"/>
        </w:numPr>
        <w:rPr/>
      </w:pPr>
      <w:bookmarkStart w:id="137" w:name="__RefHeading___Toc297209_1346298689"/>
      <w:bookmarkEnd w:id="137"/>
      <w:r>
        <w:rPr/>
        <w:t xml:space="preserve">Podosa 2.2 Ochrana a posilování demokracie/podosy 2.4 Média a dezinformace </w:t>
      </w:r>
    </w:p>
    <w:p>
      <w:pPr>
        <w:pStyle w:val="Normal"/>
        <w:rPr/>
      </w:pPr>
      <w:r>
        <w:rPr/>
        <w:t xml:space="preserve"> </w:t>
      </w:r>
    </w:p>
    <w:p>
      <w:pPr>
        <w:pStyle w:val="P68B1DB1Normal15"/>
        <w:rPr>
          <w:b/>
          <w:b/>
        </w:rPr>
      </w:pPr>
      <w:r>
        <w:rPr/>
        <w:t xml:space="preserve">12. „Doporučujeme, aby EU důsledněji uplatňovala svá pravidla hospodářské soutěže v odvětví sdělovacích prostředků s cílem zajistit ochranu plurality sdělovacích prostředků ve všech členských státech. EU by měla zabránit velkým mediálním monopolům a politickým jmenováním do mediálních rad. Rovněž doporučujeme, aby budoucí právní předpisy EU týkající se svobody sdělovacích prostředků zahrnovaly pravidla, která zabrání politikům vlastnit nebo mít silný vliv na jejich obsah. </w:t>
      </w:r>
    </w:p>
    <w:p>
      <w:pPr>
        <w:pStyle w:val="Normal"/>
        <w:rPr/>
      </w:pPr>
      <w:r>
        <w:rPr/>
        <w:t xml:space="preserve"> </w:t>
      </w:r>
    </w:p>
    <w:p>
      <w:pPr>
        <w:pStyle w:val="Normal"/>
        <w:rPr/>
      </w:pPr>
      <w:r>
        <w:rPr/>
        <w:t xml:space="preserve">Doporučujeme to, protože uplatňování pravidel EU v oblasti hospodářské soutěže podporuje pluralitní mediální prostředí, ve kterém mají občané na výběr. Vzhledem k tomu, že Komise v současné době připravuje legislativní akt (o svobodě sdělovacích prostředků) pro integritu mediálního trhu EU, mělo by být rovněž stanoveno, že sdělovací prostředky by neměly být zadržovány ani ovlivňovány politiky. </w:t>
      </w:r>
    </w:p>
    <w:p>
      <w:pPr>
        <w:pStyle w:val="Normal"/>
        <w:rPr/>
      </w:pPr>
      <w:r>
        <w:rPr/>
        <w:t xml:space="preserve"> </w:t>
      </w:r>
    </w:p>
    <w:p>
      <w:pPr>
        <w:pStyle w:val="Titre4"/>
        <w:numPr>
          <w:ilvl w:val="3"/>
          <w:numId w:val="2"/>
        </w:numPr>
        <w:rPr/>
      </w:pPr>
      <w:bookmarkStart w:id="138" w:name="__RefHeading___Toc297211_1346298689"/>
      <w:bookmarkEnd w:id="138"/>
      <w:r>
        <w:rPr/>
        <w:t xml:space="preserve">Podosa 2.3 Bezpečnost </w:t>
      </w:r>
    </w:p>
    <w:p>
      <w:pPr>
        <w:pStyle w:val="Normal"/>
        <w:rPr/>
      </w:pPr>
      <w:r>
        <w:rPr/>
        <w:t xml:space="preserve"> </w:t>
      </w:r>
    </w:p>
    <w:p>
      <w:pPr>
        <w:pStyle w:val="P68B1DB1Normal15"/>
        <w:rPr>
          <w:b/>
          <w:b/>
        </w:rPr>
      </w:pPr>
      <w:r>
        <w:rPr/>
        <w:t xml:space="preserve">13. „Doporučujeme orgánům EU, aby hrály významnější úlohu se všemi nástroji, které mají k dispozici, včetně národních středisek kybernetické bezpečnosti a Agentury Evropské unie pro kybernetickou bezpečnost (ENISA), s cílem chránit občany, organizace a instituce před novými hrozbami vyplývajícími z narušení kybernetické bezpečnosti a využívání umělé inteligence pro účely trestné činnosti. Rovněž doporučujeme, aby směrnice z Evropy a jejích agentur byly řádně prováděny a šířeny ve všech členských státech.“ </w:t>
      </w:r>
    </w:p>
    <w:p>
      <w:pPr>
        <w:pStyle w:val="Normal"/>
        <w:rPr/>
      </w:pPr>
      <w:r>
        <w:rPr/>
        <w:t xml:space="preserve"> </w:t>
      </w:r>
    </w:p>
    <w:p>
      <w:pPr>
        <w:pStyle w:val="Normal"/>
        <w:rPr/>
      </w:pPr>
      <w:r>
        <w:rPr/>
        <w:t xml:space="preserve">Doporučujeme to proto, že občané se cítí bezmocní a nejsou si vědomi toho, co Evropská unie dělá pro boj proti těmto hrozbám. Doporučujeme to, protože tyto hrozby představují závažný vnitrostátní a evropský bezpečnostní problém. Doporučujeme to, protože Evropa by měla být skutečnou hnací silou inovací v této oblasti. </w:t>
      </w:r>
    </w:p>
    <w:p>
      <w:pPr>
        <w:pStyle w:val="Normal"/>
        <w:rPr/>
      </w:pPr>
      <w:r>
        <w:rPr/>
        <w:t xml:space="preserve"> </w:t>
      </w:r>
    </w:p>
    <w:p>
      <w:pPr>
        <w:pStyle w:val="P68B1DB1Normal15"/>
        <w:rPr>
          <w:b/>
          <w:b/>
        </w:rPr>
      </w:pPr>
      <w:r>
        <w:rPr/>
        <w:t xml:space="preserve">14. „Doporučujeme, aby Unie ve svých vztazích s vnějšími zeměmi nejprve posílila společné demokratické hodnoty na svých hranicích. Teprve po dosažení tohoto cíle doporučujeme, aby se Unie stala velvyslankyní našeho demokratického modelu v zemích, které jsou ochotny tento model uplatňovat a jsou ochotny tak učinit prostřednictvím diplomacie a dialogu. </w:t>
      </w:r>
    </w:p>
    <w:p>
      <w:pPr>
        <w:pStyle w:val="Normal"/>
        <w:rPr/>
      </w:pPr>
      <w:r>
        <w:rPr/>
        <w:t xml:space="preserve"> </w:t>
      </w:r>
    </w:p>
    <w:p>
      <w:pPr>
        <w:pStyle w:val="Normal"/>
        <w:rPr/>
      </w:pPr>
      <w:r>
        <w:rPr/>
        <w:t xml:space="preserve">Doporučujeme toto opatření, protože se musíme podívat dovnitř, než se podíváme ven. Protože Evropa může a musí pomoci členským státům posílit jejich demokracie. Protože my sami sebe chráníme také tím, že dáváme příklad a podporujeme úsilí vnějších zemí o demokracii. </w:t>
      </w:r>
    </w:p>
    <w:p>
      <w:pPr>
        <w:pStyle w:val="Normal"/>
        <w:rPr/>
      </w:pPr>
      <w:r>
        <w:rPr/>
        <w:t xml:space="preserve"> </w:t>
      </w:r>
    </w:p>
    <w:p>
      <w:pPr>
        <w:pStyle w:val="Titre3"/>
        <w:numPr>
          <w:ilvl w:val="2"/>
          <w:numId w:val="2"/>
        </w:numPr>
        <w:rPr/>
      </w:pPr>
      <w:bookmarkStart w:id="139" w:name="__RefHeading___Toc297213_1346298689"/>
      <w:bookmarkEnd w:id="139"/>
      <w:r>
        <w:rPr/>
        <w:t xml:space="preserve">Osa 3: Reforma Evropské unie </w:t>
      </w:r>
    </w:p>
    <w:p>
      <w:pPr>
        <w:pStyle w:val="Normal"/>
        <w:rPr/>
      </w:pPr>
      <w:r>
        <w:rPr/>
        <w:t xml:space="preserve"> </w:t>
      </w:r>
    </w:p>
    <w:p>
      <w:pPr>
        <w:pStyle w:val="Titre4"/>
        <w:numPr>
          <w:ilvl w:val="3"/>
          <w:numId w:val="2"/>
        </w:numPr>
        <w:rPr/>
      </w:pPr>
      <w:bookmarkStart w:id="140" w:name="__RefHeading___Toc297215_1346298689"/>
      <w:bookmarkEnd w:id="140"/>
      <w:r>
        <w:rPr/>
        <w:t>Dílčí osa 3.1 Institucionální reforma</w:t>
      </w:r>
    </w:p>
    <w:p>
      <w:pPr>
        <w:pStyle w:val="Normal"/>
        <w:rPr/>
      </w:pPr>
      <w:r>
        <w:rPr/>
        <w:t xml:space="preserve"> </w:t>
      </w:r>
    </w:p>
    <w:p>
      <w:pPr>
        <w:pStyle w:val="Normal"/>
        <w:rPr/>
      </w:pPr>
      <w:r>
        <w:rPr>
          <w:b/>
        </w:rPr>
        <w:t>15. „Doporučujeme změnit názvy orgánů EU tak, aby se vyjasnily jejich funkce. Například Rada Evropské unie by mohla být nazývána Senátem Evropské unie. Evropská komise by mohla být nazývána Výkonnou komisí Evropské unie</w:t>
      </w:r>
      <w:r>
        <w:rPr/>
        <w:t xml:space="preserve">. </w:t>
      </w:r>
    </w:p>
    <w:p>
      <w:pPr>
        <w:pStyle w:val="Normal"/>
        <w:rPr/>
      </w:pPr>
      <w:r>
        <w:rPr/>
        <w:t xml:space="preserve"> </w:t>
      </w:r>
    </w:p>
    <w:p>
      <w:pPr>
        <w:pStyle w:val="Normal"/>
        <w:rPr/>
      </w:pPr>
      <w:r>
        <w:rPr/>
        <w:t xml:space="preserve">Doporučujeme to, protože v současné době je pro občany obtížné pochopit úlohy a funkce každého orgánu EU. Jejich jména neodrážejí jejich funkce. Nelze očekávat, že občané rozlišují mezi Radou Evropské unie, Evropskou radou a Radou Evropy. Je důležité se vyhnout překrývání. </w:t>
      </w:r>
    </w:p>
    <w:p>
      <w:pPr>
        <w:pStyle w:val="Normal"/>
        <w:rPr/>
      </w:pPr>
      <w:r>
        <w:rPr/>
        <w:t xml:space="preserve"> </w:t>
      </w:r>
    </w:p>
    <w:p>
      <w:pPr>
        <w:pStyle w:val="P68B1DB1Normal15"/>
        <w:rPr>
          <w:b/>
          <w:b/>
        </w:rPr>
      </w:pPr>
      <w:r>
        <w:rPr/>
        <w:t xml:space="preserve">16. Doporučujeme přijetí volebního zákona pro Evropský parlament, který harmonizuje volební podmínky (věk volebního práva, datum voleb, požadavky týkající se volebních obvodů, kandidátů, politických stran a jejich financování). Evropští občané by měli mít právo volit pro různé strany na úrovni EU, z nichž každá se skládá z kandidátů z několika členských států. Během dostatečného přechodného období by občané mohli stále hlasovat pro vnitrostátní a nadnárodní strany. </w:t>
      </w:r>
    </w:p>
    <w:p>
      <w:pPr>
        <w:pStyle w:val="Normal"/>
        <w:rPr/>
      </w:pPr>
      <w:r>
        <w:rPr/>
        <w:t xml:space="preserve"> </w:t>
      </w:r>
    </w:p>
    <w:p>
      <w:pPr>
        <w:pStyle w:val="Normal"/>
        <w:rPr/>
      </w:pPr>
      <w:r>
        <w:rPr/>
        <w:t xml:space="preserve">Doporučujeme to, protože Unie potřebuje vytvořit pocit jednoty, který by mohl vzniknout prostřednictvím skutečně jednotných voleb do Evropského parlamentu. Tyto společné volby umožní posílit postavení poslanců Evropského parlamentu a zaměřit volební kampaň na společná evropská témata. </w:t>
      </w:r>
    </w:p>
    <w:p>
      <w:pPr>
        <w:pStyle w:val="Normal"/>
        <w:rPr/>
      </w:pPr>
      <w:r>
        <w:rPr/>
        <w:t xml:space="preserve"> </w:t>
      </w:r>
    </w:p>
    <w:p>
      <w:pPr>
        <w:pStyle w:val="Titre4"/>
        <w:numPr>
          <w:ilvl w:val="3"/>
          <w:numId w:val="2"/>
        </w:numPr>
        <w:rPr/>
      </w:pPr>
      <w:bookmarkStart w:id="141" w:name="__RefHeading___Toc297217_1346298689"/>
      <w:bookmarkEnd w:id="141"/>
      <w:r>
        <w:rPr/>
        <w:t xml:space="preserve">Dílčí osa 3.2 Rozhodnutí </w:t>
      </w:r>
    </w:p>
    <w:p>
      <w:pPr>
        <w:pStyle w:val="Normal"/>
        <w:rPr/>
      </w:pPr>
      <w:r>
        <w:rPr/>
        <w:t xml:space="preserve"> </w:t>
      </w:r>
    </w:p>
    <w:p>
      <w:pPr>
        <w:pStyle w:val="P68B1DB1Normal15"/>
        <w:rPr>
          <w:b/>
          <w:b/>
        </w:rPr>
      </w:pPr>
      <w:r>
        <w:rPr/>
        <w:t xml:space="preserve">17. Doporučujeme vytvořit on-line platformu, kde budou moci občané vyhledávat a požadovat fakticky ověřené informace. Platforma by měla být jasně propojena s orgány EU, měla by být tematicky strukturovaná a snadno přístupná (např. poskytnutím horké linky). Občané by měli mít možnost klást odborníkům (např. akademikům, novinářům) kritické otázky a získat faktické odpovědi ze zdrojů. </w:t>
      </w:r>
    </w:p>
    <w:p>
      <w:pPr>
        <w:pStyle w:val="Normal"/>
        <w:rPr/>
      </w:pPr>
      <w:r>
        <w:rPr/>
        <w:t xml:space="preserve"> </w:t>
      </w:r>
    </w:p>
    <w:p>
      <w:pPr>
        <w:pStyle w:val="Normal"/>
        <w:rPr/>
      </w:pPr>
      <w:r>
        <w:rPr/>
        <w:t xml:space="preserve">Volný přístup k věcným informacím má pro naši společnost zásadní význam, aby byli občané dobře informováni a chráněni před falešnými zprávami a dezinformacemi. Potřebujeme důvěryhodný a nezávislý zdroj informací, který není ovlivněn politickými, ekonomickými a národními zájmy. Kromě toho může platforma vytvořit most (tj. přímý vztah) mezi občany a EU. </w:t>
      </w:r>
    </w:p>
    <w:p>
      <w:pPr>
        <w:pStyle w:val="Normal"/>
        <w:rPr/>
      </w:pPr>
      <w:r>
        <w:rPr/>
      </w:r>
    </w:p>
    <w:p>
      <w:pPr>
        <w:pStyle w:val="P68B1DB1Normal15"/>
        <w:rPr>
          <w:b/>
          <w:b/>
        </w:rPr>
      </w:pPr>
      <w:r>
        <w:rPr/>
        <w:t xml:space="preserve">18. Doporučujeme, aby se ve výjimečných případech konalo celoevropské referendum o otázkách, které mají velký význam pro všechny evropské občany. Referendum by mělo být zahájeno Evropským parlamentem a mělo by být právně závazné. </w:t>
      </w:r>
    </w:p>
    <w:p>
      <w:pPr>
        <w:pStyle w:val="Normal"/>
        <w:rPr/>
      </w:pPr>
      <w:r>
        <w:rPr/>
        <w:t xml:space="preserve"> </w:t>
      </w:r>
    </w:p>
    <w:p>
      <w:pPr>
        <w:pStyle w:val="Normal"/>
        <w:rPr/>
      </w:pPr>
      <w:r>
        <w:rPr/>
        <w:t xml:space="preserve">Občané EU by měli mít přímější vliv na důležitá rozhodnutí o evropských otázkách. Referendum by se však mělo konat pouze za výjimečných okolností, protože vzhledem k jejich vysokým nákladům by nebylo možné je pořádat pravidelně. Jsme si vědomi toho, že toto doporučení může vyžadovat změnu Smlouvy a úpravu vnitrostátních ústav. </w:t>
      </w:r>
    </w:p>
    <w:p>
      <w:pPr>
        <w:pStyle w:val="Normal"/>
        <w:rPr/>
      </w:pPr>
      <w:r>
        <w:rPr/>
        <w:t xml:space="preserve"> </w:t>
      </w:r>
    </w:p>
    <w:p>
      <w:pPr>
        <w:pStyle w:val="P68B1DB1Normal15"/>
        <w:rPr>
          <w:b/>
          <w:b/>
        </w:rPr>
      </w:pPr>
      <w:r>
        <w:rPr/>
        <w:t xml:space="preserve">19. Doporučujeme vytvořit multifunkční digitální platformu, jejímž prostřednictvím budou moci občané volit v on-line volbách a volbách. Občané by měli mít možnost motivovat své hlasování o důležitých otázkách a legislativních návrzích evropských orgánů. Tato platforma by měla být bezpečná, široce přístupná a vysoce viditelná pro každého občana. </w:t>
      </w:r>
    </w:p>
    <w:p>
      <w:pPr>
        <w:pStyle w:val="Normal"/>
        <w:rPr/>
      </w:pPr>
      <w:r>
        <w:rPr/>
        <w:t xml:space="preserve"> </w:t>
      </w:r>
    </w:p>
    <w:p>
      <w:pPr>
        <w:pStyle w:val="Normal"/>
        <w:rPr/>
      </w:pPr>
      <w:r>
        <w:rPr/>
        <w:t xml:space="preserve">Cílem této platformy je zvýšit účast na evropské politice a usnadnit občanům přístup ke konzultacím a hlasování. Stávající nástroje a procesy nejsou dostatečně viditelné, a proto potřebujeme nový integrovaný nástroj pro tyto různé funkce. Větší účast vede k lepším rozhodnutím, větší důvěře mezi evropskými občany a k lepšímu fungování Unie obecně. </w:t>
      </w:r>
    </w:p>
    <w:p>
      <w:pPr>
        <w:pStyle w:val="Normal"/>
        <w:rPr/>
      </w:pPr>
      <w:r>
        <w:rPr/>
        <w:t xml:space="preserve"> </w:t>
      </w:r>
    </w:p>
    <w:p>
      <w:pPr>
        <w:pStyle w:val="P68B1DB1Normal15"/>
        <w:rPr>
          <w:b/>
          <w:b/>
        </w:rPr>
      </w:pPr>
      <w:r>
        <w:rPr/>
        <w:t xml:space="preserve">20. „Doporučujeme, aby byly systémy hlasování v orgánech EU přehodnoceny se zaměřením na otázku jednomyslného hlasování. „Vážení“ hlasů by mělo být vypočteno spravedlivě, aby byly chráněny zájmy malých zemí. </w:t>
      </w:r>
    </w:p>
    <w:p>
      <w:pPr>
        <w:pStyle w:val="Normal"/>
        <w:rPr/>
      </w:pPr>
      <w:r>
        <w:rPr/>
        <w:t xml:space="preserve"> </w:t>
      </w:r>
    </w:p>
    <w:p>
      <w:pPr>
        <w:pStyle w:val="Normal"/>
        <w:rPr/>
      </w:pPr>
      <w:r>
        <w:rPr/>
        <w:t xml:space="preserve">Jednomyslnost je pro rozhodování v EU důležitou výzvou. Vzhledem k velkému počtu členských států je velmi obtížné dosáhnout dohody. V případě potřeby by měly být změněny evropské smlouvy, aby se vyřešila otázka jednomyslnosti. </w:t>
      </w:r>
    </w:p>
    <w:p>
      <w:pPr>
        <w:pStyle w:val="Normal"/>
        <w:rPr/>
      </w:pPr>
      <w:r>
        <w:rPr/>
        <w:t xml:space="preserve"> </w:t>
      </w:r>
    </w:p>
    <w:p>
      <w:pPr>
        <w:pStyle w:val="Titre4"/>
        <w:numPr>
          <w:ilvl w:val="3"/>
          <w:numId w:val="2"/>
        </w:numPr>
        <w:rPr/>
      </w:pPr>
      <w:bookmarkStart w:id="142" w:name="__RefHeading___Toc297219_1346298689"/>
      <w:bookmarkEnd w:id="142"/>
      <w:r>
        <w:rPr/>
        <w:t xml:space="preserve">Těsnější integrace podosy 3.3 </w:t>
      </w:r>
    </w:p>
    <w:p>
      <w:pPr>
        <w:pStyle w:val="Normal"/>
        <w:rPr/>
      </w:pPr>
      <w:r>
        <w:rPr/>
        <w:t xml:space="preserve"> </w:t>
      </w:r>
    </w:p>
    <w:p>
      <w:pPr>
        <w:pStyle w:val="P68B1DB1Normal15"/>
        <w:rPr>
          <w:b/>
          <w:b/>
        </w:rPr>
      </w:pPr>
      <w:r>
        <w:rPr/>
        <w:t xml:space="preserve">21. „Doporučujeme, aby Unie zveřejňovala investice, které vedou k vytváření vhodných pracovních míst a ke zlepšení a harmonizaci kvality života v celé Unii, mezi členskými státy a v rámci členských států (tj. na regionální úrovni). Je třeba zajistit účinný dohled, transparentnost a komunikaci s občany při provádění veřejných investic a umožnit občanům sledovat celý investiční proces. V zájmu lepší kvality života by měly být investovány do oblastí, jako je vzdělávání, zdraví, bydlení, fyzická infrastruktura, péče o seniory a osoby se zdravotním postižením, s přihlédnutím k potřebám každého členského státu. Cílem dodatečných investic by mělo být vytvoření dobré rovnováhy mezi vhodným pracovním a osobním životem s cílem umožnit zdravý životní styl. </w:t>
      </w:r>
    </w:p>
    <w:p>
      <w:pPr>
        <w:pStyle w:val="Normal"/>
        <w:rPr/>
      </w:pPr>
      <w:r>
        <w:rPr/>
        <w:t xml:space="preserve"> </w:t>
      </w:r>
    </w:p>
    <w:p>
      <w:pPr>
        <w:pStyle w:val="Normal"/>
        <w:rPr/>
      </w:pPr>
      <w:r>
        <w:rPr/>
        <w:t xml:space="preserve">Toto opatření doporučujeme, protože harmonizace životní úrovně v Unii zlepší hospodářský pokrok v celé Unii, což povede k vytvoření jednotné Evropské unie. Jedná se o klíčový ukazatel pro další integraci Unie. Ačkoli některé z těchto mechanismů již existují, věříme, že je lze ještě zlepšit. </w:t>
      </w:r>
    </w:p>
    <w:p>
      <w:pPr>
        <w:pStyle w:val="Normal"/>
        <w:rPr/>
      </w:pPr>
      <w:r>
        <w:rPr/>
        <w:t xml:space="preserve"> </w:t>
      </w:r>
    </w:p>
    <w:p>
      <w:pPr>
        <w:pStyle w:val="P68B1DB1Normal15"/>
        <w:rPr>
          <w:b/>
          <w:b/>
        </w:rPr>
      </w:pPr>
      <w:r>
        <w:rPr/>
        <w:t xml:space="preserve">22. „Doporučujeme vytvořit pro všechny členské státy společný základ založený na souboru hospodářských ukazatelů a ukazatelů kvality života s cílem nabídnout rovné příležitosti a zajistit rovné podmínky pro dosažení společné hospodářské struktury. Je důležité, aby byl tento společný základ stanoven podle jasného a realistického harmonogramu stanoveného orgány na doporučení odborníků. Rovněž by měli být konzultováni odborníci ohledně podoby takové společné hospodářské struktury. Je rovněž důležité, aby ukazatele, na nichž je tento společný základ založen, byly přesněji definovány s pomocí odborníků. </w:t>
      </w:r>
    </w:p>
    <w:p>
      <w:pPr>
        <w:pStyle w:val="Normal"/>
        <w:rPr/>
      </w:pPr>
      <w:r>
        <w:rPr/>
        <w:t xml:space="preserve"> </w:t>
      </w:r>
    </w:p>
    <w:p>
      <w:pPr>
        <w:pStyle w:val="Normal"/>
        <w:rPr/>
      </w:pPr>
      <w:r>
        <w:rPr/>
        <w:t xml:space="preserve">Doporučujeme to, protože pokud budeme mít spravedlivou Unii, budeme mít jednotnější Evropu. Abychom byli spravedliví, musíme nabídnout rovné příležitosti a společný základ pro celou Unii. Společné hospodářské struktury bude možné dosáhnout až po vytvoření společného základu. </w:t>
      </w:r>
    </w:p>
    <w:p>
      <w:pPr>
        <w:pStyle w:val="Normal"/>
        <w:rPr/>
      </w:pPr>
      <w:r>
        <w:rPr/>
        <w:t xml:space="preserve"> </w:t>
      </w:r>
    </w:p>
    <w:p>
      <w:pPr>
        <w:pStyle w:val="P68B1DB1Normal15"/>
        <w:rPr>
          <w:b/>
          <w:b/>
        </w:rPr>
      </w:pPr>
      <w:r>
        <w:rPr/>
        <w:t xml:space="preserve">23. Doporučujeme zdanění velkých společností a příjmů právnických osob s cílem přispět k veřejným investicím a využít zdanění k investicím do vzdělávání a rozvoje v každé zemi (VaV, stipendia – Erasmus atd.). Je rovněž důležité zajistit, aby byly v EU zrušeny daňové ráje.“ </w:t>
      </w:r>
    </w:p>
    <w:p>
      <w:pPr>
        <w:pStyle w:val="Normal"/>
        <w:rPr/>
      </w:pPr>
      <w:r>
        <w:rPr/>
        <w:t xml:space="preserve"> </w:t>
      </w:r>
    </w:p>
    <w:p>
      <w:pPr>
        <w:pStyle w:val="Normal"/>
        <w:rPr/>
      </w:pPr>
      <w:r>
        <w:rPr/>
        <w:t xml:space="preserve">Toto opatření doporučujeme, neboť pomůže předcházet daňovým únikům a vytváření daňových rájů a podpoří dodržování předpisů. </w:t>
      </w:r>
    </w:p>
    <w:p>
      <w:pPr>
        <w:pStyle w:val="Normal"/>
        <w:rPr/>
      </w:pPr>
      <w:r>
        <w:rPr/>
      </w:r>
    </w:p>
    <w:p>
      <w:pPr>
        <w:pStyle w:val="Titre3"/>
        <w:numPr>
          <w:ilvl w:val="2"/>
          <w:numId w:val="2"/>
        </w:numPr>
        <w:rPr/>
      </w:pPr>
      <w:bookmarkStart w:id="143" w:name="__RefHeading___Toc297221_1346298689"/>
      <w:bookmarkEnd w:id="143"/>
      <w:r>
        <w:rPr/>
        <w:t xml:space="preserve">Osa 4: Budování evropské identity </w:t>
      </w:r>
    </w:p>
    <w:p>
      <w:pPr>
        <w:pStyle w:val="Normal"/>
        <w:rPr/>
      </w:pPr>
      <w:r>
        <w:rPr/>
        <w:t xml:space="preserve"> </w:t>
      </w:r>
    </w:p>
    <w:p>
      <w:pPr>
        <w:pStyle w:val="Titre4"/>
        <w:numPr>
          <w:ilvl w:val="3"/>
          <w:numId w:val="2"/>
        </w:numPr>
        <w:rPr/>
      </w:pPr>
      <w:bookmarkStart w:id="144" w:name="__RefHeading___Toc297223_1346298689"/>
      <w:bookmarkEnd w:id="144"/>
      <w:r>
        <w:rPr/>
        <w:t xml:space="preserve">Dílčí osa 4.1 Vzdělávání pro demokracii </w:t>
      </w:r>
    </w:p>
    <w:p>
      <w:pPr>
        <w:pStyle w:val="Normal"/>
        <w:rPr/>
      </w:pPr>
      <w:r>
        <w:rPr/>
        <w:t xml:space="preserve"> </w:t>
      </w:r>
    </w:p>
    <w:p>
      <w:pPr>
        <w:pStyle w:val="P68B1DB1Normal15"/>
        <w:rPr>
          <w:b/>
          <w:b/>
        </w:rPr>
      </w:pPr>
      <w:r>
        <w:rPr/>
        <w:t xml:space="preserve">24. Doporučujeme, aby vzdělávání v oblasti demokracie v EU zlepšilo a dosáhlo minimální úrovně znalostí ve všech členských státech. Toto vzdělávání by mělo zahrnovat mimo jiné demokratické procesy a obecné informace o Unii, které by měly být vyučovány ve všech členských státech EU. Měl by být obohacen o soubor různých koncepcí zaměřených na výuku demokratického procesu, který by měl být atraktivní a přiměřený věku. </w:t>
      </w:r>
    </w:p>
    <w:p>
      <w:pPr>
        <w:pStyle w:val="Normal"/>
        <w:rPr/>
      </w:pPr>
      <w:r>
        <w:rPr/>
        <w:t xml:space="preserve"> </w:t>
      </w:r>
    </w:p>
    <w:p>
      <w:pPr>
        <w:pStyle w:val="Normal"/>
        <w:rPr/>
      </w:pPr>
      <w:r>
        <w:rPr/>
        <w:t xml:space="preserve">Toto doporučení a jeho důvody jsou důležité, protože pokud bude provedeno, povede k harmonickému a demokratičtějšímu životu v Unii. Odůvodnění je následující: mladí lidé by byli vzděláváni v demokratických procesech; toto vzdělávání by mohlo omezit populismus a dezinformace ve veřejné diskusi; mohlo by to snížit diskriminaci; a konečně by to umožnilo vzdělávat a mobilizovat občany pro demokracii nad rámec jejich prosté volební povinnosti. </w:t>
      </w:r>
    </w:p>
    <w:p>
      <w:pPr>
        <w:pStyle w:val="Normal"/>
        <w:rPr/>
      </w:pPr>
      <w:r>
        <w:rPr/>
        <w:t xml:space="preserve"> </w:t>
      </w:r>
    </w:p>
    <w:p>
      <w:pPr>
        <w:pStyle w:val="P68B1DB1Normal15"/>
        <w:rPr>
          <w:b/>
          <w:b/>
        </w:rPr>
      </w:pPr>
      <w:r>
        <w:rPr/>
        <w:t xml:space="preserve">25. „Doporučujeme, aby stávající a vznikající překladatelské technologie, jako je umělá inteligence, byly dále rozvíjeny, zlepšovány a zpřístupňovány s cílem snížit jazykové bariéry a posílit společnou identitu a demokracii v EU.“ </w:t>
      </w:r>
    </w:p>
    <w:p>
      <w:pPr>
        <w:pStyle w:val="Normal"/>
        <w:rPr/>
      </w:pPr>
      <w:r>
        <w:rPr/>
        <w:t xml:space="preserve"> </w:t>
      </w:r>
    </w:p>
    <w:p>
      <w:pPr>
        <w:pStyle w:val="Normal"/>
        <w:rPr/>
      </w:pPr>
      <w:r>
        <w:rPr/>
        <w:t xml:space="preserve">Toto doporučení a jeho důvody jsou důležité, protože pokud bude provedeno, přispěje k budování společné evropské identity zlepšením komunikace mezi občany všech členských států. </w:t>
      </w:r>
    </w:p>
    <w:p>
      <w:pPr>
        <w:pStyle w:val="Normal"/>
        <w:rPr/>
      </w:pPr>
      <w:r>
        <w:rPr/>
        <w:t xml:space="preserve"> </w:t>
      </w:r>
    </w:p>
    <w:p>
      <w:pPr>
        <w:pStyle w:val="P68B1DB1Normal15"/>
        <w:rPr>
          <w:b/>
          <w:b/>
        </w:rPr>
      </w:pPr>
      <w:r>
        <w:rPr/>
        <w:t xml:space="preserve">26. Doporučujeme, aby byly ověřitelné informace snadno a srozumitelně přístupné občanům prostřednictvím mobilní aplikace s cílem zlepšit transparentnost, veřejnou diskusi a demokracii. Tato aplikace by mohla být použita k šíření informací například o právních předpisech, diskusích v rámci EU, změnách Smluv atd. </w:t>
      </w:r>
    </w:p>
    <w:p>
      <w:pPr>
        <w:pStyle w:val="Normal"/>
        <w:rPr/>
      </w:pPr>
      <w:r>
        <w:rPr/>
        <w:t xml:space="preserve"> </w:t>
      </w:r>
    </w:p>
    <w:p>
      <w:pPr>
        <w:pStyle w:val="Normal"/>
        <w:rPr/>
      </w:pPr>
      <w:r>
        <w:rPr/>
        <w:t xml:space="preserve">Toto doporučení a jeho důvody jsou důležité, protože pokud bude provedeno, usnadní komunikaci do té míry, že umožní informovanější diskusi mezi občany různých členských států prostřednictvím aplikace, která by mohla mít mnoho různých funkcí. Tato aplikace by měla být navržena tak, aby byla pravděpodobně v zájmu každého a byla schopna dále přilákat zvědavost a učinit technické informace přístupnějšími a přitažlivějšími. Žádost by měla být považována za doplňkový zdroj, který šíří informace úředně ověřené přímo Unií s cílem zlepšit důvěru a transparentnost ve veřejné diskusi a přispět k budování společné evropské identity. </w:t>
      </w:r>
    </w:p>
    <w:p>
      <w:pPr>
        <w:pStyle w:val="Normal"/>
        <w:rPr/>
      </w:pPr>
      <w:r>
        <w:rPr/>
      </w:r>
    </w:p>
    <w:p>
      <w:pPr>
        <w:pStyle w:val="Titre4"/>
        <w:numPr>
          <w:ilvl w:val="3"/>
          <w:numId w:val="2"/>
        </w:numPr>
        <w:rPr/>
      </w:pPr>
      <w:bookmarkStart w:id="145" w:name="__RefHeading___Toc297225_1346298689"/>
      <w:bookmarkEnd w:id="145"/>
      <w:r>
        <w:rPr/>
        <w:t xml:space="preserve">Dílčí osa 4.2 Evropské hodnoty a identita </w:t>
      </w:r>
    </w:p>
    <w:p>
      <w:pPr>
        <w:pStyle w:val="Normal"/>
        <w:rPr/>
      </w:pPr>
      <w:r>
        <w:rPr/>
        <w:t xml:space="preserve"> </w:t>
      </w:r>
    </w:p>
    <w:p>
      <w:pPr>
        <w:pStyle w:val="P68B1DB1Normal15"/>
        <w:rPr>
          <w:b/>
          <w:b/>
        </w:rPr>
      </w:pPr>
      <w:r>
        <w:rPr/>
        <w:t xml:space="preserve">27. „Doporučujeme, aby EU zřídila zvláštní fond pro online a offline interakce (tj. výměnné programy, panely, schůze) mezi občany EU, a to s cílem posílit evropskou identitu. Účastníci by měli být zástupci společnosti v rámci Unie, včetně skupin vybraných cíleně na základě různých kritérií, tj. demografických, sociálně-ekonomických a profesních kritérií. Cíle tohoto fondu musí být jasně stanoveny za účelem podpory evropské identity a tento fond by měl být pravidelně vyhodnocován. </w:t>
      </w:r>
    </w:p>
    <w:p>
      <w:pPr>
        <w:pStyle w:val="Normal"/>
        <w:rPr/>
      </w:pPr>
      <w:r>
        <w:rPr/>
        <w:t xml:space="preserve"> </w:t>
      </w:r>
    </w:p>
    <w:p>
      <w:pPr>
        <w:pStyle w:val="Normal"/>
        <w:rPr/>
      </w:pPr>
      <w:r>
        <w:rPr/>
        <w:t xml:space="preserve">Doporučujeme to, protože tento druh interakce umožňuje občanům sdílet nápady a delší výměny jim umožňují porozumět různým kulturám a sdílet zkušenosti, včetně odborných postupů. Je zapotřebí fond EU, neboť je důležité, aby se mohl zúčastnit každý, včetně těch, kteří se obvykle neúčastní. </w:t>
      </w:r>
    </w:p>
    <w:p>
      <w:pPr>
        <w:pStyle w:val="Normal"/>
        <w:rPr/>
      </w:pPr>
      <w:r>
        <w:rPr/>
        <w:t xml:space="preserve"> </w:t>
      </w:r>
    </w:p>
    <w:p>
      <w:pPr>
        <w:pStyle w:val="P68B1DB1Normal15"/>
        <w:rPr>
          <w:b/>
          <w:b/>
        </w:rPr>
      </w:pPr>
      <w:r>
        <w:rPr/>
        <w:t xml:space="preserve">28. „Doporučujeme, aby EU urychleně investovala do boje proti dezinformacím a podporovala stávající organizace a iniciativy, jako je Kodex zásad v oblasti dezinformací a Evropské středisko pro sledování digitálních médií, jakož i srovnatelné iniciativy v členských státech. Mohla by být zavedena různá protiopatření: ověřování faktů, povědomí o dezinformacích, vytváření snadno dostupných statistik, ukládání vhodných sankcí podle právního rámce těm, kdo šíří dezinformace, a boj proti zdrojům dezinformací. </w:t>
      </w:r>
    </w:p>
    <w:p>
      <w:pPr>
        <w:pStyle w:val="Normal"/>
        <w:rPr/>
      </w:pPr>
      <w:r>
        <w:rPr/>
        <w:t xml:space="preserve"> </w:t>
      </w:r>
    </w:p>
    <w:p>
      <w:pPr>
        <w:pStyle w:val="Normal"/>
        <w:rPr/>
      </w:pPr>
      <w:r>
        <w:rPr/>
        <w:t xml:space="preserve">Toto doporučení je důležité, protože dezinformace a dezinformace zevnitř EU i mimo ni mají za následek vznik konfliktů mezi občany EU, polarizaci společnosti, ohrožení demokracie a poškození hospodářství. Vzhledem ke složitosti tohoto tématu jsou zapotřebí značné lidské a finanční zdroje. </w:t>
      </w:r>
    </w:p>
    <w:p>
      <w:pPr>
        <w:pStyle w:val="Normal"/>
        <w:rPr/>
      </w:pPr>
      <w:r>
        <w:rPr/>
        <w:t xml:space="preserve"> </w:t>
      </w:r>
    </w:p>
    <w:p>
      <w:pPr>
        <w:pStyle w:val="P68B1DB1Normal15"/>
        <w:rPr>
          <w:b/>
          <w:b/>
        </w:rPr>
      </w:pPr>
      <w:r>
        <w:rPr/>
        <w:t xml:space="preserve">29. „Doporučujeme 1) zvýšit četnost on-line a offline interakcí mezi Unií a jejími občany (tj. přímým rozhovorem s občany o evropských otázkách a vytvořením snadno použitelné platformy, která zajistí, aby každý občan mohl komunikovat s orgány a úředníky EU), a 2) zajistit, aby se občané mohli účastnit procesu tvorby politik EU, vyjadřovat své názory a získávat zpětnou vazbu, a doporučujeme vytvořit chartu nebo kodex chování nebo pokyny pro úředníky EU. Měly by existovat různé způsoby interakce, aby se mohl zúčastnit každý občan. </w:t>
      </w:r>
    </w:p>
    <w:p>
      <w:pPr>
        <w:pStyle w:val="Normal"/>
        <w:rPr/>
      </w:pPr>
      <w:r>
        <w:rPr/>
        <w:t xml:space="preserve"> </w:t>
      </w:r>
    </w:p>
    <w:p>
      <w:pPr>
        <w:pStyle w:val="Normal"/>
        <w:rPr/>
      </w:pPr>
      <w:r>
        <w:rPr/>
        <w:t xml:space="preserve">Toto opatření doporučujeme, protože existuje několik způsobů, jak se spojit s evropskými orgány (online platformy, zastupitelské orgány), ale nejsou známy, nejsou účinné a nejsou transparentní. Dostupnost se v jednotlivých zemích značně liší. Častější a lepší interakce povedou k pocitu odpovědnosti za evropské občanství. </w:t>
      </w:r>
    </w:p>
    <w:p>
      <w:pPr>
        <w:pStyle w:val="Normal"/>
        <w:rPr/>
      </w:pPr>
      <w:r>
        <w:rPr/>
        <w:t xml:space="preserve"> </w:t>
      </w:r>
    </w:p>
    <w:p>
      <w:pPr>
        <w:pStyle w:val="P68B1DB1Normal15"/>
        <w:rPr>
          <w:b/>
          <w:b/>
        </w:rPr>
      </w:pPr>
      <w:r>
        <w:rPr/>
        <w:t xml:space="preserve">30. Doporučujeme, aby evropská identita a hodnoty (tj. právní stát, demokracie a solidarita) hrály v procesu integrace migrantů zvláštní úlohu. Lze uvažovat o různých opatřeních, jako je vytvoření programů nebo podpora již existujících (místních) programů s cílem podpořit sociální interakce mezi migranty a občany EU nebo účast podniků na programech na podporu integrace migrantů. Současně by měly být zahájeny podobné programy s cílem zvýšit povědomí občanů EU o otázkách souvisejících s migrací. </w:t>
      </w:r>
    </w:p>
    <w:p>
      <w:pPr>
        <w:pStyle w:val="Normal"/>
        <w:rPr/>
      </w:pPr>
      <w:r>
        <w:rPr/>
        <w:t xml:space="preserve"> </w:t>
      </w:r>
    </w:p>
    <w:p>
      <w:pPr>
        <w:pStyle w:val="Normal"/>
        <w:rPr/>
      </w:pPr>
      <w:r>
        <w:rPr/>
        <w:t xml:space="preserve">Toto doporučení je důležité, protože programy sociální interakce mohou migrantům pomoci v jejich novém životě a umožnit nemigrantům lépe porozumět každodennímu životu migrantů. Pokud migranti žijí v ghettech, není možné je integrovat do společnosti na vnitrostátní úrovni ani na úrovni EU. Společná politika je nezbytná, protože jakmile migranti vstoupí na území Unie, mohou jít do všech zemí EU. Měly by být podporovány místní iniciativy, neboť místní samosprávy budou finanční prostředky využívat efektivněji než na vnitrostátní úrovni. </w:t>
      </w:r>
    </w:p>
    <w:p>
      <w:pPr>
        <w:pStyle w:val="Normal"/>
        <w:rPr/>
      </w:pPr>
      <w:r>
        <w:rPr/>
        <w:t xml:space="preserve"> </w:t>
      </w:r>
    </w:p>
    <w:p>
      <w:pPr>
        <w:pStyle w:val="Titre4"/>
        <w:numPr>
          <w:ilvl w:val="3"/>
          <w:numId w:val="2"/>
        </w:numPr>
        <w:rPr/>
      </w:pPr>
      <w:bookmarkStart w:id="146" w:name="__RefHeading___Toc297227_1346298689"/>
      <w:bookmarkEnd w:id="146"/>
      <w:r>
        <w:rPr/>
        <w:t xml:space="preserve">Podosa 4.3 Informace EU </w:t>
      </w:r>
    </w:p>
    <w:p>
      <w:pPr>
        <w:pStyle w:val="Normal"/>
        <w:rPr/>
      </w:pPr>
      <w:r>
        <w:rPr/>
        <w:t xml:space="preserve"> </w:t>
      </w:r>
    </w:p>
    <w:p>
      <w:pPr>
        <w:pStyle w:val="P68B1DB1Normal15"/>
        <w:rPr>
          <w:b/>
          <w:b/>
        </w:rPr>
      </w:pPr>
      <w:r>
        <w:rPr/>
        <w:t xml:space="preserve">31. „Doporučujeme, aby EU lépe informovala evropské občany. Za tímto účelem by Unie měla využít všech nezbytných prostředků a zároveň respektovat svobodu a nezávislost sdělovacích prostředků. Měla by poskytovat sdělovacím prostředkům obecné a spolehlivé zdroje a informace o činnostech a politikách Unie. Unie by měla zajistit, aby informace byly ve všech členských státech šířeny rovným dílem prostřednictvím vnitrostátních a evropských sdělovacích prostředků, a zajistit, aby členské státy vybízely provozovatele veřejnoprávního vysílání a veřejné zpravodajské agentury k řešení evropských otázek.“ </w:t>
      </w:r>
    </w:p>
    <w:p>
      <w:pPr>
        <w:pStyle w:val="Normal"/>
        <w:rPr/>
      </w:pPr>
      <w:r>
        <w:rPr/>
      </w:r>
    </w:p>
    <w:p>
      <w:pPr>
        <w:pStyle w:val="Normal"/>
        <w:rPr/>
      </w:pPr>
      <w:r>
        <w:rPr/>
        <w:t xml:space="preserve">Doporučujeme to, protože podle našich osobních zkušeností a podle údajů Eurobarometru je většina evropských občanů informována mainstreamovými médii (tiskem, rozhlasem a televizí) a tyto kanály v současné době nabízejí velmi málo informací o EU. Sdělovací prostředky, včetně veřejných sdělovacích prostředků, mají funkci veřejné služby. Proto je nezbytné zabývat se evropskými otázkami, které mají dopad na evropské obyvatelstvo, aby bylo možné tuto funkci plnit. V zájmu podpory integrace doporučujeme, aby informace o EU šířené v různých členských státech byly stejné, a proto doporučujeme vyhnout se rozdílným informacím o různých otázkách v každé zemi. Je pohodlnější a levnější používat stávající mediální kanály, než vytvořit nový kanál, pro stejný výsledek. Stávající kanály mají také tu výhodu, že jsou již známy občanům. Žádný občan by si neměl vybírat mezi různými kanály pro přístup k jinému obsahu (vnitrostátnímu nebo evropskému). </w:t>
      </w:r>
    </w:p>
    <w:p>
      <w:pPr>
        <w:pStyle w:val="Normal"/>
        <w:rPr/>
      </w:pPr>
      <w:r>
        <w:rPr/>
        <w:t xml:space="preserve"> </w:t>
      </w:r>
    </w:p>
    <w:p>
      <w:pPr>
        <w:pStyle w:val="P68B1DB1Normal15"/>
        <w:rPr>
          <w:b/>
          <w:b/>
        </w:rPr>
      </w:pPr>
      <w:r>
        <w:rPr/>
        <w:t xml:space="preserve">32. „Doporučujeme, aby EU vytvořila a podporovala vícejazyčná online fóra a off-line setkání, která občanům umožní zapojit se do diskuse se zástupci EU bez ohledu na téma a zeměpisný rozsah vznesené otázky. Odpovědi na otázky vznesené na těchto on-line fórech a na schůzích offline by měly být poskytnuty v dobře vymezeném krátkém časovém rámci. Veškeré informace týkající se těchto prostorů by měly být centralizovány na integrovaných oficiálních internetových stránkách s různými funkcemi, jako je prostor pro často kladené otázky, možnost sdílení nápadů, návrhů nebo obav s ostatními občany a mechanismus pro označení toho, které z nich získávají největší podporu. V každém případě by měl být přístup na tyto stránky snadný a měl by být použit nebyrokratický jazyk. </w:t>
      </w:r>
    </w:p>
    <w:p>
      <w:pPr>
        <w:pStyle w:val="Normal"/>
        <w:rPr/>
      </w:pPr>
      <w:r>
        <w:rPr/>
        <w:t xml:space="preserve"> </w:t>
      </w:r>
    </w:p>
    <w:p>
      <w:pPr>
        <w:pStyle w:val="Normal"/>
        <w:rPr/>
      </w:pPr>
      <w:r>
        <w:rPr/>
        <w:t xml:space="preserve">Doporučujeme to, protože se jedná o způsob, jak vytvořit přímý most mezi evropskými občany a evropskými zástupci, jak společně hovořit a spolupracovat, poskytnout občanům snadný přístup k informacím o Unii a lépe je informovat o již dostupných informacích. To vytvoří transparentnější a otevřenější Unii a pomůže občanům sdílet jejich problémy a úvahy a přijímat politické reakce a řešení a umožní občanům zapojit se a sdílet s ostatními občany perspektivy a zkušenosti. </w:t>
      </w:r>
    </w:p>
    <w:p>
      <w:pPr>
        <w:pStyle w:val="Normal"/>
        <w:rPr/>
      </w:pPr>
      <w:r>
        <w:rPr/>
        <w:t xml:space="preserve"> </w:t>
      </w:r>
    </w:p>
    <w:p>
      <w:pPr>
        <w:pStyle w:val="Normal"/>
        <w:rPr>
          <w:b/>
          <w:b/>
        </w:rPr>
      </w:pPr>
      <w:r>
        <w:rPr>
          <w:b/>
        </w:rPr>
        <w:t xml:space="preserve">33. </w:t>
      </w:r>
      <w:commentRangeStart w:id="4"/>
      <w:r>
        <w:rPr>
          <w:b/>
        </w:rPr>
        <w:t>„</w:t>
      </w:r>
      <w:r>
        <w:rPr>
          <w:b/>
          <w:i/>
        </w:rPr>
        <w:t>Doporučujeme orgánům a zástupcům EU, aby používaly dostupnější jazyk a nevyužívaly při komunikaci byrokratické výrazy a zároveň zachovaly kvalitu a technickou úroveň poskytovaných informací.</w:t>
      </w:r>
      <w:r>
        <w:rPr>
          <w:b/>
        </w:rPr>
        <w:t xml:space="preserve"> Unie</w:t>
      </w:r>
      <w:r>
        <w:rPr>
          <w:b/>
        </w:rPr>
      </w:r>
      <w:commentRangeEnd w:id="4"/>
      <w:r>
        <w:commentReference w:id="4"/>
      </w:r>
      <w:r>
        <w:rPr>
          <w:b/>
        </w:rPr>
        <w:t xml:space="preserve">by měla rovněž přizpůsobit informace, které poskytuje občanům prostřednictvím různých komunikačních kanálů a různých publika (např. noviny, televize, sociální média). EU by měla vyvinout zvláštní úsilí, aby přizpůsobila komunikaci digitálním médiím s cílem zvýšit její schopnost oslovit mladé lidi.“ </w:t>
      </w:r>
    </w:p>
    <w:p>
      <w:pPr>
        <w:pStyle w:val="Normal"/>
        <w:rPr/>
      </w:pPr>
      <w:r>
        <w:rPr/>
        <w:t xml:space="preserve"> </w:t>
      </w:r>
    </w:p>
    <w:p>
      <w:pPr>
        <w:pStyle w:val="Normal"/>
        <w:rPr/>
      </w:pPr>
      <w:r>
        <w:rPr/>
        <w:t xml:space="preserve">Toto opatření doporučujeme, neboť díky srozumitelným informacím bude Unie moci oslovit více evropských občanů, a nikoli pouze těch, kteří se angažují. Díky novým moderním nástrojům zaměřeným na konkrétní publikum získají občané lepší porozumění činnostem a politikám EU, zejména mladým lidem, kteří se necítí blízcí EU ani se k ní nepřipojují. </w:t>
      </w:r>
    </w:p>
    <w:p>
      <w:pPr>
        <w:pStyle w:val="Normal"/>
        <w:rPr/>
      </w:pPr>
      <w:r>
        <w:rPr/>
      </w:r>
    </w:p>
    <w:p>
      <w:pPr>
        <w:pStyle w:val="Titre3"/>
        <w:numPr>
          <w:ilvl w:val="2"/>
          <w:numId w:val="2"/>
        </w:numPr>
        <w:rPr/>
      </w:pPr>
      <w:bookmarkStart w:id="147" w:name="__RefHeading___Toc297229_1346298689"/>
      <w:bookmarkEnd w:id="147"/>
      <w:r>
        <w:rPr/>
        <w:t xml:space="preserve">Osa 5: Posílení účasti občanů </w:t>
      </w:r>
    </w:p>
    <w:p>
      <w:pPr>
        <w:pStyle w:val="Normal"/>
        <w:rPr/>
      </w:pPr>
      <w:r>
        <w:rPr/>
        <w:t xml:space="preserve"> </w:t>
      </w:r>
    </w:p>
    <w:p>
      <w:pPr>
        <w:pStyle w:val="Titre4"/>
        <w:numPr>
          <w:ilvl w:val="3"/>
          <w:numId w:val="2"/>
        </w:numPr>
        <w:rPr/>
      </w:pPr>
      <w:bookmarkStart w:id="148" w:name="__RefHeading___Toc297231_1346298689"/>
      <w:bookmarkEnd w:id="148"/>
      <w:r>
        <w:rPr/>
        <w:t xml:space="preserve">Dílčí osa 5.1 Účast občanů </w:t>
      </w:r>
    </w:p>
    <w:p>
      <w:pPr>
        <w:pStyle w:val="Normal"/>
        <w:rPr/>
      </w:pPr>
      <w:r>
        <w:rPr/>
        <w:t xml:space="preserve"> </w:t>
      </w:r>
    </w:p>
    <w:p>
      <w:pPr>
        <w:pStyle w:val="P68B1DB1Normal15"/>
        <w:rPr>
          <w:b/>
          <w:b/>
        </w:rPr>
      </w:pPr>
      <w:r>
        <w:rPr/>
        <w:t xml:space="preserve">34. „Doporučujeme, aby byli ve všech rozhodovacích procesech EU přítomni nezávislí pozorovatelé občanů. Mělo by existovat stálé fórum nebo orgán zástupců občanů, který by byl odpovědný za šíření relevantních a důležitých informací všem občanům Unie, kteří jsou takto definováni. Tito občané by spolupracovali se všemi ostatními evropskými občany v rámci přístupu shora dolů/zdola nahoru, který by dále rozvíjel dialog mezi občany a orgány EU.“ </w:t>
      </w:r>
    </w:p>
    <w:p>
      <w:pPr>
        <w:pStyle w:val="Normal"/>
        <w:rPr/>
      </w:pPr>
      <w:r>
        <w:rPr/>
        <w:t xml:space="preserve"> </w:t>
      </w:r>
    </w:p>
    <w:p>
      <w:pPr>
        <w:pStyle w:val="Normal"/>
        <w:rPr/>
      </w:pPr>
      <w:r>
        <w:rPr/>
        <w:t xml:space="preserve">Občané si samozřejmě zaslouží být informováni o všech otázkách a je důležité zajistit, aby politici nemohli přehlížet některé otázky, které by raději ignorovali. Takové opatření by překlenovalo propast mezi občany a volenými zástupci vytvořením nových způsobů důvěry. </w:t>
      </w:r>
    </w:p>
    <w:p>
      <w:pPr>
        <w:pStyle w:val="Normal"/>
        <w:rPr/>
      </w:pPr>
      <w:r>
        <w:rPr/>
        <w:t xml:space="preserve"> </w:t>
      </w:r>
    </w:p>
    <w:p>
      <w:pPr>
        <w:pStyle w:val="P68B1DB1Normal15"/>
        <w:rPr>
          <w:b/>
          <w:b/>
        </w:rPr>
      </w:pPr>
      <w:r>
        <w:rPr/>
        <w:t xml:space="preserve"> </w:t>
      </w:r>
      <w:r>
        <w:rPr/>
        <w:t xml:space="preserve">35. „Doporučujeme Unii, aby znovu otevřela diskusi o ústavě Evropy s cílem vypracovat ústavu inspirovanou občany Unie. Občané by měli mít možnost hlasovat pro takovou ústavu. Aby se předešlo jakémukoli konfliktu s členskými státy, měly by být hodnoty lidských práv a demokracie přednostně zahrnuty do této ústavy. Při přípravě takové ústavy je třeba vzít v úvahu předchozí úsilí, které nikdy nevyústilo v ústavu. </w:t>
      </w:r>
    </w:p>
    <w:p>
      <w:pPr>
        <w:pStyle w:val="Normal"/>
        <w:rPr/>
      </w:pPr>
      <w:r>
        <w:rPr/>
        <w:t xml:space="preserve"> </w:t>
      </w:r>
    </w:p>
    <w:p>
      <w:pPr>
        <w:pStyle w:val="Normal"/>
        <w:rPr/>
      </w:pPr>
      <w:r>
        <w:rPr/>
        <w:t xml:space="preserve">Protože tato ústava by zapojila mladé lidi do politiky na úrovni EU a zmařila by síly nacionalismu, které získávají půdu. Poskytla by společnou definici toho, jaká je demokracie v Evropě, a byla by uplatňována rovnoměrně ve všech členských státech. Protože EU sdílí společné hodnoty v oblasti demokracie a lidských práv. Protože občané by měli možnost zapojit se do rozhodovacího procesu a více se ztotožnit s Unií prostřednictvím účasti na tomto procesu. </w:t>
      </w:r>
    </w:p>
    <w:p>
      <w:pPr>
        <w:pStyle w:val="Normal"/>
        <w:rPr/>
      </w:pPr>
      <w:r>
        <w:rPr/>
        <w:t xml:space="preserve"> </w:t>
      </w:r>
    </w:p>
    <w:p>
      <w:pPr>
        <w:pStyle w:val="P68B1DB1Normal15"/>
        <w:rPr>
          <w:b/>
          <w:b/>
        </w:rPr>
      </w:pPr>
      <w:r>
        <w:rPr/>
        <w:t xml:space="preserve">36. Doporučujeme, aby politici byli více zodpovědní za to, jak zastupují občany, kteří je zvolili. Zejména mladí lidé jsou od politiky odloučeni a nejsou bráni vážně, když se účastní. Ale nezájem je univerzální problém a lidé všech věkových kategorií by měli být více angažovaní, než jsou nyní. </w:t>
      </w:r>
    </w:p>
    <w:p>
      <w:pPr>
        <w:pStyle w:val="Normal"/>
        <w:rPr/>
      </w:pPr>
      <w:r>
        <w:rPr/>
        <w:t xml:space="preserve"> </w:t>
      </w:r>
    </w:p>
    <w:p>
      <w:pPr>
        <w:pStyle w:val="Normal"/>
        <w:rPr/>
      </w:pPr>
      <w:r>
        <w:rPr/>
        <w:t xml:space="preserve">Definice demokracie by měla být aktualizována. Musíme si uvědomit, co vlastně demokracie je. Protože mladí lidé mají dost a jsou rozčarováni politiky, které považují za elity, které nesdílejí své názory. Proto je třeba, aby se občané více angažovali originálním a atraktivním způsobem. Vzdělávací systém, sociální média a všechny ostatní formy médií by mohly plnit tuto úlohu v průběhu celého životního cyklu a ve všech jazycích. </w:t>
      </w:r>
    </w:p>
    <w:p>
      <w:pPr>
        <w:pStyle w:val="Normal"/>
        <w:rPr/>
      </w:pPr>
      <w:r>
        <w:rPr/>
        <w:t xml:space="preserve"> </w:t>
      </w:r>
    </w:p>
    <w:p>
      <w:pPr>
        <w:pStyle w:val="Titre4"/>
        <w:numPr>
          <w:ilvl w:val="3"/>
          <w:numId w:val="2"/>
        </w:numPr>
        <w:rPr/>
      </w:pPr>
      <w:bookmarkStart w:id="149" w:name="__RefHeading___Toc297233_1346298689"/>
      <w:bookmarkEnd w:id="149"/>
      <w:r>
        <w:rPr/>
        <w:t xml:space="preserve">Dílčí osa 5.2 Účast občanů </w:t>
      </w:r>
    </w:p>
    <w:p>
      <w:pPr>
        <w:pStyle w:val="Normal"/>
        <w:rPr/>
      </w:pPr>
      <w:r>
        <w:rPr/>
        <w:t xml:space="preserve"> </w:t>
      </w:r>
    </w:p>
    <w:p>
      <w:pPr>
        <w:pStyle w:val="P68B1DB1Normal15"/>
        <w:rPr>
          <w:b/>
          <w:b/>
        </w:rPr>
      </w:pPr>
      <w:r>
        <w:rPr/>
        <w:t xml:space="preserve">37. „Doporučujeme, aby se EU přiblížila občanům asertivnějším způsobem. Za tímto účelem by členské státy měly být zapojeny do podpory účasti občanů v Unii. Unie by měla podporovat využívání mechanismů účasti občanů zavedením obchodních a reklamních kampaní. Národní a místní samosprávy by měly být povinny se tohoto procesu účastnit. Unie by měla zajistit účinnost platforem participativní demokracie.“ </w:t>
      </w:r>
    </w:p>
    <w:p>
      <w:pPr>
        <w:pStyle w:val="Normal"/>
        <w:rPr/>
      </w:pPr>
      <w:r>
        <w:rPr/>
        <w:t xml:space="preserve"> </w:t>
      </w:r>
    </w:p>
    <w:p>
      <w:pPr>
        <w:pStyle w:val="Normal"/>
        <w:rPr/>
      </w:pPr>
      <w:r>
        <w:rPr/>
        <w:t xml:space="preserve">Doporučujeme to, protože je třeba posílit a zefektivnit již existující platformu: od občanů k EU je třeba získat více zpětné vazby a naopak. V rámci EU není dostatečná diskuse, a to jak mezi občany, tak mezi vládami. Protože občané nepředkládají petice, buď proto, že nevědí, že mechanismus existuje, nebo proto, že nevěří, že takové petice mohou uspět. </w:t>
      </w:r>
    </w:p>
    <w:p>
      <w:pPr>
        <w:pStyle w:val="Normal"/>
        <w:rPr/>
      </w:pPr>
      <w:r>
        <w:rPr/>
        <w:t xml:space="preserve"> </w:t>
      </w:r>
    </w:p>
    <w:p>
      <w:pPr>
        <w:pStyle w:val="P68B1DB1Normal15"/>
        <w:rPr>
          <w:b/>
          <w:b/>
        </w:rPr>
      </w:pPr>
      <w:r>
        <w:rPr/>
        <w:t xml:space="preserve">38. „Doporučujeme, aby Unie vytvořila a zavedla osnovy pro školy týkající se toho, co se děje v EU, pokud jde o mechanismy účasti. Tyto programy by měly být začleněny do školních osnov týkajících se evropského občanství a etiky a měly by být obsah přizpůsoben věku žáků. Měly by existovat i programy pro dospělé. Občanům by měly být zpřístupněny programy celoživotního učení, aby se prohloubily jejich znalosti o možnostech účasti občanů v Unii.“ </w:t>
      </w:r>
    </w:p>
    <w:p>
      <w:pPr>
        <w:pStyle w:val="Normal"/>
        <w:rPr/>
      </w:pPr>
      <w:r>
        <w:rPr/>
        <w:t xml:space="preserve"> </w:t>
      </w:r>
    </w:p>
    <w:p>
      <w:pPr>
        <w:pStyle w:val="Normal"/>
        <w:rPr/>
      </w:pPr>
      <w:r>
        <w:rPr/>
        <w:t xml:space="preserve">Toto opatření doporučujeme, protože je důležité pro budoucnost našich dětí. Občané chtějí vědět, jak vyjádřit svůj hlas. Je důležité, aby věděli přesné mechanismy a způsob jejich použití, aby Unie jejich hlas vyslyšela. To je důležité, aby všichni evropští občané byli postaveni na roveň. Jako evropští občané potřebujeme vědět, jak svá práva využít. Jako evropští občané máme právo tyto informace znát. </w:t>
      </w:r>
    </w:p>
    <w:p>
      <w:pPr>
        <w:pStyle w:val="Normal"/>
        <w:rPr/>
      </w:pPr>
      <w:r>
        <w:rPr/>
        <w:t xml:space="preserve"> </w:t>
      </w:r>
    </w:p>
    <w:p>
      <w:pPr>
        <w:pStyle w:val="Titre4"/>
        <w:numPr>
          <w:ilvl w:val="3"/>
          <w:numId w:val="2"/>
        </w:numPr>
        <w:rPr/>
      </w:pPr>
      <w:bookmarkStart w:id="150" w:name="__RefHeading___Toc297235_1346298689"/>
      <w:bookmarkEnd w:id="150"/>
      <w:r>
        <w:rPr/>
        <w:t xml:space="preserve">Dílčí osa 5.3 Účast občanů </w:t>
      </w:r>
    </w:p>
    <w:p>
      <w:pPr>
        <w:pStyle w:val="Normal"/>
        <w:rPr/>
      </w:pPr>
      <w:r>
        <w:rPr/>
        <w:t xml:space="preserve"> </w:t>
      </w:r>
    </w:p>
    <w:p>
      <w:pPr>
        <w:pStyle w:val="P68B1DB1Normal15"/>
        <w:rPr>
          <w:b/>
          <w:b/>
        </w:rPr>
      </w:pPr>
      <w:r>
        <w:rPr/>
        <w:t xml:space="preserve">39. Doporučujeme, aby Unie organizovala shromáždění občanů. Důrazně doporučujeme, aby byly zavedeny na základě právně závazného a závazného zákona nebo nařízení. Shromáždění těchto občanů by se měla konat každých 12 až 18 měsíců. Účast občanů by neměla být povinná, ale měla by být podporována a zároveň organizována na základě omezených mandátů. Účastníci musí být náhodně vybráni podle kritérií reprezentativnosti. Nesmí zastupovat organizace jakéhokoli druhu a neměly by být vyzvány k účasti z důvodu své profesní funkce, pokud jsou členy shromáždění. V případě potřeby budou odborníci poskytovat podporu s cílem zajistit, aby členové shromáždění měli dostatečné informace k záměru. Rozhodování bude v rukou občanů. Unie musí zaručit, že se politici angažují v rozhodování občanů v občanských shromážděních. Pokud jsou návrhy občanů ignorovány nebo výslovně zamítnuty, musí o nich evropské orgány podat zprávu a uvést důvody, proč bylo toto rozhodnutí přijato. </w:t>
      </w:r>
    </w:p>
    <w:p>
      <w:pPr>
        <w:pStyle w:val="Normal"/>
        <w:rPr/>
      </w:pPr>
      <w:r>
        <w:rPr/>
        <w:t xml:space="preserve"> </w:t>
      </w:r>
    </w:p>
    <w:p>
      <w:pPr>
        <w:pStyle w:val="Normal"/>
        <w:rPr/>
      </w:pPr>
      <w:r>
        <w:rPr/>
        <w:t xml:space="preserve">Doporučujeme zřídit občanská shromáždění, protože chceme, aby se občané cítili blíže k evropským institucím a přímo přispívali k rozhodování, ruku v ruce s politiky, s cílem posílit pocit sounáležitosti a přímé účinnosti. Kromě toho chceme, aby politické strany byly odpovědné vůči občanům, včetně jejich volebních programů. </w:t>
      </w:r>
    </w:p>
    <w:p>
      <w:pPr>
        <w:pStyle w:val="Normal"/>
        <w:rPr/>
      </w:pPr>
      <w:r>
        <w:rPr/>
        <w:t xml:space="preserve"> </w:t>
      </w:r>
    </w:p>
    <w:p>
      <w:pPr>
        <w:pStyle w:val="Titre3"/>
        <w:numPr>
          <w:ilvl w:val="2"/>
          <w:numId w:val="2"/>
        </w:numPr>
        <w:rPr/>
      </w:pPr>
      <w:bookmarkStart w:id="151" w:name="__RefHeading___Toc297237_1346298689"/>
      <w:bookmarkEnd w:id="151"/>
      <w:r>
        <w:rPr/>
        <w:t xml:space="preserve">Příloha: DALŠÍ DOPORUČENÍ, KTERÁ KOMISE PROJEDNALA, ALE NEBYLA PŘIJATA </w:t>
      </w:r>
    </w:p>
    <w:p>
      <w:pPr>
        <w:pStyle w:val="Normal"/>
        <w:rPr/>
      </w:pPr>
      <w:r>
        <w:rPr/>
        <w:t xml:space="preserve"> </w:t>
      </w:r>
    </w:p>
    <w:p>
      <w:pPr>
        <w:pStyle w:val="Titre4"/>
        <w:numPr>
          <w:ilvl w:val="3"/>
          <w:numId w:val="2"/>
        </w:numPr>
        <w:rPr/>
      </w:pPr>
      <w:bookmarkStart w:id="152" w:name="__RefHeading___Toc297239_1346298689"/>
      <w:bookmarkEnd w:id="152"/>
      <w:r>
        <w:rPr/>
        <w:t xml:space="preserve">Osa 1: Zaručení práv a nediskriminace </w:t>
      </w:r>
    </w:p>
    <w:p>
      <w:pPr>
        <w:pStyle w:val="Normal"/>
        <w:rPr/>
      </w:pPr>
      <w:r>
        <w:rPr/>
        <w:t xml:space="preserve"> </w:t>
      </w:r>
    </w:p>
    <w:p>
      <w:pPr>
        <w:pStyle w:val="Normal"/>
        <w:rPr/>
      </w:pPr>
      <w:r>
        <w:rPr/>
        <w:t xml:space="preserve">Dílčí osa 1.1 Nediskriminace/podosa 1.2 Rovnost žen a mužů </w:t>
      </w:r>
    </w:p>
    <w:p>
      <w:pPr>
        <w:pStyle w:val="Normal"/>
        <w:rPr/>
      </w:pPr>
      <w:r>
        <w:rPr/>
        <w:t xml:space="preserve"> </w:t>
      </w:r>
    </w:p>
    <w:p>
      <w:pPr>
        <w:pStyle w:val="P68B1DB1Normal15"/>
        <w:rPr>
          <w:b/>
          <w:b/>
        </w:rPr>
      </w:pPr>
      <w:r>
        <w:rPr/>
        <w:t>„</w:t>
      </w:r>
      <w:r>
        <w:rPr/>
        <w:t xml:space="preserve">Doporučujeme, aby EU aktivně zapojila menšiny do tvorby politik týkajících se klíčových aspektů státních institucí (např. policie a nevládních organizací). Doporučujeme, aby Unie zřídila poradní radu, kterou přímo volí menšiny. Měl by se skládat převážně ze zástupců menšin a měl by zahrnovat i zástupce nevládních organizací. Měla by hrát úlohu odborné přípravy při zvyšování povědomí veřejných činitelů o potřebách menšin. Tento orgán by měl mít právo veta v otázkách menšin. </w:t>
      </w:r>
    </w:p>
    <w:p>
      <w:pPr>
        <w:pStyle w:val="Normal"/>
        <w:rPr/>
      </w:pPr>
      <w:r>
        <w:rPr/>
        <w:t xml:space="preserve">Doporučujeme to, protože hlasy menšin nejsou dostatečně slyšet. Měly by se vyjadřovat vlastním jménem, sebeurčeným způsobem a na profesionální úrovni; to je důvod, proč jsme spojili zastoupení prostřednictvím hlasování a odborných znalostí. </w:t>
      </w:r>
    </w:p>
    <w:p>
      <w:pPr>
        <w:pStyle w:val="Normal"/>
        <w:rPr/>
      </w:pPr>
      <w:r>
        <w:rPr/>
        <w:t xml:space="preserve"> </w:t>
      </w:r>
    </w:p>
    <w:p>
      <w:pPr>
        <w:pStyle w:val="Titre4"/>
        <w:numPr>
          <w:ilvl w:val="3"/>
          <w:numId w:val="2"/>
        </w:numPr>
        <w:rPr/>
      </w:pPr>
      <w:bookmarkStart w:id="153" w:name="__RefHeading___Toc297241_1346298689"/>
      <w:bookmarkEnd w:id="153"/>
      <w:r>
        <w:rPr/>
        <w:t xml:space="preserve">Osa 2: Ochrana demokracie a právního státu </w:t>
      </w:r>
    </w:p>
    <w:p>
      <w:pPr>
        <w:pStyle w:val="Normal"/>
        <w:rPr/>
      </w:pPr>
      <w:r>
        <w:rPr/>
        <w:t xml:space="preserve"> </w:t>
      </w:r>
    </w:p>
    <w:p>
      <w:pPr>
        <w:pStyle w:val="Normal"/>
        <w:rPr/>
      </w:pPr>
      <w:r>
        <w:rPr/>
        <w:t xml:space="preserve">Podosa 2.2 Ochrana a posilování demokracie/podosy 2.4 Média a dezinformace </w:t>
      </w:r>
    </w:p>
    <w:p>
      <w:pPr>
        <w:pStyle w:val="Normal"/>
        <w:rPr/>
      </w:pPr>
      <w:r>
        <w:rPr/>
        <w:t xml:space="preserve"> </w:t>
      </w:r>
    </w:p>
    <w:p>
      <w:pPr>
        <w:pStyle w:val="P68B1DB1Normal15"/>
        <w:rPr>
          <w:b/>
          <w:b/>
        </w:rPr>
      </w:pPr>
      <w:r>
        <w:rPr/>
        <w:t>„</w:t>
      </w:r>
      <w:r>
        <w:rPr/>
        <w:t xml:space="preserve">Doporučujeme vytvoření monitorovací agentury pro audiovizuální, tištěná a digitální média na evropské úrovni. Tato agentura by měla ověřit, zda vnitrostátní sdělovací prostředky sledují nestranný a objektivní proces tvorby svého obsahu. Aby se zabránilo dezinformacím, měla by agentura stanovit systém hodnocení spolehlivosti vnitrostátních sdělovacích prostředků. Tento systém hodnocení by měl být pro občany snadno pochopitelný. </w:t>
      </w:r>
    </w:p>
    <w:p>
      <w:pPr>
        <w:pStyle w:val="Normal"/>
        <w:rPr/>
      </w:pPr>
      <w:r>
        <w:rPr/>
        <w:t xml:space="preserve"> </w:t>
      </w:r>
    </w:p>
    <w:p>
      <w:pPr>
        <w:pStyle w:val="Normal"/>
        <w:rPr/>
      </w:pPr>
      <w:r>
        <w:rPr/>
        <w:t xml:space="preserve">Doporučujeme to, protože potřebujeme posoudit sdělovací prostředky a jejich spolehlivost, ale také rozmanitost sdělovacích prostředků v zemích EU. Evropská agentura by byla nejobjektivnějším orgánem, který by takový úkol zajistil. Tento systém hodnocení navíc umožňuje občanům činit informovaná rozhodnutí a vybízí sdělovací prostředky, aby poskytovaly spolehlivé informace. Ukáže-li se, že ratingový systém není dostatečný k zajištění spolehlivosti sdělovacích prostředků, měla by být agentura rovněž zmocněna ukládat sankce. </w:t>
      </w:r>
    </w:p>
    <w:p>
      <w:pPr>
        <w:pStyle w:val="Normal"/>
        <w:rPr/>
      </w:pPr>
      <w:r>
        <w:rPr/>
        <w:t xml:space="preserve"> </w:t>
      </w:r>
    </w:p>
    <w:p>
      <w:pPr>
        <w:pStyle w:val="Titre3"/>
        <w:numPr>
          <w:ilvl w:val="2"/>
          <w:numId w:val="2"/>
        </w:numPr>
        <w:rPr/>
      </w:pPr>
      <w:bookmarkStart w:id="154" w:name="__RefHeading___Toc297243_1346298689"/>
      <w:bookmarkEnd w:id="154"/>
      <w:r>
        <w:rPr/>
        <w:t xml:space="preserve">Osa 5: Posílení účasti občanů </w:t>
      </w:r>
    </w:p>
    <w:p>
      <w:pPr>
        <w:pStyle w:val="Normal"/>
        <w:rPr/>
      </w:pPr>
      <w:r>
        <w:rPr/>
        <w:t xml:space="preserve"> </w:t>
      </w:r>
    </w:p>
    <w:p>
      <w:pPr>
        <w:pStyle w:val="Titre4"/>
        <w:numPr>
          <w:ilvl w:val="3"/>
          <w:numId w:val="2"/>
        </w:numPr>
        <w:rPr/>
      </w:pPr>
      <w:r>
        <w:rPr/>
        <w:t xml:space="preserve">Dílčí osa 5.1 Účast občanů </w:t>
      </w:r>
    </w:p>
    <w:p>
      <w:pPr>
        <w:pStyle w:val="Normal"/>
        <w:rPr/>
      </w:pPr>
      <w:r>
        <w:rPr/>
        <w:t xml:space="preserve"> </w:t>
      </w:r>
    </w:p>
    <w:p>
      <w:pPr>
        <w:pStyle w:val="P68B1DB1Normal15"/>
        <w:rPr>
          <w:b/>
          <w:b/>
        </w:rPr>
      </w:pPr>
      <w:r>
        <w:rPr/>
        <w:t>„</w:t>
      </w:r>
      <w:r>
        <w:rPr/>
        <w:t xml:space="preserve">Doporučujeme, aby byl vytvořen orgán zastupující občany, který by projednal a významně přispěl k rozhodovacímu procesu – kdykoli je na úrovni EU rozhodnuto o klíčové otázce pro evropské občany (podle rozhodnutí občanů – případně prostřednictvím vyšetřování). Měla by se jednat o heterogenní skupinu přibližně 100 občanů ze všech zemí EU, v níž je každá země zastoupena rovným dílem. Měla by se jednat o rotující skupinu, jejíž členové jsou pravidelně vyměňováni. </w:t>
      </w:r>
    </w:p>
    <w:p>
      <w:pPr>
        <w:pStyle w:val="Normal"/>
        <w:rPr/>
      </w:pPr>
      <w:r>
        <w:rPr/>
        <w:t xml:space="preserve"> </w:t>
      </w:r>
    </w:p>
    <w:p>
      <w:pPr>
        <w:pStyle w:val="Normal"/>
        <w:rPr/>
      </w:pPr>
      <w:r>
        <w:rPr/>
        <w:t xml:space="preserve">Vzhledem k tomu, že je důležité se vyhnout problémům, jako je korupce, které by mohly vzniknout ze stálého zastupitelského orgánu, a je nezbytné, aby tento orgán měl rovné zastoupení všech zemí, aby se zabránilo nespravedlivé rozhodovací pravomoci. Protože tento způsob provozu by se vyhnul problémům souvisejícím s instalací nebo neustálým používáním vzdálených technologií. </w:t>
      </w:r>
    </w:p>
    <w:p>
      <w:pPr>
        <w:pStyle w:val="Normal"/>
        <w:rPr/>
      </w:pPr>
      <w:r>
        <w:rPr/>
        <w:t xml:space="preserve"> </w:t>
      </w:r>
      <w:r>
        <w:br w:type="page"/>
      </w:r>
    </w:p>
    <w:p>
      <w:pPr>
        <w:pStyle w:val="P68B1DB1Normal19"/>
        <w:rPr>
          <w:rFonts w:ascii="Times New Roman" w:hAnsi="Times New Roman"/>
          <w:color w:val="000000"/>
          <w:sz w:val="24"/>
        </w:rPr>
      </w:pPr>
      <w:r>
        <w:rPr/>
        <w:t xml:space="preserve"> </w:t>
      </w:r>
    </w:p>
    <w:p>
      <w:pPr>
        <w:pStyle w:val="Titre2"/>
        <w:numPr>
          <w:ilvl w:val="1"/>
          <w:numId w:val="2"/>
        </w:numPr>
        <w:rPr/>
      </w:pPr>
      <w:bookmarkStart w:id="155" w:name="__RefHeading___Toc297245_1346298689"/>
      <w:bookmarkEnd w:id="155"/>
      <w:r>
        <w:rPr/>
        <w:t xml:space="preserve">Evropský panel občanů 3: Změna klimatu a životní prostředí/zdraví </w:t>
      </w:r>
    </w:p>
    <w:p>
      <w:pPr>
        <w:pStyle w:val="Normal"/>
        <w:rPr/>
      </w:pPr>
      <w:r>
        <w:rPr/>
        <w:t xml:space="preserve"> </w:t>
      </w:r>
    </w:p>
    <w:p>
      <w:pPr>
        <w:pStyle w:val="Normal"/>
        <w:rPr/>
      </w:pPr>
      <w:r>
        <w:rPr/>
        <w:t xml:space="preserve">DOPORUČENÍ PŘIJATÁ POROTOU (BUDE PŘEDLOŽENA NA PLENÁRNÍM ZASEDÁNÍ) </w:t>
      </w:r>
    </w:p>
    <w:p>
      <w:pPr>
        <w:pStyle w:val="Normal"/>
        <w:rPr/>
      </w:pPr>
      <w:r>
        <w:rPr/>
        <w:t xml:space="preserve"> </w:t>
      </w:r>
    </w:p>
    <w:p>
      <w:pPr>
        <w:pStyle w:val="Titre3"/>
        <w:numPr>
          <w:ilvl w:val="2"/>
          <w:numId w:val="2"/>
        </w:numPr>
        <w:rPr/>
      </w:pPr>
      <w:bookmarkStart w:id="156" w:name="__RefHeading___Toc297247_1346298689"/>
      <w:bookmarkEnd w:id="156"/>
      <w:r>
        <w:rPr/>
        <w:t xml:space="preserve">Osa 1: Lepší způsoby života </w:t>
      </w:r>
    </w:p>
    <w:p>
      <w:pPr>
        <w:pStyle w:val="Normal"/>
        <w:rPr/>
      </w:pPr>
      <w:r>
        <w:rPr/>
        <w:t xml:space="preserve"> </w:t>
      </w:r>
    </w:p>
    <w:p>
      <w:pPr>
        <w:pStyle w:val="Titre4"/>
        <w:numPr>
          <w:ilvl w:val="3"/>
          <w:numId w:val="2"/>
        </w:numPr>
        <w:rPr/>
      </w:pPr>
      <w:bookmarkStart w:id="157" w:name="__RefHeading___Toc297249_1346298689"/>
      <w:bookmarkEnd w:id="157"/>
      <w:r>
        <w:rPr/>
        <w:t xml:space="preserve">Podosa 1.1 Zdravý životní styl </w:t>
      </w:r>
    </w:p>
    <w:p>
      <w:pPr>
        <w:pStyle w:val="P68B1DB1Normal15"/>
        <w:rPr>
          <w:b/>
          <w:b/>
        </w:rPr>
      </w:pPr>
      <w:r>
        <w:rPr/>
        <w:t xml:space="preserve">1. Doporučujeme, aby EU poskytovala dotace na ekologické zemědělství, včetně pobídek pro ekologické pesticidy, s cílem zvýšit dostupnost ekologických produktů. Kromě toho musí EU podporovat vzdělávání zemědělců v oblasti ekologického a udržitelného zemědělství a monokultur. Malé ekologické zemědělské podniky, neintenzivní zemědělské podniky a zemědělské podniky s krátkými dodavatelskými řetězci by měly mít prospěch z podpory, která jim umožní větší konkurenceschopnost. </w:t>
      </w:r>
    </w:p>
    <w:p>
      <w:pPr>
        <w:pStyle w:val="Normal"/>
        <w:rPr/>
      </w:pPr>
      <w:r>
        <w:rPr/>
        <w:t xml:space="preserve"> </w:t>
      </w:r>
    </w:p>
    <w:p>
      <w:pPr>
        <w:pStyle w:val="Normal"/>
        <w:rPr/>
      </w:pPr>
      <w:r>
        <w:rPr/>
        <w:t xml:space="preserve">Dotování ekologických produktů by je učinilo cenově dostupnějšími. Měli bychom pomoci supermarketům s využitím kratších dodavatelských řetězců a drobných zemědělců tím, že jim nabídneme příležitosti k prodeji svých produktů. Díky tomu je možné rozšířit přístup k čerstvějším produktům. Nízké ceny konvenčních produktů navíc neodrážejí škody, které způsobují. </w:t>
      </w:r>
    </w:p>
    <w:p>
      <w:pPr>
        <w:pStyle w:val="Normal"/>
        <w:rPr/>
      </w:pPr>
      <w:r>
        <w:rPr/>
        <w:t xml:space="preserve"> </w:t>
      </w:r>
    </w:p>
    <w:p>
      <w:pPr>
        <w:pStyle w:val="P68B1DB1Normal15"/>
        <w:rPr>
          <w:b/>
          <w:b/>
        </w:rPr>
      </w:pPr>
      <w:r>
        <w:rPr/>
        <w:t xml:space="preserve">2. Doporučujeme, aby inovace v oblasti vertikálního zemědělství byly financovány z investic EU. </w:t>
      </w:r>
    </w:p>
    <w:p>
      <w:pPr>
        <w:pStyle w:val="Normal"/>
        <w:rPr/>
      </w:pPr>
      <w:r>
        <w:rPr/>
        <w:t xml:space="preserve">Vertikální zemědělství nám umožňuje ušetřit půdní prostor, který by místo toho mohl být využit pro lesnictví. Také nevyžaduje pesticidy, což nám umožňuje produkovat více organických potravin. Kromě toho není ovlivněna špatnými povětrnostními podmínkami, které jsou v důsledku změny klimatu stále častější a mohou zkrátit dodavatelské řetězce. </w:t>
      </w:r>
    </w:p>
    <w:p>
      <w:pPr>
        <w:pStyle w:val="Normal"/>
        <w:rPr/>
      </w:pPr>
      <w:r>
        <w:rPr/>
        <w:t xml:space="preserve"> </w:t>
      </w:r>
    </w:p>
    <w:p>
      <w:pPr>
        <w:pStyle w:val="P68B1DB1Normal15"/>
        <w:rPr>
          <w:b/>
          <w:b/>
        </w:rPr>
      </w:pPr>
      <w:r>
        <w:rPr/>
        <w:t xml:space="preserve">3. EU by měla stanovit minimální normy pro kvalitu potravin, sledovatelnost potravin a spotřebu sezónních produktů ve školních jídelnách. Zdravé ingredience pro školní jídelny by proto měly být dotovány, aby byly studentům poskytovány kvalitní cenově dostupné potraviny. </w:t>
      </w:r>
    </w:p>
    <w:p>
      <w:pPr>
        <w:pStyle w:val="Normal"/>
        <w:rPr/>
      </w:pPr>
      <w:r>
        <w:rPr/>
        <w:t xml:space="preserve"> </w:t>
      </w:r>
    </w:p>
    <w:p>
      <w:pPr>
        <w:pStyle w:val="Normal"/>
        <w:rPr/>
      </w:pPr>
      <w:r>
        <w:rPr/>
        <w:t xml:space="preserve">Získáváme od raného věku návyky, které formují náš postoj ke zdraví; dobré návyky by měly být podporovány ve škole a studenti by je mohli replikovat doma. Je to také otázka sociální spravedlnosti: každý student EU by měl mít nárok na kvalitní potraviny ve škole. </w:t>
      </w:r>
    </w:p>
    <w:p>
      <w:pPr>
        <w:pStyle w:val="Normal"/>
        <w:rPr/>
      </w:pPr>
      <w:r>
        <w:rPr/>
        <w:t xml:space="preserve"> </w:t>
      </w:r>
    </w:p>
    <w:p>
      <w:pPr>
        <w:pStyle w:val="P68B1DB1Normal15"/>
        <w:rPr>
          <w:b/>
          <w:b/>
        </w:rPr>
      </w:pPr>
      <w:r>
        <w:rPr/>
        <w:t xml:space="preserve">4. Doporučujeme investovat do nových cyklostezek a do zlepšování stávajících stezek, aby byla cyklistika bezpečná a atraktivní a aby bylo zajištěno, že všechny věkové skupiny budou moci využívat školení v oblasti pravidel silničního provozu v Evropě, zejména pro uživatele elektrokol a osoby bez řidičského průkazu. Výrobci elektrických jízdních kol by měli být povinni poskytnout informace o používání elektrického kola a o souvisejících rizicích. Cyklistům by měla být poskytnuta právní ochrana v případě nehody s vozidlem (viz nizozemská pravidla). Jsme pro zóny bez automobilů ve městech (aniž by to poškozovalo komerční prostory). Obecněji doporučujeme upřednostňovat a doplňovat práva cyklistů a chodců před motorovými vozidly při současném zajištění bezpečnosti silničního provozu a dodržování pravidel silničního provozu. </w:t>
      </w:r>
    </w:p>
    <w:p>
      <w:pPr>
        <w:pStyle w:val="Normal"/>
        <w:rPr/>
      </w:pPr>
      <w:r>
        <w:rPr/>
        <w:t xml:space="preserve"> </w:t>
      </w:r>
    </w:p>
    <w:p>
      <w:pPr>
        <w:pStyle w:val="Normal"/>
        <w:rPr/>
      </w:pPr>
      <w:r>
        <w:rPr/>
        <w:t xml:space="preserve">Tato doporučení jsou důležitá, protože cyklistika přináší výhody z hlediska individuálního i veřejného zdraví, kvality ovzduší, hladiny hluku, klimatu a dopravy v centrech měst. Cyklisté a chodci se musí cítit bezpečně, vzhledem k rizikům spojeným se zvýšeným používáním elektrického kola. Cyklistické pruhy někdy chybí nebo jsou ve špatném stavu. </w:t>
      </w:r>
    </w:p>
    <w:p>
      <w:pPr>
        <w:pStyle w:val="Normal"/>
        <w:rPr/>
      </w:pPr>
      <w:r>
        <w:rPr/>
        <w:t xml:space="preserve"> </w:t>
      </w:r>
    </w:p>
    <w:p>
      <w:pPr>
        <w:pStyle w:val="P68B1DB1Normal15"/>
        <w:rPr>
          <w:b/>
          <w:b/>
        </w:rPr>
      </w:pPr>
      <w:r>
        <w:rPr/>
        <w:t xml:space="preserve">5. Doporučujeme integrovat produkci potravin do veřejného vzdělávání. Doporučujeme dotovat a podporovat vytváření zahrad ve školách, pokud je to možné, a urbanistické zahradnické projekty ve veřejných i soukromých prostorách. Rámce územního plánování musí zahrnovat potřebu vesmíru, vody a podpůrné infrastruktury. Například bývalá parkoviště by mohla být použita pro projekty ekologizace, projekty vertikálního zahradnictví by mohly být prováděny na budovách nebo získání stavebních povolení by mohlo být podmíněno integrací zelených ploch. Doporučujeme sdílet inovativní a osvědčené postupy ve všech členských státech. </w:t>
      </w:r>
    </w:p>
    <w:p>
      <w:pPr>
        <w:pStyle w:val="Normal"/>
        <w:rPr/>
      </w:pPr>
      <w:r>
        <w:rPr/>
        <w:t xml:space="preserve"> </w:t>
      </w:r>
    </w:p>
    <w:p>
      <w:pPr>
        <w:pStyle w:val="Normal"/>
        <w:rPr/>
      </w:pPr>
      <w:r>
        <w:rPr/>
        <w:t xml:space="preserve">Projekty zahradnictví podporují odolnost měst a jejich obyvatel a spojují lidi různých věkových skupin a sociálních skupin. Množení zelených ploch zlepšuje kvalitu života, kvalitu ovzduší, duševní a fyzické zdraví a životní prostředí. </w:t>
      </w:r>
    </w:p>
    <w:p>
      <w:pPr>
        <w:pStyle w:val="Normal"/>
        <w:rPr/>
      </w:pPr>
      <w:r>
        <w:rPr/>
        <w:t xml:space="preserve"> </w:t>
      </w:r>
    </w:p>
    <w:p>
      <w:pPr>
        <w:pStyle w:val="Titre4"/>
        <w:numPr>
          <w:ilvl w:val="3"/>
          <w:numId w:val="2"/>
        </w:numPr>
        <w:rPr/>
      </w:pPr>
      <w:bookmarkStart w:id="158" w:name="__RefHeading___Toc297251_1346298689"/>
      <w:bookmarkEnd w:id="158"/>
      <w:r>
        <w:rPr/>
        <w:t xml:space="preserve">Dílčí osa 1.2 Výchova v oblasti životního prostředí </w:t>
      </w:r>
    </w:p>
    <w:p>
      <w:pPr>
        <w:pStyle w:val="P68B1DB1Normal15"/>
        <w:rPr>
          <w:b/>
          <w:b/>
        </w:rPr>
      </w:pPr>
      <w:r>
        <w:rPr/>
        <w:t>6. Doporučujeme, aby EU přijala směrnici, která vyžaduje, aby programy územního plánování splňovaly specifické environmentální požadavky, aby města byla ekologičtější. Tato směrnice by se měla vztahovat na soukromé a veřejné statky a prostory, zejména na nové budovy ve výstavbě. Musí stanovit minimální normy, které zajistí, aby budovy a prostory byly co nejzelenější. Přídavné jméno „zelená“ zde odkazuje na využívání obnovitelných zdrojů energie, sníženou spotřebu energie, nízké emise</w:t>
      </w:r>
      <w:r>
        <w:rPr>
          <w:vertAlign w:val="subscript"/>
        </w:rPr>
        <w:t>CO2 a</w:t>
      </w:r>
      <w:r>
        <w:rPr/>
        <w:t xml:space="preserve"> začlenění zařízení do architektonických projektů. </w:t>
      </w:r>
    </w:p>
    <w:p>
      <w:pPr>
        <w:pStyle w:val="Normal"/>
        <w:rPr/>
      </w:pPr>
      <w:r>
        <w:rPr/>
        <w:t xml:space="preserve"> </w:t>
      </w:r>
    </w:p>
    <w:p>
      <w:pPr>
        <w:pStyle w:val="Normal"/>
        <w:rPr/>
      </w:pPr>
      <w:r>
        <w:rPr/>
        <w:t>Zelenější města aktivně přispívají ke snižování dopadů změny klimatu a zejména emisí CO2 a</w:t>
      </w:r>
      <w:r>
        <w:rPr>
          <w:vertAlign w:val="subscript"/>
        </w:rPr>
        <w:t>ozonu</w:t>
      </w:r>
      <w:r>
        <w:rPr/>
        <w:t xml:space="preserve">, které mají negativní dopad na zdraví občanů. Investice do ekologičtějších měst přispívají k udržitelnému rozvoji komunit, který přináší dlouhodobé hospodářské a sociální přínosy. </w:t>
      </w:r>
    </w:p>
    <w:p>
      <w:pPr>
        <w:pStyle w:val="Normal"/>
        <w:rPr/>
      </w:pPr>
      <w:r>
        <w:rPr/>
        <w:t xml:space="preserve"> </w:t>
      </w:r>
    </w:p>
    <w:p>
      <w:pPr>
        <w:pStyle w:val="P68B1DB1Normal15"/>
        <w:rPr>
          <w:b/>
          <w:b/>
        </w:rPr>
      </w:pPr>
      <w:r>
        <w:rPr/>
        <w:t xml:space="preserve">7. Doporučujeme, aby EU za pomoci členských států vypracovala, přijala a prováděla společnou Evropskou chartu zaměřenou na otázky životního prostředí z hlediska jejich složitosti. Charta poskytne členským státům rámec pro pořádání pravidelných informačních a vzdělávacích kampaní, které budou šířeny všemi dostupnými mediálními kanály a na novém informačním portálu vytvořeném za tímto účelem. Tyto kampaně by měly být organizovány v celé EU a na všech úrovních s cílem zvýšit povědomí všech občanů o životním prostředí. </w:t>
      </w:r>
    </w:p>
    <w:p>
      <w:pPr>
        <w:pStyle w:val="Normal"/>
        <w:rPr/>
      </w:pPr>
      <w:r>
        <w:rPr/>
        <w:t xml:space="preserve"> </w:t>
      </w:r>
    </w:p>
    <w:p>
      <w:pPr>
        <w:pStyle w:val="Normal"/>
        <w:rPr/>
      </w:pPr>
      <w:r>
        <w:rPr/>
        <w:t xml:space="preserve">Nedostatečná koordinace mezi členskými státy brání účinnosti stávajících kampaní a zpomaluje úsilí o řešení globální výzvy změny klimatu. Společná charta podpoří součinnost mezi akčními plány členských států a zajistí větší účinnost úsilí. Kromě toho zajistí, aby občanům byly poskytovány konzistentní a konzistentní informace o dopadu jejich každodenních činností, jako je volba způsobu dopravy a nakládání s jejich odpady. </w:t>
      </w:r>
    </w:p>
    <w:p>
      <w:pPr>
        <w:pStyle w:val="Normal"/>
        <w:rPr/>
      </w:pPr>
      <w:r>
        <w:rPr/>
        <w:t xml:space="preserve"> </w:t>
      </w:r>
    </w:p>
    <w:p>
      <w:pPr>
        <w:pStyle w:val="Titre3"/>
        <w:numPr>
          <w:ilvl w:val="2"/>
          <w:numId w:val="2"/>
        </w:numPr>
        <w:rPr/>
      </w:pPr>
      <w:bookmarkStart w:id="159" w:name="__RefHeading___Toc297253_1346298689"/>
      <w:bookmarkEnd w:id="159"/>
      <w:r>
        <w:rPr/>
        <w:t xml:space="preserve">Osa 2: Ochrana našeho životního prostředí a zdraví </w:t>
      </w:r>
    </w:p>
    <w:p>
      <w:pPr>
        <w:pStyle w:val="Titre4"/>
        <w:numPr>
          <w:ilvl w:val="3"/>
          <w:numId w:val="2"/>
        </w:numPr>
        <w:rPr/>
      </w:pPr>
      <w:bookmarkStart w:id="160" w:name="__RefHeading___Toc297255_1346298689"/>
      <w:bookmarkEnd w:id="160"/>
      <w:r>
        <w:rPr/>
        <w:t xml:space="preserve">Podosa 2.1 Zdravé přírodní prostředí </w:t>
      </w:r>
    </w:p>
    <w:p>
      <w:pPr>
        <w:pStyle w:val="P68B1DB1Normal15"/>
        <w:rPr>
          <w:b/>
          <w:b/>
        </w:rPr>
      </w:pPr>
      <w:r>
        <w:rPr/>
        <w:t xml:space="preserve">8. Doporučujeme jednotný eko-skóre systém, který zobrazuje celkovou environmentální stopu každého dostupného produktu zakoupeného v EU. Výrobky ze třetích zemí musí tento systém eko-skóre dodržovat transparentním způsobem. Tento systém by měl být založen na jasných klasifikačních kritériích platných pro samotné výrobky a používat například QR kód, který poskytuje podrobnější informace o výrobku. </w:t>
      </w:r>
    </w:p>
    <w:p>
      <w:pPr>
        <w:pStyle w:val="Normal"/>
        <w:rPr/>
      </w:pPr>
      <w:r>
        <w:rPr/>
        <w:t xml:space="preserve"> </w:t>
      </w:r>
    </w:p>
    <w:p>
      <w:pPr>
        <w:pStyle w:val="Normal"/>
        <w:rPr/>
      </w:pPr>
      <w:r>
        <w:rPr/>
        <w:t xml:space="preserve">Tyto informace o životním cyklu výrobků jsou pro všechny občany EU zásadní pro posílení postavení spotřebitelů při nakupování. To občanům EU umožní přijímat odpovědná rozhodnutí, která přispějí k ochraně jejich životního prostředí. </w:t>
      </w:r>
    </w:p>
    <w:p>
      <w:pPr>
        <w:pStyle w:val="Normal"/>
        <w:rPr/>
      </w:pPr>
      <w:r>
        <w:rPr/>
        <w:t xml:space="preserve"> </w:t>
      </w:r>
    </w:p>
    <w:p>
      <w:pPr>
        <w:pStyle w:val="P68B1DB1Normal15"/>
        <w:rPr>
          <w:b/>
          <w:b/>
        </w:rPr>
      </w:pPr>
      <w:r>
        <w:rPr/>
        <w:t xml:space="preserve">9. Doporučujeme, aby bylo vynaloženo více investic do zkoumání nových zdrojů energie šetrných k životnímu prostředí a až do zavedení těchto nových zdrojů, aby byly vyčleněny dodatečné investice do stávajících optimálních řešení výroby energie. Rovněž doporučujeme transparentně informovat a vzdělávat evropské občany o konkrétních zdrojích energie. Důrazně doporučujeme vzít v úvahu celkové ekologické a sociální dopady procesu výroby energie na současné i budoucí generace. </w:t>
      </w:r>
    </w:p>
    <w:p>
      <w:pPr>
        <w:pStyle w:val="Normal"/>
        <w:rPr/>
      </w:pPr>
      <w:r>
        <w:rPr/>
        <w:t xml:space="preserve"> </w:t>
      </w:r>
    </w:p>
    <w:p>
      <w:pPr>
        <w:pStyle w:val="Normal"/>
        <w:rPr/>
      </w:pPr>
      <w:r>
        <w:rPr/>
        <w:t xml:space="preserve">Čelíme velmi vysokým úrovním emisí uhlíku a dalších toxických látek z výroby energie, které snižují klima a kvalitu ovzduší. Abychom vyhověli pokynům EU, doporučením zpráv IPCC a cílům COP26, musíme posílit výzkum a investice za účelem dosažení klimaticky neutrální výroby energie. </w:t>
      </w:r>
    </w:p>
    <w:p>
      <w:pPr>
        <w:pStyle w:val="Normal"/>
        <w:rPr/>
      </w:pPr>
      <w:r>
        <w:rPr/>
        <w:t xml:space="preserve"> </w:t>
      </w:r>
    </w:p>
    <w:p>
      <w:pPr>
        <w:pStyle w:val="Titre4"/>
        <w:numPr>
          <w:ilvl w:val="3"/>
          <w:numId w:val="2"/>
        </w:numPr>
        <w:rPr/>
      </w:pPr>
      <w:bookmarkStart w:id="161" w:name="__RefHeading___Toc297257_1346298689"/>
      <w:bookmarkEnd w:id="161"/>
      <w:r>
        <w:rPr/>
        <w:t xml:space="preserve">Dílčí osa 2.2 Ochrana naší biologické rozmanitosti </w:t>
      </w:r>
    </w:p>
    <w:p>
      <w:pPr>
        <w:pStyle w:val="P68B1DB1Normal15"/>
        <w:rPr>
          <w:b/>
          <w:b/>
        </w:rPr>
      </w:pPr>
      <w:r>
        <w:rPr/>
        <w:t xml:space="preserve">10. Doporučujeme drasticky omezit používání chemických pesticidů a hnojiv ve všech typech zemědělství zajištěním uplatňování přísnějších společných norem, urychlením výzkumu přírodních alternativ a podporou přijetí nových řešení, včetně školení pro zemědělce. </w:t>
      </w:r>
    </w:p>
    <w:p>
      <w:pPr>
        <w:pStyle w:val="Normal"/>
        <w:rPr/>
      </w:pPr>
      <w:r>
        <w:rPr/>
        <w:t xml:space="preserve"> </w:t>
      </w:r>
    </w:p>
    <w:p>
      <w:pPr>
        <w:pStyle w:val="Normal"/>
        <w:rPr/>
      </w:pPr>
      <w:r>
        <w:rPr/>
        <w:t xml:space="preserve">Ačkoli bylo dosaženo pokroku, pokud jde o hnojiva a alternativní pesticidy, většina z nich není dosud využívána velkými zemědělskými podniky. Je proto třeba vyvinout trvalejší úsilí, aby bylo možné nalézt nová řešení. Výzkum by měl být podporován prostřednictvím veřejných výdajů a vyšších norem pro používání pesticidů a hnojiv. Výsledky výzkumu je třeba rychle šířit na úrovni EU. </w:t>
      </w:r>
    </w:p>
    <w:p>
      <w:pPr>
        <w:pStyle w:val="Normal"/>
        <w:rPr/>
      </w:pPr>
      <w:r>
        <w:rPr/>
        <w:t xml:space="preserve"> </w:t>
      </w:r>
    </w:p>
    <w:p>
      <w:pPr>
        <w:pStyle w:val="P68B1DB1Normal15"/>
        <w:rPr>
          <w:b/>
          <w:b/>
        </w:rPr>
      </w:pPr>
      <w:r>
        <w:rPr/>
        <w:t xml:space="preserve">11. Doporučujeme rozšířit chráněné oblasti pro zachování biologické rozmanitosti (savců, ptáků, hmyzu a rostlin) a posílit právní stát, pokud jde o lidské zásahy do těchto oblastí. Chráněné oblasti budou považovány nejen za ostrůvky, ale také za kontinuum se zelenějšími městskými oblastmi v souladu s harmonizovanými normami EU. </w:t>
      </w:r>
    </w:p>
    <w:p>
      <w:pPr>
        <w:pStyle w:val="Normal"/>
        <w:rPr/>
      </w:pPr>
      <w:r>
        <w:rPr/>
        <w:t xml:space="preserve"> </w:t>
      </w:r>
    </w:p>
    <w:p>
      <w:pPr>
        <w:pStyle w:val="Normal"/>
        <w:rPr/>
      </w:pPr>
      <w:r>
        <w:rPr/>
        <w:t xml:space="preserve">Biodiverzita velmi trpí odlesňováním. Vytvoření chráněných oblastí je jedním z hlavních prostředků ochrany suchozemské biologické rozmanitosti. Je však obtížné zachovat chráněné oblasti v blízkosti znečištěných měst nebo se vyhnout lidským zásahům, když okolní oblasti ponechávají málo prostoru pro přírodu. Musíme zazelenat obytná místa a integrovat je do jejich okolní přírody. </w:t>
      </w:r>
    </w:p>
    <w:p>
      <w:pPr>
        <w:pStyle w:val="Normal"/>
        <w:rPr/>
      </w:pPr>
      <w:r>
        <w:rPr/>
        <w:t xml:space="preserve"> </w:t>
      </w:r>
    </w:p>
    <w:p>
      <w:pPr>
        <w:pStyle w:val="Normal"/>
        <w:rPr/>
      </w:pPr>
      <w:r>
        <w:rPr>
          <w:b/>
        </w:rPr>
        <w:t>12. Doporučujeme přesměrovat obecné dotace na zemědělství především na projekty související s rozvojem udržitelného zemědělství, včetně respektování přírody a pracovníků. Příjemci by měli dodržovat jasné environmentální normy a být pečlivě sledováni.</w:t>
      </w:r>
      <w:r>
        <w:rPr/>
        <w:t xml:space="preserve"> </w:t>
      </w:r>
    </w:p>
    <w:p>
      <w:pPr>
        <w:pStyle w:val="Normal"/>
        <w:rPr/>
      </w:pPr>
      <w:r>
        <w:rPr/>
        <w:t xml:space="preserve"> </w:t>
      </w:r>
    </w:p>
    <w:p>
      <w:pPr>
        <w:pStyle w:val="Normal"/>
        <w:rPr/>
      </w:pPr>
      <w:r>
        <w:rPr/>
        <w:t xml:space="preserve">Domníváme se, že je třeba podporovat pouze udržitelné zemědělství, což znamená přerozdělení prostředků, které jsou v současné době využívány na obecné dotace. Kromě toho je možné zvýšit efektivitu využívaných prostředků tím, že se zaměříme spíše na transformační projekty a inovativní řešení než na roční platby. Mělo by být zajištěno lepší sledování ekologického dopadu zemědělských činností a projektů. Lidská práva pracovníků musí být rovněž považována za nedílnou součást udržitelnosti. </w:t>
      </w:r>
    </w:p>
    <w:p>
      <w:pPr>
        <w:pStyle w:val="Normal"/>
        <w:rPr/>
      </w:pPr>
      <w:r>
        <w:rPr/>
        <w:t xml:space="preserve"> </w:t>
      </w:r>
    </w:p>
    <w:p>
      <w:pPr>
        <w:pStyle w:val="Normal"/>
        <w:rPr/>
      </w:pPr>
      <w:r>
        <w:rPr>
          <w:b/>
        </w:rPr>
        <w:t>13. Doporučujeme, aby EU zajistila spravedlivou hospodářskou soutěž v oblasti zemědělských produktů šetrných k životnímu prostředí tím, že stanoví přísnější normy pro produkty z EU i dovážené produkty a zajistí sledovatelnost, označování a kontrolu kvality.</w:t>
      </w:r>
      <w:r>
        <w:rPr/>
        <w:t xml:space="preserve"> </w:t>
      </w:r>
    </w:p>
    <w:p>
      <w:pPr>
        <w:pStyle w:val="Normal"/>
        <w:rPr/>
      </w:pPr>
      <w:r>
        <w:rPr/>
        <w:t xml:space="preserve"> </w:t>
      </w:r>
    </w:p>
    <w:p>
      <w:pPr>
        <w:pStyle w:val="Normal"/>
        <w:rPr/>
      </w:pPr>
      <w:r>
        <w:rPr/>
        <w:t xml:space="preserve">Nižší produktivita udržitelných zemědělských produktů podkopává jejich nákladovou konkurenceschopnost. Dovážené výrobky by měly splňovat stejné přísné normy, pokud jde o dopad jejich výroby na životní prostředí. Naše orgány by měly být schopny zajistit sledovatelnost dovážených zemědělských produktů. </w:t>
      </w:r>
    </w:p>
    <w:p>
      <w:pPr>
        <w:pStyle w:val="Normal"/>
        <w:rPr/>
      </w:pPr>
      <w:r>
        <w:rPr/>
        <w:t xml:space="preserve"> </w:t>
      </w:r>
    </w:p>
    <w:p>
      <w:pPr>
        <w:pStyle w:val="P68B1DB1Normal15"/>
        <w:rPr>
          <w:b/>
          <w:b/>
        </w:rPr>
      </w:pPr>
      <w:r>
        <w:rPr/>
        <w:t xml:space="preserve">14. Doporučujeme rychlé a masivní opětovné zalesňování a zalesňování v EU díky optimalizovanému využívání půdy. Zvláštní pozornost by měla být věnována opětovnému zalesňování využívaných nebo zničených lesů a zalesňování oblastí se znehodnocenou půdou. Měla by být podporována nová, odpovědnější řešení pro lepší využívání dřeva, například za účelem nahrazení plastů a jiných chemických látek, dosažení vyšší energetické účinnosti biomasy a recyklace dřevěných výrobků. </w:t>
      </w:r>
    </w:p>
    <w:p>
      <w:pPr>
        <w:pStyle w:val="Normal"/>
        <w:rPr/>
      </w:pPr>
      <w:r>
        <w:rPr/>
        <w:t xml:space="preserve"> </w:t>
      </w:r>
    </w:p>
    <w:p>
      <w:pPr>
        <w:pStyle w:val="Normal"/>
        <w:rPr/>
      </w:pPr>
      <w:r>
        <w:rPr/>
        <w:t xml:space="preserve">Opětovné zalesňování má jasný pozitivní dopad na životní prostředí a biologickou rozmanitost obecně. Zároveň musíme použít méně dřeva k ohřevu sami, ale více, abychom z nich udělali výrobky s vysokou přidanou hodnotou; například pro nahrazení plastů je použití dřeva prvořadé. </w:t>
      </w:r>
    </w:p>
    <w:p>
      <w:pPr>
        <w:pStyle w:val="Normal"/>
        <w:rPr/>
      </w:pPr>
      <w:r>
        <w:rPr/>
        <w:t xml:space="preserve"> </w:t>
      </w:r>
    </w:p>
    <w:p>
      <w:pPr>
        <w:pStyle w:val="Titre4"/>
        <w:numPr>
          <w:ilvl w:val="3"/>
          <w:numId w:val="2"/>
        </w:numPr>
        <w:rPr/>
      </w:pPr>
      <w:bookmarkStart w:id="162" w:name="__RefHeading___Toc297259_1346298689"/>
      <w:bookmarkEnd w:id="162"/>
      <w:r>
        <w:rPr/>
        <w:t xml:space="preserve">Podosa 2.3 Bezpečné a zdravé potraviny </w:t>
      </w:r>
    </w:p>
    <w:p>
      <w:pPr>
        <w:pStyle w:val="P68B1DB1Normal15"/>
        <w:rPr>
          <w:b/>
          <w:b/>
        </w:rPr>
      </w:pPr>
      <w:r>
        <w:rPr/>
        <w:t xml:space="preserve">15. Doporučujeme rychlé a postupné odstraňování neudržitelných obalů používaných pro potraviny, včetně plastových obalů a jiných biologicky nerozložitelných obalů. Za tímto účelem navrhujeme nabízet finanční pobídky společnostem, které přecházejí k plně biologicky rozložitelným formám obalů, investovat do hledání alternativ a ukládat sankce společnostem, které nepoužívají biologicky rozložitelné obaly. </w:t>
      </w:r>
    </w:p>
    <w:p>
      <w:pPr>
        <w:pStyle w:val="Normal"/>
        <w:rPr/>
      </w:pPr>
      <w:r>
        <w:rPr/>
        <w:t xml:space="preserve"> </w:t>
      </w:r>
    </w:p>
    <w:p>
      <w:pPr>
        <w:pStyle w:val="Normal"/>
        <w:rPr/>
      </w:pPr>
      <w:r>
        <w:rPr/>
        <w:t xml:space="preserve">Plastový odpad, zejména mikroplasty, se stává stále hojnějším a pomaleji degradujícím. Spotřeba plastů ohrožuje kvalitu a bezpečnost potravin a zároveň představuje riziko pro zdraví lidí a zvířat. Kromě toho jsou stávající právní předpisy EU na omezení biologicky nerozložitelných obalů nedostatečné. </w:t>
      </w:r>
    </w:p>
    <w:p>
      <w:pPr>
        <w:pStyle w:val="Normal"/>
        <w:rPr/>
      </w:pPr>
      <w:r>
        <w:rPr/>
        <w:t xml:space="preserve"> </w:t>
      </w:r>
    </w:p>
    <w:p>
      <w:pPr>
        <w:pStyle w:val="P68B1DB1Normal15"/>
        <w:rPr>
          <w:b/>
          <w:b/>
        </w:rPr>
      </w:pPr>
      <w:r>
        <w:rPr/>
        <w:t xml:space="preserve">16. Doporučujeme postupné opouštění intenzivního zemědělství, včetně ukončení ponižujících životních podmínek zvířat. Navrhujeme zavést společné normy pro chov hospodářských zvířat (např. maximální počet zvířat, přizpůsobený venkovní prostor) a více investovat do neintenzivních metod (rozsáhlé a udržitelné zemědělství) poskytnutím finančních pobídek a školení pro zemědělce na podporu tohoto rozvoje. </w:t>
      </w:r>
    </w:p>
    <w:p>
      <w:pPr>
        <w:pStyle w:val="Normal"/>
        <w:rPr/>
      </w:pPr>
      <w:r>
        <w:rPr/>
        <w:t xml:space="preserve"> </w:t>
      </w:r>
    </w:p>
    <w:p>
      <w:pPr>
        <w:pStyle w:val="Normal"/>
        <w:rPr/>
      </w:pPr>
      <w:r>
        <w:rPr/>
        <w:t xml:space="preserve">Postupné ukončení intenzivního zemědělství sníží úroveň znečištění životního prostředí a posílí ochranu přírody. Postupné ukončení intenzivního chovu hospodářských zvířat navíc sníží množství léků potřebných pro boj proti chorobám zvířat a zlepší kvalitu naší stravy. Intenzivní zemědělství rovněž nerespektuje dobré životní podmínky zvířat, existují však udržitelnější formy zemědělství, jako je extenzivní zemědělství; je nezbytné poskytnout zemědělcům dotace, které jim pomohou vydat se na tuto cestu. </w:t>
      </w:r>
    </w:p>
    <w:p>
      <w:pPr>
        <w:pStyle w:val="Normal"/>
        <w:rPr/>
      </w:pPr>
      <w:r>
        <w:rPr/>
        <w:t xml:space="preserve"> </w:t>
      </w:r>
    </w:p>
    <w:p>
      <w:pPr>
        <w:pStyle w:val="P68B1DB1Normal15"/>
        <w:rPr>
          <w:b/>
          <w:b/>
        </w:rPr>
      </w:pPr>
      <w:r>
        <w:rPr/>
        <w:t xml:space="preserve">17. Doporučujeme posílit kontroly zákazu zbytečného používání antibiotik a jiných veterinárních léčivých přípravků v doplňkových látkách: zajistěme, aby se tato iniciativa uskutečnila! Navrhujeme, aby bylo používání antibiotik v chovu hospodářských zvířat povoleno pouze tehdy, je-li to nezbytně nutné, aby bylo chráněno zdraví a dobré životní podmínky zvířat, a nikoli preventivním způsobem. Kromě toho je třeba více investovat do hledání účinnějších antibiotik, vyvíjet alternativy a zároveň stavět na probíhajícím výzkumu v této oblasti. </w:t>
      </w:r>
    </w:p>
    <w:p>
      <w:pPr>
        <w:pStyle w:val="Normal"/>
        <w:rPr/>
      </w:pPr>
      <w:r>
        <w:rPr/>
        <w:t xml:space="preserve"> </w:t>
      </w:r>
    </w:p>
    <w:p>
      <w:pPr>
        <w:pStyle w:val="Normal"/>
        <w:rPr/>
      </w:pPr>
      <w:r>
        <w:rPr/>
        <w:t xml:space="preserve">Lidská rezistence vůči antibiotikům se snižuje v důsledku konzumace potravin získaných ze zvířat, kterým byla podávána antibiotika. Kromě toho je třeba vyvinout vhodná řešení, která by nahradila stávající antibiotika, a zajistit, aby zemědělci byli informováni a ochotni je používat. Uznáváme, že existují antibiotické směrnice EU; ty však nebyly provedeny stejným způsobem ve všech členských státech. A konečně, veterinární léčivé přípravky jsou zneužívány pro účely dopingu; přísnější právní předpisy v této oblasti proto zlepší dobré životní podmínky zvířat a zlepší kvalitu jejich života. </w:t>
      </w:r>
    </w:p>
    <w:p>
      <w:pPr>
        <w:pStyle w:val="Normal"/>
        <w:rPr/>
      </w:pPr>
      <w:r>
        <w:rPr/>
        <w:t xml:space="preserve"> </w:t>
      </w:r>
    </w:p>
    <w:p>
      <w:pPr>
        <w:pStyle w:val="P68B1DB1Normal15"/>
        <w:rPr>
          <w:b/>
          <w:b/>
        </w:rPr>
      </w:pPr>
      <w:r>
        <w:rPr/>
        <w:t xml:space="preserve">18. Doporučujeme, aby právní předpisy EU vyžadovaly podávání zpráv o používání hormonálních látek a endokrinních disruptorů při výrobě potravin, aby bylo možné specifikovat typ, množství a expozici použitého konečného produktu. Etikety jasně uvádějící přítomné látky a důvody jejich použití musí být uvedeny na obalu všech dotčených potravinářských výrobků. Kromě toho by měl být urychlen výzkum účinků hormonálních látek a endokrinních disruptorů na lidské zdraví. </w:t>
      </w:r>
    </w:p>
    <w:p>
      <w:pPr>
        <w:pStyle w:val="Normal"/>
        <w:rPr/>
      </w:pPr>
      <w:r>
        <w:rPr/>
        <w:t xml:space="preserve"> </w:t>
      </w:r>
    </w:p>
    <w:p>
      <w:pPr>
        <w:pStyle w:val="Normal"/>
        <w:rPr/>
      </w:pPr>
      <w:r>
        <w:rPr/>
        <w:t xml:space="preserve">V současné době je sledovatelnost potravinářských výrobků nedostatečná, zejména pokud jde o hormonální látky a endokrinní disruptory. Jsme přesvědčeni, že transparentnost ve výrobě potravin je nezbytná pro splnění odpovědnosti. Kromě toho by spotřebitelé měli mít možnost znát složení potravin, které konzumují, jako celek, a měli by mít možnost svobodně si vybrat, co jedí. Kromě toho neexistuje dostatečný výzkum dopadu na člověka (a potenciálních rizik) spojených s konzumací potravinářských výrobků obsahujících hormonální látky a endokrinní disruptory. </w:t>
      </w:r>
    </w:p>
    <w:p>
      <w:pPr>
        <w:pStyle w:val="Normal"/>
        <w:rPr/>
      </w:pPr>
      <w:r>
        <w:rPr/>
        <w:t xml:space="preserve"> </w:t>
      </w:r>
    </w:p>
    <w:p>
      <w:pPr>
        <w:pStyle w:val="P68B1DB1Normal15"/>
        <w:rPr>
          <w:b/>
          <w:b/>
        </w:rPr>
      </w:pPr>
      <w:r>
        <w:rPr/>
        <w:t xml:space="preserve">19. Doporučujeme odradit od spotřeby zpracovaných potravin uplatňováním daní na potraviny, které jsou škodlivé pro zdraví, a investováním finančních prostředků do zdravých potravin. Navrhujeme vytvořit celoevropský systém hodnocení zdravých potravin založený na osvědčených postupech v členských státech a uvádět na potraviny etikety s cílem informovat spotřebitele o jejich účincích na zdraví. </w:t>
      </w:r>
    </w:p>
    <w:p>
      <w:pPr>
        <w:pStyle w:val="Normal"/>
        <w:rPr/>
      </w:pPr>
      <w:r>
        <w:rPr/>
        <w:t xml:space="preserve"> </w:t>
      </w:r>
    </w:p>
    <w:p>
      <w:pPr>
        <w:pStyle w:val="Normal"/>
        <w:rPr/>
      </w:pPr>
      <w:r>
        <w:rPr/>
        <w:t xml:space="preserve">Takto získané finanční prostředky mohou být použity na rozvoj osvětových a propagačních kampaní, upřednostňování zdravého stravování ve vzdělávacím sektoru a snížení viditelnosti nezdravých potravin v supermarketech. Investice do zdravých potravin rovněž přispívají ke zlepšení celkového zdraví obyvatelstva, a tím ke snížení úrovně veřejných výdajů potřebných k řešení zdravotních problémů způsobených špatnou výživou. Kromě toho jsme přesvědčeni, že daně a dotace povzbudí podniky k výrobě zdravějších potravin. </w:t>
      </w:r>
    </w:p>
    <w:p>
      <w:pPr>
        <w:pStyle w:val="Normal"/>
        <w:rPr/>
      </w:pPr>
      <w:r>
        <w:rPr/>
        <w:t xml:space="preserve"> </w:t>
      </w:r>
    </w:p>
    <w:p>
      <w:pPr>
        <w:pStyle w:val="Titre3"/>
        <w:numPr>
          <w:ilvl w:val="2"/>
          <w:numId w:val="2"/>
        </w:numPr>
        <w:rPr/>
      </w:pPr>
      <w:bookmarkStart w:id="163" w:name="__RefHeading___Toc297261_1346298689"/>
      <w:bookmarkEnd w:id="163"/>
      <w:r>
        <w:rPr/>
        <w:t xml:space="preserve">Osa 3: přeorientování naší ekonomiky a spotřeby </w:t>
      </w:r>
    </w:p>
    <w:p>
      <w:pPr>
        <w:pStyle w:val="Titre4"/>
        <w:numPr>
          <w:ilvl w:val="3"/>
          <w:numId w:val="2"/>
        </w:numPr>
        <w:rPr/>
      </w:pPr>
      <w:bookmarkStart w:id="164" w:name="__RefHeading___Toc297263_1346298689"/>
      <w:bookmarkEnd w:id="164"/>
      <w:r>
        <w:rPr/>
        <w:t xml:space="preserve">Podosa 3.1 Regulace nadvýroby a nadměrné spotřeby </w:t>
      </w:r>
    </w:p>
    <w:p>
      <w:pPr>
        <w:pStyle w:val="P68B1DB1Normal15"/>
        <w:rPr>
          <w:b/>
          <w:b/>
        </w:rPr>
      </w:pPr>
      <w:r>
        <w:rPr/>
        <w:t xml:space="preserve">20. Doporučujeme, aby EU přijala více opatření, která spotřebitelům umožní déle používat výrobky a povzbudí je k tomu. EU by měla bojovat proti plánovanému zastarávání prodloužením záruky na výrobek a stanovením maximální ceny náhradních dílů po uplynutí záruční doby. Všechny členské státy by měly zavést snížení daně u opravárenských služeb, jako je tomu ve Švédsku. Výrobci by měli být povinni uvést předpokládanou životnost svých výrobků. EU by měla prostřednictvím internetových stránek a prostřednictvím vzdělávání poskytovat informace o tom, jak opětovně používat a opravovat výrobky. </w:t>
      </w:r>
    </w:p>
    <w:p>
      <w:pPr>
        <w:pStyle w:val="Normal"/>
        <w:rPr/>
      </w:pPr>
      <w:r>
        <w:rPr/>
        <w:t xml:space="preserve"> </w:t>
      </w:r>
    </w:p>
    <w:p>
      <w:pPr>
        <w:pStyle w:val="Normal"/>
        <w:rPr/>
      </w:pPr>
      <w:r>
        <w:rPr/>
        <w:t xml:space="preserve">Naše odpadová společnost není životaschopná, protože vytváří příliš mnoho odpadu. Uplatněním navrhovaných opatření se budeme vyvíjet směrem ke společnosti, ve které budou výrobky znovu použity a opraveny, jejichž počet se sníží, čímž se sníží nadměrná spotřeba. </w:t>
      </w:r>
    </w:p>
    <w:p>
      <w:pPr>
        <w:pStyle w:val="Normal"/>
        <w:rPr/>
      </w:pPr>
      <w:r>
        <w:rPr/>
        <w:t xml:space="preserve"> </w:t>
      </w:r>
    </w:p>
    <w:p>
      <w:pPr>
        <w:pStyle w:val="P68B1DB1Normal15"/>
        <w:rPr>
          <w:b/>
          <w:b/>
        </w:rPr>
      </w:pPr>
      <w:r>
        <w:rPr/>
        <w:t xml:space="preserve">21. Doporučujeme, aby EU uplatňovala přísnější normy v oblasti životního prostředí a zajistila spravedlivé pracovní podmínky v celém výrobním řetězci. Normy EU pro produkci by měly být udržitelnější a harmonizovány mezi členskými státy a měly by být uplatňovány na dovážené zboží. Tyto normy musí být rovněž sociální povahy, včetně důstojného příjmu pro pracovníky a uspokojivých pracovních podmínek v továrnách. Mělo by to mít důsledky pro zboží, které tyto normy nesplňuje. </w:t>
      </w:r>
    </w:p>
    <w:p>
      <w:pPr>
        <w:pStyle w:val="Normal"/>
        <w:rPr/>
      </w:pPr>
      <w:r>
        <w:rPr/>
        <w:t xml:space="preserve"> </w:t>
      </w:r>
    </w:p>
    <w:p>
      <w:pPr>
        <w:pStyle w:val="Normal"/>
        <w:rPr/>
      </w:pPr>
      <w:r>
        <w:rPr/>
        <w:t xml:space="preserve">Je důležité stanovit v Evropě environmentální a sociálně homogenní výrobní normy, aby se zajistilo, že všechny nabízené výrobky budou vyráběny udržitelným způsobem. Tato opatření jsou nezbytná pro přeorientování naší ekonomiky a měnící se struktury výroby podniků. </w:t>
      </w:r>
    </w:p>
    <w:p>
      <w:pPr>
        <w:pStyle w:val="Normal"/>
        <w:rPr/>
      </w:pPr>
      <w:r>
        <w:rPr/>
        <w:t xml:space="preserve"> </w:t>
      </w:r>
    </w:p>
    <w:p>
      <w:pPr>
        <w:pStyle w:val="P68B1DB1Normal15"/>
        <w:rPr>
          <w:b/>
          <w:b/>
        </w:rPr>
      </w:pPr>
      <w:r>
        <w:rPr/>
        <w:t xml:space="preserve">22. Doporučujeme, aby EU a členské státy zavedly opatření k omezení reklamy na výrobky, které poškozují životní prostředí. Výrobky s nízkou trvanlivostí by měly podléhat povinné klauzuli o nepovinnosti ve všech formách reklamy prokazující, že jsou škodlivé pro životní prostředí. EU by měla zakázat reklamu na výrobky, které nejsou vůbec udržitelné. </w:t>
      </w:r>
    </w:p>
    <w:p>
      <w:pPr>
        <w:pStyle w:val="Normal"/>
        <w:rPr/>
      </w:pPr>
      <w:r>
        <w:rPr/>
        <w:t xml:space="preserve"> </w:t>
      </w:r>
    </w:p>
    <w:p>
      <w:pPr>
        <w:pStyle w:val="Normal"/>
        <w:rPr/>
      </w:pPr>
      <w:r>
        <w:rPr/>
        <w:t xml:space="preserve">Reklama podporuje spotřebu; výrobky, které poškozují životní prostředí, by neměly být zdůrazňovány. Spotřebitelé tak budou mít menší pravděpodobnost, že nakoupí výrobky škodlivé pro životní prostředí. </w:t>
      </w:r>
    </w:p>
    <w:p>
      <w:pPr>
        <w:pStyle w:val="Normal"/>
        <w:rPr/>
      </w:pPr>
      <w:r>
        <w:rPr/>
        <w:t xml:space="preserve"> </w:t>
      </w:r>
    </w:p>
    <w:p>
      <w:pPr>
        <w:pStyle w:val="P68B1DB1Normal15"/>
        <w:rPr>
          <w:b/>
          <w:b/>
        </w:rPr>
      </w:pPr>
      <w:r>
        <w:rPr/>
        <w:t xml:space="preserve">23. Doporučujeme, aby EU vytvořila a rozvíjela infrastrukturu depozitních systémů pro všechny primární obaly skla, plastů, hliníku atd., jednotně v celé EU. Výrobci by měli, pokud je to možné, znovu použít zpětný obal sterilizací, nikoli pouze recyklovat materiály. Kromě balení potravin a nápojů by zařízení mělo pokrývat i jiné typy lahví a nádob, jako jsou lahvičky se šamponem. </w:t>
      </w:r>
    </w:p>
    <w:p>
      <w:pPr>
        <w:pStyle w:val="Normal"/>
        <w:rPr/>
      </w:pPr>
      <w:r>
        <w:rPr/>
        <w:t xml:space="preserve"> </w:t>
      </w:r>
    </w:p>
    <w:p>
      <w:pPr>
        <w:pStyle w:val="Normal"/>
        <w:rPr/>
      </w:pPr>
      <w:r>
        <w:rPr/>
        <w:t xml:space="preserve">V současné době spotřebitelé házejí příliš mnoho obalů, znečišťují a ničí naše ekosystémy. Depozitní systémy pomáhají snižovat množství odpadu tím, že povzbuzují občany, aby přinášeli obaly zpět, než aby je vyhazovali. Prostřednictvím rozvoje tohoto systému budeme využívat méně zdrojů; množství vyprodukovaného odpadu se sníží. </w:t>
      </w:r>
    </w:p>
    <w:p>
      <w:pPr>
        <w:pStyle w:val="Normal"/>
        <w:rPr/>
      </w:pPr>
      <w:r>
        <w:rPr/>
        <w:t xml:space="preserve"> </w:t>
      </w:r>
    </w:p>
    <w:p>
      <w:pPr>
        <w:pStyle w:val="Titre4"/>
        <w:numPr>
          <w:ilvl w:val="3"/>
          <w:numId w:val="2"/>
        </w:numPr>
        <w:rPr/>
      </w:pPr>
      <w:bookmarkStart w:id="165" w:name="__RefHeading___Toc297265_1346298689"/>
      <w:bookmarkEnd w:id="165"/>
      <w:r>
        <w:rPr/>
        <w:t xml:space="preserve">Dílčí osa 3.2 Snížení odpadu </w:t>
      </w:r>
    </w:p>
    <w:p>
      <w:pPr>
        <w:pStyle w:val="P68B1DB1Normal15"/>
        <w:rPr>
          <w:b/>
          <w:b/>
        </w:rPr>
      </w:pPr>
      <w:r>
        <w:rPr/>
        <w:t xml:space="preserve">24. Doporučujeme podporovat silnější provádění politik oběhového hospodářství na evropské úrovni a zaměřit se jak na podniky, tak na občany, a to formou finančních pobídek pro ty, kdo je dodržují. </w:t>
      </w:r>
    </w:p>
    <w:p>
      <w:pPr>
        <w:pStyle w:val="Normal"/>
        <w:rPr/>
      </w:pPr>
      <w:r>
        <w:rPr/>
        <w:t xml:space="preserve"> </w:t>
      </w:r>
    </w:p>
    <w:p>
      <w:pPr>
        <w:pStyle w:val="Normal"/>
        <w:rPr/>
      </w:pPr>
      <w:r>
        <w:rPr/>
        <w:t xml:space="preserve">Mnoho lidí se nakonec ocitne nezaměstnanými, pokud výrobní společnosti sníží svou pracovní sílu nebo dokonce skončí ve stavu zastavení plateb/fermentu. Rekvalifikační opatření pro nezaměstnané podpoří postupy šetrné k životnímu prostředí a zároveň omezí nezaměstnanost a podpoří modernizaci diverzifikovaného hospodářství. </w:t>
      </w:r>
    </w:p>
    <w:p>
      <w:pPr>
        <w:pStyle w:val="Normal"/>
        <w:rPr/>
      </w:pPr>
      <w:r>
        <w:rPr/>
        <w:t xml:space="preserve"> </w:t>
      </w:r>
    </w:p>
    <w:p>
      <w:pPr>
        <w:pStyle w:val="P68B1DB1Normal15"/>
        <w:rPr>
          <w:b/>
          <w:b/>
        </w:rPr>
      </w:pPr>
      <w:r>
        <w:rPr/>
        <w:t xml:space="preserve">25. Doporučujeme, aby EU regulovala používání ekologicky bezpečných obalů (tj. obalů založených na biologicky rozložitelných nebo recyklovatelných nebo udržitelnějších materiálech, je-li to možné) a/nebo používání méně objemných obalů, a to i pomocí QR kódu poskytujícího informace týkající se procesu recyklace a/nebo likvidace obalů po použití. </w:t>
      </w:r>
    </w:p>
    <w:p>
      <w:pPr>
        <w:pStyle w:val="Normal"/>
        <w:rPr/>
      </w:pPr>
      <w:r>
        <w:rPr/>
        <w:t xml:space="preserve"> </w:t>
      </w:r>
    </w:p>
    <w:p>
      <w:pPr>
        <w:pStyle w:val="Normal"/>
        <w:rPr/>
      </w:pPr>
      <w:r>
        <w:rPr/>
        <w:t xml:space="preserve">Toto doporučení povede ke snížení obalů, snížení množství odpadů a následně ke snížení znečištění; životní prostředí bude tedy čistší a v konečném důsledku bude uhlíková stopa menší. Nižší bude i daňové zatížení výrobců. </w:t>
      </w:r>
    </w:p>
    <w:p>
      <w:pPr>
        <w:pStyle w:val="Normal"/>
        <w:rPr/>
      </w:pPr>
      <w:r>
        <w:rPr/>
        <w:t xml:space="preserve"> </w:t>
      </w:r>
    </w:p>
    <w:p>
      <w:pPr>
        <w:pStyle w:val="Titre4"/>
        <w:numPr>
          <w:ilvl w:val="3"/>
          <w:numId w:val="2"/>
        </w:numPr>
        <w:rPr/>
      </w:pPr>
      <w:bookmarkStart w:id="166" w:name="__RefHeading___Toc297267_1346298689"/>
      <w:bookmarkEnd w:id="166"/>
      <w:r>
        <w:rPr/>
        <w:t xml:space="preserve">Dílčí osa 3.3 Spravedlivé výrobky, rovný přístup a spravedlivá spotřeba </w:t>
      </w:r>
    </w:p>
    <w:p>
      <w:pPr>
        <w:pStyle w:val="P68B1DB1Normal15"/>
        <w:rPr>
          <w:b/>
          <w:b/>
        </w:rPr>
      </w:pPr>
      <w:r>
        <w:rPr/>
        <w:t xml:space="preserve">26. Doporučujeme, aby Evropská unie vytvořila právní rámec, který zajistí, aby všichni evropští spotřebitelé měli cenově dostupný a lepší přístup ke kvalitním a místním potravinářským výrobkům. </w:t>
      </w:r>
    </w:p>
    <w:p>
      <w:pPr>
        <w:pStyle w:val="Normal"/>
        <w:rPr/>
      </w:pPr>
      <w:r>
        <w:rPr/>
        <w:t xml:space="preserve"> </w:t>
      </w:r>
    </w:p>
    <w:p>
      <w:pPr>
        <w:pStyle w:val="Normal"/>
        <w:rPr/>
      </w:pPr>
      <w:r>
        <w:rPr/>
        <w:t xml:space="preserve">V současné době neexistuje na úrovni EU žádný společný výklad toho, co by mělo být považováno za místní a kvalitní potraviny. Tuto mezeru je třeba zaplnit. </w:t>
      </w:r>
    </w:p>
    <w:p>
      <w:pPr>
        <w:pStyle w:val="Normal"/>
        <w:rPr/>
      </w:pPr>
      <w:r>
        <w:rPr/>
        <w:t xml:space="preserve">Dovoz nekvalitních produktů má přímý negativní dopad na životní prostředí. Abychom bojovali proti změně klimatu, musíme řešit všechny její příčiny, včetně dovozu nekvalitních produktů: je třeba zkrátit přepravní vzdálenost a propagovat sezónní produkty. </w:t>
      </w:r>
    </w:p>
    <w:p>
      <w:pPr>
        <w:pStyle w:val="Normal"/>
        <w:rPr/>
      </w:pPr>
      <w:r>
        <w:rPr/>
        <w:t xml:space="preserve">Toto doporučení je slibné, neboť by se mohlo vztahovat i na nepotravinářské výrobky. </w:t>
      </w:r>
    </w:p>
    <w:p>
      <w:pPr>
        <w:pStyle w:val="Normal"/>
        <w:rPr/>
      </w:pPr>
      <w:r>
        <w:rPr/>
        <w:t xml:space="preserve"> </w:t>
      </w:r>
    </w:p>
    <w:p>
      <w:pPr>
        <w:pStyle w:val="P68B1DB1Normal15"/>
        <w:rPr>
          <w:b/>
          <w:b/>
        </w:rPr>
      </w:pPr>
      <w:r>
        <w:rPr/>
        <w:t xml:space="preserve">27. Doporučujeme, aby Evropská unie podporovala výzkum a vývoj prostřednictvím programů financování s cílem zajistit, aby na evropském trhu byly k dispozici udržitelnější a cenově dostupnější produkty na trhu. Evropská unie musí rovněž vést konzultace s občany na všech úrovních rozhodování, a to i na místní úrovni, s cílem určit jejich potřeby v oblasti udržitelných produktů. </w:t>
      </w:r>
    </w:p>
    <w:p>
      <w:pPr>
        <w:pStyle w:val="Normal"/>
        <w:rPr/>
      </w:pPr>
      <w:r>
        <w:rPr/>
        <w:t xml:space="preserve"> </w:t>
      </w:r>
    </w:p>
    <w:p>
      <w:pPr>
        <w:pStyle w:val="Normal"/>
        <w:rPr/>
      </w:pPr>
      <w:r>
        <w:rPr/>
        <w:t xml:space="preserve">Domníváme se, že výzkum udržitelných výrobků je nedostatečný a že je naléhavě nutné vyčlenit více finančních zdrojů na výzkum, aby Evropané měli přístup k dostupnějším udržitelným výrobkům. </w:t>
      </w:r>
    </w:p>
    <w:p>
      <w:pPr>
        <w:pStyle w:val="Normal"/>
        <w:rPr/>
      </w:pPr>
      <w:r>
        <w:rPr/>
        <w:t xml:space="preserve">Občané se musí podílet na rozhodovacím procesu. Program pro výzkumné a inovační akce musí být vypracován společně s občany. Měli by být informováni o následných opatřeních a výsledky by jim měly být sděleny. </w:t>
      </w:r>
    </w:p>
    <w:p>
      <w:pPr>
        <w:pStyle w:val="Normal"/>
        <w:rPr/>
      </w:pPr>
      <w:r>
        <w:rPr/>
      </w:r>
    </w:p>
    <w:p>
      <w:pPr>
        <w:pStyle w:val="P68B1DB1Normal15"/>
        <w:rPr>
          <w:b/>
          <w:b/>
        </w:rPr>
      </w:pPr>
      <w:r>
        <w:rPr/>
        <w:t xml:space="preserve">28. Doporučujeme, aby Evropská unie zavedla regulační mechanismus pro módní zboží vstupující na společný trh. Tento mechanismus by měl podpořit lepší spotřebu prostřednictvím ukazatele, který zajistí, že výrobek splňuje kritéria udržitelnosti. </w:t>
      </w:r>
    </w:p>
    <w:p>
      <w:pPr>
        <w:pStyle w:val="Normal"/>
        <w:rPr/>
      </w:pPr>
      <w:r>
        <w:rPr/>
        <w:t xml:space="preserve"> </w:t>
      </w:r>
    </w:p>
    <w:p>
      <w:pPr>
        <w:pStyle w:val="Normal"/>
        <w:rPr/>
      </w:pPr>
      <w:r>
        <w:rPr/>
        <w:t xml:space="preserve">Odvětví módy, které produkuje příliš mnoho nekvalitních výrobků mimo evropské hranice, neuplatňuje etické normy a nepřijímá udržitelné chování. </w:t>
      </w:r>
    </w:p>
    <w:p>
      <w:pPr>
        <w:pStyle w:val="Normal"/>
        <w:rPr/>
      </w:pPr>
      <w:r>
        <w:rPr/>
        <w:t xml:space="preserve">Musíme najít spravedlivý mechanismus, který umožní spotřebitelům lépe konzumovat. Je však důležité nezvyšovat daně, což by mělo negativní důsledky pro spotřebitele snížením jejich kupní síly. </w:t>
      </w:r>
    </w:p>
    <w:p>
      <w:pPr>
        <w:pStyle w:val="Normal"/>
        <w:rPr/>
      </w:pPr>
      <w:r>
        <w:rPr/>
        <w:t xml:space="preserve">Spotřebitelé by měli vědět, za jakých podmínek se výrobky, které kupují, vyrábějí a zda splňují udržitelné normy kvality. </w:t>
      </w:r>
    </w:p>
    <w:p>
      <w:pPr>
        <w:pStyle w:val="Normal"/>
        <w:rPr/>
      </w:pPr>
      <w:r>
        <w:rPr/>
        <w:t xml:space="preserve"> </w:t>
      </w:r>
    </w:p>
    <w:p>
      <w:pPr>
        <w:pStyle w:val="Titre3"/>
        <w:numPr>
          <w:ilvl w:val="2"/>
          <w:numId w:val="2"/>
        </w:numPr>
        <w:rPr/>
      </w:pPr>
      <w:bookmarkStart w:id="167" w:name="__RefHeading___Toc297269_1346298689"/>
      <w:bookmarkEnd w:id="167"/>
      <w:r>
        <w:rPr/>
        <w:t xml:space="preserve">Osa 4: směrem k udržitelné společnosti </w:t>
      </w:r>
    </w:p>
    <w:p>
      <w:pPr>
        <w:pStyle w:val="Titre4"/>
        <w:numPr>
          <w:ilvl w:val="3"/>
          <w:numId w:val="2"/>
        </w:numPr>
        <w:rPr/>
      </w:pPr>
      <w:bookmarkStart w:id="168" w:name="__RefHeading___Toc297271_1346298689"/>
      <w:bookmarkEnd w:id="168"/>
      <w:r>
        <w:rPr/>
        <w:t xml:space="preserve">Podosy 4.1 Obnovitelné energie, od nynějška </w:t>
      </w:r>
    </w:p>
    <w:p>
      <w:pPr>
        <w:pStyle w:val="P68B1DB1Normal15"/>
        <w:rPr>
          <w:b/>
          <w:b/>
        </w:rPr>
      </w:pPr>
      <w:r>
        <w:rPr/>
        <w:t xml:space="preserve">29. Doporučujeme, aby EU podnikla kroky k tomu, aby v přechodném období učinila povinné CO2 filtry, zejména pro uhelné elektrárny, pokud budeme i nadále spoléhat na konvenční energii. Kromě toho doporučujeme, aby EU poskytla finanční pomoc členským státům, které nemají finanční zdroje na zavedení filtrů CO2. Podpora je podmíněna dodržováním politik EU v oblasti klimatu souvisejících s Pařížskou dohodou, Zelenou dohodou a veškerými novými právními předpisy v oblasti klimatu. </w:t>
      </w:r>
    </w:p>
    <w:p>
      <w:pPr>
        <w:pStyle w:val="Normal"/>
        <w:rPr/>
      </w:pPr>
      <w:r>
        <w:rPr>
          <w:b/>
        </w:rPr>
        <w:t>Jedná se o konkrétní krok, který je třeba učinit souběžně s pokračujícími investicemi do výzkumu bezpečnosti výroby energie a jehož cílem je pomoci členským státům EU postupně dosáhnout společných cílů v oblasti snižování emisí CO2.</w:t>
      </w:r>
      <w:r>
        <w:rPr/>
        <w:t xml:space="preserve"> </w:t>
      </w:r>
    </w:p>
    <w:p>
      <w:pPr>
        <w:pStyle w:val="Normal"/>
        <w:rPr/>
      </w:pPr>
      <w:r>
        <w:rPr/>
        <w:t xml:space="preserve"> </w:t>
      </w:r>
    </w:p>
    <w:p>
      <w:pPr>
        <w:pStyle w:val="Normal"/>
        <w:rPr/>
      </w:pPr>
      <w:r>
        <w:rPr/>
        <w:t xml:space="preserve">Víme, že používání konvenčních paliv vede k emisím skleníkových plynů a členské státy EU musí snížit používání konvenčních paliv, aby byly v souladu s Pařížskou dohodou. Protože není možné okamžitě ukončit emise CO2 a jsme stále závislí na uhlí, musíme přijmout opatření v krátkodobém a střednědobém horizontu. </w:t>
      </w:r>
    </w:p>
    <w:p>
      <w:pPr>
        <w:pStyle w:val="Normal"/>
        <w:rPr/>
      </w:pPr>
      <w:r>
        <w:rPr/>
        <w:t xml:space="preserve">Snížení emisí CO2 je ve společném zájmu všech občanů, a to jak v rámci EU, tak mimo ni; EU jako orgán má vlastní odpovědnost a orgán vydává doporučení a nabízí řešení, protože členské státy nemohou dosáhnout cílů samy. </w:t>
      </w:r>
    </w:p>
    <w:p>
      <w:pPr>
        <w:pStyle w:val="Normal"/>
        <w:rPr/>
      </w:pPr>
      <w:r>
        <w:rPr/>
      </w:r>
    </w:p>
    <w:p>
      <w:pPr>
        <w:pStyle w:val="P68B1DB1Normal15"/>
        <w:rPr>
          <w:b/>
          <w:b/>
        </w:rPr>
      </w:pPr>
      <w:r>
        <w:rPr/>
        <w:t xml:space="preserve">30. Doporučujeme snížit intenzitu průmyslového chovu s cílem snížit produkci methanu a znečištění vody. Za tímto účelem EU reviduje svou společnou zemědělskou politiku s cílem zaměřit své dotace na udržitelné a místní zemědělství, mimo jiné prostřednictvím systému označování, který spotřebitelům umožní rozpoznat udržitelné masné výrobky. Vyzýváme také EU, aby investovala do metod opětovného využití odpadů z živočišné výroby a jiných průmyslových odvětví. </w:t>
      </w:r>
    </w:p>
    <w:p>
      <w:pPr>
        <w:pStyle w:val="Normal"/>
        <w:rPr/>
      </w:pPr>
      <w:r>
        <w:rPr/>
        <w:t xml:space="preserve"> </w:t>
      </w:r>
    </w:p>
    <w:p>
      <w:pPr>
        <w:pStyle w:val="Normal"/>
        <w:rPr/>
      </w:pPr>
      <w:r>
        <w:rPr/>
        <w:t xml:space="preserve">Populace roste, což v budoucnu povede ke zvýšení poptávky po mase. Proto je třeba snížit spotřebu masa. </w:t>
      </w:r>
    </w:p>
    <w:p>
      <w:pPr>
        <w:pStyle w:val="Normal"/>
        <w:rPr/>
      </w:pPr>
      <w:r>
        <w:rPr/>
        <w:t xml:space="preserve">Vzhledem k tomu, že metan produkuje skleníkové plyny, jsme přesvědčeni, že je přirozené začít snižováním emisí hospodářských zvířat. </w:t>
      </w:r>
    </w:p>
    <w:p>
      <w:pPr>
        <w:pStyle w:val="Normal"/>
        <w:rPr/>
      </w:pPr>
      <w:r>
        <w:rPr/>
        <w:t xml:space="preserve">Všichni víme, že by mělo být konzumováno méně masa, a proto by měl být počet skotu odpovídajícím způsobem snížen. </w:t>
      </w:r>
    </w:p>
    <w:p>
      <w:pPr>
        <w:pStyle w:val="Normal"/>
        <w:rPr/>
      </w:pPr>
      <w:r>
        <w:rPr/>
        <w:t xml:space="preserve"> </w:t>
      </w:r>
    </w:p>
    <w:p>
      <w:pPr>
        <w:pStyle w:val="P68B1DB1Normal15"/>
        <w:rPr>
          <w:b/>
          <w:b/>
        </w:rPr>
      </w:pPr>
      <w:r>
        <w:rPr/>
        <w:t xml:space="preserve">31. Ačkoli výroba zeleného vodíku je nákladný proces, protože získání 25 % vodíku vyžaduje 75 % energie, má tento typ energie mnoho pozitivních aspektů. Nejlepším řešením může být výroba energie bez CO2 spolu s vývojem zeleného vodíku. Větrná energie by měla být využívána k výrobě zeleného vodíku a EU by měla více investovat, zvýšit produkci větrné energie a skladovat ji pro budoucí potřeby. </w:t>
      </w:r>
    </w:p>
    <w:p>
      <w:pPr>
        <w:pStyle w:val="Normal"/>
        <w:rPr/>
      </w:pPr>
      <w:r>
        <w:rPr/>
        <w:t xml:space="preserve"> </w:t>
      </w:r>
    </w:p>
    <w:p>
      <w:pPr>
        <w:pStyle w:val="Normal"/>
        <w:rPr/>
      </w:pPr>
      <w:r>
        <w:rPr/>
        <w:t xml:space="preserve">Zelený vodík je flexibilní a může být v případě potřeby skladován. Nezpůsobuje znečištění CO2. </w:t>
      </w:r>
    </w:p>
    <w:p>
      <w:pPr>
        <w:pStyle w:val="Normal"/>
        <w:rPr/>
      </w:pPr>
      <w:r>
        <w:rPr/>
        <w:t xml:space="preserve"> </w:t>
      </w:r>
    </w:p>
    <w:p>
      <w:pPr>
        <w:pStyle w:val="Titre4"/>
        <w:numPr>
          <w:ilvl w:val="3"/>
          <w:numId w:val="2"/>
        </w:numPr>
        <w:rPr/>
      </w:pPr>
      <w:bookmarkStart w:id="169" w:name="__RefHeading___Toc297273_1346298689"/>
      <w:bookmarkEnd w:id="169"/>
      <w:r>
        <w:rPr/>
        <w:t xml:space="preserve">Podosa 4.2 Podpora změny </w:t>
      </w:r>
    </w:p>
    <w:p>
      <w:pPr>
        <w:pStyle w:val="P68B1DB1Normal15"/>
        <w:rPr>
          <w:b/>
          <w:b/>
        </w:rPr>
      </w:pPr>
      <w:r>
        <w:rPr/>
        <w:t xml:space="preserve">32. Doporučujeme, aby EU zavedla systém nátlaku a odměn v boji proti znečištění, včetně vody, půdy, ovzduší a radiace. Pokuty musí být ukládány znečišťovatelům spolu s povinnou podporou specializované organizace, která je speciálně navržena tak, aby pomohla subjektům odstranit znečištění a obnovit ekosystém. Tato specializovaná organizace by měla hrát vedoucí úlohu při prevenci a kontrole úrovně znečištění. </w:t>
      </w:r>
    </w:p>
    <w:p>
      <w:pPr>
        <w:pStyle w:val="Normal"/>
        <w:rPr/>
      </w:pPr>
      <w:r>
        <w:rPr/>
        <w:t xml:space="preserve"> </w:t>
      </w:r>
    </w:p>
    <w:p>
      <w:pPr>
        <w:pStyle w:val="Normal"/>
        <w:rPr/>
      </w:pPr>
      <w:r>
        <w:rPr/>
        <w:t xml:space="preserve">Protože je důležité zaměřit se na odpovědnost znečišťovatelů a povzbudit subjekty, aby snížily znečištění tím, že se zaměří na nulové znečištění. Je nezbytné mít zdravou planetu, protože je přímo spojena s naším blahobytem a naší budoucí existencí. </w:t>
      </w:r>
    </w:p>
    <w:p>
      <w:pPr>
        <w:pStyle w:val="Normal"/>
        <w:rPr/>
      </w:pPr>
      <w:r>
        <w:rPr/>
        <w:t xml:space="preserve"> </w:t>
      </w:r>
    </w:p>
    <w:p>
      <w:pPr>
        <w:pStyle w:val="P68B1DB1Normal15"/>
        <w:rPr>
          <w:b/>
          <w:b/>
        </w:rPr>
      </w:pPr>
      <w:r>
        <w:rPr/>
        <w:t xml:space="preserve">33. Doporučujeme, aby EU zřídila konkrétní internetové stránky/platformu ověřené několika odborníky s rozmanitými a pravidelně aktualizovanými vědeckými informacemi o životním prostředí, které budou snadno přístupné a transparentní pro všechny občany. Tato internetová stránka/platforma bude spojena s fórem, kde mohou občané a odborníci komunikovat. Důrazně doporučujeme zahájit mediální kampaň na propagaci této webové stránky/platformy (např. prostřednictvím sociálních médií, jako je YouTube, TikTok a LinkedIn). </w:t>
      </w:r>
    </w:p>
    <w:p>
      <w:pPr>
        <w:pStyle w:val="Normal"/>
        <w:rPr/>
      </w:pPr>
      <w:r>
        <w:rPr/>
        <w:t xml:space="preserve"> </w:t>
      </w:r>
    </w:p>
    <w:p>
      <w:pPr>
        <w:pStyle w:val="Normal"/>
        <w:rPr/>
      </w:pPr>
      <w:r>
        <w:rPr/>
        <w:t xml:space="preserve">Všichni občané musí mít nezávislé informační zdroje založené na vědeckých důkazech, aby pochopili výzvy spojené se změnou klimatu (její důsledky a opatření, která je třeba přijmout k jejímu zvrácení) a aby se zabývali falešnými zprávami. Mediální kampaň zvýší povědomí o existenci této platformy/webové stránky. Je také důležité, aby informace poskytované na internetových stránkách/platformách byly srozumitelné pro všechny občany, s přístupem ke zdrojovým materiálům pro ty, kteří chtějí toto téma prohloubit. </w:t>
      </w:r>
    </w:p>
    <w:p>
      <w:pPr>
        <w:pStyle w:val="Normal"/>
        <w:rPr/>
      </w:pPr>
      <w:r>
        <w:rPr/>
        <w:t xml:space="preserve"> </w:t>
      </w:r>
    </w:p>
    <w:p>
      <w:pPr>
        <w:pStyle w:val="P68B1DB1Normal15"/>
        <w:rPr>
          <w:b/>
          <w:b/>
        </w:rPr>
      </w:pPr>
      <w:r>
        <w:rPr/>
        <w:t xml:space="preserve">34. Doporučujeme, aby EU snížila množství dováženého zboží, které nesplňuje normy EU týkající se environmentální stopy. </w:t>
      </w:r>
    </w:p>
    <w:p>
      <w:pPr>
        <w:pStyle w:val="Normal"/>
        <w:rPr/>
      </w:pPr>
      <w:r>
        <w:rPr/>
        <w:t xml:space="preserve"> </w:t>
      </w:r>
    </w:p>
    <w:p>
      <w:pPr>
        <w:pStyle w:val="Normal"/>
        <w:rPr/>
      </w:pPr>
      <w:r>
        <w:rPr/>
        <w:t xml:space="preserve">Tím zajišťujeme, aby zboží dovážené do EU mělo ekologičtější stopu. Cílem je snížit znečištění na celém světě. Pokud chtějí do EU vyvážet zboží, je rovněž důležité předložit tyto normy zemím. </w:t>
      </w:r>
    </w:p>
    <w:p>
      <w:pPr>
        <w:pStyle w:val="Normal"/>
        <w:rPr/>
      </w:pPr>
      <w:r>
        <w:rPr/>
        <w:t xml:space="preserve"> </w:t>
      </w:r>
    </w:p>
    <w:p>
      <w:pPr>
        <w:pStyle w:val="P68B1DB1Normal15"/>
        <w:rPr>
          <w:b/>
          <w:b/>
        </w:rPr>
      </w:pPr>
      <w:r>
        <w:rPr/>
        <w:t xml:space="preserve">35. Doporučujeme, aby EU podporovala, podporovala a usnadňovala dialog o změně klimatu mezi všemi úrovněmi rozhodování, od velmi místních (občanů) až po globální (národní, mezinárodní a mezikontinentální), s cílem řešit obavy všech zúčastněných stran. </w:t>
      </w:r>
    </w:p>
    <w:p>
      <w:pPr>
        <w:pStyle w:val="Normal"/>
        <w:rPr/>
      </w:pPr>
      <w:r>
        <w:rPr/>
        <w:t xml:space="preserve"> </w:t>
      </w:r>
    </w:p>
    <w:p>
      <w:pPr>
        <w:pStyle w:val="Normal"/>
        <w:rPr/>
      </w:pPr>
      <w:r>
        <w:rPr/>
        <w:t xml:space="preserve">Protože dialog a konsensus jsou nejlepším způsobem, jak řešit výzvy v oblasti změny klimatu: pokud si účastníci řízení vzájemně rozumí, existuje větší ochota najít společnou půdu. </w:t>
      </w:r>
    </w:p>
    <w:p>
      <w:pPr>
        <w:pStyle w:val="Normal"/>
        <w:rPr/>
      </w:pPr>
      <w:r>
        <w:rPr/>
        <w:t xml:space="preserve"> </w:t>
      </w:r>
    </w:p>
    <w:p>
      <w:pPr>
        <w:pStyle w:val="Titre4"/>
        <w:numPr>
          <w:ilvl w:val="3"/>
          <w:numId w:val="2"/>
        </w:numPr>
        <w:rPr/>
      </w:pPr>
      <w:bookmarkStart w:id="170" w:name="__RefHeading___Toc297275_1346298689"/>
      <w:bookmarkEnd w:id="170"/>
      <w:r>
        <w:rPr/>
        <w:t xml:space="preserve">Podosa 4.3 Přeprava šetrná k životnímu prostředí </w:t>
      </w:r>
    </w:p>
    <w:p>
      <w:pPr>
        <w:pStyle w:val="Normal"/>
        <w:rPr/>
      </w:pPr>
      <w:r>
        <w:rPr>
          <w:b/>
        </w:rPr>
        <w:t>36. Doporučujeme, aby EU finančně podporovala evropské členské státy při zlepšování konektivity ve venkovských oblastech. To vyžaduje vytvoření evropské sítě veřejné dopravy založené na dostupných cenách (prioritních železnicích) a pobídkách k využívání veřejné dopravy. Za tímto účelem by mělo být ve venkovských oblastech rovněž rozvinuto připojení k internetu v krátkém a realistickém časovém rámci.</w:t>
      </w:r>
      <w:r>
        <w:rPr/>
        <w:t xml:space="preserve"> </w:t>
      </w:r>
    </w:p>
    <w:p>
      <w:pPr>
        <w:pStyle w:val="Normal"/>
        <w:rPr/>
      </w:pPr>
      <w:r>
        <w:rPr/>
        <w:t xml:space="preserve"> </w:t>
      </w:r>
    </w:p>
    <w:p>
      <w:pPr>
        <w:pStyle w:val="Normal"/>
        <w:rPr/>
      </w:pPr>
      <w:r>
        <w:rPr/>
        <w:t xml:space="preserve">Toto doporučení předkládáme, protože mezi venkovskými a městskými oblastmi neexistuje rovný přístup k veřejné dopravě a internetovému připojení. Bude posílen společný evropský projekt, neboť všichni občané budou mít pocit, že mají stejná práva. Posílení sítě veřejné dopravy a připojení k internetu by povzbudilo lidi k tomu, aby se usadili ve venkovských oblastech. Tento proces by snížil znečištění, protože méně lidí by žilo v přeplněných městech. </w:t>
      </w:r>
    </w:p>
    <w:p>
      <w:pPr>
        <w:pStyle w:val="Normal"/>
        <w:rPr/>
      </w:pPr>
      <w:r>
        <w:rPr/>
        <w:t xml:space="preserve"> </w:t>
      </w:r>
    </w:p>
    <w:p>
      <w:pPr>
        <w:pStyle w:val="P68B1DB1Normal15"/>
        <w:rPr>
          <w:b/>
          <w:b/>
        </w:rPr>
      </w:pPr>
      <w:r>
        <w:rPr/>
        <w:t xml:space="preserve">37. Doporučujeme zlepšit stávající dopravní infrastrukturu, která upadla do vyřazení nebo může být dále z ekologického hlediska zlepšena (zavedení elektrických vlaků). Tento proces musí být prováděn, aniž jsou dotčeny environmentálně chráněné oblasti. </w:t>
      </w:r>
    </w:p>
    <w:p>
      <w:pPr>
        <w:pStyle w:val="Normal"/>
        <w:rPr/>
      </w:pPr>
      <w:r>
        <w:rPr/>
        <w:t xml:space="preserve"> </w:t>
      </w:r>
    </w:p>
    <w:p>
      <w:pPr>
        <w:pStyle w:val="Normal"/>
        <w:rPr/>
      </w:pPr>
      <w:r>
        <w:rPr/>
        <w:t>Zlepšení stávající infrastruktury by zabránilo vynakládání příliš velkého množství zdrojů a poškodilo důležité chráněné oblasti pro zachování biologické rozmanitosti. Zvýšení železniční infrastruktury by snížilo emise CO2 a</w:t>
      </w:r>
      <w:r>
        <w:rPr>
          <w:vertAlign w:val="subscript"/>
        </w:rPr>
        <w:t>podpořilo</w:t>
      </w:r>
      <w:r>
        <w:rPr/>
        <w:t xml:space="preserve"> mobilitu lidí z městských do venkovských oblastí. </w:t>
      </w:r>
    </w:p>
    <w:p>
      <w:pPr>
        <w:pStyle w:val="Normal"/>
        <w:rPr/>
      </w:pPr>
      <w:r>
        <w:rPr/>
        <w:t xml:space="preserve"> </w:t>
      </w:r>
    </w:p>
    <w:p>
      <w:pPr>
        <w:pStyle w:val="P68B1DB1Normal15"/>
        <w:rPr>
          <w:b/>
          <w:b/>
        </w:rPr>
      </w:pPr>
      <w:r>
        <w:rPr/>
        <w:t xml:space="preserve">38. Doporučujeme, aby EU podporovala nákup elektrických vozidel, která splňují dobré standardy životnosti baterií. Za tímto účelem by EU mohla přijmout pobídky pro všechny členské státy a zlepšit elektrickou infrastrukturu. Zároveň by EU měla investovat do vývoje dalších čistých technologií, jako jsou biopaliva a vodík pro vozidla, jejichž elektrifikace je obtížně dosažitelná, jako jsou lodě a nákladní automobily. </w:t>
      </w:r>
    </w:p>
    <w:p>
      <w:pPr>
        <w:pStyle w:val="Normal"/>
        <w:rPr/>
      </w:pPr>
      <w:r>
        <w:rPr/>
        <w:t xml:space="preserve"> </w:t>
      </w:r>
    </w:p>
    <w:p>
      <w:pPr>
        <w:pStyle w:val="Normal"/>
        <w:rPr/>
      </w:pPr>
      <w:r>
        <w:rPr/>
        <w:t xml:space="preserve">Toto doporučení vydáváme, protože elektřina je nejrychlejším způsobem, jak snížit emise z vozidel, s dalšími zdroji energie, jako je vodík a biopaliva. Nejrychlejším, ekonomickým a proveditelným řešením je elektřina, následovaná biopalivy. Z dlouhodobého hlediska by měl zelený vodík hrát doplňkovou úlohu při zahrnutí druhů dopravy, které nelze elektrifikovat. </w:t>
      </w:r>
    </w:p>
    <w:p>
      <w:pPr>
        <w:pStyle w:val="Normal"/>
        <w:rPr/>
      </w:pPr>
      <w:r>
        <w:rPr/>
        <w:t xml:space="preserve"> </w:t>
      </w:r>
    </w:p>
    <w:p>
      <w:pPr>
        <w:pStyle w:val="Titre3"/>
        <w:numPr>
          <w:ilvl w:val="2"/>
          <w:numId w:val="2"/>
        </w:numPr>
        <w:rPr/>
      </w:pPr>
      <w:bookmarkStart w:id="171" w:name="__RefHeading___Toc297277_1346298689"/>
      <w:bookmarkEnd w:id="171"/>
      <w:r>
        <w:rPr/>
        <w:t xml:space="preserve">Axis 5 Péče o všechny </w:t>
      </w:r>
    </w:p>
    <w:p>
      <w:pPr>
        <w:pStyle w:val="Titre4"/>
        <w:numPr>
          <w:ilvl w:val="3"/>
          <w:numId w:val="2"/>
        </w:numPr>
        <w:rPr/>
      </w:pPr>
      <w:bookmarkStart w:id="172" w:name="__RefHeading___Toc297279_1346298689"/>
      <w:bookmarkEnd w:id="172"/>
      <w:r>
        <w:rPr/>
        <w:t xml:space="preserve">Podosa 5.1 Posílení systému zdravotní péče </w:t>
      </w:r>
    </w:p>
    <w:p>
      <w:pPr>
        <w:pStyle w:val="P68B1DB1Normal15"/>
        <w:rPr>
          <w:b/>
          <w:b/>
        </w:rPr>
      </w:pPr>
      <w:r>
        <w:rPr/>
        <w:t xml:space="preserve">39. Doporučujeme, aby Evropská unie zaručila společné zdravotní normy, ale také prosazovala důstojné minimální mzdy, maximální pracovní dobu a stejné standardy odborné přípravy, pro stejnou kvalifikaci, pro zdravotnické pracovníky v celé Evropské unii. </w:t>
      </w:r>
    </w:p>
    <w:p>
      <w:pPr>
        <w:pStyle w:val="Normal"/>
        <w:rPr/>
      </w:pPr>
      <w:r>
        <w:rPr/>
        <w:t xml:space="preserve"> </w:t>
      </w:r>
    </w:p>
    <w:p>
      <w:pPr>
        <w:pStyle w:val="Normal"/>
        <w:rPr/>
      </w:pPr>
      <w:r>
        <w:rPr/>
        <w:t xml:space="preserve">Pokud nebudeme mít společné standardy zdravotní péče, mezd a společné odborné přípravy pro zdravotnické pracovníky, rozdíly mezi členskými státy by mohly vést k nevyváženým situacím v celé Evropské unii. Normalizace zdravotní péče by mohla přispět k silnějšímu, účinnějšímu a odolnějšímu systému (např. krize COVID-19 týkající se stability našich systémů). Rovněž by to usnadnilo sdílení znalostí a informací v odvětví zdravotnických pracovníků. </w:t>
      </w:r>
    </w:p>
    <w:p>
      <w:pPr>
        <w:pStyle w:val="Normal"/>
        <w:rPr/>
      </w:pPr>
      <w:r>
        <w:rPr/>
        <w:t xml:space="preserve"> </w:t>
      </w:r>
    </w:p>
    <w:p>
      <w:pPr>
        <w:pStyle w:val="P68B1DB1Normal15"/>
        <w:rPr>
          <w:b/>
          <w:b/>
        </w:rPr>
      </w:pPr>
      <w:r>
        <w:rPr/>
        <w:t xml:space="preserve">40. Doporučujeme, aby Evropská unie zajistila, aby zacházení v celé EU bylo stejně kvalitní a za spravedlivé místní náklady. To by mohlo být zajištěno například rozšířením pravomocí Evropské agentury pro léčivé přípravky (EMA) nebo vytvořením nové evropské agentury pro zadávání veřejných zakázek, která by byla způsobilá vyjednávat a získávat vhodnější ceny léčivých přípravků pro všechny členské státy. Riziko monopolů ve farmaceutickém průmyslu musí být minimalizováno. </w:t>
      </w:r>
    </w:p>
    <w:p>
      <w:pPr>
        <w:pStyle w:val="Normal"/>
        <w:rPr/>
      </w:pPr>
      <w:r>
        <w:rPr/>
        <w:t xml:space="preserve"> </w:t>
      </w:r>
    </w:p>
    <w:p>
      <w:pPr>
        <w:pStyle w:val="Normal"/>
        <w:rPr/>
      </w:pPr>
      <w:r>
        <w:rPr/>
        <w:t xml:space="preserve">Rovnost lékařských ustanovení a zacházení v EU zaručuje všem evropským občanům stejná práva v oblasti zdraví. Vyšší kupní kapacita zajišťuje lepší nákupní podmínky. To by však nemělo vést k monopolním strukturám a farmaceutickému lobbingu. Řízení krize COVID-19 bylo dobrým příkladem společného řízení zdraví ze strany Evropské unie jako celku. </w:t>
      </w:r>
    </w:p>
    <w:p>
      <w:pPr>
        <w:pStyle w:val="Normal"/>
        <w:rPr/>
      </w:pPr>
      <w:r>
        <w:rPr/>
        <w:t xml:space="preserve"> </w:t>
      </w:r>
    </w:p>
    <w:p>
      <w:pPr>
        <w:pStyle w:val="P68B1DB1Normal15"/>
        <w:rPr>
          <w:b/>
          <w:b/>
        </w:rPr>
      </w:pPr>
      <w:r>
        <w:rPr/>
        <w:t xml:space="preserve">41. Doporučujeme vytvořit evropskou databázi zdravotní péče, ve které by byly dostupné lékařské záznamy v případě nouze nebo nemoci. Účast by měla být volitelná a měla by být zajištěna ochrana osobních údajů. </w:t>
      </w:r>
    </w:p>
    <w:p>
      <w:pPr>
        <w:pStyle w:val="Normal"/>
        <w:rPr/>
      </w:pPr>
      <w:r>
        <w:rPr/>
        <w:t xml:space="preserve"> </w:t>
      </w:r>
    </w:p>
    <w:p>
      <w:pPr>
        <w:pStyle w:val="Normal"/>
        <w:rPr/>
      </w:pPr>
      <w:r>
        <w:rPr/>
        <w:t xml:space="preserve">Přístup k údajům a využívání údajů umožňují rychlou reakci v případech, kdy je život ohrožen. Pirátství nebo zneužití představují hlavní hrozbu pro takový evropský systém databáze zdravotní péče, a proto je třeba zabezpečit údaje, přičemž účast zůstává volitelná, a samozřejmě, aby se zabránilo hrozbám souvisejícím s bezpečností. </w:t>
      </w:r>
    </w:p>
    <w:p>
      <w:pPr>
        <w:pStyle w:val="Normal"/>
        <w:rPr/>
      </w:pPr>
      <w:r>
        <w:rPr/>
        <w:t xml:space="preserve"> </w:t>
      </w:r>
    </w:p>
    <w:p>
      <w:pPr>
        <w:pStyle w:val="P68B1DB1Normal15"/>
        <w:rPr>
          <w:b/>
          <w:b/>
        </w:rPr>
      </w:pPr>
      <w:r>
        <w:rPr/>
        <w:t xml:space="preserve">42. Doporučujeme, aby Evropská unie nadále rozvíjela a synchronizovala stávající programy výzkumu a inovací v oblasti zdraví, jako je tomu v případě stávajícího programu Horizont Evropa. Výsledky studií by měly být volně dostupné ve všech členských státech. </w:t>
      </w:r>
    </w:p>
    <w:p>
      <w:pPr>
        <w:pStyle w:val="Normal"/>
        <w:rPr/>
      </w:pPr>
      <w:r>
        <w:rPr/>
        <w:t xml:space="preserve"> </w:t>
      </w:r>
    </w:p>
    <w:p>
      <w:pPr>
        <w:pStyle w:val="Normal"/>
        <w:rPr/>
      </w:pPr>
      <w:r>
        <w:rPr/>
        <w:t xml:space="preserve">Vědecká spolupráce na úrovni EU by mohla obohatit vědecké kapacity a znalosti jednotlivých výzkumných pracovníků. Sdílení znalostí by například mohlo vést k včasné diagnóze a lepší léčbě s cílem snížit závažné a smrtelné nemoci v celé Evropě. Rovněž by podpořila evropskou soběstačnost v oblasti léčivých přípravků a vybavení. </w:t>
      </w:r>
    </w:p>
    <w:p>
      <w:pPr>
        <w:pStyle w:val="Normal"/>
        <w:rPr/>
      </w:pPr>
      <w:r>
        <w:rPr/>
        <w:t xml:space="preserve"> </w:t>
      </w:r>
    </w:p>
    <w:p>
      <w:pPr>
        <w:pStyle w:val="P68B1DB1Normal15"/>
        <w:rPr>
          <w:b/>
          <w:b/>
        </w:rPr>
      </w:pPr>
      <w:r>
        <w:rPr/>
        <w:t xml:space="preserve">43. Doporučujeme, aby EU navýšila svůj rozpočet na společné projekty v oblasti výzkumu a inovací v oblasti zdraví (bez rozpočtových škrtů v jiných programech EU v oblasti zdraví). To by rovněž posílilo evropské vědecké a výzkumné instituce jako celek. </w:t>
      </w:r>
    </w:p>
    <w:p>
      <w:pPr>
        <w:pStyle w:val="Normal"/>
        <w:rPr/>
      </w:pPr>
      <w:r>
        <w:rPr/>
        <w:t xml:space="preserve"> </w:t>
      </w:r>
    </w:p>
    <w:p>
      <w:pPr>
        <w:pStyle w:val="Normal"/>
        <w:rPr/>
      </w:pPr>
      <w:r>
        <w:rPr/>
        <w:t xml:space="preserve">Výzkum a investice v oblasti zdraví z dlouhodobého hlediska posílí preventivní medicínu a sníží náklady související se zdravím. Navýšení finančních prostředků by mohlo zabránit odlivu mozků do jiných rozvinutých zemí s vyššími rozpočty na výzkum a vývoj v oblasti zdraví. Tyto finanční prostředky by neměly pocházet ze stávajících finančních zdrojů na zdravotní péči. </w:t>
      </w:r>
    </w:p>
    <w:p>
      <w:pPr>
        <w:pStyle w:val="Normal"/>
        <w:rPr/>
      </w:pPr>
      <w:r>
        <w:rPr/>
        <w:t xml:space="preserve"> </w:t>
      </w:r>
    </w:p>
    <w:p>
      <w:pPr>
        <w:pStyle w:val="Titre4"/>
        <w:numPr>
          <w:ilvl w:val="3"/>
          <w:numId w:val="2"/>
        </w:numPr>
        <w:rPr/>
      </w:pPr>
      <w:bookmarkStart w:id="173" w:name="__RefHeading___Toc297281_1346298689"/>
      <w:bookmarkEnd w:id="173"/>
      <w:r>
        <w:rPr/>
        <w:t xml:space="preserve">Podosa 5.2 širší pohled na zdraví </w:t>
      </w:r>
    </w:p>
    <w:p>
      <w:pPr>
        <w:pStyle w:val="P68B1DB1Normal15"/>
        <w:rPr>
          <w:b/>
          <w:b/>
        </w:rPr>
      </w:pPr>
      <w:r>
        <w:rPr/>
        <w:t xml:space="preserve">44. Doporučujeme uspořádat týden zdraví jako iniciativu EU ve všech členských státech, a to ve stejném týdnu věnovaném všem zdravotním problémům se zaměřením na duševní zdraví. Během tohoto týdne budou všechna hlavní témata v oblasti duševního zdraví řešena a propagována společně, jakož i další již existující iniciativy, jako jsou iniciativy v oblasti duševního zdraví v Evropě. </w:t>
      </w:r>
    </w:p>
    <w:p>
      <w:pPr>
        <w:pStyle w:val="Normal"/>
        <w:rPr/>
      </w:pPr>
      <w:r>
        <w:rPr/>
        <w:t xml:space="preserve"> </w:t>
      </w:r>
    </w:p>
    <w:p>
      <w:pPr>
        <w:pStyle w:val="Normal"/>
        <w:rPr/>
      </w:pPr>
      <w:r>
        <w:rPr/>
        <w:t xml:space="preserve">Toto doporučení předkládáme, protože všichni evropští občané se musí cítit přijati a zahrnuti, zejména pokud trpí duševními problémy. Kromě toho je třeba standardizovat a zlepšit povědomí o problémech duševního zdraví a předcházet souvisejícím sociálním problémům, jako je diskriminace. Navíc vzhledem k tomu, že problémy s duševním zdravím se v souvislosti s pandemií zvýšily a pravděpodobně budou pokračovat, je tato iniciativa o to důležitější. </w:t>
      </w:r>
    </w:p>
    <w:p>
      <w:pPr>
        <w:pStyle w:val="Normal"/>
        <w:rPr/>
      </w:pPr>
      <w:r>
        <w:rPr/>
        <w:t xml:space="preserve"> </w:t>
      </w:r>
    </w:p>
    <w:p>
      <w:pPr>
        <w:pStyle w:val="P68B1DB1Normal15"/>
        <w:rPr>
          <w:b/>
          <w:b/>
        </w:rPr>
      </w:pPr>
      <w:r>
        <w:rPr/>
        <w:t xml:space="preserve">45. Doporučujeme, aby výrobky pro hygienu žen přestaly být považovány za luxusní zboží, pokud jde o zdanění, protože se jedná o základní výrobky. Doporučujeme také, aby hormonální antikoncepční přípravky používané ze zdravotních důvodů, jako je fibromyalgie a endometrióza, byly zdaněny jako pravidelné lékařské ošetření. Rovněž doporučujeme, aby Evropská unie podporovala harmonizaci lékařsky asistované reprodukční léčby pro všechny ženy (jednotné nebo vdané) ve všech členských státech. </w:t>
      </w:r>
    </w:p>
    <w:p>
      <w:pPr>
        <w:pStyle w:val="Normal"/>
        <w:rPr/>
      </w:pPr>
      <w:r>
        <w:rPr/>
        <w:t xml:space="preserve"> </w:t>
      </w:r>
    </w:p>
    <w:p>
      <w:pPr>
        <w:pStyle w:val="Normal"/>
        <w:rPr/>
      </w:pPr>
      <w:r>
        <w:rPr/>
        <w:t xml:space="preserve">V některých evropských zemích jsou hygienické výrobky pro ženy zdaňovány jako luxusní zboží, což je nespravedlivé. Některé hormonální antikoncepce se používají pro lékařské účely, a proto by měly být odpovídajícím způsobem zdaněny. Vzhledem k tomu, že reprodukční léčba u žen, jako je oplodnění in vitro a metody zmrazení vajec, mají v jednotlivých členských státech odlišné podmínky způsobilosti, a Evropská unie musí usilovat o jejich harmonizaci. </w:t>
      </w:r>
    </w:p>
    <w:p>
      <w:pPr>
        <w:pStyle w:val="Normal"/>
        <w:rPr/>
      </w:pPr>
      <w:r>
        <w:rPr/>
        <w:t xml:space="preserve"> </w:t>
      </w:r>
    </w:p>
    <w:p>
      <w:pPr>
        <w:pStyle w:val="P68B1DB1Normal15"/>
        <w:rPr>
          <w:b/>
          <w:b/>
        </w:rPr>
      </w:pPr>
      <w:r>
        <w:rPr/>
        <w:t xml:space="preserve">46. Doporučujeme, aby Evropská unie zaujala pevný postoj, který by povzbudil všechny členské státy, aby ve vhodných případech zahrnuly do svých školních osnov otázky týkající se duševního zdraví a sexuální výchovy. S cílem pomoci členským státům přijmout tyto otázky ve školních osnovách by Evropská unie měla vypracovat a zpřístupnit standardní program týkající se duševního zdraví a sexuálních otázek. </w:t>
      </w:r>
    </w:p>
    <w:p>
      <w:pPr>
        <w:pStyle w:val="Normal"/>
        <w:rPr/>
      </w:pPr>
      <w:r>
        <w:rPr/>
        <w:t xml:space="preserve"> </w:t>
      </w:r>
    </w:p>
    <w:p>
      <w:pPr>
        <w:pStyle w:val="Normal"/>
        <w:rPr/>
      </w:pPr>
      <w:r>
        <w:rPr/>
        <w:t xml:space="preserve">Je třeba omezit diskriminaci a tabu, pokud jde o problémy s duševním zdravím. Je třeba se také vyhnout dezinformacím a nevědeckým přístupům. Kromě toho je sexuální výchova zásadní pro zdravý život a komunitu a zabraňuje problémům, jako je těhotenství dospívajících. </w:t>
      </w:r>
    </w:p>
    <w:p>
      <w:pPr>
        <w:pStyle w:val="Normal"/>
        <w:rPr/>
      </w:pPr>
      <w:r>
        <w:rPr/>
        <w:t xml:space="preserve"> </w:t>
      </w:r>
    </w:p>
    <w:p>
      <w:pPr>
        <w:pStyle w:val="P68B1DB1Normal15"/>
        <w:rPr>
          <w:b/>
          <w:b/>
        </w:rPr>
      </w:pPr>
      <w:r>
        <w:rPr/>
        <w:t xml:space="preserve">47. Doporučujeme, aby Evropská unie vytvořila lepší komunikační systém pro všechny své iniciativy v oblasti duševního zdraví, konkrétně portál o osvědčených postupech v oblasti veřejného zdraví, a to v rámci členských států a pro všechny občany. Poslanci by si mohli tyto osvědčené postupy vzájemně prezentovat, aby je lépe poznali ve všech členských státech. </w:t>
      </w:r>
    </w:p>
    <w:p>
      <w:pPr>
        <w:pStyle w:val="Normal"/>
        <w:rPr/>
      </w:pPr>
      <w:r>
        <w:rPr/>
        <w:t xml:space="preserve"> </w:t>
      </w:r>
    </w:p>
    <w:p>
      <w:pPr>
        <w:pStyle w:val="Normal"/>
        <w:rPr/>
      </w:pPr>
      <w:r>
        <w:rPr/>
        <w:t xml:space="preserve">Občané nejsou dobře informováni o iniciativách EU a sdílení osvědčených postupů nám umožňuje učit se od sebe navzájem. </w:t>
      </w:r>
    </w:p>
    <w:p>
      <w:pPr>
        <w:pStyle w:val="Normal"/>
        <w:rPr/>
      </w:pPr>
      <w:r>
        <w:rPr/>
        <w:t xml:space="preserve"> </w:t>
      </w:r>
    </w:p>
    <w:p>
      <w:pPr>
        <w:pStyle w:val="Titre4"/>
        <w:numPr>
          <w:ilvl w:val="3"/>
          <w:numId w:val="2"/>
        </w:numPr>
        <w:rPr/>
      </w:pPr>
      <w:bookmarkStart w:id="174" w:name="__RefHeading___Toc297283_1346298689"/>
      <w:bookmarkEnd w:id="174"/>
      <w:r>
        <w:rPr/>
        <w:t xml:space="preserve">Podosa 5.3 Rovný přístup ke zdraví pro všechny </w:t>
      </w:r>
    </w:p>
    <w:p>
      <w:pPr>
        <w:pStyle w:val="P68B1DB1Normal15"/>
        <w:rPr>
          <w:b/>
          <w:b/>
        </w:rPr>
      </w:pPr>
      <w:r>
        <w:rPr/>
        <w:t xml:space="preserve">48. Doporučujeme, aby EU stanovila a prosazovala minimální normy pro kvalitní zubní péči, včetně profylaxe, pro všechny členské státy EU. Dětem, nízkopříjmovým skupinám a dalším zranitelným skupinám by měla být poskytnuta bezplatná zubní péče. Během 15–20 let by EU měla zajistit dostupnost cenově dostupné zubní péče pro všechny. </w:t>
      </w:r>
    </w:p>
    <w:p>
      <w:pPr>
        <w:pStyle w:val="Normal"/>
        <w:rPr/>
      </w:pPr>
      <w:r>
        <w:rPr/>
        <w:t xml:space="preserve"> </w:t>
      </w:r>
    </w:p>
    <w:p>
      <w:pPr>
        <w:pStyle w:val="Normal"/>
        <w:rPr/>
      </w:pPr>
      <w:r>
        <w:rPr/>
        <w:t xml:space="preserve">Toto doporučení předkládáme, protože zubní péče je v současné době pro mnoho lidí žijících v EU nedostupná. Absence zubní péče a zubní profylaxe poškozuje jejich zdraví a životní vyhlídky. EU by měla začít stanovením minimálního standardu pro zubní péči a vyžadovat bezplatnou zubní péči o děti a skupiny s nízkými příjmy. Každý by měl mít nárok na kvalitní zubní péči. </w:t>
      </w:r>
    </w:p>
    <w:p>
      <w:pPr>
        <w:pStyle w:val="Normal"/>
        <w:rPr/>
      </w:pPr>
      <w:r>
        <w:rPr/>
        <w:t xml:space="preserve"> </w:t>
      </w:r>
    </w:p>
    <w:p>
      <w:pPr>
        <w:pStyle w:val="P68B1DB1Normal15"/>
        <w:rPr>
          <w:b/>
          <w:b/>
        </w:rPr>
      </w:pPr>
      <w:r>
        <w:rPr/>
        <w:t xml:space="preserve">49. Doporučujeme zahrnout zdraví a zdravotní péči do pravomocí sdílených mezi EU a jejími členskými státy. Za účelem zahrnutí této nové sdílené pravomoci je nezbytné změnit článek 4 Smlouvy o fungování Evropské unie (SFEU). </w:t>
      </w:r>
    </w:p>
    <w:p>
      <w:pPr>
        <w:pStyle w:val="Normal"/>
        <w:rPr/>
      </w:pPr>
      <w:r>
        <w:rPr/>
        <w:t xml:space="preserve"> </w:t>
      </w:r>
    </w:p>
    <w:p>
      <w:pPr>
        <w:pStyle w:val="Normal"/>
        <w:rPr/>
      </w:pPr>
      <w:r>
        <w:rPr/>
        <w:t xml:space="preserve">Toto doporučení předkládáme, protože Evropská unie v současné době nemá dostatečné pravomoci k přijímání právních předpisů v oblasti zdravotní péče. Pandemie COVID-19 ukázala, že je třeba zvýšit přítomnost EU v politikách v oblasti zdraví. Tato změna Smlouvy umožní EU učinit více pro zajištění zdravotní péče pro všechny občany EU a vydávat závazná nařízení a rozhodnutí. </w:t>
      </w:r>
    </w:p>
    <w:p>
      <w:pPr>
        <w:pStyle w:val="Normal"/>
        <w:rPr/>
      </w:pPr>
      <w:r>
        <w:rPr/>
        <w:t xml:space="preserve"> </w:t>
      </w:r>
    </w:p>
    <w:p>
      <w:pPr>
        <w:pStyle w:val="P68B1DB1Normal15"/>
        <w:rPr>
          <w:b/>
          <w:b/>
        </w:rPr>
      </w:pPr>
      <w:r>
        <w:rPr/>
        <w:t xml:space="preserve">50. Doporučujeme, aby EU nabízela bezplatné kurzy první pomoci všem občanům EU. EU by mohla zvážit, zda by tyto kurzy byly povinné pro studenty i na pracovišti (ve veřejném i soukromém sektoru). Tyto kurzy musí být také praktické, opakující se a přizpůsobeny věku studentů. Minimální počet defibrilátorů by měl být rovněž k dispozici na veřejných místech ve všech členských státech EU. </w:t>
      </w:r>
    </w:p>
    <w:p>
      <w:pPr>
        <w:pStyle w:val="Normal"/>
        <w:rPr/>
      </w:pPr>
      <w:r>
        <w:rPr/>
        <w:t xml:space="preserve"> </w:t>
      </w:r>
    </w:p>
    <w:p>
      <w:pPr>
        <w:pStyle w:val="Normal"/>
        <w:rPr/>
      </w:pPr>
      <w:r>
        <w:rPr/>
        <w:t xml:space="preserve">Doporučujeme to, protože mnoho lidí v Evropské unii není připraveno jednat, když člověk potřebuje pomoc a protože nezná techniky první pomoci. Proto je mnoho životů ztraceno. Na některých veřejných místech není k dispozici žádný defibrilátor. </w:t>
      </w:r>
    </w:p>
    <w:p>
      <w:pPr>
        <w:pStyle w:val="Normal"/>
        <w:rPr/>
      </w:pPr>
      <w:r>
        <w:rPr/>
        <w:t xml:space="preserve"> </w:t>
      </w:r>
    </w:p>
    <w:p>
      <w:pPr>
        <w:pStyle w:val="P68B1DB1Normal15"/>
        <w:rPr>
          <w:b/>
          <w:b/>
        </w:rPr>
      </w:pPr>
      <w:r>
        <w:rPr/>
        <w:t xml:space="preserve">51. Doporučujeme, aby Evropská unie zajistila, aby soukromí poskytovatelé zdravotní péče neměli nespravedlivě prospěch z veřejných prostředků a nečerpali ze zdrojů veřejných systémů zdravotní péče. Evropská unie by měla členským státům důrazně doporučit, aby zvýšily financování veřejné zdravotní péče. </w:t>
      </w:r>
    </w:p>
    <w:p>
      <w:pPr>
        <w:pStyle w:val="Normal"/>
        <w:rPr/>
      </w:pPr>
      <w:r>
        <w:rPr/>
        <w:t xml:space="preserve"> </w:t>
      </w:r>
    </w:p>
    <w:p>
      <w:pPr>
        <w:pStyle w:val="Normal"/>
        <w:rPr/>
      </w:pPr>
      <w:r>
        <w:rPr/>
        <w:t xml:space="preserve">Toto doporučení předkládáme, protože Evropská unie a její členské státy mají povinnost zajistit všem svým občanům přístup ke zdravotní péči. Kromě toho silnější systém veřejného zdraví rovněž vyžaduje lepší připravenost na budoucí pandemie. </w:t>
      </w:r>
    </w:p>
    <w:p>
      <w:pPr>
        <w:pStyle w:val="Normal"/>
        <w:rPr/>
      </w:pPr>
      <w:r>
        <w:rPr/>
        <w:t xml:space="preserve"> </w:t>
      </w:r>
    </w:p>
    <w:p>
      <w:pPr>
        <w:pStyle w:val="Titre3"/>
        <w:numPr>
          <w:ilvl w:val="2"/>
          <w:numId w:val="2"/>
        </w:numPr>
        <w:rPr/>
      </w:pPr>
      <w:bookmarkStart w:id="175" w:name="__RefHeading___Toc297285_1346298689"/>
      <w:bookmarkEnd w:id="175"/>
      <w:r>
        <w:rPr/>
        <w:t xml:space="preserve">Příloha: DALŠÍ DOPORUČENÍ POSUZOVANÁ KOMISÍ, KTERÁ NEBYLA PŘIJATA </w:t>
      </w:r>
    </w:p>
    <w:p>
      <w:pPr>
        <w:pStyle w:val="Titre4"/>
        <w:numPr>
          <w:ilvl w:val="3"/>
          <w:numId w:val="2"/>
        </w:numPr>
        <w:rPr/>
      </w:pPr>
      <w:bookmarkStart w:id="176" w:name="__RefHeading___Toc297287_1346298689"/>
      <w:bookmarkEnd w:id="176"/>
      <w:r>
        <w:rPr/>
        <w:t xml:space="preserve">Osa 1: Lepší způsoby života </w:t>
      </w:r>
    </w:p>
    <w:p>
      <w:pPr>
        <w:pStyle w:val="Normal"/>
        <w:rPr/>
      </w:pPr>
      <w:r>
        <w:rPr/>
        <w:t xml:space="preserve">Podosa 1.1 Zdravý životní styl </w:t>
      </w:r>
    </w:p>
    <w:p>
      <w:pPr>
        <w:pStyle w:val="P68B1DB1Normal15"/>
        <w:rPr>
          <w:b/>
          <w:b/>
        </w:rPr>
      </w:pPr>
      <w:r>
        <w:rPr/>
        <w:t xml:space="preserve">Doporučujeme, aby EU zaslala všem členským státům doporučení ohledně osvědčených postupů týkajících se zákazu nebo omezování reklamy na alkohol a tabák ve všech formách sdělovacích prostředků a pro všechny věkové skupiny, se zvláštním důrazem na mladé publikum. EU by měla zajistit prosazování právních předpisů omezujících prodej těchto výrobků nezletilým osobám. Všechny členské státy by měly zajistit provádění právních předpisů týkajících se kouření na veřejných prostranstvích, zejména ve školách, spolu se sankcemi a vytvořit prostory vyhrazené pro kuřáky. </w:t>
      </w:r>
    </w:p>
    <w:p>
      <w:pPr>
        <w:pStyle w:val="Normal"/>
        <w:rPr/>
      </w:pPr>
      <w:r>
        <w:rPr/>
        <w:t xml:space="preserve"> </w:t>
      </w:r>
    </w:p>
    <w:p>
      <w:pPr>
        <w:pStyle w:val="Normal"/>
        <w:rPr/>
      </w:pPr>
      <w:r>
        <w:rPr/>
        <w:t xml:space="preserve">Zdraví škodlivý životní styl se nemůže objevit v reklamě a měl by být méně viditelný ve veřejném životě. Vzhledem k tomu, že alkohol a tabák patří k nejpoužívanějším škodlivým látkám, zabrání toto doporučení jejich zneužívání. </w:t>
      </w:r>
    </w:p>
    <w:p>
      <w:pPr>
        <w:pStyle w:val="Normal"/>
        <w:rPr/>
      </w:pPr>
      <w:r>
        <w:rPr/>
        <w:t xml:space="preserve"> </w:t>
      </w:r>
    </w:p>
    <w:p>
      <w:pPr>
        <w:pStyle w:val="P68B1DB1Normal15"/>
        <w:rPr>
          <w:b/>
          <w:b/>
        </w:rPr>
      </w:pPr>
      <w:r>
        <w:rPr/>
        <w:t xml:space="preserve">Doporučujeme, aby EU vybízela členské státy k tomu, aby do národních školních osnov zahrnuly kurzy s cílem naučit se vařit udržitelným, zdravým a chutným způsobem. Za tímto účelem může EU zpřístupnit pokyny pro zdravé vaření na internetu i v tištěné podobě. Mladí lidé by měli být osloveni aktivní reklamou v tradičních a sociálních médiích. Měli bychom také vzdělávat rodiče, aby se naučili, jak nejlépe používat potraviny k přijetí zdravého životního stylu. Výzkum v této oblasti by měl být podporován a obohacen. </w:t>
      </w:r>
    </w:p>
    <w:p>
      <w:pPr>
        <w:pStyle w:val="Normal"/>
        <w:rPr/>
      </w:pPr>
      <w:r>
        <w:rPr/>
        <w:t xml:space="preserve"> </w:t>
      </w:r>
    </w:p>
    <w:p>
      <w:pPr>
        <w:pStyle w:val="Normal"/>
        <w:rPr/>
      </w:pPr>
      <w:r>
        <w:rPr/>
        <w:t xml:space="preserve">Pořádání tříd vaření a výživy ve škole by zlepšilo zdraví mladých lidí a odrazovalo od konzumace rychlého občerstvení. Vzdělávání mladých lidí by jim umožnilo vysvětlit rodičům, co se naučili. Kromě toho vzdělávání rodičů o zdravém životním stylu by jim umožnilo jít svým dětem příkladem. </w:t>
      </w:r>
    </w:p>
    <w:p>
      <w:pPr>
        <w:pStyle w:val="Normal"/>
        <w:rPr/>
      </w:pPr>
      <w:r>
        <w:rPr/>
      </w:r>
    </w:p>
    <w:p>
      <w:pPr>
        <w:pStyle w:val="P68B1DB1Normal15"/>
        <w:rPr>
          <w:b/>
          <w:b/>
        </w:rPr>
      </w:pPr>
      <w:r>
        <w:rPr/>
        <w:t xml:space="preserve">Doporučujeme zintenzivnit veřejnou kampaň Evropské komise pro zdravý životní styl, HealthyLifestyle4All a pozitivní dopad sociální činnosti prostřednictvím konkrétních příkladů a komplexní strategie. Měly by být definovány informační kampaně pro dobře strukturované cílové skupiny a pro každou z těchto skupin by měly být vybrány vhodné komunikační prostředky. Kromě toho je důležité zavést systémy odměňování a pobídek na podporu pozitivního chování. Kampaně by měly zahrnovat influencery, celebrity nebo autority. Musí zdůraznit dvojí přínosy pro zdraví, životní prostředí a klima. Kromě toho by měly být ve všech členských státech k dispozici granty na podporu bezplatné veřejné sportovní infrastruktury. </w:t>
      </w:r>
    </w:p>
    <w:p>
      <w:pPr>
        <w:pStyle w:val="Normal"/>
        <w:rPr/>
      </w:pPr>
      <w:r>
        <w:rPr/>
        <w:t xml:space="preserve"> </w:t>
      </w:r>
    </w:p>
    <w:p>
      <w:pPr>
        <w:pStyle w:val="Normal"/>
        <w:rPr/>
      </w:pPr>
      <w:r>
        <w:rPr/>
        <w:t xml:space="preserve">Zdravější životní styl má pozitivní vliv na systém zdravotní péče, protože snižuje zdravotní problémy. Fyzické zdraví ovlivňuje duševní zdraví a štěstí. Současné kampaně nejsou dostatečně známy. Jsou efektivnější a motivující, když jsou s ním spojeny osobnosti a vlivné osoby. </w:t>
      </w:r>
    </w:p>
    <w:p>
      <w:pPr>
        <w:pStyle w:val="Normal"/>
        <w:rPr/>
      </w:pPr>
      <w:r>
        <w:rPr/>
        <w:t xml:space="preserve"> </w:t>
      </w:r>
    </w:p>
    <w:p>
      <w:pPr>
        <w:pStyle w:val="P68B1DB1Normal15"/>
        <w:rPr>
          <w:b/>
          <w:b/>
        </w:rPr>
      </w:pPr>
      <w:r>
        <w:rPr/>
        <w:t xml:space="preserve">Doporučujeme informační kampaň o zdravém stravování a výživě. EU by měla podporovat vyšší zdanění masa a cukru v členských státech. Měla by prozkoumat možnosti rozlišování mezi zdravými a škodlivými potravinami a uplatňovat na ně diferencovanou DPH. Doporučujeme umístit velmi jasné varovné signály na výrobky, které jsou velmi škodlivé pro zdraví (např. tabákové výrobky). Kromě toho doporučujeme celoevropský systém nutričních hodnocení, který bude poskytovat relevantní informace a QR kód, který umožní spotřebitelům činit informovanější rozhodnutí. Prozkoumejte možnosti, jak zlevnit zdravé potraviny než nezdravé potraviny, a dále povzbuzovat zemědělce k produkci zdravých produktů. </w:t>
      </w:r>
    </w:p>
    <w:p>
      <w:pPr>
        <w:pStyle w:val="Normal"/>
        <w:rPr/>
      </w:pPr>
      <w:r>
        <w:rPr/>
        <w:t xml:space="preserve"> </w:t>
      </w:r>
    </w:p>
    <w:p>
      <w:pPr>
        <w:pStyle w:val="Normal"/>
        <w:rPr/>
      </w:pPr>
      <w:r>
        <w:rPr/>
        <w:t xml:space="preserve">Zdravá strava je základem zdravého života. Je nutné zasáhnout jak na straně výrobce, tak na straně spotřebitelů. Produkce zdravých produktů má také pozitivní vliv na životní prostředí a může pomoci místním zemědělcům. Pokud se zvýší produkce zdravých potravin, ceny klesají a poptávka se zvýší. </w:t>
      </w:r>
    </w:p>
    <w:p>
      <w:pPr>
        <w:pStyle w:val="Normal"/>
        <w:rPr/>
      </w:pPr>
      <w:r>
        <w:rPr/>
        <w:t xml:space="preserve"> </w:t>
      </w:r>
    </w:p>
    <w:p>
      <w:pPr>
        <w:pStyle w:val="Normal"/>
        <w:rPr/>
      </w:pPr>
      <w:r>
        <w:rPr/>
        <w:t xml:space="preserve">Dílčí osa 1.2 Výchova v oblasti životního prostředí </w:t>
      </w:r>
    </w:p>
    <w:p>
      <w:pPr>
        <w:pStyle w:val="P68B1DB1Normal15"/>
        <w:rPr>
          <w:b/>
          <w:b/>
        </w:rPr>
      </w:pPr>
      <w:r>
        <w:rPr/>
        <w:t xml:space="preserve">Doporučujeme, aby EU zřídila mechanismus financování na podporu začlenění dlouhodobého programu environmentálního vzdělávání do vnitrostátních vzdělávacích systémů pro děti na základních a středních školách. Tento mechanismus financování by měl zahrnovat financování rodičů, kteří potřebují finanční pomoc. </w:t>
      </w:r>
    </w:p>
    <w:p>
      <w:pPr>
        <w:pStyle w:val="Normal"/>
        <w:rPr/>
      </w:pPr>
      <w:r>
        <w:rPr/>
        <w:t xml:space="preserve"> </w:t>
      </w:r>
    </w:p>
    <w:p>
      <w:pPr>
        <w:pStyle w:val="Normal"/>
        <w:rPr/>
      </w:pPr>
      <w:r>
        <w:rPr/>
        <w:t xml:space="preserve">Současné vzdělávací systémy neobsahují dostatek praktických prvků, které by usnadnily přímé a hluboké interakce mezi dětmi a životním prostředím. Stávající programy navržené z krátkodobého hlediska jsou různorodé a nepodporují nezbytnou změnu postoje. Rodiče by měli být podporováni, aby bylo zajištěno, že všechny děti budou mít z programu stejný prospěch a že žádné z nich nebudou z finančních důvodů vyloučeny. </w:t>
      </w:r>
    </w:p>
    <w:p>
      <w:pPr>
        <w:pStyle w:val="Normal"/>
        <w:rPr/>
      </w:pPr>
      <w:r>
        <w:rPr/>
        <w:t xml:space="preserve"> </w:t>
      </w:r>
    </w:p>
    <w:p>
      <w:pPr>
        <w:pStyle w:val="Titre4"/>
        <w:numPr>
          <w:ilvl w:val="3"/>
          <w:numId w:val="2"/>
        </w:numPr>
        <w:rPr/>
      </w:pPr>
      <w:bookmarkStart w:id="177" w:name="__RefHeading___Toc297289_1346298689"/>
      <w:bookmarkEnd w:id="177"/>
      <w:r>
        <w:rPr/>
        <w:t xml:space="preserve">Osa 2: Ochrana našeho životního prostředí a zdraví </w:t>
      </w:r>
    </w:p>
    <w:p>
      <w:pPr>
        <w:pStyle w:val="Normal"/>
        <w:rPr/>
      </w:pPr>
      <w:r>
        <w:rPr/>
        <w:t xml:space="preserve">Podosa 2.1 Zdravé přírodní prostředí </w:t>
      </w:r>
    </w:p>
    <w:p>
      <w:pPr>
        <w:pStyle w:val="P68B1DB1Normal15"/>
        <w:rPr>
          <w:b/>
          <w:b/>
        </w:rPr>
      </w:pPr>
      <w:r>
        <w:rPr/>
        <w:t xml:space="preserve">Doporučujeme okamžitě zavést nejvyšší možný standard kvality vody v celé EU. Pro úsporu vody nabízíme systém odměňování založený na cenách vody, abychom podpořili a podpořili nižší spotřebu, například: 1) vytvořením dynamického systému, který odrazuje spotřebitele od překročení průměrné spotřeby vody (například 10 % zvýšení spotřeby vody vede k 11 % zvýšení ceny), 2) vytvořením tržního systému pro kvóty pro vodu znečištěnou výrobními společnostmi, který by byl podobný trhu s již existujícími povolenkami na emise uhlíku. </w:t>
      </w:r>
    </w:p>
    <w:p>
      <w:pPr>
        <w:pStyle w:val="Normal"/>
        <w:rPr/>
      </w:pPr>
      <w:r>
        <w:rPr/>
        <w:t xml:space="preserve"> </w:t>
      </w:r>
    </w:p>
    <w:p>
      <w:pPr>
        <w:pStyle w:val="Normal"/>
        <w:rPr/>
      </w:pPr>
      <w:r>
        <w:rPr/>
        <w:t xml:space="preserve">Toto doporučení je odůvodněno skutečností, že zvýšení cen povzbuzuje všechny uživatele k přijímání informovanějších rozhodnutí. Vzhledem k rozdílné realitě zemí EU a v zájmu dosažení sociálně spravedlivého systému můžeme podporovat chudší lidi v jejich hospodaření s vodou prostřednictvím společných investic do infrastruktury pro zásobování vodou a výzkumu. </w:t>
      </w:r>
    </w:p>
    <w:p>
      <w:pPr>
        <w:pStyle w:val="Normal"/>
        <w:rPr/>
      </w:pPr>
      <w:r>
        <w:rPr/>
        <w:t xml:space="preserve"> </w:t>
      </w:r>
    </w:p>
    <w:p>
      <w:pPr>
        <w:pStyle w:val="Titre4"/>
        <w:numPr>
          <w:ilvl w:val="3"/>
          <w:numId w:val="2"/>
        </w:numPr>
        <w:rPr/>
      </w:pPr>
      <w:bookmarkStart w:id="178" w:name="__RefHeading___Toc297291_1346298689"/>
      <w:bookmarkEnd w:id="178"/>
      <w:r>
        <w:rPr/>
        <w:t xml:space="preserve">Osa 3: přeorientování naší ekonomiky a spotřeby </w:t>
      </w:r>
    </w:p>
    <w:p>
      <w:pPr>
        <w:pStyle w:val="Normal"/>
        <w:rPr/>
      </w:pPr>
      <w:r>
        <w:rPr/>
        <w:t xml:space="preserve">Podosa 3.1 Regulace nadvýroby a nadměrné spotřeby </w:t>
      </w:r>
    </w:p>
    <w:p>
      <w:pPr>
        <w:pStyle w:val="P68B1DB1Normal15"/>
        <w:rPr>
          <w:b/>
          <w:b/>
        </w:rPr>
      </w:pPr>
      <w:r>
        <w:rPr/>
        <w:t xml:space="preserve">Doporučujeme, aby EU uložila pokuty společnostem, které eliminují neprodané výrobky vyrobené nadprodukcí. </w:t>
      </w:r>
    </w:p>
    <w:p>
      <w:pPr>
        <w:pStyle w:val="Normal"/>
        <w:rPr/>
      </w:pPr>
      <w:r>
        <w:rPr/>
        <w:t xml:space="preserve"> </w:t>
      </w:r>
    </w:p>
    <w:p>
      <w:pPr>
        <w:pStyle w:val="Normal"/>
        <w:rPr/>
      </w:pPr>
      <w:r>
        <w:rPr/>
        <w:t xml:space="preserve">V některých případech se společnosti domnívají, že je nákladově efektivnější vyhazovat neprodané zboží spíše než je recyklovat nebo znovu používat. Je proto důležité odradit od nadprodukce uložením pokut, aby tato praxe již nebyla pro výrobce zisková. </w:t>
      </w:r>
    </w:p>
    <w:p>
      <w:pPr>
        <w:pStyle w:val="Normal"/>
        <w:rPr/>
      </w:pPr>
      <w:r>
        <w:rPr/>
        <w:t xml:space="preserve"> </w:t>
      </w:r>
    </w:p>
    <w:p>
      <w:pPr>
        <w:pStyle w:val="Normal"/>
        <w:rPr/>
      </w:pPr>
      <w:r>
        <w:rPr/>
        <w:t xml:space="preserve">Dílčí osa 3.2 Snížení odpadu </w:t>
      </w:r>
    </w:p>
    <w:p>
      <w:pPr>
        <w:pStyle w:val="P68B1DB1Normal15"/>
        <w:rPr>
          <w:b/>
          <w:b/>
        </w:rPr>
      </w:pPr>
      <w:r>
        <w:rPr/>
        <w:t xml:space="preserve">Doporučujeme, aby EU vypracovala a zavedla politiku nakládání s odpady pro domácnosti a občany, přičemž by upozornila na skutečné množství odpadu, který produkují, a doplnila ji o nezbytná opatření ke zvýšení povědomí občanů o přínosech omezení vzniku odpadů a selektivního sběru odpadu. Měla by být rovněž provedena opatření zaměřená na sociálně znevýhodněné rodiny (např. mladé rodiny s dětmi, starší osoby atd.), přičemž je třeba dodržovat zásadu „nikdo neopomíjet“. </w:t>
      </w:r>
    </w:p>
    <w:p>
      <w:pPr>
        <w:pStyle w:val="Normal"/>
        <w:rPr/>
      </w:pPr>
      <w:r>
        <w:rPr/>
        <w:t xml:space="preserve"> </w:t>
      </w:r>
    </w:p>
    <w:p>
      <w:pPr>
        <w:pStyle w:val="Normal"/>
        <w:rPr/>
      </w:pPr>
      <w:r>
        <w:rPr/>
        <w:t xml:space="preserve">Cílem této politiky je vytvořit jednotný přístup k nakládání s odpady v domácnostech; rovněž usnadňuje ochranu životního prostředí snižováním odpadů, dále stimuluje oběhové hospodářství a zvyšuje účinnost sběru odpadů. A konečně, což není zanedbatelné, zvyšuje povědomí občanů a posiluje smysl pro odpovědnost za životní prostředí. </w:t>
      </w:r>
    </w:p>
    <w:p>
      <w:pPr>
        <w:pStyle w:val="Normal"/>
        <w:rPr/>
      </w:pPr>
      <w:r>
        <w:rPr/>
        <w:t xml:space="preserve"> </w:t>
      </w:r>
    </w:p>
    <w:p>
      <w:pPr>
        <w:pStyle w:val="P68B1DB1Normal15"/>
        <w:rPr>
          <w:b/>
          <w:b/>
        </w:rPr>
      </w:pPr>
      <w:r>
        <w:rPr/>
        <w:t xml:space="preserve">Doporučujeme, aby EU podporovala volnou hospodářskou soutěž a povzbuzovala soukromý sektor, aby aktivněji přispíval k čištění odpadů, včetně odpadních vod, a k činnostem v oblasti recyklace a využití odpadů. </w:t>
      </w:r>
    </w:p>
    <w:p>
      <w:pPr>
        <w:pStyle w:val="Normal"/>
        <w:rPr/>
      </w:pPr>
      <w:r>
        <w:rPr/>
        <w:t xml:space="preserve"> </w:t>
      </w:r>
    </w:p>
    <w:p>
      <w:pPr>
        <w:pStyle w:val="Normal"/>
        <w:rPr/>
      </w:pPr>
      <w:r>
        <w:rPr/>
        <w:t xml:space="preserve">EU je vhodnou úrovní pro provádění tohoto doporučení, neboť doplňuje rámcovou směrnici o odpadech a akční plán pro oběhové hospodářství. Provádění doporučení navíc posílí inovativní řešení pro nakládání s odpady, zlepší kvalitu nakládání s odpady a zvýší objem zpracovávaných odpadů, neboť se těchto činností bude účastnit více společností. </w:t>
      </w:r>
    </w:p>
    <w:p>
      <w:pPr>
        <w:pStyle w:val="Normal"/>
        <w:rPr/>
      </w:pPr>
      <w:r>
        <w:rPr/>
        <w:t xml:space="preserve"> </w:t>
      </w:r>
    </w:p>
    <w:p>
      <w:pPr>
        <w:pStyle w:val="Normal"/>
        <w:rPr/>
      </w:pPr>
      <w:r>
        <w:rPr/>
        <w:t xml:space="preserve">Dílčí osa 3.3 Spravedlivé výrobky, rovný přístup a spravedlivá spotřeba </w:t>
      </w:r>
    </w:p>
    <w:p>
      <w:pPr>
        <w:pStyle w:val="P68B1DB1Normal15"/>
        <w:rPr>
          <w:b/>
          <w:b/>
        </w:rPr>
      </w:pPr>
      <w:r>
        <w:rPr/>
        <w:t xml:space="preserve">Doporučujeme přestěhovat průmyslová odvětví do Evropské unie s cílem poskytovat vysoce kvalitní spravedlivé produkty a ovlivňovat otázky klimatu. </w:t>
      </w:r>
    </w:p>
    <w:p>
      <w:pPr>
        <w:pStyle w:val="Normal"/>
        <w:rPr/>
      </w:pPr>
      <w:r>
        <w:rPr/>
        <w:t xml:space="preserve"> </w:t>
      </w:r>
    </w:p>
    <w:p>
      <w:pPr>
        <w:pStyle w:val="Normal"/>
        <w:rPr/>
      </w:pPr>
      <w:r>
        <w:rPr/>
        <w:t xml:space="preserve">Evropská unie má know-how, které je třeba propagovat na vlastním trhu. </w:t>
      </w:r>
    </w:p>
    <w:p>
      <w:pPr>
        <w:pStyle w:val="Normal"/>
        <w:rPr/>
      </w:pPr>
      <w:r>
        <w:rPr/>
        <w:t xml:space="preserve">Vzhledem k přemístění průmyslových odvětví mimo EU, zejména v Asii, jsou rovněž přemísťovány některé odborné dovednosti. Toto doporučení zahrnuje odborné vzdělávání evropských pracovníků. Zdůrazňujeme, že je třeba se vyhnout přemísťování mezi různými členskými státy, aby se zabránilo nekalé hospodářské soutěži. </w:t>
      </w:r>
    </w:p>
    <w:p>
      <w:pPr>
        <w:pStyle w:val="Normal"/>
        <w:rPr/>
      </w:pPr>
      <w:r>
        <w:rPr/>
        <w:t xml:space="preserve">Zjistili jsme, že masivní přemístění průmyslových odvětví po celém světě má dopad na evropský průmysl. Místní produkce proto zlepší zdraví občanů a životního prostředí. </w:t>
      </w:r>
    </w:p>
    <w:p>
      <w:pPr>
        <w:pStyle w:val="Normal"/>
        <w:rPr/>
      </w:pPr>
      <w:r>
        <w:rPr/>
      </w:r>
    </w:p>
    <w:p>
      <w:pPr>
        <w:pStyle w:val="Titre4"/>
        <w:numPr>
          <w:ilvl w:val="3"/>
          <w:numId w:val="2"/>
        </w:numPr>
        <w:rPr/>
      </w:pPr>
      <w:bookmarkStart w:id="179" w:name="__RefHeading___Toc297293_1346298689"/>
      <w:bookmarkEnd w:id="179"/>
      <w:r>
        <w:rPr/>
        <w:t xml:space="preserve">Osa 4: směrem k udržitelné společnosti </w:t>
      </w:r>
    </w:p>
    <w:p>
      <w:pPr>
        <w:pStyle w:val="Normal"/>
        <w:rPr/>
      </w:pPr>
      <w:r>
        <w:rPr/>
        <w:t xml:space="preserve">Podosa 4.3 Přeprava šetrná k životnímu prostředí </w:t>
      </w:r>
    </w:p>
    <w:p>
      <w:pPr>
        <w:pStyle w:val="P68B1DB1Normal15"/>
        <w:rPr>
          <w:b/>
          <w:b/>
        </w:rPr>
      </w:pPr>
      <w:r>
        <w:rPr/>
        <w:t xml:space="preserve">Doporučujeme, aby velká města byla pokutována nebo dotována podle environmentálních a znečišťujících vlastností jejich veřejné dopravy (elektrická vozidla, ekologická veřejná doprava, vytvoření pěších ploch, podpora využívání jízdních kol atd.). Zejména pokuty nebo dotace vztahující se na místní orgány ve městě by měly být stanoveny na základě změn v ekologické dopravě ve srovnání se výchozí situací v tomto městě. Evropská unie by měla prostřednictvím svých právních předpisů definovat ukazatele výkonnosti pro opatření související se znečištěním a určit poměrné snížení. V tomto ohledu je třeba vzít v úvahu výchozí bod každého města. </w:t>
      </w:r>
    </w:p>
    <w:p>
      <w:pPr>
        <w:pStyle w:val="Normal"/>
        <w:rPr/>
      </w:pPr>
      <w:r>
        <w:rPr/>
        <w:t xml:space="preserve"> </w:t>
      </w:r>
    </w:p>
    <w:p>
      <w:pPr>
        <w:pStyle w:val="Normal"/>
        <w:rPr/>
      </w:pPr>
      <w:r>
        <w:rPr/>
        <w:t xml:space="preserve">Toto doporučení vydáváme proto, že města byla zasažena znečištěním ovzduší, které způsobilo zdravotní problémy. Rozvoj zelené dopravy by zlepšil životy a zdraví lidí a snížil by skleníkový efekt. Dotace a sankce jsou účinná opatření na podporu změn a usnadnění přizpůsobení se různým situacím v různých městech. </w:t>
      </w:r>
    </w:p>
    <w:p>
      <w:pPr>
        <w:pStyle w:val="Normal"/>
        <w:rPr/>
      </w:pPr>
      <w:r>
        <w:rPr/>
        <w:t xml:space="preserve"> </w:t>
      </w:r>
    </w:p>
    <w:p>
      <w:pPr>
        <w:pStyle w:val="P68B1DB1Normal15"/>
        <w:rPr>
          <w:b/>
          <w:b/>
        </w:rPr>
      </w:pPr>
      <w:r>
        <w:rPr/>
        <w:t xml:space="preserve">Doporučujeme, aby právní předpisy EU omezily a regulovaly používání letů na krátké vzdálenosti a výletních lodí. Lidem by měly být nabídnuty alternativy šetrné k životnímu prostředí. Jednou z takových alternativ by měla být standardizace železnic s cílem propojit evropská hlavní města. Rovněž doporučujeme, aby EU poskytla dotace na dopravu zboží šetrnější k životnímu prostředí, včetně železniční a lodní dopravy (na krátké cesty). </w:t>
      </w:r>
    </w:p>
    <w:p>
      <w:pPr>
        <w:pStyle w:val="Normal"/>
        <w:rPr/>
      </w:pPr>
      <w:r>
        <w:rPr/>
        <w:t xml:space="preserve"> </w:t>
      </w:r>
    </w:p>
    <w:p>
      <w:pPr>
        <w:pStyle w:val="Normal"/>
        <w:rPr/>
      </w:pPr>
      <w:r>
        <w:rPr/>
        <w:t xml:space="preserve">Toto doporučení vydáváme, protože cesty na krátké vzdálenosti jsou příliš časté, znečišťující a snadno nahraditelné. Omezení výletních lodí by snížilo znečištění moří (závažný environmentální problém), jakož i negativní dopady na pobřežní města. Proto musíme zavést dostupnější alternativy k více znečišťujícím řešením. Jednotný železniční rozchod by zlepšil železniční spojení mezi evropskými hlavními městy. </w:t>
      </w:r>
    </w:p>
    <w:p>
      <w:pPr>
        <w:pStyle w:val="Normal"/>
        <w:rPr/>
      </w:pPr>
      <w:r>
        <w:rPr/>
        <w:t xml:space="preserve"> </w:t>
      </w:r>
    </w:p>
    <w:p>
      <w:pPr>
        <w:pStyle w:val="Titre4"/>
        <w:numPr>
          <w:ilvl w:val="3"/>
          <w:numId w:val="2"/>
        </w:numPr>
        <w:rPr/>
      </w:pPr>
      <w:bookmarkStart w:id="180" w:name="__RefHeading___Toc297295_1346298689"/>
      <w:bookmarkEnd w:id="180"/>
      <w:r>
        <w:rPr/>
        <w:t xml:space="preserve">Osa 5: Péče o všechny </w:t>
      </w:r>
    </w:p>
    <w:p>
      <w:pPr>
        <w:pStyle w:val="Normal"/>
        <w:rPr/>
      </w:pPr>
      <w:r>
        <w:rPr/>
        <w:t xml:space="preserve">Podosa 5.2 širší pohled na zdraví </w:t>
      </w:r>
    </w:p>
    <w:p>
      <w:pPr>
        <w:pStyle w:val="Normal"/>
        <w:rPr>
          <w:b/>
          <w:b/>
        </w:rPr>
      </w:pPr>
      <w:r>
        <w:rPr>
          <w:b/>
        </w:rPr>
        <w:t>Doporučujeme, aby Evropská unie v souladu se svou</w:t>
      </w:r>
      <w:r>
        <w:rPr>
          <w:b/>
        </w:rPr>
        <w:commentReference w:id="5"/>
      </w:r>
      <w:r>
        <w:rPr>
          <w:b/>
        </w:rPr>
        <w:t xml:space="preserve"> kampaní Zdravý život4All rovněž podporovala iniciativy, jako jsou společenské sportovní akce, školní sportovní aktivity, olympijské hry každé dva roky otevřené všem věkovým kategoriím a všechny sporty [ne pro profesionály]. Doporučujeme také vytvoření bezplatné evropské sportovní aplikace na podporu kolektivních sportovních aktivit. Tato aplikace by měla pomoci lidem setkat se prostřednictvím sportu. Kromě toho by tyto iniciativy měly být široce známy a šířeny. </w:t>
      </w:r>
    </w:p>
    <w:p>
      <w:pPr>
        <w:pStyle w:val="Normal"/>
        <w:rPr/>
      </w:pPr>
      <w:r>
        <w:rPr/>
        <w:t xml:space="preserve"> </w:t>
      </w:r>
    </w:p>
    <w:p>
      <w:pPr>
        <w:pStyle w:val="Normal"/>
        <w:rPr/>
      </w:pPr>
      <w:r>
        <w:rPr/>
        <w:t xml:space="preserve">Aby se zlepšilo zdraví evropského obyvatelstva, musí Evropská unie podporovat sport a zdravý životní styl. Kromě toho si lidé velmi často neuvědomují vztah mezi sportem a zdravým životním stylem. Aplikace je důležitá, protože lidé jsou ochotnější sportovat, pokud to dělají společně. </w:t>
      </w:r>
      <w:r>
        <w:br w:type="page"/>
      </w:r>
    </w:p>
    <w:p>
      <w:pPr>
        <w:pStyle w:val="P68B1DB1Normal19"/>
        <w:rPr>
          <w:rFonts w:ascii="Times New Roman" w:hAnsi="Times New Roman"/>
          <w:color w:val="000000"/>
          <w:sz w:val="24"/>
        </w:rPr>
      </w:pPr>
      <w:r>
        <w:rPr/>
        <w:t xml:space="preserve"> </w:t>
      </w:r>
    </w:p>
    <w:p>
      <w:pPr>
        <w:pStyle w:val="Titre2"/>
        <w:numPr>
          <w:ilvl w:val="1"/>
          <w:numId w:val="2"/>
        </w:numPr>
        <w:rPr/>
      </w:pPr>
      <w:bookmarkStart w:id="181" w:name="__RefHeading___Toc297297_1346298689"/>
      <w:bookmarkEnd w:id="181"/>
      <w:r>
        <w:rPr/>
        <w:t xml:space="preserve">Evropský panel občanů 4: „EU ve světě/migrace“ </w:t>
      </w:r>
    </w:p>
    <w:p>
      <w:pPr>
        <w:pStyle w:val="Normal"/>
        <w:rPr/>
      </w:pPr>
      <w:r>
        <w:rPr/>
        <w:t xml:space="preserve">DOPORUČENÍ PŘIJATÁ ODBORNOU SKUPINOU (PŘEDKLÁDAJÍ SE NA PLENÁRNÍM ZASEDÁNÍ) </w:t>
      </w:r>
    </w:p>
    <w:p>
      <w:pPr>
        <w:pStyle w:val="Normal"/>
        <w:rPr/>
      </w:pPr>
      <w:r>
        <w:rPr/>
      </w:r>
    </w:p>
    <w:p>
      <w:pPr>
        <w:pStyle w:val="Titre3"/>
        <w:numPr>
          <w:ilvl w:val="2"/>
          <w:numId w:val="2"/>
        </w:numPr>
        <w:rPr/>
      </w:pPr>
      <w:bookmarkStart w:id="182" w:name="__RefHeading___Toc297299_1346298689"/>
      <w:bookmarkEnd w:id="182"/>
      <w:r>
        <w:rPr/>
        <w:t xml:space="preserve">Osa 1: Soběstačnost a stabilita </w:t>
      </w:r>
    </w:p>
    <w:p>
      <w:pPr>
        <w:pStyle w:val="Titre4"/>
        <w:numPr>
          <w:ilvl w:val="3"/>
          <w:numId w:val="2"/>
        </w:numPr>
        <w:rPr/>
      </w:pPr>
      <w:bookmarkStart w:id="183" w:name="__RefHeading___Toc297301_1346298689"/>
      <w:bookmarkEnd w:id="183"/>
      <w:r>
        <w:rPr/>
        <w:t xml:space="preserve">Dílčí osa 1.1 – Autonomie EU </w:t>
      </w:r>
    </w:p>
    <w:p>
      <w:pPr>
        <w:pStyle w:val="Normal"/>
        <w:rPr>
          <w:b/>
          <w:b/>
        </w:rPr>
      </w:pPr>
      <w:r>
        <w:rPr>
          <w:b/>
        </w:rPr>
        <w:t>1. Doporučujeme, aby strategické evropské výrobní produkty (jako jsou zemědělské produkty, polovodiče, zdravotnické výrobky nebo inovativní digitální a environmentální technologie) byly dále podporovány a finančně podporovány, aby byly dostupné a přístupné evropským spotřebitelům a aby se co nejvíce omezily závislosti na mimoevropských dodavatelích. Tato podpora by mohla zahrnovat strukturální a regionální opatření, podporu zachování průmyslových odvětví a dodavatelských řetězců v rámci Unie,</w:t>
      </w:r>
      <w:r>
        <w:rPr>
          <w:b/>
        </w:rPr>
        <w:commentReference w:id="6"/>
      </w:r>
      <w:r>
        <w:rPr>
          <w:b/>
        </w:rPr>
        <w:t xml:space="preserve"> daňovéúlevy, dotace, aktivní politiku malých a středních podniků nebo vzdělávací programy na ochranu příslušných dovedností a pracovních míst v Evropě. Aktivní průmyslová politika by však měla být selektivní a měla by se zaměřit na inovativní výrobky nebo výrobky nezbytné pro zaručení základního zboží a služeb. </w:t>
      </w:r>
    </w:p>
    <w:p>
      <w:pPr>
        <w:pStyle w:val="Normal"/>
        <w:rPr/>
      </w:pPr>
      <w:r>
        <w:rPr/>
        <w:t xml:space="preserve"> </w:t>
      </w:r>
    </w:p>
    <w:p>
      <w:pPr>
        <w:pStyle w:val="Normal"/>
        <w:rPr/>
      </w:pPr>
      <w:r>
        <w:rPr/>
        <w:t xml:space="preserve">Tato opatření doporučujeme, protože Evropa je příliš závislá na </w:t>
      </w:r>
      <w:commentRangeStart w:id="7"/>
      <w:r>
        <w:rPr/>
        <w:t>mimoevropských dodavatelích</w:t>
      </w:r>
      <w:r>
        <w:rPr/>
      </w:r>
      <w:commentRangeEnd w:id="7"/>
      <w:r>
        <w:commentReference w:id="7"/>
      </w:r>
      <w:r>
        <w:rPr/>
        <w:t xml:space="preserve"> v klíčových oblastech, které mohou způsobit diplomatické konflikty a vést k nedostatku základních produktů nebo služeb nebo strategického významu. Vzhledem k tomu, že výrobní náklady jsou v EU obecně vyšší než jinde ve světě, politika aktivního povzbuzení a podpory těchto výrobků umožní Evropanům nakupovat konkurenceschopné evropské výrobky a budou k tomu povzbuzováni. Tato politika rovněž posílí evropskou konkurenceschopnost a ochrání budoucí průmyslová odvětví a pracovní místa v Evropě. Kromě toho větší regionalizace výroby sníží náklady na dopravu a zabrání zhoršování životního prostředí. </w:t>
      </w:r>
    </w:p>
    <w:p>
      <w:pPr>
        <w:pStyle w:val="Normal"/>
        <w:rPr/>
      </w:pPr>
      <w:r>
        <w:rPr/>
        <w:t xml:space="preserve"> </w:t>
      </w:r>
    </w:p>
    <w:p>
      <w:pPr>
        <w:pStyle w:val="P68B1DB1Normal15"/>
        <w:rPr>
          <w:b/>
          <w:b/>
        </w:rPr>
      </w:pPr>
      <w:r>
        <w:rPr/>
        <w:t>2. Doporučujeme, aby EU snížila svou závislost na dovozu ropy a zemního plynu. To by vyžadovalo aktivní podporu projektů veřejné dopravy a energetické účinnosti, evropské vysokorychlostní železniční sítě pro nákladní dopravu, rozšíření dodávek čisté a obnovitelné energie (včetně solární a větrné energie) a alternativních technologií (jako je vodík nebo energetické využití odpadu). Evropská unie by rovněž měla podporovat změnu myšlení a podporovat upuštění od soukromých automobilů ve prospěch veřejné dopravy, sdílení automobilů prostřednictvím elektrických vozidel a jízdních kol.</w:t>
      </w:r>
    </w:p>
    <w:p>
      <w:pPr>
        <w:pStyle w:val="Normal"/>
        <w:rPr/>
      </w:pPr>
      <w:r>
        <w:rPr/>
      </w:r>
    </w:p>
    <w:p>
      <w:pPr>
        <w:pStyle w:val="Normal"/>
        <w:rPr/>
      </w:pPr>
      <w:r>
        <w:rPr/>
        <w:t>Tato opatření doporučujeme, protože vytvářejí situaci, která podporuje autonomii Evropy snížením jejích vnějších závislostí a dosažením ambiciózních cílů v oblasti klimatu a snížení emisí</w:t>
      </w:r>
      <w:r>
        <w:rPr>
          <w:vertAlign w:val="subscript"/>
        </w:rPr>
        <w:t>CO2</w:t>
      </w:r>
      <w:r>
        <w:rPr/>
        <w:t xml:space="preserve">. Umožní také Evropě stát se významným hráčem v budoucích technologiích, posílit její hospodářství a vytvářet pracovní místa. </w:t>
      </w:r>
    </w:p>
    <w:p>
      <w:pPr>
        <w:pStyle w:val="Normal"/>
        <w:rPr/>
      </w:pPr>
      <w:r>
        <w:rPr/>
        <w:t xml:space="preserve"> </w:t>
      </w:r>
    </w:p>
    <w:p>
      <w:pPr>
        <w:pStyle w:val="P68B1DB1Normal15"/>
        <w:rPr>
          <w:b/>
          <w:b/>
        </w:rPr>
      </w:pPr>
      <w:r>
        <w:rPr/>
        <w:t xml:space="preserve">3. Doporučujeme, aby byl na úrovni EU přijat zákon, který zajistí, aby všechny výrobní a dodavatelské procesy EU a dovážené zboží splňovaly evropské normy kvality, etiky a udržitelnosti, jakož i všechny platné evropské normy v oblasti lidských práv, a aby byly certifikovány výrobky, které splňují tato kritéria. </w:t>
      </w:r>
    </w:p>
    <w:p>
      <w:pPr>
        <w:pStyle w:val="Normal"/>
        <w:rPr/>
      </w:pPr>
      <w:r>
        <w:rPr/>
        <w:t xml:space="preserve"> </w:t>
      </w:r>
    </w:p>
    <w:p>
      <w:pPr>
        <w:pStyle w:val="Normal"/>
        <w:rPr/>
      </w:pPr>
      <w:r>
        <w:rPr/>
        <w:t xml:space="preserve">Tato opatření doporučujeme, protože spotřebitelům a obchodníkům umožňují snadný přístup k informacím o produktech, které kupují nebo prodávají. Chcete-li to provést, stačí se podívat do certifikačního systému. Certifikace také snižuje rozdíl mezi levnými a drahými výrobky dostupnými na trhu. Levné výrobky nebudou splňovat požadovaná kritéria, a proto se nebudou moci prezentovat jako kvalitní. Splněním certifikačních kritérií bude životní prostředí chráněno, šetří zdroje a podpoří odpovědnou spotřebu. </w:t>
      </w:r>
    </w:p>
    <w:p>
      <w:pPr>
        <w:pStyle w:val="Normal"/>
        <w:rPr/>
      </w:pPr>
      <w:r>
        <w:rPr/>
        <w:t xml:space="preserve"> </w:t>
      </w:r>
    </w:p>
    <w:p>
      <w:pPr>
        <w:pStyle w:val="P68B1DB1Normal15"/>
        <w:rPr>
          <w:b/>
          <w:b/>
        </w:rPr>
      </w:pPr>
      <w:r>
        <w:rPr/>
        <w:t xml:space="preserve">4. Doporučujeme provádění evropského programu na podporu malých místních producentů ve strategických odvětvích ve všech členských státech. Tito výrobci by měli prospěch z odborného vzdělávání, finanční podpory prostřednictvím subvencí a (pokud jsou suroviny k dispozici v Unii) pobídky k výrobě více způsobilých výrobků na úkor dovozu. </w:t>
      </w:r>
    </w:p>
    <w:p>
      <w:pPr>
        <w:pStyle w:val="Normal"/>
        <w:rPr/>
      </w:pPr>
      <w:r>
        <w:rPr/>
        <w:t xml:space="preserve"> </w:t>
      </w:r>
    </w:p>
    <w:p>
      <w:pPr>
        <w:pStyle w:val="Normal"/>
        <w:rPr/>
      </w:pPr>
      <w:r>
        <w:rPr/>
        <w:t xml:space="preserve">Tato opatření doporučujeme, protože podporou výrobců ve strategických odvětvích nacházejících se v Unii může Unie v těchto odvětvích získat hospodářskou nezávislost. To může pouze podpořit posílení celého výrobního procesu, a tím podpořit inovace. Výsledkem bude udržitelnější výroba surovin v EU, která sníží náklady na dopravu a ochrání životní prostředí. </w:t>
      </w:r>
    </w:p>
    <w:p>
      <w:pPr>
        <w:pStyle w:val="Normal"/>
        <w:rPr/>
      </w:pPr>
      <w:r>
        <w:rPr/>
        <w:t xml:space="preserve"> </w:t>
      </w:r>
    </w:p>
    <w:p>
      <w:pPr>
        <w:pStyle w:val="P68B1DB1Normal15"/>
        <w:rPr>
          <w:b/>
          <w:b/>
        </w:rPr>
      </w:pPr>
      <w:r>
        <w:rPr/>
        <w:t xml:space="preserve">5. Doporučujeme zlepšit uplatňování lidských práv na evropské úrovni takto: zvyšování povědomí mezi zeměmi, které v přiměřené míře nedodržují Evropskou úmluvu o lidských právech (EÚLP) nebo Úmluvu o ochraně lidských práv a základních svobod; zajistit přísné sledování, koordinované Evropskou unií a srovnávacím přehledem o soudnictví, toho, do jaké míry jsou v jednotlivých členských státech dodržována lidská práva, a zajistit jejich přísné dodržování prostřednictvím různých forem sankcí. </w:t>
      </w:r>
    </w:p>
    <w:p>
      <w:pPr>
        <w:pStyle w:val="Normal"/>
        <w:rPr/>
      </w:pPr>
      <w:r>
        <w:rPr/>
        <w:t xml:space="preserve"> </w:t>
      </w:r>
    </w:p>
    <w:p>
      <w:pPr>
        <w:pStyle w:val="Normal"/>
        <w:rPr/>
      </w:pPr>
      <w:r>
        <w:rPr/>
        <w:t xml:space="preserve">Tato opatření doporučujeme, protože lidská práva již členské státy přijaly při ratifikaci Evropské úmluvy o lidských právech, ale nyní je nezbytné zlepšit jejich přijetí v každém z členských států, aby byla v těchto členských státech známa a aktivně uplatňována lidská práva. </w:t>
      </w:r>
    </w:p>
    <w:p>
      <w:pPr>
        <w:pStyle w:val="Normal"/>
        <w:rPr/>
      </w:pPr>
      <w:r>
        <w:rPr/>
        <w:t xml:space="preserve"> </w:t>
      </w:r>
    </w:p>
    <w:p>
      <w:pPr>
        <w:pStyle w:val="P68B1DB1Normal15"/>
        <w:rPr>
          <w:b/>
          <w:b/>
        </w:rPr>
      </w:pPr>
      <w:r>
        <w:rPr/>
        <w:t xml:space="preserve">6. Doporučujeme zahájit přezkum a zorganizovat intenzivní komunikační kampaň na evropské úrovni s cílem zajistit, aby síť EURES (Evropská síť služeb zaměstnanosti), portál EU pro přistěhovalectví a evropský nástroj pro profil dovedností pro státní příslušníky třetích zemí byly evropským občanům lépe známy a aby podniky EU častěji zveřejňovaly a inzerovaly své pracovní nabídky. </w:t>
      </w:r>
    </w:p>
    <w:p>
      <w:pPr>
        <w:pStyle w:val="Normal"/>
        <w:rPr/>
      </w:pPr>
      <w:r>
        <w:rPr/>
        <w:t xml:space="preserve"> </w:t>
      </w:r>
    </w:p>
    <w:p>
      <w:pPr>
        <w:pStyle w:val="Normal"/>
        <w:rPr/>
      </w:pPr>
      <w:r>
        <w:rPr/>
        <w:t xml:space="preserve">Doporučujeme nevytvářet novou online platformu pro zveřejňování nabídek pracovních míst pro mladé Evropany. Na evropské úrovni již existuje více než dost iniciativ tohoto druhu. Domníváme se, že pro zvýšení povědomí o stávající pracovní síle a pracovních příležitostech na evropské úrovni je vhodnější zlepšit to, co již existuje. </w:t>
      </w:r>
    </w:p>
    <w:p>
      <w:pPr>
        <w:pStyle w:val="Normal"/>
        <w:rPr/>
      </w:pPr>
      <w:r>
        <w:rPr/>
        <w:t xml:space="preserve"> </w:t>
      </w:r>
    </w:p>
    <w:p>
      <w:pPr>
        <w:pStyle w:val="Titre4"/>
        <w:numPr>
          <w:ilvl w:val="3"/>
          <w:numId w:val="2"/>
        </w:numPr>
        <w:rPr/>
      </w:pPr>
      <w:bookmarkStart w:id="184" w:name="__RefHeading___Toc297303_1346298689"/>
      <w:bookmarkEnd w:id="184"/>
      <w:r>
        <w:rPr/>
        <w:t xml:space="preserve">Dílčí osa 1.2 – Hranice </w:t>
      </w:r>
    </w:p>
    <w:p>
      <w:pPr>
        <w:pStyle w:val="P68B1DB1Normal15"/>
        <w:rPr>
          <w:b/>
          <w:b/>
        </w:rPr>
      </w:pPr>
      <w:r>
        <w:rPr/>
        <w:t xml:space="preserve">7. Doporučujeme vytvořit v EU mechanismus migrace pracovních sil, který by byl založen na skutečných potřebách evropských trhů práce. Měl by existovat jednotný systém uznávání odborných a akademických diplomů, které existují v Evropské unii a ve třetích zemích. Měly by existovat nabídky odborné kvalifikace, jakož i nabídky kulturní a jazykové integrace pro kvalifikované migranty. Žadatelé o azyl se správnou kvalifikací by měli mít přístup na trh práce. Měla by existovat integrovaná agentura, jejímž základem by mohla být evropská síť služeb zaměstnanosti. </w:t>
      </w:r>
    </w:p>
    <w:p>
      <w:pPr>
        <w:pStyle w:val="Normal"/>
        <w:rPr/>
      </w:pPr>
      <w:r>
        <w:rPr/>
        <w:t xml:space="preserve"> </w:t>
      </w:r>
    </w:p>
    <w:p>
      <w:pPr>
        <w:pStyle w:val="Normal"/>
        <w:rPr/>
      </w:pPr>
      <w:r>
        <w:rPr/>
        <w:t xml:space="preserve">Tato opatření doporučujeme, protože Evropa potřebuje kvalifikovanou pracovní sílu v určitých odvětvích, kde není možné plně pokrýt poptávku pracovníků EU. V současné době neexistuje dostatek životaschopných způsobů, jak legálně požádat o pracovní povolení v EU. Evropský systém uznávání odborných a akademických diplomů usnadní uspokojení těchto potřeb a zjednoduší migraci pracovních sil v rámci Unie a migraci pracovních sil ze zemí mimo Unii. Poptávka po pracovní síle by tak mohla být lépe uspokojena a nelegální přistěhovalectví by bylo lépe řízeno. Otevření mechanismu pracovní migrace žadatelům o azyl by urychlilo jejich integraci do evropských ekonomik a společností. </w:t>
      </w:r>
    </w:p>
    <w:p>
      <w:pPr>
        <w:pStyle w:val="Normal"/>
        <w:rPr/>
      </w:pPr>
      <w:r>
        <w:rPr/>
        <w:t xml:space="preserve"> </w:t>
      </w:r>
    </w:p>
    <w:p>
      <w:pPr>
        <w:pStyle w:val="P68B1DB1Normal15"/>
        <w:rPr>
          <w:b/>
          <w:b/>
        </w:rPr>
      </w:pPr>
      <w:r>
        <w:rPr/>
        <w:t xml:space="preserve">8. Doporučujeme, aby Evropská unie posílila své právní předpisy s cílem poskytnout agentuře Frontex větší pravomoc a nezávislost. Bude tak moci zasáhnout ve všech členských státech, aby zajistila ochranu všech vnějších hranic Unie. Unie by však měla provádět audity organizačních procesů agentury Frontex, neboť musí fungovat transparentně, aby se zabránilo jakémukoli zneužití. </w:t>
      </w:r>
    </w:p>
    <w:p>
      <w:pPr>
        <w:pStyle w:val="Normal"/>
        <w:rPr/>
      </w:pPr>
      <w:r>
        <w:rPr/>
        <w:t xml:space="preserve"> </w:t>
      </w:r>
    </w:p>
    <w:p>
      <w:pPr>
        <w:pStyle w:val="Normal"/>
        <w:rPr/>
      </w:pPr>
      <w:r>
        <w:rPr/>
        <w:t xml:space="preserve">Tato opatření doporučujeme, protože je podle našeho názoru nepřijatelné, aby byl agentuře Frontex odepřen přístup na hranice, zejména pokud dochází k porušování lidských práv. Chceme si být jisti, že agentura Frontex uplatňuje evropské právní předpisy. Samotná agentura Frontex musí být podrobena kontrolám a ověřování, aby se zabránilo jakémukoli nevhodnému chování v rámci agentury Frontex. </w:t>
      </w:r>
    </w:p>
    <w:p>
      <w:pPr>
        <w:pStyle w:val="Normal"/>
        <w:rPr/>
      </w:pPr>
      <w:r>
        <w:rPr/>
        <w:t xml:space="preserve"> </w:t>
      </w:r>
    </w:p>
    <w:p>
      <w:pPr>
        <w:pStyle w:val="P68B1DB1Normal15"/>
        <w:rPr>
          <w:b/>
          <w:b/>
        </w:rPr>
      </w:pPr>
      <w:r>
        <w:rPr/>
        <w:t xml:space="preserve">9. Doporučujeme, aby Evropská unie zorganizovala, zejména pro ekonomické migranty, možnost výběru občanů v zemi původu (na základě jejich prokázaných dovedností, zázemí atd.) s cílem určit, kdo by mohl přijít do EU pracovat podle potřeb hospodářství a volných pracovních míst hostitelské země. Tato kritéria výběru musí být veřejná a přístupná všem. Za tímto účelem by měla být zřízena Evropská imigrační agentura (online). </w:t>
      </w:r>
    </w:p>
    <w:p>
      <w:pPr>
        <w:pStyle w:val="Normal"/>
        <w:rPr/>
      </w:pPr>
      <w:r>
        <w:rPr/>
        <w:t xml:space="preserve"> </w:t>
      </w:r>
    </w:p>
    <w:p>
      <w:pPr>
        <w:pStyle w:val="Normal"/>
        <w:rPr/>
      </w:pPr>
      <w:r>
        <w:rPr/>
        <w:t xml:space="preserve">Tato opatření doporučujeme, protože tímto způsobem by již nebylo nutné překračovat hranice ilegálně. Tok lidí vstupujících do EU by byl kontrolován, což by snížilo tlak na hranicích a zároveň usnadnilo uspokojování pracovních potřeb hostitelských zemí. </w:t>
      </w:r>
    </w:p>
    <w:p>
      <w:pPr>
        <w:pStyle w:val="Normal"/>
        <w:rPr/>
      </w:pPr>
      <w:r>
        <w:rPr/>
        <w:t xml:space="preserve"> </w:t>
      </w:r>
    </w:p>
    <w:p>
      <w:pPr>
        <w:pStyle w:val="P68B1DB1Normal15"/>
        <w:rPr>
          <w:b/>
          <w:b/>
        </w:rPr>
      </w:pPr>
      <w:r>
        <w:rPr/>
        <w:t xml:space="preserve">10. Doporučujeme, aby Evropská unie zajistila, aby politika přijímání a zařízení byla na všech hranicích totožná, dodržovala lidská práva a zajistila bezpečnost a zdraví všech migrantů (včetně například těhotných žen a dětí). </w:t>
      </w:r>
    </w:p>
    <w:p>
      <w:pPr>
        <w:pStyle w:val="Normal"/>
        <w:rPr/>
      </w:pPr>
      <w:r>
        <w:rPr/>
        <w:t xml:space="preserve"> </w:t>
      </w:r>
    </w:p>
    <w:p>
      <w:pPr>
        <w:pStyle w:val="Normal"/>
        <w:rPr/>
      </w:pPr>
      <w:r>
        <w:rPr/>
        <w:t xml:space="preserve">Tato opatření doporučujeme, protože přikládáme velký význam rovnému zacházení s migranty na všech hranicích. Chceme zajistit, aby migranti nezůstali příliš dlouho na hranicích a aby členské státy byly přemoženy přílivem migrantů. Členské státy musí být dobře vybaveny, aby je mohly ubytovat. </w:t>
      </w:r>
    </w:p>
    <w:p>
      <w:pPr>
        <w:pStyle w:val="Normal"/>
        <w:rPr/>
      </w:pPr>
      <w:r>
        <w:rPr/>
        <w:t xml:space="preserve"> </w:t>
      </w:r>
    </w:p>
    <w:p>
      <w:pPr>
        <w:pStyle w:val="Titre3"/>
        <w:numPr>
          <w:ilvl w:val="2"/>
          <w:numId w:val="2"/>
        </w:numPr>
        <w:rPr/>
      </w:pPr>
      <w:bookmarkStart w:id="185" w:name="__RefHeading___Toc297305_1346298689"/>
      <w:bookmarkEnd w:id="185"/>
      <w:r>
        <w:rPr/>
        <w:t xml:space="preserve">Osa 2: EU jako mezinárodní partner </w:t>
      </w:r>
    </w:p>
    <w:p>
      <w:pPr>
        <w:pStyle w:val="Titre4"/>
        <w:numPr>
          <w:ilvl w:val="3"/>
          <w:numId w:val="2"/>
        </w:numPr>
        <w:rPr/>
      </w:pPr>
      <w:bookmarkStart w:id="186" w:name="__RefHeading___Toc297307_1346298689"/>
      <w:bookmarkEnd w:id="186"/>
      <w:r>
        <w:rPr/>
        <w:t xml:space="preserve">Dílčí osa 2.1 – Obchod a vztahy z etického hlediska </w:t>
      </w:r>
    </w:p>
    <w:p>
      <w:pPr>
        <w:pStyle w:val="P68B1DB1Normal15"/>
        <w:rPr>
          <w:b/>
          <w:b/>
        </w:rPr>
      </w:pPr>
      <w:r>
        <w:rPr/>
        <w:t xml:space="preserve">11. Doporučujeme, aby EU zavedla omezení dovozu výrobků ze zemí, které umožňují dětskou práci. Za tímto účelem by měla být vypracována černá listina společností, která by byla pravidelně aktualizována v souladu s vývojem. Doporučujeme také zajistit progresivní přístup ke vzdělávání pro děti, které přestanou pracovat, a zvýšit povědomí spotřebitelů o dětské práci prostřednictvím informací oficiálně šířených Evropskou unií, například prostřednictvím kampaní nebo vyprávění příběhů. </w:t>
      </w:r>
    </w:p>
    <w:p>
      <w:pPr>
        <w:pStyle w:val="Normal"/>
        <w:rPr/>
      </w:pPr>
      <w:r>
        <w:rPr/>
        <w:t xml:space="preserve"> </w:t>
      </w:r>
    </w:p>
    <w:p>
      <w:pPr>
        <w:pStyle w:val="Normal"/>
        <w:rPr/>
      </w:pPr>
      <w:r>
        <w:rPr/>
        <w:t xml:space="preserve">Tato opatření doporučujeme, protože se domníváme, že existuje souvislost mezi nedostatečnou školní docházkou a dětskou prací. Tímto doporučením chceme zvýšit povědomí spotřebitelů a snížit poptávku po produktech vyráběných dětmi, aby tato praxe nakonec zmizela. </w:t>
      </w:r>
    </w:p>
    <w:p>
      <w:pPr>
        <w:pStyle w:val="Normal"/>
        <w:rPr/>
      </w:pPr>
      <w:r>
        <w:rPr/>
        <w:t xml:space="preserve"> </w:t>
      </w:r>
    </w:p>
    <w:p>
      <w:pPr>
        <w:pStyle w:val="P68B1DB1Normal15"/>
        <w:rPr>
          <w:b/>
          <w:b/>
        </w:rPr>
      </w:pPr>
      <w:r>
        <w:rPr/>
        <w:t xml:space="preserve">12. Doporučujeme, aby Evropská unie rozvíjela partnerství s rozvojovými zeměmi na podporu jejich infrastruktury a sdílení odborných znalostí výměnou za vzájemně prospěšné obchodní dohody, které by je doprovázely při přechodu na zelené zdroje energie. </w:t>
      </w:r>
    </w:p>
    <w:p>
      <w:pPr>
        <w:pStyle w:val="Normal"/>
        <w:rPr/>
      </w:pPr>
      <w:r>
        <w:rPr/>
        <w:t xml:space="preserve"> </w:t>
      </w:r>
    </w:p>
    <w:p>
      <w:pPr>
        <w:pStyle w:val="Normal"/>
        <w:rPr/>
      </w:pPr>
      <w:r>
        <w:rPr/>
        <w:t xml:space="preserve">Tato opatření doporučujeme k usnadnění přechodu rozvojových zemí na energii z obnovitelných zdrojů prostřednictvím obchodních partnerství a diplomatických dohod. Evropská unie a rozvojové země by tak rozvíjely dobré dlouhodobé vztahy, které by přispěly k boji proti změně klimatu. </w:t>
      </w:r>
    </w:p>
    <w:p>
      <w:pPr>
        <w:pStyle w:val="Normal"/>
        <w:rPr/>
      </w:pPr>
      <w:r>
        <w:rPr/>
        <w:t xml:space="preserve"> </w:t>
      </w:r>
    </w:p>
    <w:p>
      <w:pPr>
        <w:pStyle w:val="P68B1DB1Normal15"/>
        <w:rPr>
          <w:b/>
          <w:b/>
        </w:rPr>
      </w:pPr>
      <w:r>
        <w:rPr/>
        <w:t xml:space="preserve">13. Doporučujeme, aby Evropská unie zavedla evropský ukazatel dopadu na životní prostředí (ecoscore) na všechny spotřební výrobky. Ecoscore by se vypočítával na základě emisí z výroby a dopravy, jakož i škodlivosti obsahu, na základě seznamu nebezpečných výrobků. Ecoscore by měl spravovat a kontrolovat evropský orgán. </w:t>
      </w:r>
    </w:p>
    <w:p>
      <w:pPr>
        <w:pStyle w:val="Normal"/>
        <w:rPr/>
      </w:pPr>
      <w:r>
        <w:rPr/>
        <w:t xml:space="preserve"> </w:t>
      </w:r>
    </w:p>
    <w:p>
      <w:pPr>
        <w:pStyle w:val="Normal"/>
        <w:rPr/>
      </w:pPr>
      <w:r>
        <w:rPr/>
        <w:t xml:space="preserve">Tato opatření doporučujeme, aby si evropští spotřebitelé byli lépe vědomi environmentální stopy výrobků, které kupují. Ecoscore by usnadnilo určit, do jaké míry výrobek respektuje životní prostředí prostřednictvím rozsahu společného v celé Evropě. Ecoscore by měl mít na zadní straně výrobku QR kód, aby bylo možné nahlédnout do dalších informací o jeho environmentální stopě. </w:t>
      </w:r>
    </w:p>
    <w:p>
      <w:pPr>
        <w:pStyle w:val="Normal"/>
        <w:rPr/>
      </w:pPr>
      <w:r>
        <w:rPr/>
        <w:t xml:space="preserve"> </w:t>
      </w:r>
    </w:p>
    <w:p>
      <w:pPr>
        <w:pStyle w:val="Titre4"/>
        <w:numPr>
          <w:ilvl w:val="3"/>
          <w:numId w:val="2"/>
        </w:numPr>
        <w:rPr/>
      </w:pPr>
      <w:bookmarkStart w:id="187" w:name="__RefHeading___Toc297309_1346298689"/>
      <w:bookmarkEnd w:id="187"/>
      <w:r>
        <w:rPr/>
        <w:t xml:space="preserve">Dílčí osa 2.2 – Mezinárodní opatření v oblasti klimatu </w:t>
      </w:r>
    </w:p>
    <w:p>
      <w:pPr>
        <w:pStyle w:val="P68B1DB1Normal15"/>
        <w:rPr>
          <w:b/>
          <w:b/>
        </w:rPr>
      </w:pPr>
      <w:r>
        <w:rPr/>
        <w:t xml:space="preserve">14. Doporučujeme, aby Evropská unie přijala strategii s cílem zvýšit její nezávislost při výrobě energie. Evropský orgán sdružující současné evropské energetické instituce by měl koordinovat rozvoj energie z obnovitelných zdrojů podle potřeb, kapacit a zdrojů členských států při současném respektování jejich svrchovanosti. Orgány by podporovaly vzájemnou výměnu znalostí za účelem provádění této strategie. </w:t>
      </w:r>
    </w:p>
    <w:p>
      <w:pPr>
        <w:pStyle w:val="Normal"/>
        <w:rPr/>
      </w:pPr>
      <w:r>
        <w:rPr/>
        <w:t xml:space="preserve"> </w:t>
      </w:r>
    </w:p>
    <w:p>
      <w:pPr>
        <w:pStyle w:val="Normal"/>
        <w:rPr/>
      </w:pPr>
      <w:r>
        <w:rPr/>
        <w:t xml:space="preserve">Tato opatření doporučujeme, protože naše současná závislost nás činí zranitelnými v případě politického napětí se zeměmi, které dovážíme. Nyní to vidíme v souvislosti s elektrickou krizí. Tato koordinace by však měla respektovat suverenitu každé země. </w:t>
      </w:r>
    </w:p>
    <w:p>
      <w:pPr>
        <w:pStyle w:val="Normal"/>
        <w:rPr/>
      </w:pPr>
      <w:r>
        <w:rPr/>
        <w:t xml:space="preserve"> </w:t>
      </w:r>
    </w:p>
    <w:p>
      <w:pPr>
        <w:pStyle w:val="P68B1DB1Normal15"/>
        <w:rPr>
          <w:b/>
          <w:b/>
        </w:rPr>
      </w:pPr>
      <w:r>
        <w:rPr/>
        <w:t xml:space="preserve">15. Doporučujeme posílit environmentální normy pro vývoz odpadů v rámci EU i mimo ni, jakož i přísnější kontroly a sankce za účelem zastavení nezákonného vývozu. EU by měla členské státy vybízet, aby dále recyklovaly svůj vlastní odpad a využívaly jej k výrobě energie. </w:t>
      </w:r>
    </w:p>
    <w:p>
      <w:pPr>
        <w:pStyle w:val="Normal"/>
        <w:rPr/>
      </w:pPr>
      <w:r>
        <w:rPr/>
        <w:t xml:space="preserve"> </w:t>
      </w:r>
    </w:p>
    <w:p>
      <w:pPr>
        <w:pStyle w:val="Normal"/>
        <w:rPr/>
      </w:pPr>
      <w:r>
        <w:rPr/>
        <w:t xml:space="preserve">Tato opatření doporučujeme, aby země, které odstraňují svůj odpad na úkor jiných zemí, ukončily škody na životním prostředí, a to zejména v případě naprostého nesouladu s environmentálními normami. </w:t>
      </w:r>
    </w:p>
    <w:p>
      <w:pPr>
        <w:pStyle w:val="Normal"/>
        <w:rPr/>
      </w:pPr>
      <w:r>
        <w:rPr/>
        <w:t xml:space="preserve"> </w:t>
      </w:r>
    </w:p>
    <w:p>
      <w:pPr>
        <w:pStyle w:val="P68B1DB1Normal15"/>
        <w:rPr>
          <w:b/>
          <w:b/>
        </w:rPr>
      </w:pPr>
      <w:r>
        <w:rPr/>
        <w:t xml:space="preserve">16. Doporučujeme, aby EU rozhodněji podporovala probíhající ekologickou transformaci tím, že se zaměří na odstranění znečišťujících obalů. To by mělo být dosaženo podporou snižování obalů nebo podporou ekologičtějších obalů. Aby se malé podniky mohly přizpůsobit, měly by získat podporu a úpravy. </w:t>
      </w:r>
    </w:p>
    <w:p>
      <w:pPr>
        <w:pStyle w:val="Normal"/>
        <w:rPr/>
      </w:pPr>
      <w:r>
        <w:rPr/>
        <w:t xml:space="preserve"> </w:t>
      </w:r>
    </w:p>
    <w:p>
      <w:pPr>
        <w:pStyle w:val="Normal"/>
        <w:rPr/>
      </w:pPr>
      <w:r>
        <w:rPr/>
        <w:t xml:space="preserve">Tato opatření doporučujeme, protože musíme omezit využívání přírodních zdrojů, včetně surovin ze zemí mimo EU. Musíme také snížit škody, které Evropané způsobují naší planetě a jejímu klimatu. Je nezbytné lépe podporovat malé podniky, aby se mohly přizpůsobit, aniž by musely zvyšovat své ceny. </w:t>
      </w:r>
    </w:p>
    <w:p>
      <w:pPr>
        <w:pStyle w:val="Normal"/>
        <w:rPr/>
      </w:pPr>
      <w:r>
        <w:rPr/>
        <w:t xml:space="preserve"> </w:t>
      </w:r>
    </w:p>
    <w:p>
      <w:pPr>
        <w:pStyle w:val="P68B1DB1Normal15"/>
        <w:rPr>
          <w:b/>
          <w:b/>
        </w:rPr>
      </w:pPr>
      <w:r>
        <w:rPr/>
        <w:t xml:space="preserve">17. Doporučujeme, aby se země Evropské unie společně zabývaly otázkou jaderné energie. Měla by být posílena spolupráce s cílem posoudit využívání jaderné energie a její úlohu při přechodu Evropy na zelenou energii. </w:t>
      </w:r>
    </w:p>
    <w:p>
      <w:pPr>
        <w:pStyle w:val="Normal"/>
        <w:rPr/>
      </w:pPr>
      <w:r>
        <w:rPr/>
        <w:t xml:space="preserve"> </w:t>
      </w:r>
    </w:p>
    <w:p>
      <w:pPr>
        <w:pStyle w:val="Normal"/>
        <w:rPr/>
      </w:pPr>
      <w:r>
        <w:rPr/>
        <w:t xml:space="preserve">Tato opatření doporučujeme, protože jadernou otázku nelze vyřešit izolovanou zemí. V současné době existuje více než 100 reaktorů v polovině členských států a nové reaktory jsou ve výstavbě. Vzhledem k tomu, že sdílíme společnou elektrickou síť, nízkouhlíková elektřina, kterou vyrábějí, prospívá všem Evropanům a zvyšuje energetickou autonomii našeho kontinentu. Kromě toho by upuštění od jaderného odpadu nebo havárie mělo dopad na několik zemí. Ať už je o využití jaderné energie rozhodnuto, či nikoli, Evropané ji musí společně projednat a definovat konvergentnější strategie při respektování národní suverenity. </w:t>
      </w:r>
    </w:p>
    <w:p>
      <w:pPr>
        <w:pStyle w:val="Normal"/>
        <w:rPr/>
      </w:pPr>
      <w:r>
        <w:rPr/>
        <w:t xml:space="preserve"> </w:t>
      </w:r>
    </w:p>
    <w:p>
      <w:pPr>
        <w:pStyle w:val="Titre4"/>
        <w:numPr>
          <w:ilvl w:val="3"/>
          <w:numId w:val="2"/>
        </w:numPr>
        <w:rPr/>
      </w:pPr>
      <w:bookmarkStart w:id="188" w:name="__RefHeading___Toc297311_1346298689"/>
      <w:bookmarkEnd w:id="188"/>
      <w:r>
        <w:rPr/>
        <w:t xml:space="preserve">Dílčí osa 2.3 – Podpora evropských hodnot </w:t>
      </w:r>
    </w:p>
    <w:p>
      <w:pPr>
        <w:pStyle w:val="P68B1DB1Normal15"/>
        <w:rPr>
          <w:b/>
          <w:b/>
        </w:rPr>
      </w:pPr>
      <w:r>
        <w:rPr/>
        <w:t xml:space="preserve">18. EU by měla být blíže občanům. Doporučujeme, aby EU navázala a posílila vazby s občany a místními institucemi, jako jsou místní orgány, školy a obce. Cílem je zlepšit transparentnost, oslovit občany, lépe je informovat o konkrétních iniciativách EU a lépe sdělovat obecné informace o EU. </w:t>
      </w:r>
    </w:p>
    <w:p>
      <w:pPr>
        <w:pStyle w:val="Normal"/>
        <w:rPr/>
      </w:pPr>
      <w:r>
        <w:rPr/>
        <w:t xml:space="preserve"> </w:t>
      </w:r>
    </w:p>
    <w:p>
      <w:pPr>
        <w:pStyle w:val="Normal"/>
        <w:rPr/>
      </w:pPr>
      <w:r>
        <w:rPr/>
        <w:t xml:space="preserve">Tato opatření doporučujeme, protože současné informace o EU nejsou dostatečně přístupné všem sociálním skupinám a nemají vliv na běžné občany. Jsou často nudné, těžko pochopitelné a nepřátelské. Tato situace se musí změnit, aby občané měli jasnou představu o opatřeních a úloze EU. Pro přilákání veřejného zájmu musí být informace týkající se EU snadno dostupné, motivující, zajímavé a psané společným jazykem. Zde jsou naše návrhy: pořádání návštěv evropských politiků ve školách, rozhlasových kampaní v podobě podcastů, dopisů, novinových článků, reklamních autobusů a sociálních médií, místních občanských shromáždění a vytvoření pracovní skupiny speciálně zaměřené na zlepšení komunikace EU. Tato opatření umožní občanům získat informace o EU, které vnitrostátní sdělovací prostředky nefiltrují. </w:t>
      </w:r>
    </w:p>
    <w:p>
      <w:pPr>
        <w:pStyle w:val="Normal"/>
        <w:rPr/>
      </w:pPr>
      <w:r>
        <w:rPr/>
        <w:t xml:space="preserve"> </w:t>
      </w:r>
    </w:p>
    <w:p>
      <w:pPr>
        <w:pStyle w:val="P68B1DB1Normal15"/>
        <w:rPr>
          <w:b/>
          <w:b/>
        </w:rPr>
      </w:pPr>
      <w:r>
        <w:rPr/>
        <w:t xml:space="preserve">19. Doporučujeme větší účast občanů na politikách EU. Navrhujeme uspořádání akcí zahrnujících přímou účast občanů na vzoru konference o budoucnosti Evropy. Měly by být organizovány na vnitrostátní, místní a evropské úrovni. EU by měla definovat soudržnou strategii a centralizované pokyny pro tyto události. </w:t>
      </w:r>
    </w:p>
    <w:p>
      <w:pPr>
        <w:pStyle w:val="Normal"/>
        <w:rPr/>
      </w:pPr>
      <w:r>
        <w:rPr/>
        <w:t xml:space="preserve"> </w:t>
      </w:r>
    </w:p>
    <w:p>
      <w:pPr>
        <w:pStyle w:val="Normal"/>
        <w:rPr/>
      </w:pPr>
      <w:r>
        <w:rPr/>
        <w:t xml:space="preserve">Tato opatření doporučujeme, protože tato participativní demokracie poskytne správné informace o EU a zlepší kvalitu politik EU. Akce by měly být organizovány tak, aby podporovaly základní hodnoty Unie – demokracii a účast občanů. Tyto akce by poskytly politikům příležitost ukázat občanům, že je pro ně důležité, aby občané byli informováni o aktuálních událostech a byli spojeni s jejich definicí. Centralizované pokyny zajistí konzistentnost a soudržnost vnitrostátních a místních konferencí. </w:t>
      </w:r>
    </w:p>
    <w:p>
      <w:pPr>
        <w:pStyle w:val="Normal"/>
        <w:rPr/>
      </w:pPr>
      <w:r>
        <w:rPr/>
        <w:t xml:space="preserve"> </w:t>
      </w:r>
    </w:p>
    <w:p>
      <w:pPr>
        <w:pStyle w:val="Titre3"/>
        <w:numPr>
          <w:ilvl w:val="2"/>
          <w:numId w:val="2"/>
        </w:numPr>
        <w:rPr/>
      </w:pPr>
      <w:bookmarkStart w:id="189" w:name="__RefHeading___Toc297313_1346298689"/>
      <w:bookmarkEnd w:id="189"/>
      <w:r>
        <w:rPr/>
        <w:t xml:space="preserve">Osa 3: Silná EU v mírumilovném světě </w:t>
      </w:r>
    </w:p>
    <w:p>
      <w:pPr>
        <w:pStyle w:val="Titre4"/>
        <w:numPr>
          <w:ilvl w:val="3"/>
          <w:numId w:val="2"/>
        </w:numPr>
        <w:rPr/>
      </w:pPr>
      <w:bookmarkStart w:id="190" w:name="__RefHeading___Toc297315_1346298689"/>
      <w:bookmarkEnd w:id="190"/>
      <w:r>
        <w:rPr/>
        <w:t xml:space="preserve">Dílčí osa 3.1 – Bezpečnost a obrana </w:t>
      </w:r>
    </w:p>
    <w:p>
      <w:pPr>
        <w:pStyle w:val="P68B1DB1Normal15"/>
        <w:rPr>
          <w:b/>
          <w:b/>
        </w:rPr>
      </w:pPr>
      <w:r>
        <w:rPr/>
        <w:t xml:space="preserve">20. Doporučujeme, aby budoucí „společné ozbrojené síly Evropské unie“ byly využívány především pro obranné účely. Jakákoli agresivní vojenská akce, bez ohledu na její povahu, je vyloučena. V Evropě by to poskytlo prostředky k poskytnutí pomoci v případě krize, zejména v případě přírodní katastrofy. Mimo evropské hranice by to umožnilo rozmístění zdrojů na území s výjimečnými okolnostmi, výhradně v rámci právního mandátu Rady bezpečnosti OSN, a tedy v souladu s mezinárodním právem. </w:t>
      </w:r>
    </w:p>
    <w:p>
      <w:pPr>
        <w:pStyle w:val="Normal"/>
        <w:rPr/>
      </w:pPr>
      <w:r>
        <w:rPr/>
        <w:t xml:space="preserve"> </w:t>
      </w:r>
    </w:p>
    <w:p>
      <w:pPr>
        <w:pStyle w:val="Normal"/>
        <w:rPr/>
      </w:pPr>
      <w:r>
        <w:rPr/>
        <w:t xml:space="preserve">Pokud by byla provedena, umožnila by to Evropské unii považovat za důvěryhodného, odpovědného, silného a mírumilovného partnera na mezinárodní scéně. Její posílená schopnost reagovat na krizové situace doma i v zahraničí by proto měla chránit její základní hodnoty. </w:t>
      </w:r>
    </w:p>
    <w:p>
      <w:pPr>
        <w:pStyle w:val="Normal"/>
        <w:rPr/>
      </w:pPr>
      <w:r>
        <w:rPr/>
        <w:t xml:space="preserve"> </w:t>
      </w:r>
    </w:p>
    <w:p>
      <w:pPr>
        <w:pStyle w:val="Titre4"/>
        <w:numPr>
          <w:ilvl w:val="3"/>
          <w:numId w:val="2"/>
        </w:numPr>
        <w:rPr/>
      </w:pPr>
      <w:bookmarkStart w:id="191" w:name="__RefHeading___Toc297317_1346298689"/>
      <w:bookmarkEnd w:id="191"/>
      <w:r>
        <w:rPr/>
        <w:t xml:space="preserve">Dílčí osa 3.2 – rozhodování a zahraniční politika EU </w:t>
      </w:r>
    </w:p>
    <w:p>
      <w:pPr>
        <w:pStyle w:val="P68B1DB1Normal15"/>
        <w:rPr>
          <w:b/>
          <w:b/>
        </w:rPr>
      </w:pPr>
      <w:r>
        <w:rPr/>
        <w:t xml:space="preserve">21. Doporučujeme, aby všechny oblasti, v nichž jsou rozhodnutí přijímána jednomyslně, byly nyní přijímány kvalifikovanou většinou. Jedinou výjimkou by mělo být přijetí nových členských států do Unie a změna základních zásad Unie zakotvených v článku 2 Lisabonské smlouvy a v Listině základních práv Evropské unie. </w:t>
      </w:r>
    </w:p>
    <w:p>
      <w:pPr>
        <w:pStyle w:val="Normal"/>
        <w:rPr/>
      </w:pPr>
      <w:r>
        <w:rPr/>
        <w:t xml:space="preserve"> </w:t>
      </w:r>
    </w:p>
    <w:p>
      <w:pPr>
        <w:pStyle w:val="Normal"/>
        <w:rPr/>
      </w:pPr>
      <w:r>
        <w:rPr/>
        <w:t xml:space="preserve">To by posílilo postavení EU ve světě předložením jednotné fronty vůči třetím zemím a usnadnilo by se její celková schopnost reakce, včetně reakce na krize. </w:t>
      </w:r>
    </w:p>
    <w:p>
      <w:pPr>
        <w:pStyle w:val="Normal"/>
        <w:rPr/>
      </w:pPr>
      <w:r>
        <w:rPr/>
        <w:t xml:space="preserve"> </w:t>
      </w:r>
    </w:p>
    <w:p>
      <w:pPr>
        <w:pStyle w:val="P68B1DB1Normal15"/>
        <w:rPr>
          <w:b/>
          <w:b/>
        </w:rPr>
      </w:pPr>
      <w:r>
        <w:rPr/>
        <w:t xml:space="preserve">22. Doporučujeme, aby Evropská unie posílila svou schopnost ukládat sankce členským státům, vládám, subjektům, skupinám nebo organizacím a jednotlivcům, kteří nerespektují její základní zásady, dohody a právní předpisy. Je nezbytné, aby již existující sankce byly rychle provedeny a účinně dodržovány. Sankce uložené třetím zemím by měly být přiměřené opatřením, které je vyvolaly, měly by být účinné a měly by být uplatňovány včas. </w:t>
      </w:r>
    </w:p>
    <w:p>
      <w:pPr>
        <w:pStyle w:val="Normal"/>
        <w:rPr/>
      </w:pPr>
      <w:r>
        <w:rPr/>
        <w:t xml:space="preserve"> </w:t>
      </w:r>
    </w:p>
    <w:p>
      <w:pPr>
        <w:pStyle w:val="Normal"/>
        <w:rPr/>
      </w:pPr>
      <w:r>
        <w:rPr/>
        <w:t xml:space="preserve">Aby byla EU důvěryhodná a spolehlivá, musí uvalit sankce na ty, kdo porušují její zásady. Tyto sankce by měly být uplatňovány účinně a rychle a měly by podléhat kontrolám. </w:t>
      </w:r>
    </w:p>
    <w:p>
      <w:pPr>
        <w:pStyle w:val="Normal"/>
        <w:rPr/>
      </w:pPr>
      <w:r>
        <w:rPr/>
        <w:t xml:space="preserve"> </w:t>
      </w:r>
    </w:p>
    <w:p>
      <w:pPr>
        <w:pStyle w:val="Titre4"/>
        <w:numPr>
          <w:ilvl w:val="3"/>
          <w:numId w:val="2"/>
        </w:numPr>
        <w:rPr/>
      </w:pPr>
      <w:bookmarkStart w:id="192" w:name="__RefHeading___Toc297319_1346298689"/>
      <w:bookmarkEnd w:id="192"/>
      <w:r>
        <w:rPr/>
        <w:t xml:space="preserve">Dílčí osa 3.3 – sousední země a rozšíření </w:t>
      </w:r>
    </w:p>
    <w:p>
      <w:pPr>
        <w:pStyle w:val="P68B1DB1Normal15"/>
        <w:rPr>
          <w:b/>
          <w:b/>
        </w:rPr>
      </w:pPr>
      <w:r>
        <w:rPr/>
        <w:t xml:space="preserve">23. Doporučujeme, aby Evropská unie přidělila zvláštní rozpočet na rozvoj vzdělávacích programů zaměřených na fungování EU a její hodnoty. Tyto programy pak budou členským státům nabídnuty, pokud si to přejí začlenit do svých školních osnov (primární a střední vzdělávání a univerzity). Kromě toho by mohl být studentům, kteří chtějí studovat v jiné evropské zemi, prostřednictvím programu Erasmus nabídnut zvláštní kurz o EU a jejím fungování. Studenti, kteří si tento kurz zvolí, budou mít prioritu, aby mohli tyto programy Erasmus využít. </w:t>
      </w:r>
    </w:p>
    <w:p>
      <w:pPr>
        <w:pStyle w:val="Normal"/>
        <w:rPr/>
      </w:pPr>
      <w:r>
        <w:rPr/>
        <w:t xml:space="preserve"> </w:t>
      </w:r>
    </w:p>
    <w:p>
      <w:pPr>
        <w:pStyle w:val="Normal"/>
        <w:rPr/>
      </w:pPr>
      <w:r>
        <w:rPr/>
        <w:t xml:space="preserve">Tato opatření doporučujeme, aby se zvýšil pocit sounáležitosti s EU. Tímto způsobem se občané budou lépe ztotožňovat s Unií a předávat její hodnoty. Tato opatření navíc zlepší transparentnost, pokud jde o fungování EU a přínosy jejího zapojení, jakož i boj proti protievropským hnutím. Tato opatření by měla členské státy odrazovat od opuštění EU. </w:t>
      </w:r>
    </w:p>
    <w:p>
      <w:pPr>
        <w:pStyle w:val="Normal"/>
        <w:rPr/>
      </w:pPr>
      <w:r>
        <w:rPr/>
        <w:t xml:space="preserve"> </w:t>
      </w:r>
    </w:p>
    <w:p>
      <w:pPr>
        <w:pStyle w:val="P68B1DB1Normal15"/>
        <w:rPr>
          <w:b/>
          <w:b/>
        </w:rPr>
      </w:pPr>
      <w:r>
        <w:rPr/>
        <w:t xml:space="preserve">24. Doporučujeme, aby EU více využívala své politické a hospodářské síly ve svých vztazích s jinými zeměmi, aby se zabránilo tomu, že některé členské státy budou vystaveny dvoustrannému hospodářskému, politickému a sociálnímu tlaku. </w:t>
      </w:r>
    </w:p>
    <w:p>
      <w:pPr>
        <w:pStyle w:val="Normal"/>
        <w:rPr/>
      </w:pPr>
      <w:r>
        <w:rPr/>
        <w:t xml:space="preserve"> </w:t>
      </w:r>
    </w:p>
    <w:p>
      <w:pPr>
        <w:pStyle w:val="Normal"/>
        <w:rPr/>
      </w:pPr>
      <w:r>
        <w:rPr/>
        <w:t xml:space="preserve">Tato opatření doporučujeme ze tří důvodů. Především posílí pocit jednoty v rámci EU. Za druhé, jednostranná reakce bude jasnou, silnou a rychlou reakcí, aby se zabránilo jakýmkoli pokusům třetích zemí šikanovat nebo zakročit proti členským zemím EU. V neposlední řadě posílí bezpečnost Unie a zajistí, aby se žádný členský stát necítil opuštěný nebo ignorovaný. Bilaterální reakce rozdělují EU a jsou slabinou, kterou třetí země používají proti nám. </w:t>
      </w:r>
    </w:p>
    <w:p>
      <w:pPr>
        <w:pStyle w:val="Normal"/>
        <w:rPr/>
      </w:pPr>
      <w:r>
        <w:rPr/>
        <w:t xml:space="preserve"> </w:t>
      </w:r>
    </w:p>
    <w:p>
      <w:pPr>
        <w:pStyle w:val="P68B1DB1Normal15"/>
        <w:rPr>
          <w:b/>
          <w:b/>
        </w:rPr>
      </w:pPr>
      <w:r>
        <w:rPr/>
        <w:t xml:space="preserve">25. „Doporučujeme, aby Unie zlepšila svou komunikační strategii“. Na jedné straně by EU měla zvýšit viditelnost na sociálních sítích a aktivně propagovat jejich obsah. Na druhé straně by měla i nadále každoročně pořádat konference, jako je Konference o budoucnosti Evropy. Rovněž doporučujeme, aby i nadále podporovala inovace podporou přístupné evropské sociální sítě. </w:t>
      </w:r>
    </w:p>
    <w:p>
      <w:pPr>
        <w:pStyle w:val="Normal"/>
        <w:rPr/>
      </w:pPr>
      <w:r>
        <w:rPr/>
        <w:t xml:space="preserve"> </w:t>
      </w:r>
    </w:p>
    <w:p>
      <w:pPr>
        <w:pStyle w:val="Normal"/>
        <w:rPr/>
      </w:pPr>
      <w:r>
        <w:rPr/>
        <w:t xml:space="preserve">Tyto návrhy by nejen oslovily mladé lidi, ale také by zvýšily zájem a účast evropských občanů prostřednictvím atraktivnějšího a účinnějšího komunikačního nástroje. Pořádání akcí, jako je konference o budoucnosti Evropy, by mělo občanům umožnit větší zapojení do rozhodovacího procesu a zajistit, aby jejich hlasy byly vyslyšeny. </w:t>
      </w:r>
    </w:p>
    <w:p>
      <w:pPr>
        <w:pStyle w:val="Normal"/>
        <w:rPr/>
      </w:pPr>
      <w:r>
        <w:rPr/>
        <w:t xml:space="preserve"> </w:t>
      </w:r>
    </w:p>
    <w:p>
      <w:pPr>
        <w:pStyle w:val="P68B1DB1Normal15"/>
        <w:rPr>
          <w:b/>
          <w:b/>
        </w:rPr>
      </w:pPr>
      <w:r>
        <w:rPr/>
        <w:t xml:space="preserve">26. Doporučujeme členským státům, aby před dalším rozšířením Unie přijaly silnou vizi a společnou strategii pro harmonizaci a upevnění evropské identity a jednoty. </w:t>
      </w:r>
    </w:p>
    <w:p>
      <w:pPr>
        <w:pStyle w:val="Normal"/>
        <w:rPr/>
      </w:pPr>
      <w:r>
        <w:rPr/>
        <w:t xml:space="preserve"> </w:t>
      </w:r>
    </w:p>
    <w:p>
      <w:pPr>
        <w:pStyle w:val="Normal"/>
        <w:rPr/>
      </w:pPr>
      <w:r>
        <w:rPr/>
        <w:t xml:space="preserve">Domníváme se, že před zvážením integrace jiných zemí je nezbytné posílit EU a posílit vztahy mezi členskými státy. Čím více členských států v EU, tím komplikovanější rozhodovací proces; proto je důležité přezkoumat jednomyslné hlasování v rozhodovacích procesech. </w:t>
      </w:r>
    </w:p>
    <w:p>
      <w:pPr>
        <w:pStyle w:val="Normal"/>
        <w:rPr/>
      </w:pPr>
      <w:r>
        <w:rPr/>
        <w:t xml:space="preserve"> </w:t>
      </w:r>
    </w:p>
    <w:p>
      <w:pPr>
        <w:pStyle w:val="Titre3"/>
        <w:numPr>
          <w:ilvl w:val="2"/>
          <w:numId w:val="2"/>
        </w:numPr>
        <w:rPr/>
      </w:pPr>
      <w:bookmarkStart w:id="193" w:name="__RefHeading___Toc297321_1346298689"/>
      <w:bookmarkEnd w:id="193"/>
      <w:r>
        <w:rPr/>
        <w:t xml:space="preserve">Osa 4: Migrace z lidského hlediska </w:t>
      </w:r>
    </w:p>
    <w:p>
      <w:pPr>
        <w:pStyle w:val="Titre4"/>
        <w:numPr>
          <w:ilvl w:val="3"/>
          <w:numId w:val="2"/>
        </w:numPr>
        <w:rPr/>
      </w:pPr>
      <w:bookmarkStart w:id="194" w:name="__RefHeading___Toc297323_1346298689"/>
      <w:bookmarkEnd w:id="194"/>
      <w:r>
        <w:rPr/>
        <w:t xml:space="preserve">Dílčí osa 4.1 – Řešení příčin emigrace </w:t>
      </w:r>
    </w:p>
    <w:p>
      <w:pPr>
        <w:pStyle w:val="P68B1DB1Normal15"/>
        <w:rPr>
          <w:b/>
          <w:b/>
        </w:rPr>
      </w:pPr>
      <w:r>
        <w:rPr/>
        <w:t xml:space="preserve">27. Doporučujeme, aby se Evropská unie aktivně podílela na hospodářském rozvoji třetích zemí a zemí, z nichž pocházejí největší migrační toky. S pomocí příslušných orgánů (místních nevládních organizací a místních politiků, odborných pracovníků v terénu atd.) by EU měla hledat způsoby, jak pokojně a účinně zasáhnout v zemích, kde pocházejí největší migrační toky a které souhlasily s způsoby spolupráce. Tyto zásahy by měly mít hmatatelné a měřitelné účinky, které by měly být jasně zdůrazněny, aby evropští občané porozuměli politice Unie v oblasti rozvojové pomoci. Opatření EU v oblasti rozvojové pomoci by proto měla být viditelnější. </w:t>
      </w:r>
    </w:p>
    <w:p>
      <w:pPr>
        <w:pStyle w:val="Normal"/>
        <w:rPr/>
      </w:pPr>
      <w:r>
        <w:rPr/>
        <w:t xml:space="preserve"> </w:t>
      </w:r>
    </w:p>
    <w:p>
      <w:pPr>
        <w:pStyle w:val="Normal"/>
        <w:rPr/>
      </w:pPr>
      <w:r>
        <w:rPr/>
        <w:t xml:space="preserve">I když EU pracuje na mezinárodním rozvoji, musí pokračovat ve své činnosti a investovat do transparentnosti a viditelnosti své politiky v této oblasti. </w:t>
      </w:r>
    </w:p>
    <w:p>
      <w:pPr>
        <w:pStyle w:val="Normal"/>
        <w:rPr/>
      </w:pPr>
      <w:r>
        <w:rPr/>
        <w:t xml:space="preserve"> </w:t>
      </w:r>
    </w:p>
    <w:p>
      <w:pPr>
        <w:pStyle w:val="P68B1DB1Normal15"/>
        <w:rPr>
          <w:b/>
          <w:b/>
        </w:rPr>
      </w:pPr>
      <w:r>
        <w:rPr/>
        <w:t xml:space="preserve">28. Doporučujeme vytvořit společný evropský rámec pro harmonizaci pracovních podmínek v celé Unii (minimální mzda, pracovní doba atd.). EU by měla usilovat o vytvoření společných základních pracovních norem, které zabrání občanům opustit svou zemi a hledat lepší pracovní podmínky jinde. V rámci těchto norem by EU měla posílit úlohu odborů na nadnárodní úrovni. EU by tím uznala, že vnitřní hospodářská migrace (migrace občanů EU) je závažným problémem. </w:t>
      </w:r>
    </w:p>
    <w:p>
      <w:pPr>
        <w:pStyle w:val="Normal"/>
        <w:rPr/>
      </w:pPr>
      <w:r>
        <w:rPr/>
        <w:t xml:space="preserve"> </w:t>
      </w:r>
    </w:p>
    <w:p>
      <w:pPr>
        <w:pStyle w:val="Normal"/>
        <w:rPr/>
      </w:pPr>
      <w:r>
        <w:rPr/>
        <w:t xml:space="preserve">Toto doporučení vychází ze zjištění, že velký počet lidí v EU migruje z ekonomických důvodů kvůli rozdílům v pracovních podmínkách mezi členskými státy. Je nezbytné zabránit tomuto odlivu mozků, aby si členské státy udržely talent a pracovní sílu. Podporujeme volný pohyb občanů, ale domníváme se, že migrace občanů EU mezi různými členskými státy, není-li žádoucí, je způsobena hospodářskými důvody. Proto je důležité vytvořit společný rámec pro práci. </w:t>
      </w:r>
    </w:p>
    <w:p>
      <w:pPr>
        <w:pStyle w:val="Normal"/>
        <w:rPr/>
      </w:pPr>
      <w:r>
        <w:rPr/>
        <w:t xml:space="preserve"> </w:t>
      </w:r>
    </w:p>
    <w:p>
      <w:pPr>
        <w:pStyle w:val="Titre4"/>
        <w:numPr>
          <w:ilvl w:val="3"/>
          <w:numId w:val="2"/>
        </w:numPr>
        <w:rPr/>
      </w:pPr>
      <w:bookmarkStart w:id="195" w:name="__RefHeading___Toc297325_1346298689"/>
      <w:bookmarkEnd w:id="195"/>
      <w:r>
        <w:rPr/>
        <w:t xml:space="preserve">Dílčí osa 4.2 – lidské úvahy </w:t>
      </w:r>
    </w:p>
    <w:p>
      <w:pPr>
        <w:pStyle w:val="P68B1DB1Normal15"/>
        <w:rPr>
          <w:b/>
          <w:b/>
        </w:rPr>
      </w:pPr>
      <w:r>
        <w:rPr/>
        <w:t xml:space="preserve">29. Doporučujeme provádět společnou migrační politiku založenou na zásadě solidarity. Chceme se zaměřit na problém uprchlíků. Společný postup pro všechny členské státy EU by měl být založen na nejúčinnějších postupech ve všech zemích EU. Tento postup by měly proaktivně provádět vnitrostátní orgány a správa EU. </w:t>
      </w:r>
    </w:p>
    <w:p>
      <w:pPr>
        <w:pStyle w:val="Normal"/>
        <w:rPr/>
      </w:pPr>
      <w:r>
        <w:rPr/>
        <w:t xml:space="preserve"> </w:t>
      </w:r>
    </w:p>
    <w:p>
      <w:pPr>
        <w:pStyle w:val="Normal"/>
        <w:rPr/>
      </w:pPr>
      <w:r>
        <w:rPr/>
        <w:t xml:space="preserve">Problém uprchlíků se týká všech členských států. V současné době mají tyto státy příliš odlišné postupy, což má negativní dopad na uprchlíky a občany EU. Je proto nezbytné zaujmout soudržný a konzistentní přístup. </w:t>
      </w:r>
    </w:p>
    <w:p>
      <w:pPr>
        <w:pStyle w:val="Normal"/>
        <w:rPr/>
      </w:pPr>
      <w:r>
        <w:rPr/>
        <w:t xml:space="preserve"> </w:t>
      </w:r>
    </w:p>
    <w:p>
      <w:pPr>
        <w:pStyle w:val="P68B1DB1Normal15"/>
        <w:rPr>
          <w:b/>
          <w:b/>
        </w:rPr>
      </w:pPr>
      <w:r>
        <w:rPr/>
        <w:t xml:space="preserve">30. Doporučujeme, aby EU zintenzivnila své úsilí o informování a vzdělávání občanů členských států o otázkách souvisejících s migrací. Toho by mělo být dosaženo vzděláváním dětí co nejdříve od začátku základní školy k tématům, jako je migrace a integrace. Pokud toto rané vzdělávání spojíme s aktivitami nevládních organizací a mládežnických organizací, stejně jako s rozsáhlými mediálními kampaněmi, mohli bychom plně dosáhnout našeho cíle. Kromě toho by bylo možné využít mnoho komunikačních médií: letáky, televize a sociální sítě. </w:t>
      </w:r>
    </w:p>
    <w:p>
      <w:pPr>
        <w:pStyle w:val="Normal"/>
        <w:rPr/>
      </w:pPr>
      <w:r>
        <w:rPr/>
        <w:t xml:space="preserve"> </w:t>
      </w:r>
    </w:p>
    <w:p>
      <w:pPr>
        <w:pStyle w:val="Normal"/>
        <w:rPr/>
      </w:pPr>
      <w:r>
        <w:rPr/>
        <w:t xml:space="preserve">Je důležité ukázat, že migrace má také mnoho pozitivních aspektů, jako je dodatečná pracovní síla. Rádi bychom zdůraznili, že je důležité zvýšit povědomí o obou procesech, aby občané pochopili důvody a důsledky migrace, aby odstranili stigma, které vyplývá z toho, že jsou vnímáni jako migranti. </w:t>
      </w:r>
    </w:p>
    <w:p>
      <w:pPr>
        <w:pStyle w:val="Normal"/>
        <w:rPr/>
      </w:pPr>
      <w:r>
        <w:rPr/>
        <w:t xml:space="preserve"> </w:t>
      </w:r>
    </w:p>
    <w:p>
      <w:pPr>
        <w:pStyle w:val="Titre4"/>
        <w:numPr>
          <w:ilvl w:val="3"/>
          <w:numId w:val="2"/>
        </w:numPr>
        <w:rPr/>
      </w:pPr>
      <w:bookmarkStart w:id="196" w:name="__RefHeading___Toc297327_1346298689"/>
      <w:bookmarkEnd w:id="196"/>
      <w:r>
        <w:rPr/>
        <w:t xml:space="preserve">Dílčí osa 4.3 – Hranice </w:t>
      </w:r>
    </w:p>
    <w:p>
      <w:pPr>
        <w:pStyle w:val="P68B1DB1Normal15"/>
        <w:rPr>
          <w:b/>
          <w:b/>
        </w:rPr>
      </w:pPr>
      <w:r>
        <w:rPr/>
        <w:t xml:space="preserve">31. Doporučujeme, aby směrnice 2013/33/EU o minimálních normách pro přijímání žadatelů o azyl v členských státech byla nahrazena závazným nařízením EU, které bude platit jednotně ve všech členských státech. Prioritou by mělo být zlepšení přijímacích a ubytovacích zařízení. Doporučujeme vytvořit zvláštní kontrolní orgán EU pro provádění nařízení. </w:t>
      </w:r>
    </w:p>
    <w:p>
      <w:pPr>
        <w:pStyle w:val="Normal"/>
        <w:rPr/>
      </w:pPr>
      <w:r>
        <w:rPr/>
        <w:t xml:space="preserve"> </w:t>
      </w:r>
    </w:p>
    <w:p>
      <w:pPr>
        <w:pStyle w:val="Normal"/>
        <w:rPr/>
      </w:pPr>
      <w:r>
        <w:rPr/>
        <w:t xml:space="preserve">Směrnice totiž není ve všech členských státech prováděna jednotně. Musíme se vyhnout opakování podmínek zaznamenaných v uprchlickém táboře Moria. Doporučené nařízení by proto mělo být prováděno a mělo by zahrnovat povinné sankce. Monitorovací orgán by měl být robustní a spolehlivý. </w:t>
      </w:r>
    </w:p>
    <w:p>
      <w:pPr>
        <w:pStyle w:val="Normal"/>
        <w:rPr/>
      </w:pPr>
      <w:r>
        <w:rPr/>
        <w:t xml:space="preserve"> </w:t>
      </w:r>
    </w:p>
    <w:p>
      <w:pPr>
        <w:pStyle w:val="P68B1DB1Normal15"/>
        <w:rPr>
          <w:b/>
          <w:b/>
        </w:rPr>
      </w:pPr>
      <w:r>
        <w:rPr/>
        <w:t xml:space="preserve">32. Doporučujeme, aby EU zajistila, aby všichni žadatelé o azyl a uprchlíci absolvovali jazykové a integrační kurzy při posuzování jejich žádosti o pobyt. Kurzy by měly být povinné, bezplatné a měly by zahrnovat osobní asistenci pro počáteční integraci. Měly by začít do dvou týdnů od podání žádosti o povolení k pobytu. Měly by být rovněž zavedeny mechanismy pobídek a sankcí. </w:t>
      </w:r>
    </w:p>
    <w:p>
      <w:pPr>
        <w:pStyle w:val="Normal"/>
        <w:rPr/>
      </w:pPr>
      <w:r>
        <w:rPr/>
        <w:t xml:space="preserve"> </w:t>
      </w:r>
    </w:p>
    <w:p>
      <w:pPr>
        <w:pStyle w:val="Normal"/>
        <w:rPr/>
      </w:pPr>
      <w:r>
        <w:rPr/>
        <w:t xml:space="preserve">Naučit se jazyk a porozumět kultuře, historii a etice země příjezdu je zásadním krokem v integraci. Délka zpoždění před zahájením počátečního integračního procesu má negativní dopad na sociální asimilace migrantů. Sankční mechanismy mohou pomoci identifikovat ochotu migrantů integrovat se. </w:t>
      </w:r>
    </w:p>
    <w:p>
      <w:pPr>
        <w:pStyle w:val="Normal"/>
        <w:rPr/>
      </w:pPr>
      <w:r>
        <w:rPr/>
        <w:t xml:space="preserve"> </w:t>
      </w:r>
    </w:p>
    <w:p>
      <w:pPr>
        <w:pStyle w:val="Titre3"/>
        <w:numPr>
          <w:ilvl w:val="2"/>
          <w:numId w:val="2"/>
        </w:numPr>
        <w:rPr/>
      </w:pPr>
      <w:bookmarkStart w:id="197" w:name="__RefHeading___Toc297329_1346298689"/>
      <w:bookmarkEnd w:id="197"/>
      <w:r>
        <w:rPr/>
        <w:t xml:space="preserve">Osa 5: Odpovědnost a solidarita v EU </w:t>
      </w:r>
    </w:p>
    <w:p>
      <w:pPr>
        <w:pStyle w:val="Titre4"/>
        <w:numPr>
          <w:ilvl w:val="3"/>
          <w:numId w:val="2"/>
        </w:numPr>
        <w:rPr/>
      </w:pPr>
      <w:bookmarkStart w:id="198" w:name="__RefHeading___Toc297331_1346298689"/>
      <w:bookmarkEnd w:id="198"/>
      <w:r>
        <w:rPr/>
        <w:t xml:space="preserve">Dílčí osa 5.1 – Distribuce migrantů </w:t>
      </w:r>
    </w:p>
    <w:p>
      <w:pPr>
        <w:pStyle w:val="P68B1DB1Normal15"/>
        <w:rPr>
          <w:b/>
          <w:b/>
        </w:rPr>
      </w:pPr>
      <w:r>
        <w:rPr/>
        <w:t xml:space="preserve">33. Doporučujeme nahradit dublinský systém právně závaznou smlouvou s cílem zajistit spravedlivé, vyvážené a přiměřené rozdělení žadatelů o azyl v EU na základě solidarity a spravedlnosti. V současné době jsou uprchlíci povinni požádat o azyl v prvním členském státě příjezdu. Tato změna systému musí být co nejrychlejší. Návrh Evropské komise na nový pakt EU o migraci a azylu od roku 2020 je dobrým začátkem a měl by mít právní formu, neboť stanoví kvóty pro rozdělení uprchlíků mezi členské státy EU. </w:t>
      </w:r>
    </w:p>
    <w:p>
      <w:pPr>
        <w:pStyle w:val="Normal"/>
        <w:rPr/>
      </w:pPr>
      <w:r>
        <w:rPr/>
        <w:t xml:space="preserve"> </w:t>
      </w:r>
    </w:p>
    <w:p>
      <w:pPr>
        <w:pStyle w:val="Normal"/>
        <w:rPr/>
      </w:pPr>
      <w:r>
        <w:rPr/>
        <w:t xml:space="preserve">Doporučujeme to, protože současný dublinský systém nerespektuje zásady solidarity a spravedlnosti. Pro členské státy v blízkosti vnějších hranic EU představuje velkou zátěž, kterou žadatelé o azyl překračují za účelem vstupu na jejich území. Všechny členské státy musí převzít odpovědnost za řízení přílivu uprchlíků do EU. EU je společenstvím sdílených hodnot a musí podle toho jednat. </w:t>
      </w:r>
    </w:p>
    <w:p>
      <w:pPr>
        <w:pStyle w:val="Normal"/>
        <w:rPr/>
      </w:pPr>
      <w:r>
        <w:rPr/>
        <w:t xml:space="preserve"> </w:t>
      </w:r>
    </w:p>
    <w:p>
      <w:pPr>
        <w:pStyle w:val="P68B1DB1Normal15"/>
        <w:rPr>
          <w:b/>
          <w:b/>
        </w:rPr>
      </w:pPr>
      <w:r>
        <w:rPr/>
        <w:t xml:space="preserve">34. Doporučujeme, aby EU pomáhala svým členským státům při vyřizování žádostí o azyl rychlejším tempem a v souladu se společnými normami. Kromě toho by mělo být uprchlíkům poskytnuto humanitární bydlení. S cílem vyložit země příjezdu a zpracovat jejich žádosti o azyl jinde doporučujeme, aby uprchlíci byli po prvním příjezdu do EU rychle a účinně přemístěni do různých členských států. Za tímto účelem je zapotřebí finanční podpory EU a organizační podpory ze strany Agentury EU pro azyl. Osoby, jejichž žádost o azyl byla zamítnuta, musí být skutečně vráceny do své země původu, pokud je jejich země původu považována za bezpečnou. </w:t>
      </w:r>
    </w:p>
    <w:p>
      <w:pPr>
        <w:pStyle w:val="Normal"/>
        <w:rPr/>
      </w:pPr>
      <w:r>
        <w:rPr/>
        <w:t xml:space="preserve"> </w:t>
      </w:r>
    </w:p>
    <w:p>
      <w:pPr>
        <w:pStyle w:val="Normal"/>
        <w:rPr/>
      </w:pPr>
      <w:r>
        <w:rPr/>
        <w:t xml:space="preserve">Doporučujeme to, protože azylové řízení v současné době trvá příliš dlouho a může se v jednotlivých členských státech lišit. Urychlením azylového řízení uprchlíci tráví méně času čekáním na konečné rozhodnutí v dočasných ubytovacích zařízeních. Žadatelé o azyl mohou být integrováni rychleji. </w:t>
      </w:r>
    </w:p>
    <w:p>
      <w:pPr>
        <w:pStyle w:val="Normal"/>
        <w:rPr/>
      </w:pPr>
      <w:r>
        <w:rPr/>
        <w:t xml:space="preserve"> </w:t>
      </w:r>
    </w:p>
    <w:p>
      <w:pPr>
        <w:pStyle w:val="P68B1DB1Normal15"/>
        <w:rPr>
          <w:b/>
          <w:b/>
        </w:rPr>
      </w:pPr>
      <w:r>
        <w:rPr/>
        <w:t xml:space="preserve">35. Doporučujeme silnou finanční, logistickou a operativní podporu EU pro řízení prvního přijetí, což může vést k integraci nebo repatriaci nelegálních migrantů. Příjemci této podpory jsou pohraniční státy EU, které nesou břemeno přílivu migrantů. </w:t>
      </w:r>
    </w:p>
    <w:p>
      <w:pPr>
        <w:pStyle w:val="Normal"/>
        <w:rPr/>
      </w:pPr>
      <w:r>
        <w:rPr/>
        <w:t xml:space="preserve"> </w:t>
      </w:r>
    </w:p>
    <w:p>
      <w:pPr>
        <w:pStyle w:val="Normal"/>
        <w:rPr/>
      </w:pPr>
      <w:r>
        <w:rPr/>
        <w:t xml:space="preserve">Vzhledem ke své zeměpisné poloze jsou některé </w:t>
      </w:r>
      <w:r>
        <w:rPr/>
        <w:commentReference w:id="8"/>
      </w:r>
      <w:r>
        <w:rPr/>
        <w:t xml:space="preserve"> členské státy nejvíce zasaženy přílivem migrantů. </w:t>
      </w:r>
    </w:p>
    <w:p>
      <w:pPr>
        <w:pStyle w:val="Normal"/>
        <w:rPr/>
      </w:pPr>
      <w:r>
        <w:rPr/>
        <w:t xml:space="preserve"> </w:t>
      </w:r>
    </w:p>
    <w:p>
      <w:pPr>
        <w:pStyle w:val="P68B1DB1Normal15"/>
        <w:rPr>
          <w:b/>
          <w:b/>
        </w:rPr>
      </w:pPr>
      <w:r>
        <w:rPr/>
        <w:t xml:space="preserve">36. Doporučujeme posílit mandát Agentury EU pro azyl s cílem dosáhnout spravedlivého rozdělení žadatelů o azyl mezi členské státy. Za tímto účelem by měly být zohledněny potřeby těchto žadatelů o azyl, logistické a hospodářské kapacity členských států a jejich potřeby na trhu práce. </w:t>
      </w:r>
    </w:p>
    <w:p>
      <w:pPr>
        <w:pStyle w:val="Normal"/>
        <w:rPr/>
      </w:pPr>
      <w:r>
        <w:rPr/>
        <w:t xml:space="preserve"> </w:t>
      </w:r>
    </w:p>
    <w:p>
      <w:pPr>
        <w:pStyle w:val="Normal"/>
        <w:rPr/>
      </w:pPr>
      <w:r>
        <w:rPr/>
        <w:t xml:space="preserve">Koordinované a centralizované rozdělení žadatelů o azyl, které členské státy a jejich občané považují za spravedlivé, zabraňuje chaotickým situacím a sociálnímu napětí a posiluje solidaritu mezi členskými státy. </w:t>
      </w:r>
    </w:p>
    <w:p>
      <w:pPr>
        <w:pStyle w:val="Normal"/>
        <w:rPr/>
      </w:pPr>
      <w:r>
        <w:rPr/>
        <w:t xml:space="preserve"> </w:t>
      </w:r>
    </w:p>
    <w:p>
      <w:pPr>
        <w:pStyle w:val="Titre4"/>
        <w:numPr>
          <w:ilvl w:val="3"/>
          <w:numId w:val="2"/>
        </w:numPr>
        <w:rPr/>
      </w:pPr>
      <w:bookmarkStart w:id="199" w:name="__RefHeading___Toc297333_1346298689"/>
      <w:bookmarkEnd w:id="199"/>
      <w:r>
        <w:rPr/>
        <w:t xml:space="preserve">Dílčí osa 5.2 – Společný přístup k azylu </w:t>
      </w:r>
    </w:p>
    <w:p>
      <w:pPr>
        <w:pStyle w:val="P68B1DB1Normal15"/>
        <w:rPr>
          <w:b/>
          <w:b/>
        </w:rPr>
      </w:pPr>
      <w:r>
        <w:rPr/>
        <w:t xml:space="preserve">37. Doporučujeme buď vytvořit komplexní evropský orgán, nebo posílit Agenturu EU pro azyl, aby mohla vyřizovat žádosti o azyl pro celou Evropskou unii a jednat na základě jednotných norem. Agentura by měla být rovněž odpovědná za spravedlivé rozdělování uprchlíků. Měla by rovněž definovat bezpečné a nebezpečné země původu a odpovídat za navracení žadatelů o azyl, jejichž žádosti byly zamítnuty. </w:t>
      </w:r>
    </w:p>
    <w:p>
      <w:pPr>
        <w:pStyle w:val="Normal"/>
        <w:rPr/>
      </w:pPr>
      <w:r>
        <w:rPr/>
        <w:t xml:space="preserve"> </w:t>
      </w:r>
    </w:p>
    <w:p>
      <w:pPr>
        <w:pStyle w:val="Normal"/>
        <w:rPr/>
      </w:pPr>
      <w:r>
        <w:rPr/>
        <w:t xml:space="preserve">Současná azylová politika se vyznačuje nejasnými povinnostmi a odlišnými normami mezi členskými státy EU. Zacházení s azylovými řízeními tedy není v jednotlivých členských státech stejné. Kromě toho má Agentura Evropské unie pro azyl v současné době pouze pravomoc ovlivňovat. Může pouze poskytovat poradenství členským státům v otázkách azylu. </w:t>
      </w:r>
    </w:p>
    <w:p>
      <w:pPr>
        <w:pStyle w:val="Normal"/>
        <w:rPr/>
      </w:pPr>
      <w:r>
        <w:rPr/>
        <w:t xml:space="preserve"> </w:t>
      </w:r>
    </w:p>
    <w:p>
      <w:pPr>
        <w:pStyle w:val="P68B1DB1Normal15"/>
        <w:rPr>
          <w:b/>
          <w:b/>
        </w:rPr>
      </w:pPr>
      <w:r>
        <w:rPr/>
        <w:t xml:space="preserve">38. Ve všech členských státech EU doporučujeme neprodleně zřídit specializovaná azylová střediska pro nezletilé osoby bez doprovodu. Cílem je přivítat a starat se o nezletilé osoby podle jejich zvláštních potřeb a co nejdříve. </w:t>
      </w:r>
    </w:p>
    <w:p>
      <w:pPr>
        <w:pStyle w:val="Normal"/>
        <w:rPr/>
      </w:pPr>
      <w:r>
        <w:rPr/>
        <w:t xml:space="preserve"> </w:t>
      </w:r>
    </w:p>
    <w:p>
      <w:pPr>
        <w:pStyle w:val="Normal"/>
        <w:rPr/>
      </w:pPr>
      <w:r>
        <w:rPr/>
        <w:t xml:space="preserve">Toto doporučení předkládáme, protože: </w:t>
      </w:r>
    </w:p>
    <w:p>
      <w:pPr>
        <w:pStyle w:val="Normal"/>
        <w:rPr/>
      </w:pPr>
      <w:r>
        <w:rPr/>
        <w:t xml:space="preserve">1) Mnoho nezletilých je pravděpodobně traumatizováno (protože pocházejí z oblastí konfliktu); </w:t>
      </w:r>
    </w:p>
    <w:p>
      <w:pPr>
        <w:pStyle w:val="Normal"/>
        <w:rPr/>
      </w:pPr>
      <w:r>
        <w:rPr/>
        <w:t xml:space="preserve">2) Různé děti mají různé potřeby (v závislosti na věku, zdraví atd.); </w:t>
      </w:r>
    </w:p>
    <w:p>
      <w:pPr>
        <w:pStyle w:val="Normal"/>
        <w:rPr/>
      </w:pPr>
      <w:r>
        <w:rPr/>
        <w:t xml:space="preserve">(3) pokud by byl proveden, zajistil by, aby zranitelným a traumatizovaným nezletilým osobám byla co nejdříve poskytnuta veškerá nezbytná péče; </w:t>
      </w:r>
    </w:p>
    <w:p>
      <w:pPr>
        <w:pStyle w:val="Normal"/>
        <w:rPr/>
      </w:pPr>
      <w:r>
        <w:rPr/>
        <w:t xml:space="preserve">4) tito nezletilí jsou budoucími evropskými občany, a proto by měli, bude-li s nimi řádně zacházeno, pozitivně přispívat k budoucnosti Evropy. </w:t>
      </w:r>
    </w:p>
    <w:p>
      <w:pPr>
        <w:pStyle w:val="Normal"/>
        <w:rPr/>
      </w:pPr>
      <w:r>
        <w:rPr/>
        <w:t xml:space="preserve"> </w:t>
      </w:r>
    </w:p>
    <w:p>
      <w:pPr>
        <w:pStyle w:val="P68B1DB1Normal15"/>
        <w:rPr>
          <w:b/>
          <w:b/>
        </w:rPr>
      </w:pPr>
      <w:r>
        <w:rPr/>
        <w:t xml:space="preserve">39. Doporučujeme vytvořit společný, rychlý a transparentní systém pro vyřizování žádostí o azyl. Tento proces by měl stanovit minimální normy a měl by být uplatňován stejným způsobem ve všech členských státech. </w:t>
      </w:r>
    </w:p>
    <w:p>
      <w:pPr>
        <w:pStyle w:val="Normal"/>
        <w:rPr/>
      </w:pPr>
      <w:r>
        <w:rPr/>
        <w:t xml:space="preserve"> </w:t>
      </w:r>
    </w:p>
    <w:p>
      <w:pPr>
        <w:pStyle w:val="Normal"/>
        <w:rPr/>
      </w:pPr>
      <w:r>
        <w:rPr/>
        <w:t xml:space="preserve">Toto doporučení předkládáme, protože: </w:t>
      </w:r>
    </w:p>
    <w:p>
      <w:pPr>
        <w:pStyle w:val="Normal"/>
        <w:rPr/>
      </w:pPr>
      <w:r>
        <w:rPr/>
        <w:t xml:space="preserve">(1) Pokud by toto doporučení bylo provedeno, bylo by vyřizování žádostí o azyl rychlejší a transparentnější; </w:t>
      </w:r>
    </w:p>
    <w:p>
      <w:pPr>
        <w:pStyle w:val="Normal"/>
        <w:rPr/>
      </w:pPr>
      <w:r>
        <w:rPr/>
        <w:t xml:space="preserve">2) zpomalení stávajících postupů vede k nezákonnosti a trestné činnosti; </w:t>
      </w:r>
    </w:p>
    <w:p>
      <w:pPr>
        <w:pStyle w:val="Normal"/>
        <w:rPr/>
      </w:pPr>
      <w:r>
        <w:rPr/>
        <w:t xml:space="preserve">3) Minimální normy stanovené v našem doporučení by měly zahrnovat dodržování lidských práv, zdraví a vzdělávacích potřeb žadatelů o azyl; </w:t>
      </w:r>
    </w:p>
    <w:p>
      <w:pPr>
        <w:pStyle w:val="Normal"/>
        <w:rPr/>
      </w:pPr>
      <w:r>
        <w:rPr/>
        <w:t xml:space="preserve">4) provádění tohoto doporučení by vedlo k lepšímu přístupu k zaměstnání a soběstačnosti, což by umožnilo pozitivní přínos pro evropskou společnost; u žadatelů o azyl, jejichž profesní postavení je legalizováno, je méně pravděpodobné, že budou zneužíváni ve svém pracovním prostředí; to by mohlo pouze podpořit integraci všech dotčených osob; </w:t>
      </w:r>
    </w:p>
    <w:p>
      <w:pPr>
        <w:pStyle w:val="Normal"/>
        <w:rPr/>
      </w:pPr>
      <w:r>
        <w:rPr/>
        <w:t xml:space="preserve">5) prodloužené pobyty v azylových střediscích mají nepříznivý dopad na duševní zdraví a pohodu obyvatel. </w:t>
      </w:r>
    </w:p>
    <w:p>
      <w:pPr>
        <w:pStyle w:val="Normal"/>
        <w:rPr/>
      </w:pPr>
      <w:r>
        <w:rPr/>
        <w:t xml:space="preserve"> </w:t>
      </w:r>
    </w:p>
    <w:p>
      <w:pPr>
        <w:pStyle w:val="P68B1DB1Normal15"/>
        <w:rPr>
          <w:b/>
          <w:b/>
        </w:rPr>
      </w:pPr>
      <w:r>
        <w:rPr/>
        <w:t xml:space="preserve">40. Důrazně doporučujeme komplexní přezkum všech dohod a právních předpisů upravujících azyl a přistěhovalectví v Evropě. Doporučujeme přijmout přístup pro celou Evropu. </w:t>
      </w:r>
    </w:p>
    <w:p>
      <w:pPr>
        <w:pStyle w:val="Normal"/>
        <w:rPr/>
      </w:pPr>
      <w:r>
        <w:rPr/>
        <w:t xml:space="preserve"> </w:t>
      </w:r>
    </w:p>
    <w:p>
      <w:pPr>
        <w:pStyle w:val="Normal"/>
        <w:rPr/>
      </w:pPr>
      <w:r>
        <w:rPr/>
        <w:t xml:space="preserve">Toto doporučení předkládáme, protože: </w:t>
      </w:r>
    </w:p>
    <w:p>
      <w:pPr>
        <w:pStyle w:val="Normal"/>
        <w:rPr/>
      </w:pPr>
      <w:r>
        <w:rPr/>
        <w:t xml:space="preserve">1) od roku 2015 jsou všechny stávající dohody nepoužitelné, nepraktické a nevhodné; </w:t>
      </w:r>
    </w:p>
    <w:p>
      <w:pPr>
        <w:pStyle w:val="Normal"/>
        <w:rPr/>
      </w:pPr>
      <w:r>
        <w:rPr/>
        <w:t xml:space="preserve">2) EU by měla být považována za hlavní „agenturu“, která dohlíží na všechny ostatní agentury a nevládní organizace, jejichž úkolem je přímo řešit otázky azylu; </w:t>
      </w:r>
    </w:p>
    <w:p>
      <w:pPr>
        <w:pStyle w:val="Normal"/>
        <w:rPr/>
      </w:pPr>
      <w:r>
        <w:rPr/>
        <w:t xml:space="preserve">(3) Členské státy, které touto situací trpí nejvíce, jsou ty, které jsou z velké části ponechány v boji s tímto problémem samy; volby „à la carte“ některých členských států neposkytují obraz jednoty; </w:t>
      </w:r>
    </w:p>
    <w:p>
      <w:pPr>
        <w:pStyle w:val="Normal"/>
        <w:rPr/>
      </w:pPr>
      <w:r>
        <w:rPr/>
        <w:t xml:space="preserve">4) nové cílené právní předpisy by zlepšily budoucnost všech žadatelů o azyl a posílily jednotu Evropy; </w:t>
      </w:r>
    </w:p>
    <w:p>
      <w:pPr>
        <w:pStyle w:val="Normal"/>
        <w:rPr/>
      </w:pPr>
      <w:r>
        <w:rPr/>
        <w:t xml:space="preserve">5) nedostatky stávajících právních předpisů vedou ke konfliktům a nedostatečné harmonizaci v celé Evropě a vedou ke zvýšené nesnášenlivosti mezi evropskými občany vůči migrantům. </w:t>
      </w:r>
    </w:p>
    <w:p>
      <w:pPr>
        <w:pStyle w:val="Normal"/>
        <w:rPr/>
      </w:pPr>
      <w:r>
        <w:rPr/>
        <w:t>6) přísnější a relevantní právní předpisy by snížily kriminalitu a zneužívání stávajícího azylového systému.</w:t>
      </w:r>
    </w:p>
    <w:p>
      <w:pPr>
        <w:pStyle w:val="Normal"/>
        <w:rPr/>
      </w:pPr>
      <w:r>
        <w:rPr/>
        <w:t xml:space="preserve"> </w:t>
      </w:r>
    </w:p>
    <w:p>
      <w:pPr>
        <w:pStyle w:val="Titre3"/>
        <w:numPr>
          <w:ilvl w:val="2"/>
          <w:numId w:val="2"/>
        </w:numPr>
        <w:rPr/>
      </w:pPr>
      <w:bookmarkStart w:id="200" w:name="__RefHeading___Toc297335_1346298689"/>
      <w:bookmarkEnd w:id="200"/>
      <w:r>
        <w:rPr/>
        <w:t xml:space="preserve">Příloha: DALŠÍ DOPORUČENÍ, KTERÁ KOMISE PROJEDNALA, ALE NEBYLA PŘIJATA </w:t>
      </w:r>
    </w:p>
    <w:p>
      <w:pPr>
        <w:pStyle w:val="Titre4"/>
        <w:numPr>
          <w:ilvl w:val="3"/>
          <w:numId w:val="2"/>
        </w:numPr>
        <w:rPr/>
      </w:pPr>
      <w:bookmarkStart w:id="201" w:name="__RefHeading___Toc297337_1346298689"/>
      <w:bookmarkEnd w:id="201"/>
      <w:r>
        <w:rPr/>
        <w:t xml:space="preserve">Osa 1: Soběstačnost a stabilita </w:t>
      </w:r>
    </w:p>
    <w:p>
      <w:pPr>
        <w:pStyle w:val="Normal"/>
        <w:rPr/>
      </w:pPr>
      <w:r>
        <w:rPr/>
        <w:t xml:space="preserve">Dílčí osa 1.1 – Autonomie EU </w:t>
      </w:r>
    </w:p>
    <w:p>
      <w:pPr>
        <w:pStyle w:val="P68B1DB1Normal15"/>
        <w:rPr>
          <w:b/>
          <w:b/>
        </w:rPr>
      </w:pPr>
      <w:r>
        <w:rPr/>
        <w:t xml:space="preserve">Pokud o to rozvojové země požádají, doporučujeme vypracovat intervenční programy pro hospodářský rozvoj na základě partnerství přizpůsobených potřebám každé země a/nebo na základě obchodních dohod. To vyžaduje nejprve posoudit hospodářský potenciál dotčených zemí a poté jim poskytnout nezbytnou hospodářskou podporu a odbornou přípravu. </w:t>
      </w:r>
    </w:p>
    <w:p>
      <w:pPr>
        <w:pStyle w:val="Normal"/>
        <w:rPr/>
      </w:pPr>
      <w:r>
        <w:rPr/>
        <w:t xml:space="preserve">To by vedlo k větší průmyslové nezávislosti a zlepšení celkové migrační situace vytvářením pracovních míst; to by také vedlo k lepším obchodním dohodám v rozvojových zemích. </w:t>
      </w:r>
    </w:p>
    <w:p>
      <w:pPr>
        <w:pStyle w:val="Normal"/>
        <w:rPr/>
      </w:pPr>
      <w:r>
        <w:rPr/>
        <w:t xml:space="preserve"> </w:t>
      </w:r>
    </w:p>
    <w:p>
      <w:pPr>
        <w:pStyle w:val="Titre4"/>
        <w:numPr>
          <w:ilvl w:val="3"/>
          <w:numId w:val="2"/>
        </w:numPr>
        <w:rPr/>
      </w:pPr>
      <w:bookmarkStart w:id="202" w:name="__RefHeading___Toc297339_1346298689"/>
      <w:bookmarkEnd w:id="202"/>
      <w:r>
        <w:rPr/>
        <w:t xml:space="preserve">Osa 2: EU jako mezinárodní partner </w:t>
      </w:r>
    </w:p>
    <w:p>
      <w:pPr>
        <w:pStyle w:val="Normal"/>
        <w:rPr/>
      </w:pPr>
      <w:r>
        <w:rPr/>
        <w:t xml:space="preserve">Dílčí osa 2.1 – Etická perspektiva obchodních vztahů </w:t>
      </w:r>
    </w:p>
    <w:p>
      <w:pPr>
        <w:pStyle w:val="P68B1DB1Normal15"/>
        <w:rPr>
          <w:b/>
          <w:b/>
        </w:rPr>
      </w:pPr>
      <w:r>
        <w:rPr/>
        <w:t xml:space="preserve">Doporučujeme, aby EU zavedla pravidla požadující, aby společnosti kontrolovaly svůj dodavatelský řetězec a pravidelně předkládaly souhrnnou zprávu o auditu, jakož i ustanovení o odměňování nebo omezení dovozu na základě etických kritérií. Společnosti by měly předložit interní a/nebo externí auditní zprávu na základě své velikosti. </w:t>
      </w:r>
    </w:p>
    <w:p>
      <w:pPr>
        <w:pStyle w:val="Normal"/>
        <w:rPr/>
      </w:pPr>
      <w:r>
        <w:rPr/>
        <w:t xml:space="preserve"> </w:t>
      </w:r>
    </w:p>
    <w:p>
      <w:pPr>
        <w:pStyle w:val="Normal"/>
        <w:rPr/>
      </w:pPr>
      <w:r>
        <w:rPr/>
        <w:t xml:space="preserve">Je třeba rozvíjet etický aspekt obchodu s EU. Toho lze dosáhnout sledováním obchodních činností v mezinárodních dodavatelských řetězcích a podporou podniků, aby se chovaly podle etických kritérií, jako jsou nebezpečné výrobky, pracovní práva a podmínky, dětská práce a ochrana životního prostředí. Toto doporučení se nevztahuje na on-line produkty zakoupené přímo spotřebitelem. </w:t>
      </w:r>
    </w:p>
    <w:p>
      <w:pPr>
        <w:pStyle w:val="Normal"/>
        <w:rPr/>
      </w:pPr>
      <w:r>
        <w:rPr/>
        <w:t xml:space="preserve"> </w:t>
      </w:r>
    </w:p>
    <w:p>
      <w:pPr>
        <w:pStyle w:val="Titre4"/>
        <w:numPr>
          <w:ilvl w:val="3"/>
          <w:numId w:val="2"/>
        </w:numPr>
        <w:rPr/>
      </w:pPr>
      <w:bookmarkStart w:id="203" w:name="__RefHeading___Toc297341_1346298689"/>
      <w:bookmarkEnd w:id="203"/>
      <w:r>
        <w:rPr/>
        <w:t xml:space="preserve">Osa 3: Silná EU v mírumilovném světě </w:t>
      </w:r>
    </w:p>
    <w:p>
      <w:pPr>
        <w:pStyle w:val="Normal"/>
        <w:rPr/>
      </w:pPr>
      <w:r>
        <w:rPr/>
        <w:t xml:space="preserve">Dílčí osa 3.1 – Bezpečnost a obrana </w:t>
      </w:r>
    </w:p>
    <w:p>
      <w:pPr>
        <w:pStyle w:val="P68B1DB1Normal15"/>
        <w:rPr>
          <w:b/>
          <w:b/>
        </w:rPr>
      </w:pPr>
      <w:r>
        <w:rPr/>
        <w:t xml:space="preserve">Doporučujeme přehodnotit stávající evropskou bezpečnostní architekturu tak, aby se stala účinnější a efektivnější nadnárodní strukturou se zvýšenými schopnostmi s cílem vytvořit společnou armádu Evropské unie. Za tímto účelem by měly být národní ozbrojené síly postupně sloučeny a transformovány. Cílem je, aby toto sloučení vojenských schopností v celé Evropské unii rovněž dlouhodobě podporovalo evropskou integraci. Vytvoření společné armády EU by rovněž vyžadovalo novou dohodu o spolupráci s členskými státy EU a neevropskými členy NATO. </w:t>
      </w:r>
    </w:p>
    <w:p>
      <w:pPr>
        <w:pStyle w:val="Normal"/>
        <w:rPr/>
      </w:pPr>
      <w:r>
        <w:rPr/>
        <w:t xml:space="preserve"> </w:t>
      </w:r>
    </w:p>
    <w:p>
      <w:pPr>
        <w:pStyle w:val="Normal"/>
        <w:rPr/>
      </w:pPr>
      <w:r>
        <w:rPr/>
        <w:t xml:space="preserve">Pokud bude toto doporučení provedeno, domníváme se, že vojenské struktury v rámci Evropské unie se stanou nákladově efektivnějšími a lépe budou schopny reagovat a v případě potřeby jednat. Tento integrovaný přístup by posílil schopnost EU jednat rozhodně a koordinovaně v kritických situacích. </w:t>
      </w:r>
    </w:p>
    <w:p>
      <w:pPr>
        <w:pStyle w:val="Normal"/>
        <w:rPr/>
      </w:pPr>
      <w:r>
        <w:rPr/>
        <w:t xml:space="preserve"> </w:t>
      </w:r>
    </w:p>
    <w:p>
      <w:pPr>
        <w:pStyle w:val="Titre4"/>
        <w:numPr>
          <w:ilvl w:val="3"/>
          <w:numId w:val="2"/>
        </w:numPr>
        <w:rPr/>
      </w:pPr>
      <w:bookmarkStart w:id="204" w:name="__RefHeading___Toc297343_1346298689"/>
      <w:bookmarkEnd w:id="204"/>
      <w:r>
        <w:rPr/>
        <w:t xml:space="preserve">Osa 4: Emigrace z lidského hlediska </w:t>
      </w:r>
    </w:p>
    <w:p>
      <w:pPr>
        <w:pStyle w:val="Normal"/>
        <w:rPr/>
      </w:pPr>
      <w:r>
        <w:rPr/>
        <w:t xml:space="preserve">Dílčí osa 4.1 – Řešení příčin emigrace </w:t>
      </w:r>
    </w:p>
    <w:p>
      <w:pPr>
        <w:pStyle w:val="P68B1DB1Normal15"/>
        <w:rPr>
          <w:b/>
          <w:b/>
        </w:rPr>
      </w:pPr>
      <w:r>
        <w:rPr/>
        <w:t xml:space="preserve">Doporučujeme, aby EU zavedla akční protokol v rámci přípravy na příští migrační krizi, tj. klimatické uprchlíky. Podle tohoto protokolu musí EU rozšířit definici uprchlíků a žadatelů o azyl tak, aby zahrnovala osoby postižené změnou klimatu. Vzhledem k tomu, že země původu mnoha migrantů se stane neobyvatelnou, musí protokol rovněž zajistit, aby v oblastech postižených změnou klimatu bylo nalezeno nové využití s cílem podpořit ty, kteří tyto oblasti opustili. Například zaplavené oblasti by mohly být využity k vytvoření větrných elektráren. </w:t>
      </w:r>
    </w:p>
    <w:p>
      <w:pPr>
        <w:pStyle w:val="Normal"/>
        <w:rPr/>
      </w:pPr>
      <w:r>
        <w:rPr/>
        <w:t xml:space="preserve"> </w:t>
      </w:r>
    </w:p>
    <w:p>
      <w:pPr>
        <w:pStyle w:val="Normal"/>
        <w:rPr/>
      </w:pPr>
      <w:r>
        <w:rPr/>
        <w:t xml:space="preserve">Toto doporučení vydáváme, protože jsme všichni zodpovědní za klimatickou krizi. Máme tedy odpovědnost vůči těm, kteří jsou nejvíce postiženi. I když nemáme žádné předpovědi ani konkrétní údaje o budoucích uprchlících, změna klimatu nepochybně ovlivní miliony lidí. </w:t>
      </w:r>
    </w:p>
    <w:p>
      <w:pPr>
        <w:pStyle w:val="Normal"/>
        <w:rPr/>
      </w:pPr>
      <w:r>
        <w:rPr/>
        <w:t xml:space="preserve"> </w:t>
      </w:r>
    </w:p>
    <w:p>
      <w:pPr>
        <w:pStyle w:val="Normal"/>
        <w:rPr/>
      </w:pPr>
      <w:r>
        <w:rPr/>
        <w:t xml:space="preserve">Dílčí osa 4.2 – lidské úvahy </w:t>
      </w:r>
    </w:p>
    <w:p>
      <w:pPr>
        <w:pStyle w:val="P68B1DB1Normal15"/>
        <w:rPr>
          <w:b/>
          <w:b/>
        </w:rPr>
      </w:pPr>
      <w:r>
        <w:rPr/>
        <w:t xml:space="preserve">Doporučujeme, aby byly bezodkladně posíleny a financovány legální a humanitární cesty a dopravní prostředky, aby se uprchlíci mohli organizovaně pohybovat z krizových oblastí. Zvláštní bezpečnostní systém pro evropské jízdní pruhy by měl být zřízen a regulován subjektem specificky zřízeným za tímto účelem. Tato agentura musí být zřízena legislativním postupem a musí mít zvláštní pravomoci stanovené v jejím jednacím řádu. </w:t>
      </w:r>
    </w:p>
    <w:p>
      <w:pPr>
        <w:pStyle w:val="Normal"/>
        <w:rPr/>
      </w:pPr>
      <w:r>
        <w:rPr/>
        <w:t xml:space="preserve"> </w:t>
      </w:r>
    </w:p>
    <w:p>
      <w:pPr>
        <w:pStyle w:val="Normal"/>
        <w:rPr/>
      </w:pPr>
      <w:r>
        <w:rPr/>
        <w:t xml:space="preserve">Obchodování s lidmi a převaděčství migrantů jsou závažnými otázkami, které je třeba řešit. Naše doporučení tyto obavy určitě zmírní. </w:t>
      </w:r>
    </w:p>
    <w:p>
      <w:pPr>
        <w:pStyle w:val="Normal"/>
        <w:rPr/>
      </w:pPr>
      <w:r>
        <w:rPr/>
        <w:t xml:space="preserve"> </w:t>
      </w:r>
    </w:p>
    <w:p>
      <w:pPr>
        <w:pStyle w:val="Normal"/>
        <w:rPr/>
      </w:pPr>
      <w:r>
        <w:rPr/>
        <w:t xml:space="preserve">Dílčí osa 4.3 – Hranice </w:t>
      </w:r>
    </w:p>
    <w:p>
      <w:pPr>
        <w:pStyle w:val="P68B1DB1Normal15"/>
        <w:rPr>
          <w:b/>
          <w:b/>
        </w:rPr>
      </w:pPr>
      <w:r>
        <w:rPr/>
        <w:t xml:space="preserve">Doporučujeme, aby evropská směrnice zajistila, že v každém členském státě nebude mít více než 30 % obyvatel třetích zemí. Očekává se, že tohoto cíle bude dosaženo do roku 2030 a členské státy EU musí obdržet podporu pro provádění tohoto cíle. </w:t>
      </w:r>
    </w:p>
    <w:p>
      <w:pPr>
        <w:pStyle w:val="Normal"/>
        <w:rPr/>
      </w:pPr>
      <w:r>
        <w:rPr/>
        <w:t xml:space="preserve"> </w:t>
      </w:r>
    </w:p>
    <w:p>
      <w:pPr>
        <w:pStyle w:val="Normal"/>
        <w:rPr/>
      </w:pPr>
      <w:r>
        <w:rPr/>
        <w:t xml:space="preserve">Toto doporučení předkládáme, protože spravedlivější zeměpisné rozložení povede k lepšímu přijetí migrantů místním obyvatelstvem, což jim umožní lépe se integrovat. Toto procento vychází z nedávné politické dohody v Dánsku. </w:t>
      </w:r>
      <w:r>
        <w:br w:type="page"/>
      </w:r>
    </w:p>
    <w:p>
      <w:pPr>
        <w:pStyle w:val="Titre1"/>
        <w:numPr>
          <w:ilvl w:val="0"/>
          <w:numId w:val="2"/>
        </w:numPr>
        <w:rPr/>
      </w:pPr>
      <w:bookmarkStart w:id="205" w:name="__RefHeading___Toc297345_1346298689"/>
      <w:bookmarkEnd w:id="205"/>
      <w:r>
        <w:rPr/>
        <w:t xml:space="preserve">II A – Vnitrostátní panely: Belgie </w:t>
      </w:r>
    </w:p>
    <w:p>
      <w:pPr>
        <w:pStyle w:val="Normal"/>
        <w:spacing w:before="1285" w:after="57"/>
        <w:rPr/>
      </w:pPr>
      <w:r>
        <w:rPr/>
        <w:drawing>
          <wp:anchor behindDoc="0" distT="0" distB="0" distL="0" distR="0" simplePos="0" locked="0" layoutInCell="1" allowOverlap="1" relativeHeight="33">
            <wp:simplePos x="0" y="0"/>
            <wp:positionH relativeFrom="column">
              <wp:align>center</wp:align>
            </wp:positionH>
            <wp:positionV relativeFrom="paragraph">
              <wp:posOffset>635</wp:posOffset>
            </wp:positionV>
            <wp:extent cx="6120130" cy="815975"/>
            <wp:effectExtent l="0" t="0" r="0" b="0"/>
            <wp:wrapSquare wrapText="largest"/>
            <wp:docPr id="74" name="Obrázek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Obrázek32" descr=""/>
                    <pic:cNvPicPr>
                      <a:picLocks noChangeAspect="1" noChangeArrowheads="1"/>
                    </pic:cNvPicPr>
                  </pic:nvPicPr>
                  <pic:blipFill>
                    <a:blip r:embed="rId84"/>
                    <a:stretch>
                      <a:fillRect/>
                    </a:stretch>
                  </pic:blipFill>
                  <pic:spPr bwMode="auto">
                    <a:xfrm>
                      <a:off x="0" y="0"/>
                      <a:ext cx="6120130" cy="815975"/>
                    </a:xfrm>
                    <a:prstGeom prst="rect">
                      <a:avLst/>
                    </a:prstGeom>
                  </pic:spPr>
                </pic:pic>
              </a:graphicData>
            </a:graphic>
          </wp:anchor>
        </w:drawing>
      </w:r>
    </w:p>
    <w:p>
      <w:pPr>
        <w:pStyle w:val="P68B1DB1Normal20"/>
        <w:widowControl w:val="false"/>
        <w:spacing w:lineRule="exact" w:line="316"/>
        <w:ind w:left="0" w:right="152" w:hanging="0"/>
        <w:jc w:val="both"/>
        <w:rPr/>
      </w:pPr>
      <w:r>
        <w:rPr/>
        <w:t xml:space="preserve">Zde naleznete všechna doporučení 50 občanů občanského panelu organizovaného pod záštitou místopředsedy vlády a ministryně pro vnější a evropské záležitosti Sophie Wilmèsové jako příspěvek belgické federální vlády ke Konferenci o budoucnosti Evropy. Tématem tohoto panelu bylo „Jak více zapojit občany do evropské demokracie“. Ačkoli je si dobře vědoma toho, že konference má širší oblast působnosti než jen záležitosti EU, předmět tohoto panelu objasňuje, proč je tolik výslovných odkazů na EU a její orgány. V případě potřeby se odkazuje na Evropu obecně. </w:t>
      </w:r>
    </w:p>
    <w:p>
      <w:pPr>
        <w:pStyle w:val="P68B1DB1Normal19"/>
        <w:widowControl w:val="false"/>
        <w:spacing w:lineRule="exact" w:line="388" w:before="146" w:after="0"/>
        <w:ind w:left="0" w:right="0" w:hanging="0"/>
        <w:jc w:val="left"/>
        <w:rPr>
          <w:rFonts w:ascii="Times New Roman" w:hAnsi="Times New Roman"/>
          <w:color w:val="000000"/>
          <w:sz w:val="24"/>
        </w:rPr>
      </w:pPr>
      <w:r>
        <w:rPr/>
        <w:t xml:space="preserve"> </w:t>
      </w:r>
    </w:p>
    <w:p>
      <w:pPr>
        <w:pStyle w:val="P68B1DB1Normal21"/>
        <w:widowControl w:val="false"/>
        <w:spacing w:lineRule="exact" w:line="316" w:before="102" w:after="0"/>
        <w:ind w:left="0" w:right="176" w:hanging="0"/>
        <w:jc w:val="left"/>
        <w:rPr/>
      </w:pPr>
      <w:r>
        <w:rPr>
          <w:color w:val="000000"/>
        </w:rPr>
        <w:t xml:space="preserve">Aby byly zohledněny všechny příspěvky občanů, předkládá tato zpráva všechna doporučení, včetně doporučení, která nezískala na závěrečném hlasování o všech doporučeních prostou většinu. Jsou jasně rozpoznatelné vzhledem k procentuálnímu podílu </w:t>
      </w:r>
      <w:r>
        <w:rPr>
          <w:b/>
          <w:color w:val="FF0000"/>
        </w:rPr>
        <w:t>červeně a tučně.</w:t>
      </w:r>
      <w:r>
        <w:rPr>
          <w:color w:val="000000"/>
        </w:rPr>
        <w:t xml:space="preserve"> Kromě toho si některá doporučení odporují a dokonce i v závěrečných diskusích o nich občané zůstali neprůkazní. Tato doporučení jsou rozpoznatelná, protože jsou </w:t>
      </w:r>
      <w:r>
        <w:rPr>
          <w:i/>
          <w:color w:val="000000"/>
        </w:rPr>
        <w:t>kurzívou.</w:t>
      </w:r>
      <w:r>
        <w:rPr>
          <w:color w:val="000000"/>
        </w:rPr>
        <w:t xml:space="preserve"> Pro jedno doporučení bylo rozdělení tak jasné, že hlasování skončilo </w:t>
      </w:r>
      <w:r>
        <w:rPr>
          <w:i/>
          <w:color w:val="000000"/>
        </w:rPr>
        <w:t xml:space="preserve">ex-aequo, </w:t>
      </w:r>
      <w:r>
        <w:rPr>
          <w:color w:val="000000"/>
        </w:rPr>
        <w:t xml:space="preserve">což je vyznačeno </w:t>
      </w:r>
      <w:r>
        <w:rPr>
          <w:b/>
          <w:color w:val="FF9900"/>
        </w:rPr>
        <w:t>oranžově a tučně</w:t>
      </w:r>
      <w:r>
        <w:rPr>
          <w:color w:val="000000"/>
        </w:rPr>
        <w:t xml:space="preserve">. Občané sdílejí skutečnost, že názory na tato doporučení se liší. Navrhují proto, aby orgány CoFE a orgány EU byly při provádění těchto doporučení ostražité, neboť existuje forma rozdělení na základě hlasování. </w:t>
      </w:r>
    </w:p>
    <w:p>
      <w:pPr>
        <w:pStyle w:val="Normal"/>
        <w:rPr/>
      </w:pPr>
      <w:r>
        <w:rPr/>
      </w:r>
      <w:r>
        <w:br w:type="page"/>
      </w:r>
    </w:p>
    <w:p>
      <w:pPr>
        <w:pStyle w:val="Normal"/>
        <w:rPr/>
      </w:pPr>
      <w:r>
        <w:rPr/>
        <w:t>1. Komunikace</w:t>
      </w:r>
    </w:p>
    <w:p>
      <w:pPr>
        <w:pStyle w:val="Normal"/>
        <w:rPr/>
      </w:pPr>
      <w:r>
        <w:rPr/>
      </w:r>
    </w:p>
    <w:tbl>
      <w:tblPr>
        <w:tblW w:w="9638" w:type="dxa"/>
        <w:jc w:val="center"/>
        <w:tblInd w:w="0" w:type="dxa"/>
        <w:tblBorders>
          <w:top w:val="single" w:sz="2" w:space="0" w:color="000001"/>
          <w:left w:val="single" w:sz="2" w:space="0" w:color="000001"/>
          <w:bottom w:val="single" w:sz="2" w:space="0" w:color="000001"/>
          <w:insideH w:val="single" w:sz="2" w:space="0" w:color="000001"/>
        </w:tblBorders>
        <w:tblCellMar>
          <w:top w:w="28" w:type="dxa"/>
          <w:left w:w="25" w:type="dxa"/>
          <w:bottom w:w="28" w:type="dxa"/>
          <w:right w:w="28" w:type="dxa"/>
        </w:tblCellMar>
      </w:tblPr>
      <w:tblGrid>
        <w:gridCol w:w="2004"/>
        <w:gridCol w:w="6469"/>
        <w:gridCol w:w="1165"/>
      </w:tblGrid>
      <w:tr>
        <w:trPr/>
        <w:tc>
          <w:tcPr>
            <w:tcW w:w="2004"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Style w:val="Accentuationforte"/>
              </w:rPr>
              <w:t xml:space="preserve">Problémy </w:t>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Style w:val="Accentuationforte"/>
              </w:rPr>
              <w:t xml:space="preserve">Doporučení </w:t>
            </w:r>
          </w:p>
        </w:tc>
        <w:tc>
          <w:tcPr>
            <w:tcW w:w="116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Style w:val="Accentuationforte"/>
              </w:rPr>
              <w:t xml:space="preserve">Podpora (%)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 Sdělení o EU je neuspokojivé </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1.1 Navrhujeme zahrnout kurzy na Evropské unii od třetí úrovně základní školy. Cílem je oslovit všechny občany a zlepšit znalosti o Evropské unii.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88,4 %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1.2 Evropská unie, a zejména Komise, by měla zpřístupnit ministerstvu školství různých členských států vzdělávací materiály o fungování Evropy. Kromě vysvětlení fungování, složení a pravomocí orgánů by tyto útvary měly rovněž poskytnout stručný přehled o historii evropské integrace. Zvláštní pozornost by měla být věnována používání jasného a srozumitelného, dostupného jazyka, jakož i vzdělávacích nástrojů, jako jsou dokumenty, klipy nebo školní televizní programy, ve všech 24 jazycích.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95,0 %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jc w:val="left"/>
              <w:rPr/>
            </w:pPr>
            <w:r>
              <w:rPr/>
              <w:t xml:space="preserve">2. Evropský projekt zůstává pro občany cizí </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2.1 Navrhujeme, aby evropské orgány ve svém sdělení zajistily, že lépe vysvětlí, co spadá do oblasti působnosti EU, ale také to, co nespadá do její pravomoci.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97,6 %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2.2 Evropská unie by měla do svého sdělení zahrnout známé příklady z každodenního života Evropanů. Tato vysvětlení by měla být předávána v rámci členských států prostřednictvím dohod mezi evropskými orgány a vnitrostátními veřejnoprávními televizními stanicemi, aby bylo možné oslovit širokou veřejnost.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80,5 %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2.3 Kromě toho by státní příslušníci členských států měli být pravidelně – například prostřednictvím videoklipů – informováni o úloze Evropské unie v jiných členských státech. Výhody a nevýhody Evropy by tak byly lépe zohledněny v diskusích o budoucnosti Evropy.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85,7 %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2.4 Aby se posílila evropská identita, navrhujeme pravidelně připomínat a zpřístupňovat informace o tom, jaký by byl život Evropanů bez EU a jejích konkrétních úspěchů.</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92,7 %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2.5 Navrhujeme také, aby se Den Evropy (9. května) stal evropským státním svátkem pro všechny občany EU.</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81,4 %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2.6 Doporučujeme, aby evropské orgány věnovaly ještě větší pozornost zjednodušení, porozumění a dostupnosti informací o prioritních tématech projednávaných na evropské úrovni</w:t>
            </w:r>
            <w:r>
              <w:rPr/>
              <w:commentReference w:id="9"/>
            </w:r>
            <w:r>
              <w:rPr/>
              <w:t>.</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97,6 %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2.7 Doporučujeme, aby Evropská unie předložila </w:t>
            </w:r>
            <w:commentRangeStart w:id="10"/>
            <w:r>
              <w:rPr/>
              <w:t>srovnávací přehled</w:t>
            </w:r>
            <w:r>
              <w:rPr/>
            </w:r>
            <w:commentRangeEnd w:id="10"/>
            <w:r>
              <w:commentReference w:id="10"/>
            </w:r>
            <w:r>
              <w:rPr/>
              <w:t xml:space="preserve"> uvádějící pro každou zemi zdroje přidělené EU na každé prioritní téma. Všechny tyto informace by měly být přístupné z internetových stránek Evropské unie.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93,0 %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2.8 Doporučujeme, aby Evropská unie poskytla jasnou prezentaci probíhající legislativní činnosti. Všechny tyto informace by měly být přístupné z internetových stránek Evropské unie.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90,7 %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2.9 Chceme, aby evropské instituce byly pro </w:t>
            </w:r>
            <w:commentRangeStart w:id="11"/>
            <w:r>
              <w:rPr/>
              <w:t>Evropany dostupnější</w:t>
            </w:r>
            <w:r>
              <w:rPr/>
            </w:r>
            <w:commentRangeEnd w:id="11"/>
            <w:r>
              <w:commentReference w:id="11"/>
            </w:r>
            <w:r>
              <w:rPr/>
              <w:t>. Jejich účast na rozpravách na zasedáních Evropského parlamentu by měla být usnadněna.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79,0 %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2.10 Doporučujeme rozšířit účast na programu Erasmus na všechny studenty bez ohledu na jejich vzdělávací cestu (odborná technologie, střídání). Všichni by měli mít možnost účastnit se evropských výměn.</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79,5 %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2.11 Doporučujeme umožnit pracujícímu obyvatelstvu těžit z evropských výměnných programů bez ohledu na odvětví činnosti, a to i pro místní podniky. Všichni by měli mít možnost účastnit se evropských výměn.</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2.12 Doporučujeme vytvořit kurzy evropského občanství pro všechny evropské občany.</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3. Právní předpisy EU se v členských státech neuplatňují stejným způsobem.</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3.1 Doporučujeme, aby Evropská unie více využívala přímo použitelné právní předpisy v členských státech. Tím by se snížily rozdíly mezi jednotlivými státy v provádění právních předpisů EU, což oslabuje evropský projekt. To by rovněž posílilo nejdůležitější evropské úspěchy, jako je vnitřní trh, euro a Schengenský prostor.</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81,4 %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 Evropská demokracie je ohrožena.</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4.1 Doporučujeme, aby sdělení EU o evropské demokracii neúnavně a jednoznačně připomnělo, co v Evropě pro Evropany znamená.</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78,0 %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4.2 Hodnoty a zásady Smluv Evropské unie, k nimž členské státy přistoupily, jsou nezvratné. Jejich ochrana musí být i nadále zajištěna.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4.3 Ochrana hodnot a zásad Smluv</w:t>
            </w:r>
            <w:r>
              <w:rPr/>
              <w:commentReference w:id="12"/>
            </w:r>
            <w:r>
              <w:rPr/>
              <w:t xml:space="preserve"> zajišťuje Evropský soud a členské státy ji nemohou zpochybnit.</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81,0 %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5. Informace o EU nejsou snadno přístupné a obtížně srozumitelné</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5.1 Doporučujeme posílit ověřování informací o evropských otázkách. Tyto informace šířené a ověřené orgány musí být snadno přístupné evropské veřejnosti a vnitrostátním sdělovacím prostředkům každého členského státu.</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83,3 %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6. Vnitrostátní sdělovací prostředky často vyjadřují negativní obraz EU</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6.1 EU musí být také více přítomna v každodenním životě Evropanů prostřednictvím proaktivnější komunikace. (Např. sponzorováním kulturních akcí, které spojují občany a činí je hrdými na to, že jsou občany EU. Podávání zpráv a škádlení by také Evropanům umožnilo přístup k</w:t>
            </w:r>
            <w:r>
              <w:rPr/>
              <w:commentReference w:id="13"/>
            </w:r>
            <w:r>
              <w:rPr/>
              <w:t xml:space="preserve"> kontextualizovaným informacím o EU).</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85,7 %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 Občané neznají ty, kdo je zastupují v Evropském parlamentu.</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7.1 Doporučujeme, aby poslanci byli lépe známi ve svých domovských zemích, zejména mimo volební období. Musí být dostupnější. Důvody pro jejich hlasování v Evropském parlamentu musí být snadněji přístupné evropským občanům prostřednictvím internetových stránek Evropské unie.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92,7 %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7.2 Doporučujeme, aby národní politické strany zajistily omlazení kandidátů na kandidátní listiny předložené ve volbách do Evropského parlamentu. Tento mandát by neměl být považován za odměnu za dobré a loajální služby poskytované ve vnitrostátní politice.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74,4 %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 Sdělení EU je příliš jednotné; nezohledňuje rozmanitost obyvatelstva</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8.1 Aby bylo možné oslovit dostatečně široké a rozmanité publikum, doporučujeme, aby EU zohlednila prostřednictvím inkluzivní komunikace od koncepční fáze stupeň vzdělání dotčených osob a jejich případné postižení. Kromě toho doporučujeme do přenosu tohoto sdělení zapojit jednotlivce a organizace (vychovatele na ulici, agenty v sousedství, CPAS, občanskou společnost).</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73,2 %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8.2 Aby se dosáhlo pracovní síly, doporučujeme více investovat do využívání stávajících komunikačních kanálů k pravidelnému poskytování vhodných informací o EU, například prostřednictvím vysvětlujících programů. Kromě toho doporučujeme spoléhat se na velvyslance (osoby i organizace), kteří projekt EU propagují.</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8.3 Aby bylo možné oslovit mladé lidi a studenty, doporučujeme, aby vedle stávajících kanálů, jako je vzdělávání a příslušná mládežnická hnutí, byli pozváni velvyslanci, zejména pokud jde o vlivné osoby, které mohou oslovit mladé lidi prostřednictvím sociálních médií. Dalším doporučením by bylo uspořádat celoevropskou soutěž s cílem vytvořit kreslenou postavu, která bude apelovat na mladé lidi a posílat jim evropské poselství.</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69,8 %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8.4 Pro seniory doporučujeme používat stejné kanály jako ty, které jsou nabízeny pro pracovní sílu. Kromě toho doporučujeme hledat správnou rovnováhu mezi digitální a nedigitální komunikací (písemný tisk, rádio, osobní setkání) pro uspokojení potřeb každého, včetně těch, kteří jsou méně pohodlné v digitálním prostředí, stejně jako těch, kteří jsou ve společnosti méně mobilní.</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85,7 %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8.5 Doporučujeme, aby se EU prostřednictvím integračních kurzů, které již existují v mnoha členských státech, zavázala k začlenění „nových Evropanů“ (lidé, kteří prostřednictvím jednoho nebo jiného legálního imigračního řízení pobývají v EU) a mohla je informovat o ostatních tradičních kanálech, jimiž EU komunikuje. V neposlední řadě doporučujeme dát místo místnímu asociativnímu světu.</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76,7 %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8.6 Doporučujeme také vzít EU do ulic s inkluzivní komunikací. Například by mohly být použity (digitální) billboardy, stejně jako nové komunikační prostředky, jako jsou QR kódy a tradiční prostředky.</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62,8 %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8.7 Dalšími doporučeními by bylo učinit EU vizuálnější (prostřednictvím malých filmů nebo infografiky), vytvořit evropské sportovní hnutí, které by vytvořilo spojení/sounáležitost a zlepšilo povědomí o evropské hymně.</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68,2 %</w:t>
            </w:r>
          </w:p>
        </w:tc>
      </w:tr>
    </w:tbl>
    <w:p>
      <w:pPr>
        <w:pStyle w:val="Normal"/>
        <w:rPr/>
      </w:pPr>
      <w:r>
        <w:rPr/>
      </w:r>
    </w:p>
    <w:p>
      <w:pPr>
        <w:pStyle w:val="Normal"/>
        <w:rPr/>
      </w:pPr>
      <w:r>
        <w:rPr/>
        <w:t>2. Dezinformace</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204"/>
        <w:gridCol w:w="5625"/>
        <w:gridCol w:w="1816"/>
      </w:tblGrid>
      <w:tr>
        <w:trPr/>
        <w:tc>
          <w:tcPr>
            <w:tcW w:w="2204"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Problémy</w:t>
            </w:r>
          </w:p>
        </w:tc>
        <w:tc>
          <w:tcPr>
            <w:tcW w:w="562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Doporučení</w:t>
            </w:r>
          </w:p>
        </w:tc>
        <w:tc>
          <w:tcPr>
            <w:tcW w:w="181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Podpora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Riziko dezinformací je stále více přítomno v médiích</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Doporučujeme revidovat model financování sdělovacích prostředků, jakož i povinné zveřejňování zdrojů příjmů, a to jasným a přístupným způsobem. Model financování sdělovacích prostředků je přivádí k senzacionismu, a tím k publikování informací mimo kontext a přeměňují je v dezinformace.</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73,8 %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1.2 Doporučujeme povinnou citaci zdrojů ze strany médií poskytnutím odkazů na jejich ověření. V opačném případě by informace měly být označeny jako neověřené.</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90,2 %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1.3 Doporučujeme, aby Evropský regulační orgán pro boj proti dezinformacím (viz bod 2) byl rovněž odpovědný za akreditaci organizací pro ověřování informací („kontroly faktů“).</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85,4 %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1.4 Doporučujeme, aby byl v každém členském státě zřízen nezávislý orgán odpovědný za ověřování mediální neutrality. Tento orgán by měl být financován a monitorován Evropskou unií.</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75,6 %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1.5 Doporučujeme šířit informace o URL oficiálních internetových stránkách EU s cílem ujistit občany o původu informací.</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90,2 %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Mnoho občanů pochybuje o mediální neutralitě</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Doporučujeme vytvoření evropského regulačního orgánu pro boj proti dezinformacím. Úkolem tohoto regulačního orgánu by zejména bylo stanovit kritéria pro označení neutrality a případně zavést systém sankcí nebo pobídek spojených s dodržováním norem neutrality. Alternativně by mohlo být zváženo dodržování etické listiny. Označení by bylo uděleno nezávislým vnitrostátním orgánem a zohledňovalo by opatření přijatá sdělovacími prostředky v boji proti dezinformacím.</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2.2 Doporučujeme zřídit evropskou horkou linku, která by občanům umožnila odsoudit dezinformace týkající se evropských (politických a ekonomických) kompetencí.</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82,1 %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Občané si nejsou vědomi rizik dezinformací, kterým jsou vystaveni.</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Doporučujeme, aby platformy byly povinny zveřejňovat jasné a srozumitelné informace o rizicích dezinformací, kterým jsou jejich uživatelé vystaveni. Tyto informace by měly být automaticky sděleny ihned po otevření účtu.</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85,7 %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3.2 Doporučujeme povinnou odbornou přípravu v používání médií již od útlého věku a přizpůsobenou různým úrovním vzdělávacího systému.</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74,4 %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3.3 Doporučujeme, aby Evropská unie zahájila opakované kampaně o dezinformacích. Tyto kampaně mohou být identifikovány logem nebo maskotem. Evropská unie by mohla přinutit sociální sítě, aby je šířily prostřednictvím šíření spotů.</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Prostředky pro boj proti dezinformacím jsou nedostatečné.</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Doporučujeme publikovat v jasných a srozumitelných jazykových informací o algoritmech organizujících zprávy přijaté uživateli platformy.</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83,3 %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Doporučujeme uživatelům zakázat algoritmy zvyšující chování chování jednoduchým způsobem. Mohla by být rovněž přezkoumána povinnost poskytnout uživatelům přístup k jiným zdrojům hájícím různé postoje k téže problematice.</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80,0 %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Doporučujeme, aby Evropská unie podpořila vytvoření platformy sociálních médií, která by splňovala její vlastní standardy, pokud jde o neutralitu a boj proti dezinformacím. Alternativně by mohla být doplněna vícejazyčná platforma vytvořená na podporu konference o budoucnosti Evropy s novými funkcemi.</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56,4 %</w:t>
            </w:r>
          </w:p>
        </w:tc>
      </w:tr>
    </w:tbl>
    <w:p>
      <w:pPr>
        <w:pStyle w:val="Normal"/>
        <w:rPr/>
      </w:pPr>
      <w:r>
        <w:rPr/>
      </w:r>
    </w:p>
    <w:p>
      <w:pPr>
        <w:pStyle w:val="Normal"/>
        <w:rPr/>
      </w:pPr>
      <w:r>
        <w:rPr/>
        <w:t>3. Občanské panely</w:t>
      </w:r>
    </w:p>
    <w:tbl>
      <w:tblPr>
        <w:tblW w:w="9645" w:type="dxa"/>
        <w:jc w:val="left"/>
        <w:tblInd w:w="0" w:type="dxa"/>
        <w:tblBorders>
          <w:top w:val="single" w:sz="2" w:space="0" w:color="000001"/>
          <w:left w:val="single" w:sz="2" w:space="0" w:color="000001"/>
          <w:right w:val="single" w:sz="2" w:space="0" w:color="000001"/>
          <w:insideV w:val="single" w:sz="2" w:space="0" w:color="000001"/>
        </w:tblBorders>
        <w:tblCellMar>
          <w:top w:w="28" w:type="dxa"/>
          <w:left w:w="25" w:type="dxa"/>
          <w:bottom w:w="28" w:type="dxa"/>
          <w:right w:w="28" w:type="dxa"/>
        </w:tblCellMar>
      </w:tblPr>
      <w:tblGrid>
        <w:gridCol w:w="2204"/>
        <w:gridCol w:w="5790"/>
        <w:gridCol w:w="1651"/>
      </w:tblGrid>
      <w:tr>
        <w:trPr/>
        <w:tc>
          <w:tcPr>
            <w:tcW w:w="2204"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Problémy</w:t>
            </w:r>
          </w:p>
        </w:tc>
        <w:tc>
          <w:tcPr>
            <w:tcW w:w="5790"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Doporučení</w:t>
            </w:r>
          </w:p>
        </w:tc>
        <w:tc>
          <w:tcPr>
            <w:tcW w:w="1651"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Podpora (%)</w:t>
            </w:r>
          </w:p>
        </w:tc>
      </w:tr>
      <w:tr>
        <w:trPr/>
        <w:tc>
          <w:tcPr>
            <w:tcW w:w="2204" w:type="dxa"/>
            <w:vMerge w:val="restart"/>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1. Obtíže při zajištění reprezentativnosti občanského panelu. V konečném důsledku je zapojena pouze malá část obyvatelstva.</w:t>
            </w:r>
          </w:p>
        </w:tc>
        <w:tc>
          <w:tcPr>
            <w:tcW w:w="5790" w:type="dxa"/>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1.1 Doporučujeme sledovat, co nejnovější vědecká práce na deliberativní demokracii navrhuje, pokud jde o odběr vzorků, vývoj a vědeckou validaci metody výběru s cílem zajistit co nejlepší reprezentativnost.</w:t>
            </w:r>
          </w:p>
        </w:tc>
        <w:tc>
          <w:tcPr>
            <w:tcW w:w="1651" w:type="dxa"/>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89,7 %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1.2 Doporučujeme, aby byl kolem stolu dostatečný počet lidí, aby byla zajištěna rozmanitost názorů a profilů, včetně – ale nejen – lidí, kteří se tímto tématem přímo zabývají.</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90,2 %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1.3 Doporučujeme doplnit v kritériích pro odběr vzorků kritérium rodičovství (tj. zda má osoba děti?), kromě tradičnějších kritérií, jako je pohlaví, věk, místo bydliště nebo úroveň vzdělání.</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33,3 %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1.4 Doporučujeme stanovit kvóty podle zeměpisné oblasti, tj. stanovit, že panel evropských občanů musí být složen z X osob podle evropské zeměpisné oblasti (je třeba určit), aby tento panel mohl být skutečně kvalifikován jako evropský a smysluplný záměr.</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73,2 %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1.5 Doporučujeme, aby se jako primární databáze losování používaly rejstříky obyvatel (nebo jejich ekvivalent, v závislosti na zemi), aby všichni měli stejnou šanci, aby mohli být vybráni, a vyvolali zájem o předmět v rámci populace.</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70,0 %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1.6 Doporučujeme účastníkům kompenzovat jejich investice a přilákat lidi, kteří by se neúčastnili, kdyby nebyli kompenzováni.</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87,5 %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1.7 Doporučujeme informovat – minimálně: ani příliš mnoho informací, ani příliš komplikované informace – první účastníci prostřednictvím prezentací odborníků, aby se ujistili, že i lidé bez předchozích znalostí se budou cítit pohodlně účastí na diskusích.</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82,9 %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1.7.2 Doporučujeme, aby téma panelu občanů bylo sděleno předem, aby lidé věděli, o jakém tématu se zavázali diskutovat.</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78,6 %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1.8 Doporučujeme nepožadovat účast občanů.</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97,6 %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Potíže s uspořádáním panelu na evropské úrovni.</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Doporučujeme, aby se zasedání evropského panelu občanů konala v hybridním formátu (prezentační/distanční). Zapojit se mohou i lidé, kteří se nemohou fyzicky pohybovat.</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70,0 %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2.2 Doporučujeme Evropské unii, aby v zájmu snazšího přístupu a organizace delegovala organizaci občanských panelů (na evropská témata) na různé úrovně pravomocí na vnitrostátní úrovni.</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69,0 %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2.3 Doporučujeme zvolit jedno téma na panel pořádaný na evropské úrovni. To umožní všem účastníkům diskutovat o stejném tématu bez ohledu na to, odkud pocházejí v Evropě.</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80,5 %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3. Vyhněte se panelu </w:t>
              <w:br/>
              <w:t>občané nejsou odkloněni k jiným účelům, než jsou ty, které byly vyhlášeny.</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Doporučujeme, aby každý občan mohl předložit téma k diskusi, a aby toto právo nebylo vyhrazeno politickému světu nebo světu lobbistů.</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82,1 %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Doporučujeme, aby právo iniciativy bylo svěřeno Evropskému parlamentu, aby Evropský parlament definoval téma, které má být projednáno, a poté přijal texty nezbytné k tomu, aby se řídil doporučeními vyplývajícími z jednání.</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63,4 %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Obtíže při rozhodování o tom, jak nejlépe zorganizovat proces pro co nejlepší zastoupení občanů.</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4.1.1 Doporučujeme zřízení stálého občanského panelu vedle parlamentu, který přebírá konkrétní úkoly. Bude pravidelně obnovována. To by umožnilo spojit občany v dlouhodobém horizontu a získat potřebný čas na rozpravu. Čas umožňuje nuance debat a konsensu. Vedle tohoto stálého panelu diskutují panelové panely pro občany ad hoc o tématech vybraných stálým panelem. Navrhujeme řídit se vzorem německy mluvícího společenství.</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54,8 %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4.1.2 Doporučujeme zřídit pouze jeden nebo více nestálých evropských panelů občanů, které by se scházely a diskutovaly pouze po určitou dobu.</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58,5 %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4.2 Doporučujeme neorganizovat evropské panelové diskuse o naléhavých otázkách, protože je zapotřebí dostatek času k zajištění kvality diskusí.</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63,4 %</w:t>
            </w:r>
          </w:p>
        </w:tc>
      </w:tr>
      <w:tr>
        <w:trPr/>
        <w:tc>
          <w:tcPr>
            <w:tcW w:w="220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 Občané účastnící se iniciativ participativní demokracie, jako jsou občanské panely, příliš často nedostávají zpětnou vazbu o opatřeních přijatých v návaznosti na jejich práci, ať už v krátkodobém či dlouhodobém horizontu.</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5.1 Doporučujeme poskytnout občanům zpětnou vazbu k opatřením přijatým (či nikoli) v návaznosti na doporučení vydaná po panelových diskusích evropských občanů. Nejsou-li doporučení dodržována, musí zúčastněné evropské orgány uvést důvody svého rozhodnutí (např. nedostatek pravomoci). Za tímto účelem doporučujeme psát pravidelné shrnutí v průběhu celého procesu po panelu.</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97,5 %</w:t>
            </w:r>
          </w:p>
        </w:tc>
      </w:tr>
      <w:tr>
        <w:trPr/>
        <w:tc>
          <w:tcPr>
            <w:tcW w:w="220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6.1 Doporučujeme organizovat občanské panely, a to i s dětmi od útlého věku (např. 10–16 let) s cílem zvýšit povědomí o účasti a diskusi. To lze organizovat ve školách.</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59,5 %</w:t>
            </w:r>
          </w:p>
        </w:tc>
      </w:tr>
    </w:tbl>
    <w:p>
      <w:pPr>
        <w:pStyle w:val="Normal"/>
        <w:rPr/>
      </w:pPr>
      <w:r>
        <w:rPr/>
      </w:r>
    </w:p>
    <w:p>
      <w:pPr>
        <w:pStyle w:val="Normal"/>
        <w:rPr/>
      </w:pPr>
      <w:r>
        <w:rPr/>
        <w:t>4. Referenda</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160"/>
        <w:gridCol w:w="5835"/>
        <w:gridCol w:w="1650"/>
      </w:tblGrid>
      <w:tr>
        <w:trPr/>
        <w:tc>
          <w:tcPr>
            <w:tcW w:w="216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Problémy</w:t>
            </w:r>
          </w:p>
        </w:tc>
        <w:tc>
          <w:tcPr>
            <w:tcW w:w="583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Doporučení</w:t>
            </w:r>
          </w:p>
        </w:tc>
        <w:tc>
          <w:tcPr>
            <w:tcW w:w="165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Podpora (%)</w:t>
            </w:r>
          </w:p>
        </w:tc>
      </w:tr>
      <w:tr>
        <w:trPr/>
        <w:tc>
          <w:tcPr>
            <w:tcW w:w="2160"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0.1 Doporučujeme, aby se na evropské úrovni konala referenda o evropských záležitostech.</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73,3 %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Kultura referenda se v jednotlivých členských státech značně liší.</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Doporučujeme zadat výzkum, jak vytvořit společnou kulturu referenda v Evropě.</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70,7 %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1.2 Doporučujeme výzkum (nezávislí odborníci) týkající se nezbytnosti a možnosti konání referenda na určité téma na evropské úrovni</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Formulace otázky položené v referendu může mít negativní dopad, stejně jako schopnost odpovědět pouze „ano“ nebo „ne“, což často polarizuje debaty a společnosti.</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Doporučujeme zřídit vědecký výbor, který by přemýšlel o tom, jak klást otázky, které by byly předmětem evropského referenda co nejobjektivnějším způsobem.</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87,2 %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2.2 Doporučujeme klást otázky s možností výběru s více možnostmi, které přesahují jednoduchou alternativu mezi „ano“ a „ne“ s cílem přinést nuance nebo dokonce připojit podmínky k „ano“ a „ne“ (tj. „ano, pokud“, „ne if“).</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65,0 %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2.3 Doporučujeme, aby se při výpočtu většiny (prostá většina nebo absolutní většina) nezohledňovala bílá hlasování. Stále musí být dostatek hlasů (kvorum musí být respektováno).</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Volba tématu je také delikátní.</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2.4.1 Doporučujeme, aby otázka vznesená v evropském referendu spadala do působnosti jakéhokoli evropského tématu spadajícího do pravomocí Evropské unie.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2.4.2 Doporučujeme vyloučit témata, která by mohla být zdrojem konfliktu mezi členskými státy.</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39,0 %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2.5 Doporučujeme klást technické a složité otázky s jasným zněním, protože lidé mají schopnost být dostatečně informováni.</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Referendum není demokratickým nástrojem, pokud se jen politický svět může rozhodnout, že jej zorganizuje.</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Doporučujeme, aby Evropský parlament měl právo iniciativy uspořádat</w:t>
            </w:r>
            <w:r>
              <w:rPr/>
              <w:commentReference w:id="14"/>
            </w:r>
            <w:r>
              <w:rPr/>
              <w:t xml:space="preserve"> evropská referenda a aby pak mohl provést jeho výsledek (Evropská komise a Rada by měly následovat bez možnosti blokování).</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3.2 Doporučujeme, aby iniciativa pocházela i od samotných občanů (např. dodržováním pravidel podobných těm, která se vztahují na evropskou občanskou iniciativu).</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3.3 Doporučujeme, aby praktická organizace evropského referenda byla neutrálním orgánem.</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 xml:space="preserve">4. Konzultativní nebo závazný aspekt referenda musí být </w:t>
              <w:br/>
              <w:t>jasně definovaná.</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4.1.1 Doporučujeme, aby výsledek evropského referenda byl závazný pouze tehdy, jsou-li splněny určité podmínky účasti.</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92,7 %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4.1.2 Doporučujeme, aby výsledky referenda byly závazné pouze tehdy, pokud budou dosaženy určité většiny (51/49, 70/30). Tyto podmínky jsou stanoveny před každým referendem.</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72,5 %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Doporučujeme, aby výsledek evropského referenda byl závazný, pokud iniciativa jeho organizace byla přijata občany (kterým by se za tímto účelem podařilo shromáždit několik podpisů), ale indikativní, pokud iniciativu převzala politická instituce.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Doporučujeme, aby byl výsledek evropského referenda závazný pouze pro určitá témata, ale nikoli pro ty, pro které by důsledky hlasování mohly být velmi závažné.</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40,0 %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 Obyvatelstvo je často špatně informováno, než je povoláno k hlasování v referendu. Zároveň je důležité kontrolovat sdělované informace, aby se zabránilo škodlivým vlivům (vnitřní nebo zahraniční) na hlasování.</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Doporučujeme, aby byla veřejnost před jakýmkoli evropským referendem jasně informována o dopadu hlasování na svůj každodenní život, a to prostřednictvím brožur, jako je tomu ve Švýcarsku, a/nebo informačních zasedání.</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5.2 Doporučujeme zřídit pro každé evropské referendum vědecký výbor zaručující neutralitu sdělovaných informací.</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87,2 %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 Ačkoli referendum vyzývá celou populaci, aby hlasovala přímo (na rozdíl od občanského panelu), vždy existuje určitý absencí, více či méně důležitý.</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6.1.1 Doporučujeme, aby účast na hlasování v evropském referendu byla povinná.</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43,6 %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6.1.2 Doporučujeme, aby hlasování v evropském referendu bylo dobrovolné.</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52,5 %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6.2 Doporučujeme, aby bylo umožněno elektronické hlasování kromě papírového hlasování (nebo kromě jiných hlasovacích prostředků, jako je například poštovní hlasování). Elektronické hlasování je obzvláště zajímavé pro lidi, kteří jedou na dovolenou, a také povzbuzuje lidi, kteří mají menší zájem o hlasování, protože nutkání cestovat již neexistuje.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90,0 %</w:t>
            </w:r>
          </w:p>
        </w:tc>
      </w:tr>
      <w:tr>
        <w:trPr/>
        <w:tc>
          <w:tcPr>
            <w:tcW w:w="2160"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7. Příliš často občané účastnící se iniciativ participativní demokracie, jako jsou referenda,</w:t>
            </w:r>
            <w:r>
              <w:rPr/>
              <w:commentReference w:id="15"/>
            </w:r>
            <w:r>
              <w:rPr/>
              <w:t xml:space="preserve"> nedostávají návrat k následným opatřením přijatým v návaznosti na jejich hlasování, ať už v krátkodobém nebo dlouhodobém horizontu.</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7.1 Doporučujeme poskytnout občanům zpětnou vazbu k následným opatřením přijatým občany prostřednictvím evropského referenda (nebo nikoli).</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92,5 %</w:t>
            </w:r>
          </w:p>
        </w:tc>
      </w:tr>
    </w:tbl>
    <w:p>
      <w:pPr>
        <w:pStyle w:val="Normal"/>
        <w:rPr/>
      </w:pPr>
      <w:r>
        <w:rPr/>
      </w:r>
    </w:p>
    <w:p>
      <w:pPr>
        <w:pStyle w:val="Normal"/>
        <w:rPr/>
      </w:pPr>
      <w:r>
        <w:rPr/>
        <w:t>5. Stávající nástroje</w:t>
      </w:r>
    </w:p>
    <w:p>
      <w:pPr>
        <w:pStyle w:val="Normal"/>
        <w:rPr/>
      </w:pPr>
      <w:r>
        <w:rPr/>
        <w:t>5.1. Volby do Evropského parlamentu.</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867"/>
        <w:gridCol w:w="6749"/>
        <w:gridCol w:w="1022"/>
      </w:tblGrid>
      <w:tr>
        <w:trPr>
          <w:trHeight w:val="596" w:hRule="atLeast"/>
        </w:trPr>
        <w:tc>
          <w:tcPr>
            <w:tcW w:w="186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Problémy</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Doporučení</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Podpora (%)</w:t>
            </w:r>
          </w:p>
        </w:tc>
      </w:tr>
      <w:tr>
        <w:trPr/>
        <w:tc>
          <w:tcPr>
            <w:tcW w:w="1867"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V jednotlivých členských státech existují rozdíly v předpisech</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Navrhujeme, aby pro Evropský parlament existovala povinná účast na hlasování, ale s dostatečnými informacemi, které by občanům umožnily pochopit důvody.</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50,0 %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1.2 Naším doporučením je, aby volební pravidla pro Evropský parlament byla co nejvíce zavedena ve všech zemích, včetně minimálního věku.</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87,2 %</w:t>
            </w:r>
          </w:p>
        </w:tc>
      </w:tr>
      <w:tr>
        <w:trPr/>
        <w:tc>
          <w:tcPr>
            <w:tcW w:w="1867"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Neexistuje dostatečná rozmanitost, pokud jde o věk, původ a genderová kritéria poslanců Evropského parlamentu.</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2.1.1 Navrhujeme, aby poslanci Evropského parlamentu byli všech věkových kategorií a prostředí.</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82,1 %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2.1.2 Navrhujeme, aby si poslanci Evropského parlamentu zvolili úmyslně evropskou kariéru, a to nejen proto, že jsou na konci své kariéry.</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82,5 %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2.1.3 Navrhujeme zvolit vyvážené rozdělení pohlaví, například střídáním pohlaví ve volebních seznamech</w:t>
            </w:r>
            <w:r>
              <w:rPr/>
              <w:commentReference w:id="16"/>
            </w:r>
            <w:r>
              <w:rPr/>
              <w:t>. EU musí tato kritéria stanovit a ověřit, zda jsou ve složení kvóty splněna. Pokud kandidát odmítne své funkční období, nahradí jej další kandidát v pořadí podle preferencí a stejného pohlaví.</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82,5 %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2.1.4 Doporučujeme, aby kandidáti na evropských seznamech vykonávali svůj mandát, pokud budou zvoleni.</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89,2 %</w:t>
            </w:r>
          </w:p>
        </w:tc>
      </w:tr>
      <w:tr>
        <w:trPr/>
        <w:tc>
          <w:tcPr>
            <w:tcW w:w="1867"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Hlasujeme pro Evropský parlament a nemáme žádný vliv na složení výboru.</w:t>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Navrhujeme změnu Smlouvy, na jejímž základě může největší strana v Evropském parlamentu jmenovat předsedu Evropské komise.</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48,6 %</w:t>
            </w:r>
          </w:p>
        </w:tc>
      </w:tr>
      <w:tr>
        <w:trPr/>
        <w:tc>
          <w:tcPr>
            <w:tcW w:w="1867"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Doporučujeme zprůhlednit složení Evropské komise podle některých základních pravidel tak, aby složení odráželo hlas občana a aby občan věděl, jak k výběru došlo.</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88,9 %</w:t>
            </w:r>
          </w:p>
        </w:tc>
      </w:tr>
      <w:tr>
        <w:trPr/>
        <w:tc>
          <w:tcPr>
            <w:tcW w:w="18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O kandidátech není mnoho informací, moc nevíme o nich a jejich programu, stejně jako o politickém zlomku, který budou v Evropském parlamentu zastupovat.</w:t>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 Navrhujeme, aby se evropští kandidáti prezentovali na místní úrovni konkrétněji se svými cíli a programy prostřednictvím různých kanálů (sdělení).</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84,2 %</w:t>
            </w:r>
          </w:p>
        </w:tc>
      </w:tr>
    </w:tbl>
    <w:p>
      <w:pPr>
        <w:pStyle w:val="Normal"/>
        <w:rPr/>
      </w:pPr>
      <w:r>
        <w:rPr/>
      </w:r>
    </w:p>
    <w:p>
      <w:pPr>
        <w:pStyle w:val="Normal"/>
        <w:rPr/>
      </w:pPr>
      <w:r>
        <w:rPr/>
        <w:t>5.1.2 Evropský veřejný ochránce práv</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3179"/>
        <w:gridCol w:w="5431"/>
        <w:gridCol w:w="1035"/>
      </w:tblGrid>
      <w:tr>
        <w:trPr/>
        <w:tc>
          <w:tcPr>
            <w:tcW w:w="317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Problémy</w:t>
            </w:r>
          </w:p>
        </w:tc>
        <w:tc>
          <w:tcPr>
            <w:tcW w:w="5431"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Doporučení</w:t>
            </w:r>
          </w:p>
        </w:tc>
        <w:tc>
          <w:tcPr>
            <w:tcW w:w="103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Podpora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Stránky v jiných jazycích než v angličtině obsahují pouze informace v angličtině na prvních dvou stránkách. To vytváří bariéru pro občany, kteří neumí anglicky.</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Navrhujeme umístit informace na domovské stránce v jazyce každého občana a v případě, že není možné je přeložit, zveřejnit zprávy v angličtině jinde na stránkách.</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89,2 %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Veřejný ochránce práv není stranou sankce a jakékoli náhrady pro stěžovatele</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Navrhujeme, aby veřejný ochránce práv byl součástí procesu hledání a provádění řešení/sankce/kompenzace a aby měl v této věci hlas.</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71,1 %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Termín je někdy velmi dlouhý pro validaci registrace na místě (potvrzovací e-mail) Někdy trvá 24 hodin a demotivní občan, který se přesune na něco jiného.</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Navrhujeme zavedení okamžitého validačního systému.</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47,4 %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Při podání stížnosti je položena otázka: využili jste všechny možné postupy? Občan ne vždy zná všechny postupy a nemůže odpovědět na otázku.</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Navrhujeme zahrnout odkaz na jednoduchou prezentaci/vysvětlení jiných postupů</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89,5 %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w:t>
            </w:r>
            <w:r>
              <w:rPr/>
              <w:commentReference w:id="17"/>
            </w:r>
            <w:r>
              <w:rPr/>
              <w:t>. Internetové stránky veřejného ochránce práv jsou dobře provedeny, ale nemají jasnou evropskou image, což vede k otázkám pro občany (já jsem na správném místě, je to důvěryhodné? ...).</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Navrhujeme přezkoumat grafickou chartu lokality a více ji sladit s chartou EU (první doporučení: zvedněte evropskou vlajku na horní stranu stránky). Při prvním kliknutí musí být jasné, že občan je na internetových stránkách veřejného ochránce práv orgánů.</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78,4 %</w:t>
            </w:r>
          </w:p>
        </w:tc>
      </w:tr>
    </w:tbl>
    <w:p>
      <w:pPr>
        <w:pStyle w:val="Normal"/>
        <w:rPr/>
      </w:pPr>
      <w:r>
        <w:rPr/>
      </w:r>
    </w:p>
    <w:p>
      <w:pPr>
        <w:pStyle w:val="Normal"/>
        <w:rPr/>
      </w:pPr>
      <w:r>
        <w:rPr/>
        <w:t>5.1.3 Veřejná konzultace</w:t>
      </w:r>
      <w:r>
        <w:rPr/>
        <w:commentReference w:id="18"/>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3211"/>
        <w:gridCol w:w="5398"/>
        <w:gridCol w:w="1036"/>
      </w:tblGrid>
      <w:tr>
        <w:trPr/>
        <w:tc>
          <w:tcPr>
            <w:tcW w:w="3211"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Problémy</w:t>
            </w:r>
          </w:p>
        </w:tc>
        <w:tc>
          <w:tcPr>
            <w:tcW w:w="5398"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Doporučení</w:t>
            </w:r>
          </w:p>
        </w:tc>
        <w:tc>
          <w:tcPr>
            <w:tcW w:w="103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Podpora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Internetové stránky konzultací se změnily a občan je v prvním stupni odeslán na zastaralé stránky. Musíte hledat, abyste našli adresu nového webu.</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Navrhujeme odstranit starý web a nejprve odkazovat na nový web.</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Plán (angličtina) a názory (jazyk občanského redaktora) konzultace nejsou přeloženy do jazyka občanského čtenáře.</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Důrazně doporučujeme přeložit plán do jazyka občanů. Cestovní mapa v angličtině blokuje každého občana, který</w:t>
            </w:r>
            <w:r>
              <w:rPr/>
              <w:commentReference w:id="19"/>
            </w:r>
            <w:r>
              <w:rPr/>
              <w:t xml:space="preserve"> ve své účasti nezvládáangličtinu.</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 xml:space="preserve">2.2. Navrhujeme dát záložku/ikon „automatizovaný překlad“ na každé recenzi, která se připojuje k open source překladu, jako je </w:t>
            </w:r>
            <w:commentRangeStart w:id="20"/>
            <w:r>
              <w:rPr/>
              <w:t>Google Translate nebo DeepL.</w:t>
            </w:r>
            <w:commentRangeEnd w:id="20"/>
            <w:r>
              <w:commentReference w:id="20"/>
            </w:r>
            <w:r>
              <w:rPr/>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65,8 %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Musíte se přihlásit k následným konzultacím</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Navrhujeme odeslat sledování procesu automaticky každému, kdo reagoval, s možností odhlásit se.</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89,5 %</w:t>
            </w:r>
          </w:p>
        </w:tc>
      </w:tr>
      <w:tr>
        <w:trPr/>
        <w:tc>
          <w:tcPr>
            <w:tcW w:w="3211"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Nevíme, zda počet názorů v určitém smyslu ovlivňuje komisi, nebo zda jsou podobná stanoviska přijímána jako jediné stanovisko (váha či ne). Pokud se počet názorů v určitém smyslu počítá, jsme znepokojeni významem lobbistů/aktivistů/velkých společností při konzultacích a de facto opatřeními, která EU přijala vůči občanům a sdružujícímu světu.</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Doporučujeme uvést na webu jasné informace o tom.</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V případě, že počet stanovisek v jednom směru má dopad, doporučujeme vytvořit systém, který bude schopen filtrovat lobbisty/aktivisty/velké společnosti atd., aby jim nepřinesl nepřiměřenou váhu.</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60,5 %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Doporučujeme vytvořit software umělé inteligence, který řadí různé recenze a počítá protichůdné nebo příznivé recenze.</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47,4 %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4.4. Navrhujeme uspořádat relé mezi občany a sdruženími (militanty): mít místa, kam by občané mohli přijít a vyjádřit své názory ve formě „evropských domů“, které by mohly pomoci šířit názory občanů na evropskou úroveň. Tato místa by měla být zřízena na různých místech na místní úrovni a měla by být přemístěna.</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62,2 %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 Formulář oznámení není jasný: je tu otevřená otázka a dotazník. Jaká je role každého dokumentu, co by mělo být dokončeno?</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Upřesněte tyto informace na webu.</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 Existuje příliš mnoho úrovní dovedností, pokud jde o nástroje</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 Navrhujeme vytvořit dispečerské středisko, které umožní směrovat žádosti na příslušnou úroveň úřadu.</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78,9 %</w:t>
            </w:r>
          </w:p>
        </w:tc>
      </w:tr>
    </w:tbl>
    <w:p>
      <w:pPr>
        <w:pStyle w:val="Normal"/>
        <w:rPr/>
      </w:pPr>
      <w:r>
        <w:rPr/>
      </w:r>
    </w:p>
    <w:p>
      <w:pPr>
        <w:pStyle w:val="Normal"/>
        <w:rPr/>
      </w:pPr>
      <w:r>
        <w:rPr/>
        <w:t>5.1.4 Evropská občanská iniciativa</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2190"/>
        <w:gridCol w:w="6375"/>
        <w:gridCol w:w="1080"/>
      </w:tblGrid>
      <w:tr>
        <w:trPr>
          <w:trHeight w:val="596"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Problémy</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Doporučení</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Podpora (%)</w:t>
            </w:r>
          </w:p>
        </w:tc>
      </w:tr>
      <w:tr>
        <w:trPr>
          <w:trHeight w:val="1481"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Občané, kteří nemají internet, jsou obtížněji dosažitelní.</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Navrhujeme, aby místní orgány nebo knihovny, které jsou nezávislé na vládě, mohly být zapojeny do šíření této iniciativy a shromažďování podpisů. A to jak elektronicky, tak na papíře. EU by měla tuto síť vyhodnotit podle jednotlivých zemí a zpřístupnit ji iniciátorům.</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71,1 %</w:t>
            </w:r>
          </w:p>
        </w:tc>
      </w:tr>
      <w:tr>
        <w:trPr>
          <w:trHeight w:val="1481"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Počet zemí, které se musí zúčastnit, je příliš malý na to, aby získal dostatečnou podporu.</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Navrhujeme zvýšit počet zemí, z nichž jsou shromažďovány podpisy, na 13 zemí s cílem získat větší podporu návrhu. Počet podpisů musí být respektován v poměru k počtu obyvatel.</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64,9 %</w:t>
            </w:r>
          </w:p>
        </w:tc>
      </w:tr>
      <w:tr>
        <w:trPr>
          <w:trHeight w:val="596" w:hRule="atLeast"/>
        </w:trPr>
        <w:tc>
          <w:tcPr>
            <w:tcW w:w="2190"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Náklady a úsilí o sběr podpisů jsou vysoké</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Navrhujeme, aby byly k dispozici finanční prostředky EU na podporu těchto iniciativ.</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71,1 %</w:t>
            </w:r>
          </w:p>
        </w:tc>
      </w:tr>
      <w:tr>
        <w:trPr>
          <w:trHeight w:val="596" w:hRule="atLeast"/>
        </w:trPr>
        <w:tc>
          <w:tcPr>
            <w:tcW w:w="2190"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Navrhujeme, aby byl zřízen orgán, který by usnadnil koordinaci mezi různými zeměmi.</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75,7 %</w:t>
            </w:r>
          </w:p>
        </w:tc>
      </w:tr>
      <w:tr>
        <w:trPr>
          <w:trHeight w:val="596" w:hRule="atLeast"/>
        </w:trPr>
        <w:tc>
          <w:tcPr>
            <w:tcW w:w="21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Tento postup je pro občany složitý.</w:t>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 Navrhujeme zřídit asistenční službu, která pomůže občanům dokončit proces.</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83,8 %</w:t>
            </w:r>
          </w:p>
        </w:tc>
      </w:tr>
      <w:tr>
        <w:trPr>
          <w:trHeight w:val="596" w:hRule="atLeast"/>
        </w:trPr>
        <w:tc>
          <w:tcPr>
            <w:tcW w:w="2190"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 Výsledek občanské iniciativy je nejasný.</w:t>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5.1 Navrhujeme, aby Evropská komise projednala a pracovala na opatřeních navazujících na návrh, a nikoli pouze odpověděla a potvrdila přijetí. Pokud se Komise rozhodne nejednat podle návrhu, musí to odůvodnit.</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100,0 %</w:t>
            </w:r>
          </w:p>
        </w:tc>
      </w:tr>
      <w:tr>
        <w:trPr>
          <w:trHeight w:val="596" w:hRule="atLeast"/>
        </w:trPr>
        <w:tc>
          <w:tcPr>
            <w:tcW w:w="2190"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5.2 Navrhujeme uspořádat konzultace s občany při přijímání evropské občanské iniciativy s cílem požádat je o stanovisko k této iniciativě dříve, než ji výbor bude monitorovat. To by se vyhnulo pouze extrémním názorům/hlasům pro iniciativu a názorům lidí, kteří nepodepsali. Kromě toho, pokud všichni občané vyjádří svůj názor, bude mít návrh větší váhu na úrovni EU a jeho následná opatření.</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55,3 %</w:t>
            </w:r>
          </w:p>
        </w:tc>
      </w:tr>
    </w:tbl>
    <w:p>
      <w:pPr>
        <w:pStyle w:val="Normal"/>
        <w:rPr/>
      </w:pPr>
      <w:r>
        <w:rPr/>
      </w:r>
    </w:p>
    <w:p>
      <w:pPr>
        <w:pStyle w:val="Normal"/>
        <w:rPr/>
      </w:pPr>
      <w:r>
        <w:rPr/>
        <w:t>5.1.5 Právo na petici</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3276"/>
        <w:gridCol w:w="5168"/>
        <w:gridCol w:w="1201"/>
      </w:tblGrid>
      <w:tr>
        <w:trPr>
          <w:trHeight w:val="3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Problémy</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Doporučení</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Podpora (%)</w:t>
            </w:r>
          </w:p>
        </w:tc>
      </w:tr>
      <w:tr>
        <w:trPr>
          <w:trHeight w:val="6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Evropská komise má konečné rozhodnutí, neexistuje žádná jistota ohledně výsledku</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Navrhujeme, aby se výbor řídil doporučením Evropského parlamentu.</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81,1 %</w:t>
            </w:r>
          </w:p>
        </w:tc>
      </w:tr>
      <w:tr>
        <w:trPr>
          <w:trHeight w:val="941"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V procesu a motivaci rozhodnutí existuje jen málo transparentnosti.</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Navrhujeme pravidelně informovat osobu podávající petici o pokroku a rozhodnutích. Konečný závěr musí být rovněž odůvodněn.</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94,4 %</w:t>
            </w:r>
          </w:p>
        </w:tc>
      </w:tr>
      <w:tr>
        <w:trPr>
          <w:trHeight w:val="6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Pro občany je obtížné prokázat potřebu nových právních předpisů.</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Naším doporučením je, aby petice byla rovněž použita jako nástroj k prokázání potřeby nových právních předpisů.</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78,4 %</w:t>
            </w:r>
          </w:p>
        </w:tc>
      </w:tr>
    </w:tbl>
    <w:p>
      <w:pPr>
        <w:pStyle w:val="Normal"/>
        <w:rPr/>
      </w:pPr>
      <w:r>
        <w:rPr/>
      </w:r>
    </w:p>
    <w:p>
      <w:pPr>
        <w:pStyle w:val="Normal"/>
        <w:rPr/>
      </w:pPr>
      <w:r>
        <w:rPr/>
      </w:r>
    </w:p>
    <w:p>
      <w:pPr>
        <w:pStyle w:val="Normal"/>
        <w:rPr/>
      </w:pPr>
      <w:r>
        <w:rPr/>
      </w:r>
      <w:r>
        <w:br w:type="page"/>
      </w:r>
    </w:p>
    <w:p>
      <w:pPr>
        <w:pStyle w:val="Titre1"/>
        <w:numPr>
          <w:ilvl w:val="0"/>
          <w:numId w:val="2"/>
        </w:numPr>
        <w:rPr/>
      </w:pPr>
      <w:bookmarkStart w:id="206" w:name="__RefHeading___Toc297349_1346298689"/>
      <w:bookmarkEnd w:id="206"/>
      <w:r>
        <w:rPr/>
        <w:t>II B Národní panely: Francie</w:t>
      </w:r>
    </w:p>
    <w:p>
      <w:pPr>
        <w:pStyle w:val="Normal"/>
        <w:spacing w:before="15880" w:after="57"/>
        <w:rPr/>
      </w:pPr>
      <w:r>
        <w:rPr/>
        <mc:AlternateContent>
          <mc:Choice Requires="wps">
            <w:drawing>
              <wp:anchor behindDoc="0" distT="72390" distB="72390" distL="72390" distR="72390" simplePos="0" locked="0" layoutInCell="1" allowOverlap="1" relativeHeight="39">
                <wp:simplePos x="0" y="0"/>
                <wp:positionH relativeFrom="column">
                  <wp:posOffset>914400</wp:posOffset>
                </wp:positionH>
                <wp:positionV relativeFrom="paragraph">
                  <wp:posOffset>5288280</wp:posOffset>
                </wp:positionV>
                <wp:extent cx="4782820" cy="1020445"/>
                <wp:effectExtent l="0" t="0" r="0" b="0"/>
                <wp:wrapTopAndBottom/>
                <wp:docPr id="75" name="Rámec14"/>
                <a:graphic xmlns:a="http://schemas.openxmlformats.org/drawingml/2006/main">
                  <a:graphicData uri="http://schemas.microsoft.com/office/word/2010/wordprocessingShape">
                    <wps:wsp>
                      <wps:cNvSpPr/>
                      <wps:spPr>
                        <a:xfrm>
                          <a:off x="0" y="0"/>
                          <a:ext cx="4782240" cy="1019880"/>
                        </a:xfrm>
                        <a:prstGeom prst="rect">
                          <a:avLst/>
                        </a:prstGeom>
                        <a:solidFill>
                          <a:srgbClr val="eeeeee">
                            <a:alpha val="50000"/>
                          </a:srgbClr>
                        </a:solidFill>
                        <a:ln>
                          <a:noFill/>
                        </a:ln>
                      </wps:spPr>
                      <wps:style>
                        <a:lnRef idx="0"/>
                        <a:fillRef idx="0"/>
                        <a:effectRef idx="0"/>
                        <a:fontRef idx="minor"/>
                      </wps:style>
                      <wps:txbx>
                        <w:txbxContent>
                          <w:p>
                            <w:pPr>
                              <w:pStyle w:val="P68B1DB1Contenudecadre22"/>
                              <w:spacing w:before="57" w:after="57"/>
                              <w:rPr>
                                <w:color w:val="FFFFFF"/>
                              </w:rPr>
                            </w:pPr>
                            <w:r>
                              <w:rPr/>
                              <w:t xml:space="preserve">Tento dokument je souhrnem zprávy „Příspěvek občanů ke konferenci o budoucnosti Evropy“, kterou uspořádala Francie. Úplné znění zprávy ve francouzštině je k dispozici na následujícím odkazu: </w:t>
                            </w:r>
                          </w:p>
                          <w:p>
                            <w:pPr>
                              <w:pStyle w:val="Contenudecadre"/>
                              <w:spacing w:before="57" w:after="57"/>
                              <w:rPr/>
                            </w:pPr>
                            <w:hyperlink r:id="rId85">
                              <w:r>
                                <w:rPr>
                                  <w:rStyle w:val="LienInternet"/>
                                </w:rPr>
                                <w:t>https://participation-citoyenne.gouv.fr/sites/default/files/2021-11/20211126%20-%20COFE%20-%20Rapport%20final.pdf</w:t>
                              </w:r>
                            </w:hyperlink>
                            <w:r>
                              <w:rPr>
                                <w:color w:val="FFFFFF"/>
                              </w:rPr>
                              <w:t xml:space="preserve"> </w:t>
                            </w:r>
                          </w:p>
                        </w:txbxContent>
                      </wps:txbx>
                      <wps:bodyPr lIns="54000" rIns="54000" tIns="54000" bIns="54000">
                        <a:noAutofit/>
                      </wps:bodyPr>
                    </wps:wsp>
                  </a:graphicData>
                </a:graphic>
              </wp:anchor>
            </w:drawing>
          </mc:Choice>
          <mc:Fallback>
            <w:pict>
              <v:rect id="shape_0" ID="Rámec14" fillcolor="#eeeeee" stroked="f" style="position:absolute;margin-left:72pt;margin-top:416.4pt;width:376.5pt;height:80.25pt">
                <w10:wrap type="square"/>
                <v:fill o:detectmouseclick="t" type="solid" color2="#111111" opacity="0.5"/>
                <v:stroke color="#3465a4" joinstyle="round" endcap="flat"/>
                <v:textbox>
                  <w:txbxContent>
                    <w:p>
                      <w:pPr>
                        <w:pStyle w:val="P68B1DB1Contenudecadre22"/>
                        <w:spacing w:before="57" w:after="57"/>
                        <w:rPr>
                          <w:color w:val="FFFFFF"/>
                        </w:rPr>
                      </w:pPr>
                      <w:r>
                        <w:rPr/>
                        <w:t xml:space="preserve">Tento dokument je souhrnem zprávy „Příspěvek občanů ke konferenci o budoucnosti Evropy“, kterou uspořádala Francie. Úplné znění zprávy ve francouzštině je k dispozici na následujícím odkazu: </w:t>
                      </w:r>
                    </w:p>
                    <w:p>
                      <w:pPr>
                        <w:pStyle w:val="Contenudecadre"/>
                        <w:spacing w:before="57" w:after="57"/>
                        <w:rPr/>
                      </w:pPr>
                      <w:hyperlink r:id="rId86">
                        <w:r>
                          <w:rPr>
                            <w:rStyle w:val="LienInternet"/>
                          </w:rPr>
                          <w:t>https://participation-citoyenne.gouv.fr/sites/default/files/2021-11/20211126%20-%20COFE%20-%20Rapport%20final.pdf</w:t>
                        </w:r>
                      </w:hyperlink>
                      <w:r>
                        <w:rPr>
                          <w:color w:val="FFFFFF"/>
                        </w:rPr>
                        <w:t xml:space="preserve"> </w:t>
                      </w:r>
                    </w:p>
                  </w:txbxContent>
                </v:textbox>
              </v:rect>
            </w:pict>
          </mc:Fallback>
        </mc:AlternateContent>
        <w:drawing>
          <wp:anchor behindDoc="0" distT="0" distB="0" distL="0" distR="0" simplePos="0" locked="0" layoutInCell="1" allowOverlap="1" relativeHeight="34">
            <wp:simplePos x="0" y="0"/>
            <wp:positionH relativeFrom="column">
              <wp:align>center</wp:align>
            </wp:positionH>
            <wp:positionV relativeFrom="paragraph">
              <wp:posOffset>635</wp:posOffset>
            </wp:positionV>
            <wp:extent cx="5443855" cy="6813550"/>
            <wp:effectExtent l="0" t="0" r="0" b="0"/>
            <wp:wrapTopAndBottom/>
            <wp:docPr id="77" name="Fotografie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Fotografie33" descr=""/>
                    <pic:cNvPicPr>
                      <a:picLocks noChangeAspect="1" noChangeArrowheads="1"/>
                    </pic:cNvPicPr>
                  </pic:nvPicPr>
                  <pic:blipFill>
                    <a:blip r:embed="rId87"/>
                    <a:stretch>
                      <a:fillRect/>
                    </a:stretch>
                  </pic:blipFill>
                  <pic:spPr bwMode="auto">
                    <a:xfrm>
                      <a:off x="0" y="0"/>
                      <a:ext cx="5443855" cy="6813550"/>
                    </a:xfrm>
                    <a:prstGeom prst="rect">
                      <a:avLst/>
                    </a:prstGeom>
                  </pic:spPr>
                </pic:pic>
              </a:graphicData>
            </a:graphic>
          </wp:anchor>
        </w:drawing>
        <w:drawing>
          <wp:anchor behindDoc="0" distT="0" distB="0" distL="0" distR="0" simplePos="0" locked="0" layoutInCell="1" allowOverlap="1" relativeHeight="35">
            <wp:simplePos x="0" y="0"/>
            <wp:positionH relativeFrom="column">
              <wp:posOffset>5186680</wp:posOffset>
            </wp:positionH>
            <wp:positionV relativeFrom="paragraph">
              <wp:posOffset>6484620</wp:posOffset>
            </wp:positionV>
            <wp:extent cx="838200" cy="485775"/>
            <wp:effectExtent l="0" t="0" r="0" b="0"/>
            <wp:wrapSquare wrapText="largest"/>
            <wp:docPr id="78" name="Obrázek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Obrázek38" descr=""/>
                    <pic:cNvPicPr>
                      <a:picLocks noChangeAspect="1" noChangeArrowheads="1"/>
                    </pic:cNvPicPr>
                  </pic:nvPicPr>
                  <pic:blipFill>
                    <a:blip r:embed="rId88"/>
                    <a:stretch>
                      <a:fillRect/>
                    </a:stretch>
                  </pic:blipFill>
                  <pic:spPr bwMode="auto">
                    <a:xfrm>
                      <a:off x="0" y="0"/>
                      <a:ext cx="838200" cy="485775"/>
                    </a:xfrm>
                    <a:prstGeom prst="rect">
                      <a:avLst/>
                    </a:prstGeom>
                  </pic:spPr>
                </pic:pic>
              </a:graphicData>
            </a:graphic>
          </wp:anchor>
        </w:drawing>
        <w:drawing>
          <wp:anchor behindDoc="0" distT="0" distB="0" distL="0" distR="0" simplePos="0" locked="0" layoutInCell="1" allowOverlap="1" relativeHeight="36">
            <wp:simplePos x="0" y="0"/>
            <wp:positionH relativeFrom="column">
              <wp:posOffset>3897630</wp:posOffset>
            </wp:positionH>
            <wp:positionV relativeFrom="paragraph">
              <wp:posOffset>6478270</wp:posOffset>
            </wp:positionV>
            <wp:extent cx="1212850" cy="419100"/>
            <wp:effectExtent l="0" t="0" r="0" b="0"/>
            <wp:wrapSquare wrapText="largest"/>
            <wp:docPr id="79" name="Fotografie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Fotografie37" descr=""/>
                    <pic:cNvPicPr>
                      <a:picLocks noChangeAspect="1" noChangeArrowheads="1"/>
                    </pic:cNvPicPr>
                  </pic:nvPicPr>
                  <pic:blipFill>
                    <a:blip r:embed="rId89"/>
                    <a:stretch>
                      <a:fillRect/>
                    </a:stretch>
                  </pic:blipFill>
                  <pic:spPr bwMode="auto">
                    <a:xfrm>
                      <a:off x="0" y="0"/>
                      <a:ext cx="1212850" cy="419100"/>
                    </a:xfrm>
                    <a:prstGeom prst="rect">
                      <a:avLst/>
                    </a:prstGeom>
                  </pic:spPr>
                </pic:pic>
              </a:graphicData>
            </a:graphic>
          </wp:anchor>
        </w:drawing>
        <w:drawing>
          <wp:anchor behindDoc="0" distT="0" distB="0" distL="0" distR="0" simplePos="0" locked="0" layoutInCell="1" allowOverlap="1" relativeHeight="37">
            <wp:simplePos x="0" y="0"/>
            <wp:positionH relativeFrom="column">
              <wp:posOffset>2844800</wp:posOffset>
            </wp:positionH>
            <wp:positionV relativeFrom="paragraph">
              <wp:posOffset>6459220</wp:posOffset>
            </wp:positionV>
            <wp:extent cx="1007745" cy="490855"/>
            <wp:effectExtent l="0" t="0" r="0" b="0"/>
            <wp:wrapSquare wrapText="largest"/>
            <wp:docPr id="80" name="Foto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Foto36" descr=""/>
                    <pic:cNvPicPr>
                      <a:picLocks noChangeAspect="1" noChangeArrowheads="1"/>
                    </pic:cNvPicPr>
                  </pic:nvPicPr>
                  <pic:blipFill>
                    <a:blip r:embed="rId90"/>
                    <a:stretch>
                      <a:fillRect/>
                    </a:stretch>
                  </pic:blipFill>
                  <pic:spPr bwMode="auto">
                    <a:xfrm>
                      <a:off x="0" y="0"/>
                      <a:ext cx="1007745" cy="490855"/>
                    </a:xfrm>
                    <a:prstGeom prst="rect">
                      <a:avLst/>
                    </a:prstGeom>
                  </pic:spPr>
                </pic:pic>
              </a:graphicData>
            </a:graphic>
          </wp:anchor>
        </w:drawing>
        <w:drawing>
          <wp:anchor behindDoc="0" distT="0" distB="0" distL="0" distR="0" simplePos="0" locked="0" layoutInCell="1" allowOverlap="1" relativeHeight="38">
            <wp:simplePos x="0" y="0"/>
            <wp:positionH relativeFrom="column">
              <wp:posOffset>1290955</wp:posOffset>
            </wp:positionH>
            <wp:positionV relativeFrom="paragraph">
              <wp:posOffset>6459220</wp:posOffset>
            </wp:positionV>
            <wp:extent cx="1554480" cy="240030"/>
            <wp:effectExtent l="0" t="0" r="0" b="0"/>
            <wp:wrapSquare wrapText="largest"/>
            <wp:docPr id="81" name="Fotografie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Fotografie34" descr=""/>
                    <pic:cNvPicPr>
                      <a:picLocks noChangeAspect="1" noChangeArrowheads="1"/>
                    </pic:cNvPicPr>
                  </pic:nvPicPr>
                  <pic:blipFill>
                    <a:blip r:embed="rId91"/>
                    <a:stretch>
                      <a:fillRect/>
                    </a:stretch>
                  </pic:blipFill>
                  <pic:spPr bwMode="auto">
                    <a:xfrm>
                      <a:off x="0" y="0"/>
                      <a:ext cx="1554480" cy="240030"/>
                    </a:xfrm>
                    <a:prstGeom prst="rect">
                      <a:avLst/>
                    </a:prstGeom>
                  </pic:spPr>
                </pic:pic>
              </a:graphicData>
            </a:graphic>
          </wp:anchor>
        </w:drawing>
        <w:drawing>
          <wp:anchor behindDoc="0" distT="0" distB="0" distL="0" distR="0" simplePos="0" locked="0" layoutInCell="1" allowOverlap="1" relativeHeight="56">
            <wp:simplePos x="0" y="0"/>
            <wp:positionH relativeFrom="column">
              <wp:posOffset>-47625</wp:posOffset>
            </wp:positionH>
            <wp:positionV relativeFrom="paragraph">
              <wp:posOffset>6496050</wp:posOffset>
            </wp:positionV>
            <wp:extent cx="1281430" cy="614680"/>
            <wp:effectExtent l="0" t="0" r="0" b="0"/>
            <wp:wrapSquare wrapText="largest"/>
            <wp:docPr id="82" name="Obrázek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Obrázek35" descr=""/>
                    <pic:cNvPicPr>
                      <a:picLocks noChangeAspect="1" noChangeArrowheads="1"/>
                    </pic:cNvPicPr>
                  </pic:nvPicPr>
                  <pic:blipFill>
                    <a:blip r:embed="rId92"/>
                    <a:stretch>
                      <a:fillRect/>
                    </a:stretch>
                  </pic:blipFill>
                  <pic:spPr bwMode="auto">
                    <a:xfrm>
                      <a:off x="0" y="0"/>
                      <a:ext cx="1281430" cy="614680"/>
                    </a:xfrm>
                    <a:prstGeom prst="rect">
                      <a:avLst/>
                    </a:prstGeom>
                  </pic:spPr>
                </pic:pic>
              </a:graphicData>
            </a:graphic>
          </wp:anchor>
        </w:drawing>
      </w:r>
    </w:p>
    <w:p>
      <w:pPr>
        <w:pStyle w:val="Normal"/>
        <w:widowControl w:val="false"/>
        <w:spacing w:lineRule="exact" w:line="388" w:before="80" w:after="0"/>
        <w:ind w:left="0" w:right="0" w:hanging="0"/>
        <w:jc w:val="left"/>
        <w:rPr>
          <w:rFonts w:ascii="Times New Roman" w:hAnsi="Times New Roman"/>
          <w:color w:val="000000"/>
          <w:sz w:val="24"/>
        </w:rPr>
      </w:pPr>
      <w:r>
        <w:rPr>
          <w:rFonts w:ascii="Times New Roman" w:hAnsi="Times New Roman"/>
          <w:color w:val="000000"/>
          <w:sz w:val="24"/>
        </w:rPr>
      </w:r>
      <w:r>
        <w:br w:type="page"/>
      </w:r>
    </w:p>
    <w:sdt>
      <w:sdtPr>
        <w:docPartObj>
          <w:docPartGallery w:val="Table of Contents"/>
          <w:docPartUnique w:val="true"/>
        </w:docPartObj>
      </w:sdtPr>
      <w:sdtContent>
        <w:p>
          <w:pPr>
            <w:pStyle w:val="TOAHeading"/>
            <w:suppressLineNumbers/>
            <w:ind w:left="0" w:right="0" w:hanging="0"/>
            <w:rPr/>
          </w:pPr>
          <w:r>
            <w:rPr/>
            <w:t>Shrnutí</w:t>
          </w:r>
        </w:p>
        <w:p>
          <w:pPr>
            <w:pStyle w:val="Tabledesmatiresniveau1"/>
            <w:rPr/>
          </w:pPr>
          <w:r>
            <w:fldChar w:fldCharType="begin"/>
          </w:r>
          <w:r>
            <w:rPr>
              <w:rStyle w:val="Sautdindex"/>
            </w:rPr>
            <w:instrText> TOC \f \o "1-3" \h</w:instrText>
          </w:r>
          <w:r>
            <w:rPr>
              <w:rStyle w:val="Sautdindex"/>
            </w:rPr>
            <w:fldChar w:fldCharType="separate"/>
          </w:r>
          <w:hyperlink w:anchor="__RefHeading___Toc297349_1346298689">
            <w:r>
              <w:rPr>
                <w:rStyle w:val="Sautdindex"/>
              </w:rPr>
              <w:t>II B Panels nationaux : France</w:t>
              <w:tab/>
              <w:t>192</w:t>
            </w:r>
          </w:hyperlink>
        </w:p>
        <w:p>
          <w:pPr>
            <w:pStyle w:val="Tabledesmatiresniveau2"/>
            <w:tabs>
              <w:tab w:val="right" w:pos="9638" w:leader="dot"/>
            </w:tabs>
            <w:rPr/>
          </w:pPr>
          <w:hyperlink w:anchor="__RefHeading___Toc300448_1346298689">
            <w:r>
              <w:rPr>
                <w:rStyle w:val="Sautdindex"/>
              </w:rPr>
              <w:t>Introduction</w:t>
              <w:tab/>
              <w:t>194</w:t>
            </w:r>
          </w:hyperlink>
        </w:p>
        <w:p>
          <w:pPr>
            <w:pStyle w:val="Tabledesmatiresniveau2"/>
            <w:tabs>
              <w:tab w:val="right" w:pos="9638" w:leader="dot"/>
            </w:tabs>
            <w:rPr/>
          </w:pPr>
          <w:hyperlink w:anchor="__RefHeading___Toc300450_1346298689">
            <w:r>
              <w:rPr>
                <w:rStyle w:val="Sautdindex"/>
              </w:rPr>
              <w:t>Présentation des principaux résultats</w:t>
              <w:tab/>
              <w:t>197</w:t>
            </w:r>
          </w:hyperlink>
        </w:p>
        <w:p>
          <w:pPr>
            <w:pStyle w:val="Tabledesmatiresniveau2"/>
            <w:tabs>
              <w:tab w:val="right" w:pos="9638" w:leader="dot"/>
            </w:tabs>
            <w:rPr/>
          </w:pPr>
          <w:hyperlink w:anchor="__RefHeading___Toc300452_1346298689">
            <w:r>
              <w:rPr>
                <w:rStyle w:val="Sautdindex"/>
              </w:rPr>
              <w:t>Présentation des panels des conférences régionales</w:t>
              <w:tab/>
              <w:t>199</w:t>
            </w:r>
          </w:hyperlink>
        </w:p>
        <w:p>
          <w:pPr>
            <w:pStyle w:val="Tabledesmatiresniveau2"/>
            <w:tabs>
              <w:tab w:val="right" w:pos="9638" w:leader="dot"/>
            </w:tabs>
            <w:rPr/>
          </w:pPr>
          <w:hyperlink w:anchor="__RefHeading___Toc300454_1346298689">
            <w:r>
              <w:rPr>
                <w:rStyle w:val="Sautdindex"/>
              </w:rPr>
              <w:t>Engagements et partis pris méthodologiques</w:t>
              <w:tab/>
              <w:t>201</w:t>
            </w:r>
          </w:hyperlink>
        </w:p>
        <w:p>
          <w:pPr>
            <w:pStyle w:val="Tabledesmatiresniveau2"/>
            <w:tabs>
              <w:tab w:val="right" w:pos="9638" w:leader="dot"/>
            </w:tabs>
            <w:rPr/>
          </w:pPr>
          <w:hyperlink w:anchor="__RefHeading___Toc300456_1346298689">
            <w:r>
              <w:rPr>
                <w:rStyle w:val="Sautdindex"/>
              </w:rPr>
              <w:t>Première partie: présentation des résultats des conférences régionales sur l’avenir de l’Europe</w:t>
              <w:tab/>
              <w:t>207</w:t>
            </w:r>
          </w:hyperlink>
        </w:p>
        <w:p>
          <w:pPr>
            <w:pStyle w:val="Tabledesmatiresniveau2"/>
            <w:tabs>
              <w:tab w:val="right" w:pos="9638" w:leader="dot"/>
            </w:tabs>
            <w:rPr/>
          </w:pPr>
          <w:hyperlink w:anchor="__RefHeading___Toc297351_1346298689">
            <w:r>
              <w:rPr>
                <w:rStyle w:val="Sautdindex"/>
              </w:rPr>
              <w:t>Seconde partie: présentation des résultats de la consultation « Parole aux Jeunes »</w:t>
              <w:tab/>
              <w:t>218</w:t>
            </w:r>
          </w:hyperlink>
        </w:p>
        <w:p>
          <w:pPr>
            <w:pStyle w:val="Tabledesmatiresniveau2"/>
            <w:tabs>
              <w:tab w:val="right" w:pos="9638" w:leader="dot"/>
            </w:tabs>
            <w:rPr/>
          </w:pPr>
          <w:hyperlink w:anchor="__RefHeading___Toc300458_1346298689">
            <w:r>
              <w:rPr>
                <w:rStyle w:val="Sautdindex"/>
              </w:rPr>
              <w:t>Conclusion</w:t>
              <w:tab/>
              <w:t>221</w:t>
            </w:r>
          </w:hyperlink>
        </w:p>
      </w:sdtContent>
    </w:sdt>
    <w:p>
      <w:pPr>
        <w:pStyle w:val="Normal"/>
        <w:spacing w:before="57" w:after="57"/>
        <w:ind w:left="0" w:right="0" w:hanging="0"/>
        <w:rPr>
          <w:rFonts w:ascii="Arial" w:hAnsi="Arial"/>
          <w:sz w:val="22"/>
        </w:rPr>
      </w:pPr>
      <w:r>
        <w:rPr>
          <w:sz w:val="22"/>
        </w:rPr>
      </w:r>
      <w:r>
        <w:rPr>
          <w:sz w:val="22"/>
        </w:rPr>
        <w:fldChar w:fldCharType="end"/>
      </w:r>
    </w:p>
    <w:p>
      <w:pPr>
        <w:pStyle w:val="Normal"/>
        <w:rPr/>
      </w:pPr>
      <w:r>
        <w:rPr/>
      </w:r>
      <w:r>
        <w:br w:type="page"/>
      </w:r>
    </w:p>
    <w:p>
      <w:pPr>
        <w:pStyle w:val="Titre2"/>
        <w:numPr>
          <w:ilvl w:val="1"/>
          <w:numId w:val="2"/>
        </w:numPr>
        <w:rPr/>
      </w:pPr>
      <w:bookmarkStart w:id="207" w:name="__RefHeading___Toc300448_1346298689"/>
      <w:bookmarkEnd w:id="207"/>
      <w:r>
        <w:rPr/>
        <w:t xml:space="preserve">Úvod </w:t>
      </w:r>
    </w:p>
    <w:p>
      <w:pPr>
        <w:pStyle w:val="P68B1DB1Normal19"/>
        <w:widowControl w:val="false"/>
        <w:spacing w:lineRule="auto" w:line="240" w:before="156" w:after="0"/>
        <w:ind w:left="0" w:right="0" w:hanging="0"/>
        <w:jc w:val="both"/>
        <w:rPr/>
      </w:pPr>
      <w:r>
        <w:rPr/>
        <w:t xml:space="preserve">Konference o budoucnosti Evropy je bezprecedentní účast občanů, jejímž cílem je konzultovat občany 27 členských států Evropské unie, aby se stali ústředním bodem rozhodnutí, která budou přijata v příštích letech a desetiletích. Občané EU se proto vyzývají, aby vyjádřili svůj názor a navrhli změny a konkrétní způsoby činnosti, které Evropě umožní stanovit nové ambice a řešit globální výzvy, jimž dnes čelí. </w:t>
      </w:r>
    </w:p>
    <w:p>
      <w:pPr>
        <w:pStyle w:val="P68B1DB1Normal19"/>
        <w:widowControl w:val="false"/>
        <w:spacing w:lineRule="auto" w:line="240" w:before="156" w:after="0"/>
        <w:ind w:left="0" w:right="0" w:hanging="0"/>
        <w:jc w:val="both"/>
        <w:rPr/>
      </w:pPr>
      <w:r>
        <w:rPr/>
        <w:t xml:space="preserve">Francouzská vláda podporuje iniciativy trojice předsednictví Konference o budoucnosti Evropy, zejména tím, že vybízí její občany, aby významně přispěli k on-line platformě a organizovali akce v celé zemi. </w:t>
      </w:r>
    </w:p>
    <w:p>
      <w:pPr>
        <w:pStyle w:val="P68B1DB1Normal19"/>
        <w:widowControl w:val="false"/>
        <w:spacing w:lineRule="auto" w:line="240" w:before="156" w:after="0"/>
        <w:ind w:left="0" w:right="0" w:hanging="0"/>
        <w:jc w:val="left"/>
        <w:rPr/>
      </w:pPr>
      <w:r>
        <w:rPr/>
        <w:t xml:space="preserve">Souběžně s těmito evropskými iniciativami si vláda přála provést participativní cvičení na vnitrostátní úrovni. </w:t>
      </w:r>
    </w:p>
    <w:p>
      <w:pPr>
        <w:pStyle w:val="P68B1DB1Normal19"/>
        <w:widowControl w:val="false"/>
        <w:spacing w:lineRule="auto" w:line="240" w:before="156" w:after="0"/>
        <w:ind w:left="0" w:right="0" w:hanging="0"/>
        <w:jc w:val="both"/>
        <w:rPr/>
      </w:pPr>
      <w:r>
        <w:rPr/>
        <w:t xml:space="preserve">S podporou ministerstva pro vztahy s parlamentem a účastí občanů (MRPCC) a s odbornými znalostmi Meziministerského střediska pro účast občanů (ICPC) uspořádalo Ministerstvo Evropy a zahraničních věcí (MEAE) cvičení občanů založené na silných metodických předsudcích (viz níže „Metodikologické závazky a předsudky“). MEAE se spoléhala na dodavatelské konsorcium složené z Roland Berger, Wavestone, Missions Publiques a Harris Interactive. Regionální prefektury konečně sehrály klíčovou roli při organizaci 18 konferencí po celé zemi. </w:t>
      </w:r>
    </w:p>
    <w:p>
      <w:pPr>
        <w:pStyle w:val="P68B1DB1Normal19"/>
        <w:widowControl w:val="false"/>
        <w:spacing w:lineRule="auto" w:line="240" w:before="156" w:after="0"/>
        <w:ind w:left="0" w:right="0" w:hanging="0"/>
        <w:jc w:val="both"/>
        <w:rPr/>
      </w:pPr>
      <w:r>
        <w:rPr/>
        <w:t xml:space="preserve">V rámci této konzultace byla účastníkům položena jediná otázka: </w:t>
      </w:r>
      <w:r>
        <w:rPr>
          <w:b/>
          <w:i/>
        </w:rPr>
        <w:t>Jaké změny chcete pro Evropu, jako francouzští občané?</w:t>
      </w:r>
      <w:r>
        <w:rPr/>
        <w:t xml:space="preserve"> (Viz příloha IV „Mandát účasti“). </w:t>
      </w:r>
    </w:p>
    <w:p>
      <w:pPr>
        <w:pStyle w:val="P68B1DB1Normal19"/>
        <w:widowControl w:val="false"/>
        <w:spacing w:lineRule="auto" w:line="240" w:before="156" w:after="0"/>
        <w:ind w:left="0" w:right="0" w:hanging="0"/>
        <w:jc w:val="both"/>
        <w:rPr/>
      </w:pPr>
      <w:r>
        <w:rPr/>
        <w:t xml:space="preserve">Toto národní cvičení mělo podobu 18 regionálních konferencí ve 13 metropolitních regionech a 5 francouzských ultramořských regionech, které se konaly během tří víkendů v září a říjnu 2021 a každé z nich se zúčastnilo 30 až 50 občanů kreslených losem (746 celkem). Syntéza těchto 18 regionálních panelových diskusí byla poté provedena na národní konferenci, která se konala ve dnech 15. až 17. října 2021 v Hospodářské, sociální a environmentální radě (EHSV v Paříži) a na níž se zúčastnilo 98 dobrovolných občanů z řad účastníků regionálních konferencí. </w:t>
      </w:r>
    </w:p>
    <w:p>
      <w:pPr>
        <w:pStyle w:val="P68B1DB1Normal19"/>
        <w:widowControl w:val="false"/>
        <w:spacing w:lineRule="auto" w:line="240" w:before="156" w:after="0"/>
        <w:ind w:left="0" w:right="0" w:hanging="0"/>
        <w:jc w:val="both"/>
        <w:rPr/>
      </w:pPr>
      <w:r>
        <w:rPr/>
        <w:t xml:space="preserve">Kromě toho a s cílem zdůraznit slova mladých Francouzů před Evropským rokem mládeže v roce 2022 uspořádalo ministerstvo Evropy a zahraničních věcí ve </w:t>
      </w:r>
      <w:r>
        <w:rPr>
          <w:i/>
        </w:rPr>
        <w:t>spolupráci s</w:t>
      </w:r>
      <w:r>
        <w:rPr/>
        <w:t xml:space="preserve">Make.org online konzultaci nazvanou „Mluv s mládeží“. Více než 50 000 mladých lidí ve věku 15 až 35 let vyjádřilo své myšlenky a priority pro Evropu roku 2035. </w:t>
      </w:r>
    </w:p>
    <w:p>
      <w:pPr>
        <w:pStyle w:val="P68B1DB1Normal19"/>
        <w:widowControl w:val="false"/>
        <w:spacing w:lineRule="auto" w:line="240" w:before="156" w:after="0"/>
        <w:ind w:left="0" w:right="0" w:hanging="0"/>
        <w:jc w:val="left"/>
        <w:rPr>
          <w:rFonts w:ascii="Times New Roman" w:hAnsi="Times New Roman"/>
          <w:color w:val="000000"/>
          <w:sz w:val="24"/>
        </w:rPr>
      </w:pPr>
      <w:r>
        <w:rPr/>
        <w:t xml:space="preserve">Tato zpráva představuje hlavní výsledky dvou konzultací vedených vládou. </w:t>
      </w:r>
    </w:p>
    <w:p>
      <w:pPr>
        <w:pStyle w:val="Normal"/>
        <w:widowControl w:val="false"/>
        <w:spacing w:lineRule="auto" w:line="240" w:before="156" w:after="0"/>
        <w:ind w:left="0" w:right="0" w:hanging="0"/>
        <w:jc w:val="left"/>
        <w:rPr>
          <w:rFonts w:ascii="Times New Roman" w:hAnsi="Times New Roman"/>
          <w:color w:val="000000"/>
          <w:sz w:val="24"/>
        </w:rPr>
      </w:pPr>
      <w:r>
        <w:rPr>
          <w:rFonts w:ascii="Times New Roman" w:hAnsi="Times New Roman"/>
          <w:color w:val="000000"/>
          <w:sz w:val="24"/>
        </w:rPr>
      </w:r>
    </w:p>
    <w:p>
      <w:pPr>
        <w:pStyle w:val="P68B1DB1Normal23"/>
        <w:widowControl w:val="false"/>
        <w:spacing w:lineRule="auto" w:line="240" w:before="156" w:after="0"/>
        <w:ind w:left="0" w:right="0" w:hanging="0"/>
        <w:jc w:val="left"/>
        <w:rPr>
          <w:rFonts w:ascii="Times New Roman" w:hAnsi="Times New Roman"/>
          <w:color w:val="000000"/>
          <w:sz w:val="24"/>
          <w:u w:val="single"/>
        </w:rPr>
      </w:pPr>
      <w:r>
        <w:rPr/>
        <w:t xml:space="preserve">Metodika konzultace </w:t>
      </w:r>
    </w:p>
    <w:p>
      <w:pPr>
        <w:pStyle w:val="P68B1DB1Normal19"/>
        <w:widowControl w:val="false"/>
        <w:spacing w:lineRule="auto" w:line="240" w:before="156" w:after="0"/>
        <w:ind w:left="0" w:right="0" w:hanging="0"/>
        <w:jc w:val="both"/>
        <w:rPr/>
      </w:pPr>
      <w:r>
        <w:rPr/>
        <w:t xml:space="preserve">Nábor občanů, kteří se účastní regionálních konferencí, kombinoval náhodný výběr účastníků náhodným losováním jejich telefonních čísel a cílený výběr profilů, které by oslovily panel tak, aby co nejvíce reprezentoval rozmanitost každého území. </w:t>
      </w:r>
    </w:p>
    <w:p>
      <w:pPr>
        <w:pStyle w:val="P68B1DB1Normal19"/>
        <w:widowControl w:val="false"/>
        <w:spacing w:lineRule="auto" w:line="240" w:before="156" w:after="0"/>
        <w:ind w:left="0" w:right="0" w:hanging="0"/>
        <w:jc w:val="both"/>
        <w:rPr/>
      </w:pPr>
      <w:r>
        <w:rPr/>
        <w:t xml:space="preserve">Během regionálních panelových diskusí účastníci hovořili střídáním pracovní doby ve skupinách podle tabulky pro 6 až 8 občanů spolu s facilitátorem a prezentační dobou na plenárním zasedání. Během doby reflexe byli přítomni odborníci, aby zodpověděli otázky občanů a osvětlili, přičemž si zachovali neutrální postoj. </w:t>
      </w:r>
    </w:p>
    <w:p>
      <w:pPr>
        <w:pStyle w:val="P68B1DB1Normal19"/>
        <w:widowControl w:val="false"/>
        <w:spacing w:lineRule="auto" w:line="240" w:before="156" w:after="0"/>
        <w:ind w:left="0" w:right="0" w:hanging="0"/>
        <w:jc w:val="both"/>
        <w:rPr/>
      </w:pPr>
      <w:r>
        <w:rPr/>
        <w:t xml:space="preserve">Občané byli nejprve vyzváni, aby diskutovali o svém současném vnímání Evropy. Poté vyjádřili </w:t>
      </w:r>
      <w:r>
        <w:rPr>
          <w:b/>
        </w:rPr>
        <w:t>přání pro Evropu roku 2035,</w:t>
      </w:r>
      <w:r>
        <w:rPr/>
        <w:t xml:space="preserve"> jako skupinu a poté na plenárním zasedání. Díky těmto diskusím bylo možné určit 3 až 8 přání v jednotlivých regionech. Pro každé z těchto přání pak občané formulovali </w:t>
      </w:r>
      <w:r>
        <w:rPr>
          <w:b/>
        </w:rPr>
        <w:t>změny</w:t>
      </w:r>
      <w:r>
        <w:rPr/>
        <w:t xml:space="preserve">, které považovali za nezbytné k dosažení požadované Evropy, a poté je ilustrovali konkrétními návrhy, které mají být provedeny. Výsledkem tohoto procesu bylo celkem 515 změn a 1 301 konkrétních návrhů na vnitrostátní úrovni. </w:t>
      </w:r>
    </w:p>
    <w:p>
      <w:pPr>
        <w:pStyle w:val="P68B1DB1Normal19"/>
        <w:widowControl w:val="false"/>
        <w:spacing w:lineRule="auto" w:line="240" w:before="156" w:after="0"/>
        <w:ind w:left="0" w:right="0" w:hanging="0"/>
        <w:jc w:val="left"/>
        <w:rPr/>
      </w:pPr>
      <w:r>
        <w:rPr/>
        <w:t xml:space="preserve">Každá regionální konference vyústila v vypracování regionální souhrnné zprávy, která byla předložena všem účastníkům před národní konferencí. </w:t>
      </w:r>
    </w:p>
    <w:p>
      <w:pPr>
        <w:pStyle w:val="P68B1DB1Normal19"/>
        <w:widowControl w:val="false"/>
        <w:spacing w:lineRule="auto" w:line="240" w:before="156" w:after="0"/>
        <w:ind w:left="0" w:right="0" w:hanging="0"/>
        <w:jc w:val="both"/>
        <w:rPr/>
      </w:pPr>
      <w:r>
        <w:rPr/>
        <w:t xml:space="preserve">Na Národní konferenci o syntéze se sešlo 98 náhodně vybraných občanů mezi účastníky 18 regionálních konferencí. Aby byla zajištěna rozmanitost celostátního panelu, bylo mezi dobrovolníky regionálních konferencí v metropolitní Francii a Réunionu losováno 6 občanů a 4 občané na ultramarinových konferencích při respektování rovnosti a věkové rozmanitosti v každém regionálním losování (viz příloha II). </w:t>
      </w:r>
    </w:p>
    <w:p>
      <w:pPr>
        <w:pStyle w:val="Normal"/>
        <w:widowControl w:val="false"/>
        <w:spacing w:lineRule="auto" w:line="240" w:before="156" w:after="0"/>
        <w:ind w:left="0" w:right="0" w:hanging="0"/>
        <w:jc w:val="both"/>
        <w:rPr/>
      </w:pPr>
      <w:r>
        <w:rPr>
          <w:rFonts w:ascii="Times New Roman" w:hAnsi="Times New Roman"/>
          <w:color w:val="000000"/>
          <w:sz w:val="24"/>
        </w:rPr>
        <w:t>V rámci přípravy na národní konferenci bylo 515 změn identifikovaných na regionálních konferencích analyzováno a sladěno, když se jejich základní záměr objevil podobný nebo blízko, aby tvořilo 14 skupin</w:t>
      </w:r>
      <w:r>
        <w:rPr>
          <w:rFonts w:ascii="Times New Roman" w:hAnsi="Times New Roman"/>
          <w:b/>
          <w:color w:val="000000"/>
          <w:sz w:val="24"/>
        </w:rPr>
        <w:t xml:space="preserve"> </w:t>
      </w:r>
      <w:r>
        <w:rPr>
          <w:rFonts w:ascii="Times New Roman" w:hAnsi="Times New Roman"/>
          <w:color w:val="000000"/>
          <w:sz w:val="24"/>
        </w:rPr>
        <w:t>změn odrážejících společné přání Evropy (viz část 6). Těchto 14 evropských přání sloužilo jako základ pro práci 98 účastníků národní konference, jejímž posláním bylo obohatit práci vykonanou v regionech a čelit přáním Evropy, změnám a návrhům s pomocí dvaceti odborníků, aby dospěli k seznamu prioritních změn. Každá skupina nakonec vybrala tři klíčové změny, z</w:t>
      </w:r>
      <w:r>
        <w:rPr>
          <w:rFonts w:ascii="Times New Roman" w:hAnsi="Times New Roman"/>
          <w:b/>
          <w:color w:val="000000"/>
          <w:sz w:val="24"/>
        </w:rPr>
        <w:t xml:space="preserve"> </w:t>
      </w:r>
      <w:r>
        <w:rPr>
          <w:rFonts w:ascii="Times New Roman" w:hAnsi="Times New Roman"/>
          <w:color w:val="000000"/>
          <w:sz w:val="24"/>
        </w:rPr>
        <w:t xml:space="preserve">nichž první hlasovalo všech 98 občanů a stanovilo konečné pořadí 14 prioritních změn. Souhrnná zpráva konsoliduje veškerou práci této konference. </w:t>
      </w:r>
      <w:r>
        <w:br w:type="page"/>
      </w:r>
    </w:p>
    <w:p>
      <w:pPr>
        <w:pStyle w:val="P68B1DB1Normal19"/>
        <w:spacing w:lineRule="auto" w:line="240" w:before="156" w:after="0"/>
        <w:ind w:left="0" w:right="0" w:hanging="0"/>
        <w:rPr/>
      </w:pPr>
      <w:r>
        <w:rPr/>
        <w:t xml:space="preserve">Od května do července 2021 se uskutečnila on-line konzultace „Parole aux Jeunes“ vedená ve spolupráci s Make.org. Zúčastnilo se jich více než 50 000 účastníků a předložilo téměř 3 000 návrhů pro Evropu. Na základě všech reakcí mladých občanů bylo identifikováno 35 hlavních myšlenek, z nichž 22 bylo široce ceněno a 13 bylo předmětem sporů mezi účastníky (viz část 11). </w:t>
      </w:r>
    </w:p>
    <w:p>
      <w:pPr>
        <w:pStyle w:val="P68B1DB1Normal19"/>
        <w:widowControl w:val="false"/>
        <w:spacing w:lineRule="auto" w:line="240" w:before="156" w:after="0"/>
        <w:ind w:left="0" w:right="0" w:hanging="0"/>
        <w:jc w:val="left"/>
        <w:rPr/>
      </w:pPr>
      <w:r>
        <w:rPr>
          <w:u w:val="single"/>
        </w:rPr>
        <w:t>Výstupní bod a povinnost okamžitě</w:t>
      </w:r>
      <w:r>
        <w:rPr/>
        <w:t xml:space="preserve"> </w:t>
      </w:r>
    </w:p>
    <w:p>
      <w:pPr>
        <w:pStyle w:val="P68B1DB1Normal19"/>
        <w:widowControl w:val="false"/>
        <w:spacing w:lineRule="auto" w:line="240" w:before="156" w:after="0"/>
        <w:ind w:left="0" w:right="0" w:hanging="0"/>
        <w:jc w:val="both"/>
        <w:rPr/>
      </w:pPr>
      <w:r>
        <w:rPr/>
        <w:t xml:space="preserve">Tuto zprávu předloží občané vládě dne 29. listopadu 2021 za přítomnosti francouzských zvolených členů plenárního shromáždění Konference o budoucnosti Evropy. Bude předložen trojici předsednictví konference během francouzského předsednictví Rady Evropské unie (PFUE). </w:t>
      </w:r>
    </w:p>
    <w:p>
      <w:pPr>
        <w:pStyle w:val="P68B1DB1Normal19"/>
        <w:widowControl w:val="false"/>
        <w:spacing w:lineRule="auto" w:line="240" w:before="156" w:after="0"/>
        <w:ind w:left="0" w:right="0" w:hanging="0"/>
        <w:jc w:val="both"/>
        <w:rPr/>
      </w:pPr>
      <w:r>
        <w:rPr/>
        <w:t xml:space="preserve">Na konci národní konference o syntéze v EHSV a s cílem splnit vysoká očekávání občanů, která byla nastolena losováním, byl zřízen monitorovací výbor pro občany, který ztělesňuje následná práva účastníků. Tento výbor složený z 15 členů – 14 zástupců regionálních konferencí a zástupce konzultace „Parole aux Jeunes“ – bude mít za úkol informovat občany o budoucnosti svých návrhů. Na každém zasedání plenárního shromáždění konference se jeden nebo jeden z členů monitorovacího výboru zúčastní jako zástupce francouzského cvičení s cílem zdůraznit návrhy uvedené v této zprávě a zároveň vytvořit společný postoj se všemi zastoupenými evropskými občany. </w:t>
      </w:r>
    </w:p>
    <w:p>
      <w:pPr>
        <w:pStyle w:val="P68B1DB1Normal19"/>
        <w:widowControl w:val="false"/>
        <w:spacing w:lineRule="auto" w:line="240" w:before="156" w:after="0"/>
        <w:ind w:left="0" w:right="0" w:hanging="0"/>
        <w:jc w:val="both"/>
        <w:rPr/>
      </w:pPr>
      <w:r>
        <w:rPr/>
        <w:t xml:space="preserve">Všechny dokumenty francouzské konzultace budou veřejné a přístupné všem na platformě pro účast občanů francouzského státu: mandát k účasti, regionální shrnutí, národní syntéza, zpráva ručitele a závěrečná zpráva. </w:t>
      </w:r>
    </w:p>
    <w:p>
      <w:pPr>
        <w:pStyle w:val="Normal"/>
        <w:spacing w:lineRule="auto" w:line="240" w:before="156" w:after="0"/>
        <w:ind w:left="0" w:right="0" w:hanging="0"/>
        <w:rPr/>
      </w:pPr>
      <w:r>
        <w:rPr/>
      </w:r>
    </w:p>
    <w:p>
      <w:pPr>
        <w:pStyle w:val="Normal"/>
        <w:rPr/>
      </w:pPr>
      <w:r>
        <w:rPr/>
      </w:r>
      <w:r>
        <w:br w:type="page"/>
      </w:r>
    </w:p>
    <w:p>
      <w:pPr>
        <w:pStyle w:val="Titre2"/>
        <w:numPr>
          <w:ilvl w:val="1"/>
          <w:numId w:val="2"/>
        </w:numPr>
        <w:rPr/>
      </w:pPr>
      <w:bookmarkStart w:id="208" w:name="__RefHeading___Toc300450_1346298689"/>
      <w:bookmarkEnd w:id="208"/>
      <w:r>
        <mc:AlternateContent>
          <mc:Choice Requires="wps">
            <w:drawing>
              <wp:anchor behindDoc="0" distT="72390" distB="72390" distL="72390" distR="72390" simplePos="0" locked="0" layoutInCell="1" allowOverlap="1" relativeHeight="46">
                <wp:simplePos x="0" y="0"/>
                <wp:positionH relativeFrom="column">
                  <wp:posOffset>3595370</wp:posOffset>
                </wp:positionH>
                <wp:positionV relativeFrom="paragraph">
                  <wp:posOffset>108585</wp:posOffset>
                </wp:positionV>
                <wp:extent cx="2486660" cy="6927215"/>
                <wp:effectExtent l="0" t="0" r="0" b="0"/>
                <wp:wrapSquare wrapText="bothSides"/>
                <wp:docPr id="83" name="Rámeček21"/>
                <a:graphic xmlns:a="http://schemas.openxmlformats.org/drawingml/2006/main">
                  <a:graphicData uri="http://schemas.microsoft.com/office/word/2010/wordprocessingShape">
                    <wps:wsp>
                      <wps:cNvSpPr/>
                      <wps:spPr>
                        <a:xfrm>
                          <a:off x="0" y="0"/>
                          <a:ext cx="2486160" cy="692676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Přehled příspěvku Francie ke konferenci o budoucnosti Evropy</w:t>
                            </w:r>
                          </w:p>
                          <w:p>
                            <w:pPr>
                              <w:pStyle w:val="Contenudecadre"/>
                              <w:rPr>
                                <w:color w:val="auto"/>
                              </w:rPr>
                            </w:pPr>
                            <w:r>
                              <w:rPr>
                                <w:color w:val="auto"/>
                              </w:rPr>
                            </w:r>
                          </w:p>
                          <w:p>
                            <w:pPr>
                              <w:pStyle w:val="Contenudecadre"/>
                              <w:rPr>
                                <w:color w:val="auto"/>
                              </w:rPr>
                            </w:pPr>
                            <w:r>
                              <w:rPr>
                                <w:color w:val="auto"/>
                              </w:rPr>
                              <w:t>Občané, kteří byli čerpáni losem, museli odpovědět na otázku: „Jako francouzští občané, jaké změny chcete pro Evropu?“</w:t>
                            </w:r>
                          </w:p>
                          <w:p>
                            <w:pPr>
                              <w:pStyle w:val="Contenudecadre"/>
                              <w:rPr>
                                <w:color w:val="auto"/>
                              </w:rPr>
                            </w:pPr>
                            <w:r>
                              <w:rPr>
                                <w:color w:val="auto"/>
                              </w:rPr>
                            </w:r>
                          </w:p>
                          <w:p>
                            <w:pPr>
                              <w:pStyle w:val="Contenudecadre"/>
                              <w:rPr>
                                <w:color w:val="auto"/>
                              </w:rPr>
                            </w:pPr>
                            <w:r>
                              <w:rPr>
                                <w:color w:val="auto"/>
                              </w:rPr>
                              <w:t xml:space="preserve">Top 10 prioritních změn pro Evropu roku 2035 </w:t>
                            </w:r>
                          </w:p>
                          <w:p>
                            <w:pPr>
                              <w:pStyle w:val="Contenudecadre"/>
                              <w:rPr>
                                <w:color w:val="auto"/>
                              </w:rPr>
                            </w:pPr>
                            <w:r>
                              <w:rPr>
                                <w:color w:val="auto"/>
                              </w:rPr>
                            </w:r>
                          </w:p>
                          <w:p>
                            <w:pPr>
                              <w:pStyle w:val="Contenudecadre"/>
                              <w:rPr>
                                <w:color w:val="auto"/>
                              </w:rPr>
                            </w:pPr>
                            <w:r>
                              <w:rPr>
                                <w:color w:val="auto"/>
                              </w:rPr>
                              <w:t xml:space="preserve">1. Rozvíjejte </w:t>
                            </w:r>
                            <w:r>
                              <w:rPr>
                                <w:b/>
                                <w:color w:val="auto"/>
                              </w:rPr>
                              <w:t>energetickou střízlivost</w:t>
                            </w:r>
                            <w:r>
                              <w:rPr>
                                <w:color w:val="auto"/>
                              </w:rPr>
                              <w:t>, abyste spotřebovali méně tím, že zastavíte nadbytečné</w:t>
                            </w:r>
                          </w:p>
                          <w:p>
                            <w:pPr>
                              <w:pStyle w:val="Contenudecadre"/>
                              <w:rPr>
                                <w:b w:val="false"/>
                                <w:b w:val="false"/>
                                <w:color w:val="auto"/>
                              </w:rPr>
                            </w:pPr>
                            <w:r>
                              <w:rPr>
                                <w:b w:val="false"/>
                                <w:color w:val="auto"/>
                              </w:rPr>
                            </w:r>
                          </w:p>
                          <w:p>
                            <w:pPr>
                              <w:pStyle w:val="Contenudecadre"/>
                              <w:rPr>
                                <w:color w:val="auto"/>
                              </w:rPr>
                            </w:pPr>
                            <w:r>
                              <w:rPr>
                                <w:color w:val="auto"/>
                              </w:rPr>
                              <w:t>2. Posílení</w:t>
                            </w:r>
                            <w:r>
                              <w:rPr>
                                <w:b/>
                                <w:color w:val="auto"/>
                              </w:rPr>
                              <w:t>společné obrany a bezpečnosti</w:t>
                            </w:r>
                            <w:r>
                              <w:rPr>
                                <w:color w:val="auto"/>
                              </w:rPr>
                              <w:t>Evropské unie</w:t>
                            </w:r>
                          </w:p>
                          <w:p>
                            <w:pPr>
                              <w:pStyle w:val="Contenudecadre"/>
                              <w:rPr>
                                <w:b w:val="false"/>
                                <w:b w:val="false"/>
                                <w:color w:val="auto"/>
                              </w:rPr>
                            </w:pPr>
                            <w:r>
                              <w:rPr>
                                <w:b w:val="false"/>
                                <w:color w:val="auto"/>
                              </w:rPr>
                            </w:r>
                          </w:p>
                          <w:p>
                            <w:pPr>
                              <w:pStyle w:val="Contenudecadre"/>
                              <w:rPr>
                                <w:color w:val="auto"/>
                              </w:rPr>
                            </w:pPr>
                            <w:r>
                              <w:rPr>
                                <w:color w:val="auto"/>
                              </w:rPr>
                              <w:t xml:space="preserve">3. Podpora </w:t>
                            </w:r>
                            <w:r>
                              <w:rPr>
                                <w:b/>
                                <w:color w:val="auto"/>
                              </w:rPr>
                              <w:t>kolektivní hospodářské výkonnosti</w:t>
                            </w:r>
                            <w:r>
                              <w:rPr>
                                <w:color w:val="auto"/>
                              </w:rPr>
                              <w:t xml:space="preserve"> prostřednictvím autonomního, konkurenceschopného a hodnotného průmyslu ze strany EU</w:t>
                            </w:r>
                          </w:p>
                          <w:p>
                            <w:pPr>
                              <w:pStyle w:val="Contenudecadre"/>
                              <w:rPr>
                                <w:b w:val="false"/>
                                <w:b w:val="false"/>
                                <w:color w:val="auto"/>
                              </w:rPr>
                            </w:pPr>
                            <w:r>
                              <w:rPr>
                                <w:b w:val="false"/>
                                <w:color w:val="auto"/>
                              </w:rPr>
                            </w:r>
                          </w:p>
                          <w:p>
                            <w:pPr>
                              <w:pStyle w:val="Contenudecadre"/>
                              <w:rPr>
                                <w:color w:val="auto"/>
                              </w:rPr>
                            </w:pPr>
                            <w:r>
                              <w:rPr>
                                <w:color w:val="auto"/>
                              </w:rPr>
                              <w:t xml:space="preserve">4. </w:t>
                            </w:r>
                            <w:r>
                              <w:rPr>
                                <w:b/>
                                <w:color w:val="auto"/>
                              </w:rPr>
                              <w:t>Posílení postavení občanů</w:t>
                            </w:r>
                            <w:r>
                              <w:rPr>
                                <w:color w:val="auto"/>
                              </w:rPr>
                              <w:t xml:space="preserve"> na několika úrovních: účast, rozhodnutí, kontrola</w:t>
                            </w:r>
                          </w:p>
                          <w:p>
                            <w:pPr>
                              <w:pStyle w:val="Contenudecadre"/>
                              <w:rPr>
                                <w:b w:val="false"/>
                                <w:b w:val="false"/>
                                <w:color w:val="auto"/>
                              </w:rPr>
                            </w:pPr>
                            <w:r>
                              <w:rPr>
                                <w:b w:val="false"/>
                                <w:color w:val="auto"/>
                              </w:rPr>
                            </w:r>
                          </w:p>
                          <w:p>
                            <w:pPr>
                              <w:pStyle w:val="Contenudecadre"/>
                              <w:rPr>
                                <w:color w:val="auto"/>
                              </w:rPr>
                            </w:pPr>
                            <w:r>
                              <w:rPr>
                                <w:color w:val="auto"/>
                              </w:rPr>
                              <w:t xml:space="preserve">5. Směřování k </w:t>
                            </w:r>
                            <w:r>
                              <w:rPr>
                                <w:b/>
                                <w:color w:val="auto"/>
                              </w:rPr>
                              <w:t>federaci evropských států se</w:t>
                            </w:r>
                            <w:r>
                              <w:rPr>
                                <w:color w:val="auto"/>
                              </w:rPr>
                              <w:t xml:space="preserve"> silnými pravomocemi v oblastech společného zájmu</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6. Nabídka celoživotních </w:t>
                            </w:r>
                            <w:r>
                              <w:rPr>
                                <w:b/>
                                <w:color w:val="auto"/>
                              </w:rPr>
                              <w:t>výměnných programů</w:t>
                            </w:r>
                          </w:p>
                        </w:txbxContent>
                      </wps:txbx>
                      <wps:bodyPr lIns="54000" rIns="54000" tIns="54000" bIns="54000">
                        <a:noAutofit/>
                      </wps:bodyPr>
                    </wps:wsp>
                  </a:graphicData>
                </a:graphic>
              </wp:anchor>
            </w:drawing>
          </mc:Choice>
          <mc:Fallback>
            <w:pict>
              <v:rect id="shape_0" ID="Rámeček21" fillcolor="white" stroked="t" style="position:absolute;margin-left:283.1pt;margin-top:8.55pt;width:195.7pt;height:545.35pt">
                <w10:wrap type="square"/>
                <v:fill o:detectmouseclick="t" type="solid" color2="black"/>
                <v:stroke color="black" weight="720" joinstyle="round" endcap="flat"/>
                <v:textbox>
                  <w:txbxContent>
                    <w:p>
                      <w:pPr>
                        <w:pStyle w:val="Contenudecadre"/>
                        <w:spacing w:before="57" w:after="57"/>
                        <w:rPr>
                          <w:color w:val="auto"/>
                        </w:rPr>
                      </w:pPr>
                      <w:r>
                        <w:rPr>
                          <w:color w:val="auto"/>
                        </w:rPr>
                        <w:t>Přehled příspěvku Francie ke konferenci o budoucnosti Evropy</w:t>
                      </w:r>
                    </w:p>
                    <w:p>
                      <w:pPr>
                        <w:pStyle w:val="Contenudecadre"/>
                        <w:rPr>
                          <w:color w:val="auto"/>
                        </w:rPr>
                      </w:pPr>
                      <w:r>
                        <w:rPr>
                          <w:color w:val="auto"/>
                        </w:rPr>
                      </w:r>
                    </w:p>
                    <w:p>
                      <w:pPr>
                        <w:pStyle w:val="Contenudecadre"/>
                        <w:rPr>
                          <w:color w:val="auto"/>
                        </w:rPr>
                      </w:pPr>
                      <w:r>
                        <w:rPr>
                          <w:color w:val="auto"/>
                        </w:rPr>
                        <w:t>Občané, kteří byli čerpáni losem, museli odpovědět na otázku: „Jako francouzští občané, jaké změny chcete pro Evropu?“</w:t>
                      </w:r>
                    </w:p>
                    <w:p>
                      <w:pPr>
                        <w:pStyle w:val="Contenudecadre"/>
                        <w:rPr>
                          <w:color w:val="auto"/>
                        </w:rPr>
                      </w:pPr>
                      <w:r>
                        <w:rPr>
                          <w:color w:val="auto"/>
                        </w:rPr>
                      </w:r>
                    </w:p>
                    <w:p>
                      <w:pPr>
                        <w:pStyle w:val="Contenudecadre"/>
                        <w:rPr>
                          <w:color w:val="auto"/>
                        </w:rPr>
                      </w:pPr>
                      <w:r>
                        <w:rPr>
                          <w:color w:val="auto"/>
                        </w:rPr>
                        <w:t xml:space="preserve">Top 10 prioritních změn pro Evropu roku 2035 </w:t>
                      </w:r>
                    </w:p>
                    <w:p>
                      <w:pPr>
                        <w:pStyle w:val="Contenudecadre"/>
                        <w:rPr>
                          <w:color w:val="auto"/>
                        </w:rPr>
                      </w:pPr>
                      <w:r>
                        <w:rPr>
                          <w:color w:val="auto"/>
                        </w:rPr>
                      </w:r>
                    </w:p>
                    <w:p>
                      <w:pPr>
                        <w:pStyle w:val="Contenudecadre"/>
                        <w:rPr>
                          <w:color w:val="auto"/>
                        </w:rPr>
                      </w:pPr>
                      <w:r>
                        <w:rPr>
                          <w:color w:val="auto"/>
                        </w:rPr>
                        <w:t xml:space="preserve">1. Rozvíjejte </w:t>
                      </w:r>
                      <w:r>
                        <w:rPr>
                          <w:b/>
                          <w:color w:val="auto"/>
                        </w:rPr>
                        <w:t>energetickou střízlivost</w:t>
                      </w:r>
                      <w:r>
                        <w:rPr>
                          <w:color w:val="auto"/>
                        </w:rPr>
                        <w:t>, abyste spotřebovali méně tím, že zastavíte nadbytečné</w:t>
                      </w:r>
                    </w:p>
                    <w:p>
                      <w:pPr>
                        <w:pStyle w:val="Contenudecadre"/>
                        <w:rPr>
                          <w:b w:val="false"/>
                          <w:b w:val="false"/>
                          <w:color w:val="auto"/>
                        </w:rPr>
                      </w:pPr>
                      <w:r>
                        <w:rPr>
                          <w:b w:val="false"/>
                          <w:color w:val="auto"/>
                        </w:rPr>
                      </w:r>
                    </w:p>
                    <w:p>
                      <w:pPr>
                        <w:pStyle w:val="Contenudecadre"/>
                        <w:rPr>
                          <w:color w:val="auto"/>
                        </w:rPr>
                      </w:pPr>
                      <w:r>
                        <w:rPr>
                          <w:color w:val="auto"/>
                        </w:rPr>
                        <w:t>2. Posílení</w:t>
                      </w:r>
                      <w:r>
                        <w:rPr>
                          <w:b/>
                          <w:color w:val="auto"/>
                        </w:rPr>
                        <w:t>společné obrany a bezpečnosti</w:t>
                      </w:r>
                      <w:r>
                        <w:rPr>
                          <w:color w:val="auto"/>
                        </w:rPr>
                        <w:t>Evropské unie</w:t>
                      </w:r>
                    </w:p>
                    <w:p>
                      <w:pPr>
                        <w:pStyle w:val="Contenudecadre"/>
                        <w:rPr>
                          <w:b w:val="false"/>
                          <w:b w:val="false"/>
                          <w:color w:val="auto"/>
                        </w:rPr>
                      </w:pPr>
                      <w:r>
                        <w:rPr>
                          <w:b w:val="false"/>
                          <w:color w:val="auto"/>
                        </w:rPr>
                      </w:r>
                    </w:p>
                    <w:p>
                      <w:pPr>
                        <w:pStyle w:val="Contenudecadre"/>
                        <w:rPr>
                          <w:color w:val="auto"/>
                        </w:rPr>
                      </w:pPr>
                      <w:r>
                        <w:rPr>
                          <w:color w:val="auto"/>
                        </w:rPr>
                        <w:t xml:space="preserve">3. Podpora </w:t>
                      </w:r>
                      <w:r>
                        <w:rPr>
                          <w:b/>
                          <w:color w:val="auto"/>
                        </w:rPr>
                        <w:t>kolektivní hospodářské výkonnosti</w:t>
                      </w:r>
                      <w:r>
                        <w:rPr>
                          <w:color w:val="auto"/>
                        </w:rPr>
                        <w:t xml:space="preserve"> prostřednictvím autonomního, konkurenceschopného a hodnotného průmyslu ze strany EU</w:t>
                      </w:r>
                    </w:p>
                    <w:p>
                      <w:pPr>
                        <w:pStyle w:val="Contenudecadre"/>
                        <w:rPr>
                          <w:b w:val="false"/>
                          <w:b w:val="false"/>
                          <w:color w:val="auto"/>
                        </w:rPr>
                      </w:pPr>
                      <w:r>
                        <w:rPr>
                          <w:b w:val="false"/>
                          <w:color w:val="auto"/>
                        </w:rPr>
                      </w:r>
                    </w:p>
                    <w:p>
                      <w:pPr>
                        <w:pStyle w:val="Contenudecadre"/>
                        <w:rPr>
                          <w:color w:val="auto"/>
                        </w:rPr>
                      </w:pPr>
                      <w:r>
                        <w:rPr>
                          <w:color w:val="auto"/>
                        </w:rPr>
                        <w:t xml:space="preserve">4. </w:t>
                      </w:r>
                      <w:r>
                        <w:rPr>
                          <w:b/>
                          <w:color w:val="auto"/>
                        </w:rPr>
                        <w:t>Posílení postavení občanů</w:t>
                      </w:r>
                      <w:r>
                        <w:rPr>
                          <w:color w:val="auto"/>
                        </w:rPr>
                        <w:t xml:space="preserve"> na několika úrovních: účast, rozhodnutí, kontrola</w:t>
                      </w:r>
                    </w:p>
                    <w:p>
                      <w:pPr>
                        <w:pStyle w:val="Contenudecadre"/>
                        <w:rPr>
                          <w:b w:val="false"/>
                          <w:b w:val="false"/>
                          <w:color w:val="auto"/>
                        </w:rPr>
                      </w:pPr>
                      <w:r>
                        <w:rPr>
                          <w:b w:val="false"/>
                          <w:color w:val="auto"/>
                        </w:rPr>
                      </w:r>
                    </w:p>
                    <w:p>
                      <w:pPr>
                        <w:pStyle w:val="Contenudecadre"/>
                        <w:rPr>
                          <w:color w:val="auto"/>
                        </w:rPr>
                      </w:pPr>
                      <w:r>
                        <w:rPr>
                          <w:color w:val="auto"/>
                        </w:rPr>
                        <w:t xml:space="preserve">5. Směřování k </w:t>
                      </w:r>
                      <w:r>
                        <w:rPr>
                          <w:b/>
                          <w:color w:val="auto"/>
                        </w:rPr>
                        <w:t>federaci evropských států se</w:t>
                      </w:r>
                      <w:r>
                        <w:rPr>
                          <w:color w:val="auto"/>
                        </w:rPr>
                        <w:t xml:space="preserve"> silnými pravomocemi v oblastech společného zájmu</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6. Nabídka celoživotních </w:t>
                      </w:r>
                      <w:r>
                        <w:rPr>
                          <w:b/>
                          <w:color w:val="auto"/>
                        </w:rPr>
                        <w:t>výměnných programů</w:t>
                      </w:r>
                    </w:p>
                  </w:txbxContent>
                </v:textbox>
              </v:rect>
            </w:pict>
          </mc:Fallback>
        </mc:AlternateContent>
      </w:r>
      <w:r>
        <w:rPr/>
        <w:t>Prezentace hlavních výsledků</w:t>
      </w:r>
    </w:p>
    <w:p>
      <w:pPr>
        <w:pStyle w:val="P68B1DB1Normal24"/>
        <w:rPr>
          <w:b w:val="false"/>
          <w:b w:val="false"/>
          <w:sz w:val="22"/>
        </w:rPr>
      </w:pPr>
      <w:r>
        <w:rPr/>
        <w:t xml:space="preserve"> </w:t>
      </w:r>
      <w:r>
        <w:rPr/>
        <w:t>(originál byl ve formě ilustrace)</w:t>
      </w:r>
    </w:p>
    <w:p>
      <w:pPr>
        <w:pStyle w:val="Normal"/>
        <w:rPr/>
      </w:pPr>
      <w:r>
        <w:rPr/>
        <w:drawing>
          <wp:anchor behindDoc="0" distT="0" distB="0" distL="0" distR="0" simplePos="0" locked="0" layoutInCell="1" allowOverlap="1" relativeHeight="44">
            <wp:simplePos x="0" y="0"/>
            <wp:positionH relativeFrom="column">
              <wp:posOffset>39370</wp:posOffset>
            </wp:positionH>
            <wp:positionV relativeFrom="paragraph">
              <wp:posOffset>95250</wp:posOffset>
            </wp:positionV>
            <wp:extent cx="3488690" cy="5027930"/>
            <wp:effectExtent l="0" t="0" r="0" b="0"/>
            <wp:wrapSquare wrapText="largest"/>
            <wp:docPr id="85" name="Fotografie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Fotografie39" descr=""/>
                    <pic:cNvPicPr>
                      <a:picLocks noChangeAspect="1" noChangeArrowheads="1"/>
                    </pic:cNvPicPr>
                  </pic:nvPicPr>
                  <pic:blipFill>
                    <a:blip r:embed="rId93"/>
                    <a:stretch>
                      <a:fillRect/>
                    </a:stretch>
                  </pic:blipFill>
                  <pic:spPr bwMode="auto">
                    <a:xfrm>
                      <a:off x="0" y="0"/>
                      <a:ext cx="3488690" cy="5027930"/>
                    </a:xfrm>
                    <a:prstGeom prst="rect">
                      <a:avLst/>
                    </a:prstGeom>
                  </pic:spPr>
                </pic:pic>
              </a:graphicData>
            </a:graphic>
          </wp:anchor>
        </w:drawing>
      </w:r>
    </w:p>
    <w:p>
      <w:pPr>
        <w:pStyle w:val="Normal"/>
        <w:rPr/>
      </w:pPr>
      <w:r>
        <w:rPr/>
      </w:r>
    </w:p>
    <w:p>
      <w:pPr>
        <w:pStyle w:val="Normal"/>
        <w:rPr/>
      </w:pPr>
      <w:r>
        <w:rPr/>
      </w:r>
    </w:p>
    <w:p>
      <w:pPr>
        <w:pStyle w:val="Normal"/>
        <w:rPr/>
      </w:pPr>
      <w:r>
        <w:rPr/>
      </w:r>
    </w:p>
    <w:p>
      <w:pPr>
        <w:pStyle w:val="Normal"/>
        <w:rPr/>
      </w:pPr>
      <w:r>
        <w:rPr/>
        <w:t>Zdroj: Změny, které získaly nejvíce hlasů na Národní konferenci o budoucnosti Evropy (15.–17. října 2021)</w:t>
      </w:r>
      <w:r>
        <w:br w:type="page"/>
      </w:r>
    </w:p>
    <w:p>
      <w:pPr>
        <w:pStyle w:val="Normal"/>
        <w:rPr/>
      </w:pPr>
      <w:r>
        <w:rPr/>
        <w:drawing>
          <wp:anchor behindDoc="0" distT="0" distB="0" distL="0" distR="0" simplePos="0" locked="0" layoutInCell="1" allowOverlap="1" relativeHeight="47">
            <wp:simplePos x="0" y="0"/>
            <wp:positionH relativeFrom="column">
              <wp:posOffset>-7620</wp:posOffset>
            </wp:positionH>
            <wp:positionV relativeFrom="paragraph">
              <wp:posOffset>635</wp:posOffset>
            </wp:positionV>
            <wp:extent cx="3395345" cy="4848225"/>
            <wp:effectExtent l="0" t="0" r="0" b="0"/>
            <wp:wrapSquare wrapText="largest"/>
            <wp:docPr id="86" name="Obrázek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Obrázek40" descr=""/>
                    <pic:cNvPicPr>
                      <a:picLocks noChangeAspect="1" noChangeArrowheads="1"/>
                    </pic:cNvPicPr>
                  </pic:nvPicPr>
                  <pic:blipFill>
                    <a:blip r:embed="rId94"/>
                    <a:stretch>
                      <a:fillRect/>
                    </a:stretch>
                  </pic:blipFill>
                  <pic:spPr bwMode="auto">
                    <a:xfrm>
                      <a:off x="0" y="0"/>
                      <a:ext cx="3395345" cy="4848225"/>
                    </a:xfrm>
                    <a:prstGeom prst="rect">
                      <a:avLst/>
                    </a:prstGeom>
                  </pic:spPr>
                </pic:pic>
              </a:graphicData>
            </a:graphic>
          </wp:anchor>
        </w:drawing>
      </w:r>
      <w:r>
        <w:br w:type="page"/>
      </w:r>
    </w:p>
    <w:p>
      <w:pPr>
        <w:pStyle w:val="Normal"/>
        <w:spacing w:before="7556" w:after="57"/>
        <w:rPr/>
      </w:pPr>
      <w:r>
        <w:rPr/>
        <mc:AlternateContent>
          <mc:Choice Requires="wps">
            <w:drawing>
              <wp:anchor behindDoc="0" distT="72390" distB="72390" distL="72390" distR="72390" simplePos="0" locked="0" layoutInCell="1" allowOverlap="1" relativeHeight="42">
                <wp:simplePos x="0" y="0"/>
                <wp:positionH relativeFrom="column">
                  <wp:posOffset>118745</wp:posOffset>
                </wp:positionH>
                <wp:positionV relativeFrom="paragraph">
                  <wp:posOffset>5038090</wp:posOffset>
                </wp:positionV>
                <wp:extent cx="5934710" cy="1648460"/>
                <wp:effectExtent l="0" t="0" r="0" b="0"/>
                <wp:wrapSquare wrapText="bothSides"/>
                <wp:docPr id="87" name="Rámec41"/>
                <a:graphic xmlns:a="http://schemas.openxmlformats.org/drawingml/2006/main">
                  <a:graphicData uri="http://schemas.microsoft.com/office/word/2010/wordprocessingShape">
                    <wps:wsp>
                      <wps:cNvSpPr/>
                      <wps:spPr>
                        <a:xfrm>
                          <a:off x="0" y="0"/>
                          <a:ext cx="5934240" cy="164772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Online konzultace „Slova pro mladé lidi“</w:t>
                            </w:r>
                          </w:p>
                          <w:p>
                            <w:pPr>
                              <w:pStyle w:val="Contenudecadre"/>
                              <w:rPr>
                                <w:color w:val="auto"/>
                              </w:rPr>
                            </w:pPr>
                            <w:r>
                              <w:rPr>
                                <w:color w:val="auto"/>
                              </w:rPr>
                              <w:t>Dne 9. května 2021 zahájil státní tajemník pro evropské záležitosti konzultaci s názvem „slovo pro mladé lidi“, kterou v období od května do července 2021 uskutečnila společnost Make.org.</w:t>
                            </w:r>
                          </w:p>
                          <w:p>
                            <w:pPr>
                              <w:pStyle w:val="Contenudecadre"/>
                              <w:rPr>
                                <w:color w:val="auto"/>
                              </w:rPr>
                            </w:pPr>
                            <w:r>
                              <w:rPr>
                                <w:color w:val="auto"/>
                              </w:rPr>
                              <w:t>50 000 mladých lidí ve věku 15 až 30 let odpovědělo na otázku: „Jaké jsou vaše priority pro Evropu zítřka?“, bylo předloženo 2918 návrhů.</w:t>
                            </w:r>
                          </w:p>
                          <w:p>
                            <w:pPr>
                              <w:pStyle w:val="Contenudecadre"/>
                              <w:spacing w:before="57" w:after="57"/>
                              <w:rPr>
                                <w:color w:val="auto"/>
                              </w:rPr>
                            </w:pPr>
                            <w:r>
                              <w:rPr>
                                <w:color w:val="auto"/>
                              </w:rPr>
                              <w:t>Myšlenky upřednostňované francouzskými mladými lidmi v souvislosti s touto on-line konzultací jsou součástí příspěvku občanů ke Konferenci o budoucnosti Evropy (viz podrobnosti v části 2 této zprávy).</w:t>
                            </w:r>
                          </w:p>
                        </w:txbxContent>
                      </wps:txbx>
                      <wps:bodyPr lIns="54000" rIns="54000" tIns="54000" bIns="54000">
                        <a:noAutofit/>
                      </wps:bodyPr>
                    </wps:wsp>
                  </a:graphicData>
                </a:graphic>
              </wp:anchor>
            </w:drawing>
          </mc:Choice>
          <mc:Fallback>
            <w:pict>
              <v:rect id="shape_0" ID="Rámec41" fillcolor="white" stroked="t" style="position:absolute;margin-left:9.35pt;margin-top:396.7pt;width:467.2pt;height:129.7pt">
                <w10:wrap type="square"/>
                <v:fill o:detectmouseclick="t" type="solid" color2="black"/>
                <v:stroke color="black" weight="720" joinstyle="round" endcap="flat"/>
                <v:textbox>
                  <w:txbxContent>
                    <w:p>
                      <w:pPr>
                        <w:pStyle w:val="Contenudecadre"/>
                        <w:spacing w:before="57" w:after="57"/>
                        <w:rPr>
                          <w:color w:val="auto"/>
                        </w:rPr>
                      </w:pPr>
                      <w:r>
                        <w:rPr>
                          <w:color w:val="auto"/>
                        </w:rPr>
                        <w:t>Online konzultace „Slova pro mladé lidi“</w:t>
                      </w:r>
                    </w:p>
                    <w:p>
                      <w:pPr>
                        <w:pStyle w:val="Contenudecadre"/>
                        <w:rPr>
                          <w:color w:val="auto"/>
                        </w:rPr>
                      </w:pPr>
                      <w:r>
                        <w:rPr>
                          <w:color w:val="auto"/>
                        </w:rPr>
                        <w:t>Dne 9. května 2021 zahájil státní tajemník pro evropské záležitosti konzultaci s názvem „slovo pro mladé lidi“, kterou v období od května do července 2021 uskutečnila společnost Make.org.</w:t>
                      </w:r>
                    </w:p>
                    <w:p>
                      <w:pPr>
                        <w:pStyle w:val="Contenudecadre"/>
                        <w:rPr>
                          <w:color w:val="auto"/>
                        </w:rPr>
                      </w:pPr>
                      <w:r>
                        <w:rPr>
                          <w:color w:val="auto"/>
                        </w:rPr>
                        <w:t>50 000 mladých lidí ve věku 15 až 30 let odpovědělo na otázku: „Jaké jsou vaše priority pro Evropu zítřka?“, bylo předloženo 2918 návrhů.</w:t>
                      </w:r>
                    </w:p>
                    <w:p>
                      <w:pPr>
                        <w:pStyle w:val="Contenudecadre"/>
                        <w:spacing w:before="57" w:after="57"/>
                        <w:rPr>
                          <w:color w:val="auto"/>
                        </w:rPr>
                      </w:pPr>
                      <w:r>
                        <w:rPr>
                          <w:color w:val="auto"/>
                        </w:rPr>
                        <w:t>Myšlenky upřednostňované francouzskými mladými lidmi v souvislosti s touto on-line konzultací jsou součástí příspěvku občanů ke Konferenci o budoucnosti Evropy (viz podrobnosti v části 2 této zprávy).</w:t>
                      </w:r>
                    </w:p>
                  </w:txbxContent>
                </v:textbox>
              </v:rect>
            </w:pict>
          </mc:Fallback>
        </mc:AlternateContent>
        <mc:AlternateContent>
          <mc:Choice Requires="wps">
            <w:drawing>
              <wp:anchor behindDoc="0" distT="72390" distB="72390" distL="72390" distR="72390" simplePos="0" locked="0" layoutInCell="1" allowOverlap="1" relativeHeight="45">
                <wp:simplePos x="0" y="0"/>
                <wp:positionH relativeFrom="column">
                  <wp:posOffset>3481070</wp:posOffset>
                </wp:positionH>
                <wp:positionV relativeFrom="paragraph">
                  <wp:posOffset>94615</wp:posOffset>
                </wp:positionV>
                <wp:extent cx="2610485" cy="3150870"/>
                <wp:effectExtent l="0" t="0" r="0" b="0"/>
                <wp:wrapSquare wrapText="bothSides"/>
                <wp:docPr id="89" name="Rámec31"/>
                <a:graphic xmlns:a="http://schemas.openxmlformats.org/drawingml/2006/main">
                  <a:graphicData uri="http://schemas.microsoft.com/office/word/2010/wordprocessingShape">
                    <wps:wsp>
                      <wps:cNvSpPr/>
                      <wps:spPr>
                        <a:xfrm>
                          <a:off x="0" y="0"/>
                          <a:ext cx="2610000" cy="315036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 xml:space="preserve">7. Sdílení evropských kultur prostřednictvím </w:t>
                            </w:r>
                            <w:r>
                              <w:rPr>
                                <w:b/>
                                <w:color w:val="auto"/>
                              </w:rPr>
                              <w:t>sjednocování událostí a událostí</w:t>
                            </w:r>
                          </w:p>
                          <w:p>
                            <w:pPr>
                              <w:pStyle w:val="Contenudecadre"/>
                              <w:rPr>
                                <w:b w:val="false"/>
                                <w:b w:val="false"/>
                                <w:color w:val="auto"/>
                              </w:rPr>
                            </w:pPr>
                            <w:r>
                              <w:rPr>
                                <w:b w:val="false"/>
                                <w:color w:val="auto"/>
                              </w:rPr>
                            </w:r>
                          </w:p>
                          <w:p>
                            <w:pPr>
                              <w:pStyle w:val="Contenudecadre"/>
                              <w:rPr>
                                <w:color w:val="auto"/>
                              </w:rPr>
                            </w:pPr>
                            <w:r>
                              <w:rPr>
                                <w:color w:val="auto"/>
                              </w:rPr>
                              <w:t xml:space="preserve">8.Harmonizace </w:t>
                            </w:r>
                            <w:r>
                              <w:rPr>
                                <w:b/>
                                <w:color w:val="auto"/>
                              </w:rPr>
                              <w:t>zdraví</w:t>
                            </w:r>
                            <w:r>
                              <w:rPr>
                                <w:color w:val="auto"/>
                              </w:rPr>
                              <w:t xml:space="preserve"> a jeho zpřístupnění všem Evropanům prostřednictvím společné zdravotní politiky</w:t>
                            </w:r>
                          </w:p>
                          <w:p>
                            <w:pPr>
                              <w:pStyle w:val="Contenudecadre"/>
                              <w:rPr>
                                <w:b w:val="false"/>
                                <w:b w:val="false"/>
                                <w:color w:val="auto"/>
                              </w:rPr>
                            </w:pPr>
                            <w:r>
                              <w:rPr>
                                <w:b w:val="false"/>
                                <w:color w:val="auto"/>
                              </w:rPr>
                            </w:r>
                          </w:p>
                          <w:p>
                            <w:pPr>
                              <w:pStyle w:val="Contenudecadre"/>
                              <w:rPr>
                                <w:color w:val="auto"/>
                              </w:rPr>
                            </w:pPr>
                            <w:r>
                              <w:rPr>
                                <w:color w:val="auto"/>
                              </w:rPr>
                              <w:t xml:space="preserve">9. Rozvíjet a řídit </w:t>
                            </w:r>
                            <w:r>
                              <w:rPr>
                                <w:b/>
                                <w:color w:val="auto"/>
                              </w:rPr>
                              <w:t>strategické kanály</w:t>
                            </w:r>
                            <w:r>
                              <w:rPr>
                                <w:color w:val="auto"/>
                              </w:rPr>
                              <w:t xml:space="preserve"> na evropské úrovni s cílem zajistit naši suverenitu</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10. Zlepšit </w:t>
                            </w:r>
                            <w:r>
                              <w:rPr>
                                <w:b/>
                                <w:color w:val="auto"/>
                              </w:rPr>
                              <w:t>ochranu životního prostředí a ekosystémů</w:t>
                            </w:r>
                            <w:r>
                              <w:rPr>
                                <w:color w:val="auto"/>
                              </w:rPr>
                              <w:t xml:space="preserve"> a vytvořit </w:t>
                            </w:r>
                            <w:r>
                              <w:rPr>
                                <w:b/>
                                <w:color w:val="auto"/>
                              </w:rPr>
                              <w:t>chráněné oblasti</w:t>
                            </w:r>
                            <w:r>
                              <w:rPr>
                                <w:color w:val="auto"/>
                              </w:rPr>
                              <w:t xml:space="preserve"> v srdci městských, příměstských a venkovských oblastí</w:t>
                            </w:r>
                          </w:p>
                        </w:txbxContent>
                      </wps:txbx>
                      <wps:bodyPr lIns="54000" rIns="54000" tIns="54000" bIns="54000">
                        <a:noAutofit/>
                      </wps:bodyPr>
                    </wps:wsp>
                  </a:graphicData>
                </a:graphic>
              </wp:anchor>
            </w:drawing>
          </mc:Choice>
          <mc:Fallback>
            <w:pict>
              <v:rect id="shape_0" ID="Rámec31" fillcolor="white" stroked="t" style="position:absolute;margin-left:274.1pt;margin-top:7.45pt;width:205.45pt;height:248pt">
                <w10:wrap type="square"/>
                <v:fill o:detectmouseclick="t" type="solid" color2="black"/>
                <v:stroke color="black" weight="720" joinstyle="round" endcap="flat"/>
                <v:textbox>
                  <w:txbxContent>
                    <w:p>
                      <w:pPr>
                        <w:pStyle w:val="Contenudecadre"/>
                        <w:spacing w:before="57" w:after="57"/>
                        <w:rPr>
                          <w:color w:val="auto"/>
                        </w:rPr>
                      </w:pPr>
                      <w:r>
                        <w:rPr>
                          <w:color w:val="auto"/>
                        </w:rPr>
                        <w:t xml:space="preserve">7. Sdílení evropských kultur prostřednictvím </w:t>
                      </w:r>
                      <w:r>
                        <w:rPr>
                          <w:b/>
                          <w:color w:val="auto"/>
                        </w:rPr>
                        <w:t>sjednocování událostí a událostí</w:t>
                      </w:r>
                    </w:p>
                    <w:p>
                      <w:pPr>
                        <w:pStyle w:val="Contenudecadre"/>
                        <w:rPr>
                          <w:b w:val="false"/>
                          <w:b w:val="false"/>
                          <w:color w:val="auto"/>
                        </w:rPr>
                      </w:pPr>
                      <w:r>
                        <w:rPr>
                          <w:b w:val="false"/>
                          <w:color w:val="auto"/>
                        </w:rPr>
                      </w:r>
                    </w:p>
                    <w:p>
                      <w:pPr>
                        <w:pStyle w:val="Contenudecadre"/>
                        <w:rPr>
                          <w:color w:val="auto"/>
                        </w:rPr>
                      </w:pPr>
                      <w:r>
                        <w:rPr>
                          <w:color w:val="auto"/>
                        </w:rPr>
                        <w:t xml:space="preserve">8.Harmonizace </w:t>
                      </w:r>
                      <w:r>
                        <w:rPr>
                          <w:b/>
                          <w:color w:val="auto"/>
                        </w:rPr>
                        <w:t>zdraví</w:t>
                      </w:r>
                      <w:r>
                        <w:rPr>
                          <w:color w:val="auto"/>
                        </w:rPr>
                        <w:t xml:space="preserve"> a jeho zpřístupnění všem Evropanům prostřednictvím společné zdravotní politiky</w:t>
                      </w:r>
                    </w:p>
                    <w:p>
                      <w:pPr>
                        <w:pStyle w:val="Contenudecadre"/>
                        <w:rPr>
                          <w:b w:val="false"/>
                          <w:b w:val="false"/>
                          <w:color w:val="auto"/>
                        </w:rPr>
                      </w:pPr>
                      <w:r>
                        <w:rPr>
                          <w:b w:val="false"/>
                          <w:color w:val="auto"/>
                        </w:rPr>
                      </w:r>
                    </w:p>
                    <w:p>
                      <w:pPr>
                        <w:pStyle w:val="Contenudecadre"/>
                        <w:rPr>
                          <w:color w:val="auto"/>
                        </w:rPr>
                      </w:pPr>
                      <w:r>
                        <w:rPr>
                          <w:color w:val="auto"/>
                        </w:rPr>
                        <w:t xml:space="preserve">9. Rozvíjet a řídit </w:t>
                      </w:r>
                      <w:r>
                        <w:rPr>
                          <w:b/>
                          <w:color w:val="auto"/>
                        </w:rPr>
                        <w:t>strategické kanály</w:t>
                      </w:r>
                      <w:r>
                        <w:rPr>
                          <w:color w:val="auto"/>
                        </w:rPr>
                        <w:t xml:space="preserve"> na evropské úrovni s cílem zajistit naši suverenitu</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10. Zlepšit </w:t>
                      </w:r>
                      <w:r>
                        <w:rPr>
                          <w:b/>
                          <w:color w:val="auto"/>
                        </w:rPr>
                        <w:t>ochranu životního prostředí a ekosystémů</w:t>
                      </w:r>
                      <w:r>
                        <w:rPr>
                          <w:color w:val="auto"/>
                        </w:rPr>
                        <w:t xml:space="preserve"> a vytvořit </w:t>
                      </w:r>
                      <w:r>
                        <w:rPr>
                          <w:b/>
                          <w:color w:val="auto"/>
                        </w:rPr>
                        <w:t>chráněné oblasti</w:t>
                      </w:r>
                      <w:r>
                        <w:rPr>
                          <w:color w:val="auto"/>
                        </w:rPr>
                        <w:t xml:space="preserve"> v srdci městských, příměstských a venkovských oblastí</w:t>
                      </w:r>
                    </w:p>
                  </w:txbxContent>
                </v:textbox>
              </v:rect>
            </w:pict>
          </mc:Fallback>
        </mc:AlternateContent>
      </w:r>
    </w:p>
    <w:p>
      <w:pPr>
        <w:pStyle w:val="Titre2"/>
        <w:numPr>
          <w:ilvl w:val="1"/>
          <w:numId w:val="2"/>
        </w:numPr>
        <w:rPr/>
      </w:pPr>
      <w:bookmarkStart w:id="209" w:name="__RefHeading___Toc300452_1346298689"/>
      <w:bookmarkEnd w:id="209"/>
      <w:r>
        <w:rPr/>
        <w:t>Prezentace panelů regionálních konferencí</w:t>
      </w:r>
    </w:p>
    <w:p>
      <w:pPr>
        <w:pStyle w:val="Normal"/>
        <w:rPr/>
      </w:pPr>
      <w:r>
        <w:rPr/>
        <mc:AlternateContent>
          <mc:Choice Requires="wpg">
            <w:drawing>
              <wp:anchor behindDoc="0" distT="0" distB="0" distL="0" distR="0" simplePos="0" locked="0" layoutInCell="1" allowOverlap="1" relativeHeight="50">
                <wp:simplePos x="0" y="0"/>
                <wp:positionH relativeFrom="column">
                  <wp:posOffset>635</wp:posOffset>
                </wp:positionH>
                <wp:positionV relativeFrom="paragraph">
                  <wp:posOffset>25400</wp:posOffset>
                </wp:positionV>
                <wp:extent cx="5971540" cy="8288020"/>
                <wp:effectExtent l="0" t="0" r="0" b="0"/>
                <wp:wrapNone/>
                <wp:docPr id="91" name="Formulář 1"/>
                <a:graphic xmlns:a="http://schemas.openxmlformats.org/drawingml/2006/main">
                  <a:graphicData uri="http://schemas.microsoft.com/office/word/2010/wordprocessingGroup">
                    <wpg:wgp>
                      <wpg:cNvGrpSpPr/>
                      <wpg:grpSpPr>
                        <a:xfrm>
                          <a:off x="0" y="0"/>
                          <a:ext cx="5970960" cy="8287560"/>
                        </a:xfrm>
                      </wpg:grpSpPr>
                      <pic:pic xmlns:pic="http://schemas.openxmlformats.org/drawingml/2006/picture">
                        <pic:nvPicPr>
                          <pic:cNvPr id="0" name="" descr=""/>
                          <pic:cNvPicPr/>
                        </pic:nvPicPr>
                        <pic:blipFill>
                          <a:blip r:embed="rId95"/>
                          <a:stretch/>
                        </pic:blipFill>
                        <pic:spPr>
                          <a:xfrm>
                            <a:off x="93960" y="771480"/>
                            <a:ext cx="5877000" cy="7515720"/>
                          </a:xfrm>
                          <a:prstGeom prst="rect">
                            <a:avLst/>
                          </a:prstGeom>
                          <a:ln>
                            <a:noFill/>
                          </a:ln>
                        </pic:spPr>
                      </pic:pic>
                      <wps:wsp>
                        <wps:cNvSpPr/>
                        <wps:spPr>
                          <a:xfrm>
                            <a:off x="144720" y="0"/>
                            <a:ext cx="5650200" cy="12585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Různorodý panel 746 občanů</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Přehled účastníků 18 regionálních konferencí</w:t>
                              </w:r>
                            </w:p>
                          </w:txbxContent>
                        </wps:txbx>
                        <wps:bodyPr lIns="90000" rIns="90000" tIns="45000" bIns="45000">
                          <a:noAutofit/>
                        </wps:bodyPr>
                      </wps:wsp>
                      <wps:wsp>
                        <wps:cNvSpPr/>
                        <wps:spPr>
                          <a:xfrm>
                            <a:off x="0" y="6246360"/>
                            <a:ext cx="2611800" cy="2040840"/>
                          </a:xfrm>
                          <a:prstGeom prst="rect">
                            <a:avLst/>
                          </a:prstGeom>
                          <a:noFill/>
                          <a:ln>
                            <a:noFill/>
                          </a:ln>
                        </wps:spPr>
                        <wps:style>
                          <a:lnRef idx="0"/>
                          <a:fillRef idx="0"/>
                          <a:effectRef idx="0"/>
                          <a:fontRef idx="minor"/>
                        </wps:style>
                        <wps:txbx>
                          <w:txbxContent>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Zemědělci zemědělci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Řemeslníci – Obchodníci – Obchodníci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Vedoucí pracovníci – liberální profese</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Střednědobá povolání</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Zaměstnanci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Pracovníci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Důchodci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Další neaktivní</w:t>
                              </w:r>
                            </w:p>
                          </w:txbxContent>
                        </wps:txbx>
                        <wps:bodyPr lIns="90000" rIns="90000" tIns="45000" bIns="45000">
                          <a:noAutofit/>
                        </wps:bodyPr>
                      </wps:wsp>
                    </wpg:wgp>
                  </a:graphicData>
                </a:graphic>
              </wp:anchor>
            </w:drawing>
          </mc:Choice>
          <mc:Fallback>
            <w:pict>
              <v:group id="shape_0" alt="Formulář 1" style="position:absolute;margin-left:0.05pt;margin-top:2pt;width:470.15pt;height:652.55pt" coordorigin="1,40" coordsize="9403,13051">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stroked="f" style="position:absolute;left:149;top:1255;width:9254;height:11835" type="shapetype_75">
                  <v:imagedata r:id="rId95" o:detectmouseclick="t"/>
                  <w10:wrap type="none"/>
                  <v:stroke color="#3465a4" joinstyle="round" endcap="flat"/>
                </v:shape>
                <v:rect id="shape_0" stroked="f" style="position:absolute;left:229;top:40;width:8897;height:198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Různorodý panel 746 občanů</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Přehled účastníků 18 regionálních konferencí</w:t>
                        </w:r>
                      </w:p>
                    </w:txbxContent>
                  </v:textbox>
                  <w10:wrap type="square"/>
                  <v:fill o:detectmouseclick="t" on="false"/>
                  <v:stroke color="#3465a4" joinstyle="round" endcap="flat"/>
                </v:rect>
                <v:rect id="shape_0" stroked="f" style="position:absolute;left:1;top:9877;width:4112;height:3213">
                  <v:textbox>
                    <w:txbxContent>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Zemědělci zemědělci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Řemeslníci – Obchodníci – Obchodníci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Vedoucí pracovníci – liberální profese</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Střednědobá povolání</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Zaměstnanci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Pracovníci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Důchodci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Další neaktivní</w:t>
                        </w:r>
                      </w:p>
                    </w:txbxContent>
                  </v:textbox>
                  <w10:wrap type="square"/>
                  <v:fill o:detectmouseclick="t" on="false"/>
                  <v:stroke color="#3465a4" joinstyle="round" endcap="flat"/>
                </v:rect>
              </v:group>
            </w:pict>
          </mc:Fallback>
        </mc:AlternateContent>
      </w:r>
    </w:p>
    <w:p>
      <w:pPr>
        <w:pStyle w:val="Normal"/>
        <w:rPr/>
      </w:pPr>
      <w:r>
        <w:rPr/>
      </w:r>
    </w:p>
    <w:p>
      <w:pPr>
        <w:pStyle w:val="Normal"/>
        <w:rPr/>
      </w:pPr>
      <w:r>
        <w:rPr/>
      </w:r>
      <w:r>
        <w:br w:type="page"/>
      </w:r>
    </w:p>
    <w:p>
      <w:pPr>
        <w:pStyle w:val="Normal"/>
        <w:rPr/>
      </w:pPr>
      <w:r>
        <w:rPr/>
        <mc:AlternateContent>
          <mc:Choice Requires="wpg">
            <w:drawing>
              <wp:anchor behindDoc="0" distT="0" distB="0" distL="0" distR="0" simplePos="0" locked="0" layoutInCell="1" allowOverlap="1" relativeHeight="51">
                <wp:simplePos x="0" y="0"/>
                <wp:positionH relativeFrom="column">
                  <wp:posOffset>0</wp:posOffset>
                </wp:positionH>
                <wp:positionV relativeFrom="paragraph">
                  <wp:posOffset>36195</wp:posOffset>
                </wp:positionV>
                <wp:extent cx="5873750" cy="8265160"/>
                <wp:effectExtent l="0" t="0" r="0" b="0"/>
                <wp:wrapNone/>
                <wp:docPr id="92" name="Formulář 2"/>
                <a:graphic xmlns:a="http://schemas.openxmlformats.org/drawingml/2006/main">
                  <a:graphicData uri="http://schemas.microsoft.com/office/word/2010/wordprocessingGroup">
                    <wpg:wgp>
                      <wpg:cNvGrpSpPr/>
                      <wpg:grpSpPr>
                        <a:xfrm>
                          <a:off x="0" y="0"/>
                          <a:ext cx="5873040" cy="8264520"/>
                        </a:xfrm>
                      </wpg:grpSpPr>
                      <pic:pic xmlns:pic="http://schemas.openxmlformats.org/drawingml/2006/picture">
                        <pic:nvPicPr>
                          <pic:cNvPr id="1" name="" descr=""/>
                          <pic:cNvPicPr/>
                        </pic:nvPicPr>
                        <pic:blipFill>
                          <a:blip r:embed="rId96"/>
                          <a:stretch/>
                        </pic:blipFill>
                        <pic:spPr>
                          <a:xfrm>
                            <a:off x="720" y="1012680"/>
                            <a:ext cx="5872320" cy="7251840"/>
                          </a:xfrm>
                          <a:prstGeom prst="rect">
                            <a:avLst/>
                          </a:prstGeom>
                          <a:ln>
                            <a:noFill/>
                          </a:ln>
                        </pic:spPr>
                      </pic:pic>
                      <wps:wsp>
                        <wps:cNvSpPr/>
                        <wps:spPr>
                          <a:xfrm>
                            <a:off x="0" y="0"/>
                            <a:ext cx="5873040" cy="15811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Konference o budoucnosti Evropy v celé Francii</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 regionálních konferencí, 13 v metropoli a 5 zámoří</w:t>
                              </w:r>
                            </w:p>
                          </w:txbxContent>
                        </wps:txbx>
                        <wps:bodyPr lIns="90000" rIns="90000" tIns="45000" bIns="45000">
                          <a:noAutofit/>
                        </wps:bodyPr>
                      </wps:wsp>
                    </wpg:wgp>
                  </a:graphicData>
                </a:graphic>
              </wp:anchor>
            </w:drawing>
          </mc:Choice>
          <mc:Fallback>
            <w:pict>
              <v:group id="shape_0" alt="Formulář 2" style="position:absolute;margin-left:0pt;margin-top:2.85pt;width:462.45pt;height:650.75pt" coordorigin="0,57" coordsize="9249,13015">
                <v:shape id="shape_0" stroked="f" style="position:absolute;left:1;top:1652;width:9247;height:11419" type="shapetype_75">
                  <v:imagedata r:id="rId96" o:detectmouseclick="t"/>
                  <w10:wrap type="none"/>
                  <v:stroke color="#3465a4" joinstyle="round" endcap="flat"/>
                </v:shape>
                <v:rect id="shape_0" stroked="f" style="position:absolute;left:0;top:57;width:9248;height:248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Konference o budoucnosti Evropy v celé Francii</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 regionálních konferencí, 13 v metropoli a 5 zámoří</w:t>
                        </w:r>
                      </w:p>
                    </w:txbxContent>
                  </v:textbox>
                  <w10:wrap type="square"/>
                  <v:fill o:detectmouseclick="t" on="false"/>
                  <v:stroke color="#3465a4" joinstyle="round" endcap="flat"/>
                </v:rect>
              </v:group>
            </w:pict>
          </mc:Fallback>
        </mc:AlternateContent>
      </w:r>
    </w:p>
    <w:p>
      <w:pPr>
        <w:pStyle w:val="Normal"/>
        <w:rPr/>
      </w:pPr>
      <w:r>
        <w:rPr/>
      </w:r>
      <w:r>
        <w:br w:type="page"/>
      </w:r>
    </w:p>
    <w:p>
      <w:pPr>
        <w:pStyle w:val="Titre2"/>
        <w:numPr>
          <w:ilvl w:val="1"/>
          <w:numId w:val="2"/>
        </w:numPr>
        <w:spacing w:before="13366" w:after="120"/>
        <w:rPr/>
      </w:pPr>
      <w:bookmarkStart w:id="210" w:name="__RefHeading___Toc300454_1346298689"/>
      <w:bookmarkEnd w:id="210"/>
      <w:r>
        <mc:AlternateContent>
          <mc:Choice Requires="wpg">
            <w:drawing>
              <wp:anchor behindDoc="0" distT="0" distB="0" distL="0" distR="0" simplePos="0" locked="0" layoutInCell="1" allowOverlap="1" relativeHeight="69">
                <wp:simplePos x="0" y="0"/>
                <wp:positionH relativeFrom="column">
                  <wp:posOffset>175895</wp:posOffset>
                </wp:positionH>
                <wp:positionV relativeFrom="paragraph">
                  <wp:posOffset>450215</wp:posOffset>
                </wp:positionV>
                <wp:extent cx="5782945" cy="8488045"/>
                <wp:effectExtent l="0" t="0" r="0" b="0"/>
                <wp:wrapTopAndBottom/>
                <wp:docPr id="93" name="Formulář3"/>
                <a:graphic xmlns:a="http://schemas.openxmlformats.org/drawingml/2006/main">
                  <a:graphicData uri="http://schemas.microsoft.com/office/word/2010/wordprocessingGroup">
                    <wpg:wgp>
                      <wpg:cNvGrpSpPr/>
                      <wpg:grpSpPr>
                        <a:xfrm>
                          <a:off x="0" y="0"/>
                          <a:ext cx="5782320" cy="8487360"/>
                        </a:xfrm>
                      </wpg:grpSpPr>
                      <pic:pic xmlns:pic="http://schemas.openxmlformats.org/drawingml/2006/picture">
                        <pic:nvPicPr>
                          <pic:cNvPr id="2" name="" descr=""/>
                          <pic:cNvPicPr/>
                        </pic:nvPicPr>
                        <pic:blipFill>
                          <a:blip r:embed="rId97"/>
                          <a:stretch/>
                        </pic:blipFill>
                        <pic:spPr>
                          <a:xfrm>
                            <a:off x="0" y="0"/>
                            <a:ext cx="5782320" cy="8487360"/>
                          </a:xfrm>
                          <a:prstGeom prst="rect">
                            <a:avLst/>
                          </a:prstGeom>
                          <a:ln>
                            <a:noFill/>
                          </a:ln>
                        </pic:spPr>
                      </pic:pic>
                      <wps:wsp>
                        <wps:cNvSpPr/>
                        <wps:spPr>
                          <a:xfrm>
                            <a:off x="1104840" y="337320"/>
                            <a:ext cx="3712680" cy="41076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Závazky státu</w:t>
                              </w:r>
                            </w:p>
                          </w:txbxContent>
                        </wps:txbx>
                        <wps:bodyPr lIns="90000" rIns="90000" tIns="45000" bIns="45000">
                          <a:noAutofit/>
                        </wps:bodyPr>
                      </wps:wsp>
                      <wps:wsp>
                        <wps:cNvSpPr/>
                        <wps:spPr>
                          <a:xfrm>
                            <a:off x="768960" y="1240920"/>
                            <a:ext cx="1095480" cy="498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Průhlednost</w:t>
                              </w:r>
                            </w:p>
                          </w:txbxContent>
                        </wps:txbx>
                        <wps:bodyPr lIns="90000" rIns="90000" tIns="45000" bIns="45000">
                          <a:noAutofit/>
                        </wps:bodyPr>
                      </wps:wsp>
                      <wps:wsp>
                        <wps:cNvSpPr/>
                        <wps:spPr>
                          <a:xfrm>
                            <a:off x="3957480" y="1253520"/>
                            <a:ext cx="1095480" cy="49896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Povinnost okamžitě</w:t>
                              </w:r>
                            </w:p>
                          </w:txbxContent>
                        </wps:txbx>
                        <wps:bodyPr lIns="90000" rIns="90000" tIns="45000" bIns="45000">
                          <a:noAutofit/>
                        </wps:bodyPr>
                      </wps:wsp>
                      <wps:wsp>
                        <wps:cNvSpPr/>
                        <wps:spPr>
                          <a:xfrm>
                            <a:off x="2369160" y="1265040"/>
                            <a:ext cx="1094760" cy="29448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Neutralita</w:t>
                              </w:r>
                            </w:p>
                          </w:txbxContent>
                        </wps:txbx>
                        <wps:bodyPr lIns="90000" rIns="90000" tIns="45000" bIns="45000">
                          <a:noAutofit/>
                        </wps:bodyPr>
                      </wps:wsp>
                      <wps:wsp>
                        <wps:cNvSpPr/>
                        <wps:spPr>
                          <a:xfrm>
                            <a:off x="210240" y="2037240"/>
                            <a:ext cx="449568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Metodické předsudky</w:t>
                              </w:r>
                            </w:p>
                          </w:txbxContent>
                        </wps:txbx>
                        <wps:bodyPr lIns="90000" rIns="90000" tIns="45000" bIns="45000">
                          <a:noAutofit/>
                        </wps:bodyPr>
                      </wps:wsp>
                      <pic:pic xmlns:pic="http://schemas.openxmlformats.org/drawingml/2006/picture">
                        <pic:nvPicPr>
                          <pic:cNvPr id="3" name="" descr=""/>
                          <pic:cNvPicPr/>
                        </pic:nvPicPr>
                        <pic:blipFill>
                          <a:blip r:embed="rId98"/>
                          <a:stretch/>
                        </pic:blipFill>
                        <pic:spPr>
                          <a:xfrm>
                            <a:off x="1105560" y="2401560"/>
                            <a:ext cx="4354200" cy="5891040"/>
                          </a:xfrm>
                          <a:prstGeom prst="rect">
                            <a:avLst/>
                          </a:prstGeom>
                          <a:ln>
                            <a:noFill/>
                          </a:ln>
                        </pic:spPr>
                      </pic:pic>
                    </wpg:wgp>
                  </a:graphicData>
                </a:graphic>
              </wp:anchor>
            </w:drawing>
          </mc:Choice>
          <mc:Fallback>
            <w:pict>
              <v:group id="shape_0" alt="Formulář3" style="position:absolute;margin-left:13.85pt;margin-top:35.45pt;width:455.3pt;height:668.3pt" coordorigin="277,709" coordsize="9106,13366">
                <v:shape id="shape_0" stroked="f" style="position:absolute;left:277;top:709;width:9105;height:13365" type="shapetype_75">
                  <v:imagedata r:id="rId97" o:detectmouseclick="t"/>
                  <w10:wrap type="none"/>
                  <v:stroke color="#3465a4" joinstyle="round" endcap="flat"/>
                </v:shape>
                <v:rect id="shape_0" stroked="f" style="position:absolute;left:2017;top:1240;width:5846;height:646">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Závazky státu</w:t>
                        </w:r>
                      </w:p>
                    </w:txbxContent>
                  </v:textbox>
                  <w10:wrap type="square"/>
                  <v:fill o:detectmouseclick="t" on="false"/>
                  <v:stroke color="#3465a4" joinstyle="round" endcap="flat"/>
                </v:rect>
                <v:rect id="shape_0" stroked="f" style="position:absolute;left:1488;top:2663;width:1724;height:7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Průhlednost</w:t>
                        </w:r>
                      </w:p>
                    </w:txbxContent>
                  </v:textbox>
                  <w10:wrap type="square"/>
                  <v:fill o:detectmouseclick="t" on="false"/>
                  <v:stroke color="#3465a4" joinstyle="round" endcap="flat"/>
                </v:rect>
                <v:rect id="shape_0" stroked="f" style="position:absolute;left:6509;top:2683;width:1724;height:785">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Povinnost okamžitě</w:t>
                        </w:r>
                      </w:p>
                    </w:txbxContent>
                  </v:textbox>
                  <w10:wrap type="square"/>
                  <v:fill o:detectmouseclick="t" on="false"/>
                  <v:stroke color="#3465a4" joinstyle="round" endcap="flat"/>
                </v:rect>
                <v:rect id="shape_0" stroked="f" style="position:absolute;left:4008;top:2701;width:1723;height:463">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Neutralita</w:t>
                        </w:r>
                      </w:p>
                    </w:txbxContent>
                  </v:textbox>
                  <w10:wrap type="square"/>
                  <v:fill o:detectmouseclick="t" on="false"/>
                  <v:stroke color="#3465a4" joinstyle="round" endcap="flat"/>
                </v:rect>
                <v:rect id="shape_0" stroked="f" style="position:absolute;left:608;top:3917;width:7079;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Metodické předsudky</w:t>
                        </w:r>
                      </w:p>
                    </w:txbxContent>
                  </v:textbox>
                  <w10:wrap type="square"/>
                  <v:fill o:detectmouseclick="t" on="false"/>
                  <v:stroke color="#3465a4" joinstyle="round" endcap="flat"/>
                </v:rect>
                <v:shape id="shape_0" stroked="f" style="position:absolute;left:2018;top:4491;width:6856;height:9276" type="shapetype_75">
                  <v:imagedata r:id="rId98" o:detectmouseclick="t"/>
                  <w10:wrap type="none"/>
                  <v:stroke color="#3465a4" joinstyle="round" endcap="flat"/>
                </v:shape>
              </v:group>
            </w:pict>
          </mc:Fallback>
        </mc:AlternateContent>
      </w:r>
      <w:r>
        <w:rPr/>
        <w:t xml:space="preserve">Metodické závazky a předsudky </w:t>
      </w:r>
    </w:p>
    <w:p>
      <w:pPr>
        <w:pStyle w:val="Normal"/>
        <w:rPr/>
      </w:pPr>
      <w:r>
        <w:rPr/>
      </w:r>
    </w:p>
    <w:p>
      <w:pPr>
        <w:pStyle w:val="Normal"/>
        <w:rPr/>
      </w:pPr>
      <w:r>
        <w:rPr/>
      </w:r>
    </w:p>
    <w:p>
      <w:pPr>
        <w:pStyle w:val="P68B1DB1Normal32"/>
        <w:spacing w:lineRule="auto" w:line="240" w:before="0" w:after="0"/>
        <w:ind w:left="0" w:right="0" w:hanging="0"/>
        <w:rPr/>
      </w:pPr>
      <w:r>
        <w:rPr>
          <w:rFonts w:ascii="Times New Roman" w:hAnsi="Times New Roman"/>
        </w:rPr>
        <w:t>a</w:t>
      </w:r>
      <w:r>
        <w:rPr/>
        <w:t xml:space="preserve">. </w:t>
      </w:r>
      <w:r>
        <w:rPr>
          <w:rFonts w:ascii="Times New Roman" w:hAnsi="Times New Roman"/>
        </w:rPr>
        <w:t xml:space="preserve">Závazky státu týkající se participativní demokracie </w:t>
      </w:r>
    </w:p>
    <w:p>
      <w:pPr>
        <w:pStyle w:val="P68B1DB1Normal19"/>
        <w:widowControl w:val="false"/>
        <w:spacing w:lineRule="auto" w:line="240" w:before="0" w:after="0"/>
        <w:ind w:left="0" w:right="0" w:hanging="0"/>
        <w:jc w:val="left"/>
        <w:rPr/>
      </w:pPr>
      <w:r>
        <w:rPr/>
        <w:t>Francouzská část konference o budoucnosti Evropy je součástí závazků státu k participativní demokracii, které jsou založeny na třech zásadách:</w:t>
      </w:r>
      <w:r>
        <w:rPr>
          <w:b/>
        </w:rPr>
        <w:t xml:space="preserve"> transparentnost, neutralita a povinnost okamžitě</w:t>
      </w:r>
      <w:r>
        <w:rPr/>
        <w:t xml:space="preserve">. </w:t>
      </w:r>
    </w:p>
    <w:p>
      <w:pPr>
        <w:pStyle w:val="P68B1DB1Normal19"/>
        <w:widowControl w:val="false"/>
        <w:spacing w:lineRule="auto" w:line="240" w:before="0" w:after="0"/>
        <w:ind w:left="0" w:right="0" w:hanging="0"/>
        <w:jc w:val="both"/>
        <w:rPr/>
      </w:pPr>
      <w:r>
        <w:rPr/>
        <w:t xml:space="preserve">Participativní přístup zavazuje organizátora dodržovat přísnou metodiku. Způsob účasti občanů musí umožnit občanům účastnit se co nejlepších podmínek a svobodně a odůvodněně vyjadřovat své názory. </w:t>
      </w:r>
    </w:p>
    <w:p>
      <w:pPr>
        <w:pStyle w:val="P68B1DB1Normal33"/>
        <w:widowControl w:val="false"/>
        <w:spacing w:lineRule="auto" w:line="240" w:before="0" w:after="0"/>
        <w:ind w:left="0" w:right="0" w:hanging="0"/>
        <w:jc w:val="left"/>
        <w:rPr>
          <w:rFonts w:ascii="Times New Roman" w:hAnsi="Times New Roman"/>
          <w:b/>
          <w:b/>
          <w:color w:val="000000"/>
          <w:sz w:val="24"/>
        </w:rPr>
      </w:pPr>
      <w:r>
        <w:rPr/>
        <w:t xml:space="preserve">Průhlednost </w:t>
      </w:r>
    </w:p>
    <w:p>
      <w:pPr>
        <w:pStyle w:val="P68B1DB1Normal19"/>
        <w:widowControl w:val="false"/>
        <w:spacing w:lineRule="auto" w:line="240" w:before="0" w:after="0"/>
        <w:ind w:left="0" w:right="0" w:hanging="0"/>
        <w:jc w:val="left"/>
        <w:rPr/>
      </w:pPr>
      <w:r>
        <w:rPr/>
        <w:t xml:space="preserve">Organizační tým konference je odhodlán zpřístupnit veškeré informace o konzultaci občanům: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Rámec, v němž se konzultace koná; •</w:t>
      </w:r>
      <w:r>
        <w:rPr/>
        <w:t xml:space="preserve"> </w:t>
      </w:r>
      <w:r>
        <w:rPr>
          <w:rFonts w:ascii="Times New Roman" w:hAnsi="Times New Roman"/>
        </w:rPr>
        <w:t xml:space="preserve">Závazky vůči občanům;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 xml:space="preserve">Účely konzultace;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 xml:space="preserve">Výsledky konzultace. </w:t>
      </w:r>
    </w:p>
    <w:p>
      <w:pPr>
        <w:pStyle w:val="Normal"/>
        <w:widowControl w:val="false"/>
        <w:spacing w:lineRule="auto" w:line="240" w:before="0" w:after="0"/>
        <w:ind w:left="0" w:right="0" w:hanging="0"/>
        <w:jc w:val="both"/>
        <w:rPr/>
      </w:pPr>
      <w:r>
        <w:rPr>
          <w:rFonts w:ascii="Times New Roman" w:hAnsi="Times New Roman"/>
          <w:color w:val="000000"/>
          <w:sz w:val="24"/>
        </w:rPr>
        <w:t>Byla proto stanovena metodika konference o budoucnosti Evropy s trvalým cílem zajistit transparentnost pro občany. Byla jasně stanovena metodika náboru náhodně kreslených občanů, metodické předsudky a zacházení s projevy občanů. Účastníci také obdrželi shrnutí své regionální konference e-mailem na konci konference. Kromě toho budou všechny pracovní a výstupní dokumenty zveřejněny na konci režimu na platformě pro účast občanů státu</w:t>
      </w:r>
      <w:r>
        <w:rPr>
          <w:rStyle w:val="Ancredenotedebasdepage"/>
          <w:rStyle w:val="Ancredenotedebasdepage"/>
          <w:rFonts w:ascii="Times New Roman" w:hAnsi="Times New Roman"/>
          <w:color w:val="000000"/>
          <w:sz w:val="16"/>
        </w:rPr>
        <w:footnoteReference w:id="14"/>
      </w:r>
      <w:r>
        <w:rPr>
          <w:rFonts w:ascii="Times New Roman" w:hAnsi="Times New Roman"/>
          <w:color w:val="000000"/>
          <w:sz w:val="24"/>
        </w:rPr>
        <w:t xml:space="preserve">. </w:t>
      </w:r>
    </w:p>
    <w:p>
      <w:pPr>
        <w:pStyle w:val="P68B1DB1Normal19"/>
        <w:widowControl w:val="false"/>
        <w:spacing w:lineRule="auto" w:line="240" w:before="0" w:after="0"/>
        <w:ind w:left="0" w:right="0" w:hanging="0"/>
        <w:jc w:val="left"/>
        <w:rPr>
          <w:rFonts w:ascii="Times New Roman" w:hAnsi="Times New Roman"/>
          <w:color w:val="000000"/>
          <w:sz w:val="24"/>
        </w:rPr>
      </w:pPr>
      <w:r>
        <w:rPr/>
        <w:t xml:space="preserve"> </w:t>
      </w:r>
    </w:p>
    <w:p>
      <w:pPr>
        <w:pStyle w:val="Normal"/>
        <w:spacing w:lineRule="auto" w:line="240" w:before="0" w:after="0"/>
        <w:ind w:left="0" w:right="0" w:hanging="0"/>
        <w:rPr/>
      </w:pPr>
      <w:r>
        <w:rPr/>
      </w:r>
      <w:r>
        <w:br w:type="page"/>
      </w:r>
    </w:p>
    <w:p>
      <w:pPr>
        <w:pStyle w:val="P68B1DB1Normal33"/>
        <w:spacing w:lineRule="auto" w:line="240" w:before="0" w:after="0"/>
        <w:ind w:left="0" w:right="0" w:hanging="0"/>
        <w:rPr>
          <w:rFonts w:ascii="Times New Roman" w:hAnsi="Times New Roman"/>
          <w:b/>
          <w:b/>
          <w:color w:val="000000"/>
          <w:sz w:val="24"/>
        </w:rPr>
      </w:pPr>
      <w:r>
        <w:rPr/>
        <w:t xml:space="preserve">Neutralita </w:t>
      </w:r>
    </w:p>
    <w:p>
      <w:pPr>
        <w:pStyle w:val="P68B1DB1Normal19"/>
        <w:widowControl w:val="false"/>
        <w:spacing w:lineRule="auto" w:line="240" w:before="0" w:after="0"/>
        <w:ind w:left="0" w:right="0" w:hanging="0"/>
        <w:jc w:val="both"/>
        <w:rPr/>
      </w:pPr>
      <w:r>
        <w:rPr/>
        <w:t xml:space="preserve">Během konzultace musí organizační tým zajistit, aby zůstal neutrální, pokud jde o usnadňování výměn, jakož i při vypracovávání shrnutí prezentujících výsledky. Zúčastněné strany v systému – zprostředkovatelé, zprostředkovatelé, odborníci – by neměly vyjadřovat vlastní názory ani se nesnažit vést diskusi subjektivně. </w:t>
      </w:r>
    </w:p>
    <w:p>
      <w:pPr>
        <w:pStyle w:val="P68B1DB1Normal19"/>
        <w:widowControl w:val="false"/>
        <w:spacing w:lineRule="auto" w:line="240" w:before="0" w:after="0"/>
        <w:ind w:left="0" w:right="0" w:hanging="0"/>
        <w:jc w:val="both"/>
        <w:rPr/>
      </w:pPr>
      <w:r>
        <w:rPr/>
        <w:t xml:space="preserve">Cíl neutrality byl sledován ve všech fázích konzultace, přičemž byl zajištěn zejména nestranný výběr účastníků, plná svoboda v diskusích a nedostatečný vliv na projevy občanů ze strany sponzora nebo zúčastněných stran. Tento požadavek neutrality se realizoval prostřednictvím objektivního a transparentního procesu náboru účastníků, soudržné metodické předpojatosti (reverzní odborné znalosti, nedostatek tematického rámce diskusí) a zvláštního zaměření na postoj různých řečníků (pomožovatelů, facilitátorů, odborníků). A konečně, organizační tým se ujistil, že si cení všech slov a nefiltruje návrhy občanů. </w:t>
      </w:r>
    </w:p>
    <w:p>
      <w:pPr>
        <w:pStyle w:val="P68B1DB1Normal19"/>
        <w:widowControl w:val="false"/>
        <w:spacing w:lineRule="auto" w:line="240" w:before="0" w:after="0"/>
        <w:ind w:left="0" w:right="0" w:hanging="0"/>
        <w:jc w:val="both"/>
        <w:rPr/>
      </w:pPr>
      <w:r>
        <w:rPr>
          <w:b/>
        </w:rPr>
        <w:t>Kolegium tří ručitelů</w:t>
      </w:r>
      <w:r>
        <w:rPr/>
        <w:t xml:space="preserve"> jmenovaných předsedy Národního shromáždění a Evropského parlamentu a vládou rovněž zajistilo, že všechna stanoviska budou vyjádřena a zohledněna. </w:t>
      </w:r>
    </w:p>
    <w:p>
      <w:pPr>
        <w:pStyle w:val="P68B1DB1Normal33"/>
        <w:widowControl w:val="false"/>
        <w:spacing w:lineRule="auto" w:line="240" w:before="0" w:after="0"/>
        <w:ind w:left="0" w:right="0" w:hanging="0"/>
        <w:jc w:val="left"/>
        <w:rPr>
          <w:rFonts w:ascii="Times New Roman" w:hAnsi="Times New Roman"/>
          <w:b/>
          <w:b/>
          <w:color w:val="000000"/>
          <w:sz w:val="24"/>
        </w:rPr>
      </w:pPr>
      <w:r>
        <w:rPr/>
        <w:t xml:space="preserve">Povinnost okamžitě </w:t>
      </w:r>
    </w:p>
    <w:p>
      <w:pPr>
        <w:pStyle w:val="P68B1DB1Normal19"/>
        <w:widowControl w:val="false"/>
        <w:spacing w:lineRule="auto" w:line="240" w:before="0" w:after="0"/>
        <w:ind w:left="0" w:right="0" w:hanging="0"/>
        <w:jc w:val="both"/>
        <w:rPr/>
      </w:pPr>
      <w:r>
        <w:rPr/>
        <w:t xml:space="preserve">Občané, bez ohledu na to, zda se konzultace zúčastnili či nikoli, mají právo být informováni o tom, co bylo vybráno z jejich návrhů a o stanoviscích, které z nich vyvodili, a z jakých důvodů. Tomu se říká </w:t>
      </w:r>
      <w:r>
        <w:rPr>
          <w:b/>
        </w:rPr>
        <w:t>povinnost okamžitě</w:t>
      </w:r>
      <w:r>
        <w:rPr/>
        <w:t xml:space="preserve">. </w:t>
      </w:r>
    </w:p>
    <w:p>
      <w:pPr>
        <w:pStyle w:val="P68B1DB1Normal19"/>
        <w:widowControl w:val="false"/>
        <w:spacing w:lineRule="auto" w:line="240" w:before="0" w:after="0"/>
        <w:ind w:left="0" w:right="0" w:hanging="0"/>
        <w:jc w:val="left"/>
        <w:rPr>
          <w:rFonts w:ascii="Times New Roman" w:hAnsi="Times New Roman"/>
          <w:color w:val="000000"/>
          <w:sz w:val="24"/>
        </w:rPr>
      </w:pPr>
      <w:r>
        <w:rPr/>
        <w:t xml:space="preserve"> </w:t>
      </w:r>
    </w:p>
    <w:p>
      <w:pPr>
        <w:pStyle w:val="P68B1DB1Normal19"/>
        <w:spacing w:lineRule="auto" w:line="240" w:before="0" w:after="0"/>
        <w:ind w:left="0" w:right="0" w:hanging="0"/>
        <w:jc w:val="both"/>
        <w:rPr/>
      </w:pPr>
      <w:r>
        <w:rPr/>
        <w:t xml:space="preserve">Je definována meziresortním střediskem pro účast občanů (ICPC) a meziresortním ředitelstvím pro veřejnou transformaci (DITP) jako závazek veřejného činitele s rozhodovací pravomocí poskytnout občanům jasnou a čitelnou odpověď na výsledek konzultace. Konkrétně je povinností následných opatření vrátit se občanům, aby jim vysvětlili, jak jsou jejich příspěvky zohledněny a jak mají dopad na rozhodování a postupy správy. </w:t>
      </w:r>
    </w:p>
    <w:p>
      <w:pPr>
        <w:pStyle w:val="Normal"/>
        <w:spacing w:lineRule="auto" w:line="240" w:before="0" w:after="0"/>
        <w:ind w:left="0" w:right="0" w:hanging="0"/>
        <w:jc w:val="both"/>
        <w:rPr>
          <w:rFonts w:ascii="Times New Roman" w:hAnsi="Times New Roman"/>
          <w:color w:val="000000"/>
          <w:sz w:val="24"/>
        </w:rPr>
      </w:pPr>
      <w:r>
        <w:rPr>
          <w:rFonts w:ascii="Times New Roman" w:hAnsi="Times New Roman"/>
          <w:color w:val="000000"/>
          <w:sz w:val="24"/>
        </w:rPr>
      </w:r>
    </w:p>
    <w:p>
      <w:pPr>
        <w:pStyle w:val="P68B1DB1Normal19"/>
        <w:widowControl w:val="false"/>
        <w:spacing w:lineRule="auto" w:line="240" w:before="0" w:after="0"/>
        <w:ind w:left="0" w:right="0" w:hanging="0"/>
        <w:jc w:val="both"/>
        <w:rPr/>
      </w:pPr>
      <w:r>
        <w:rPr/>
        <w:t xml:space="preserve">Vláda převzala tuto povinnost v návaznosti na Konferenci o budoucnosti Evropy a oznámila ambiciózní mechanismus následných opatření v návaznosti na národní konferenci popsanou v další části této zprávy (viz „Metodikické </w:t>
      </w:r>
      <w:r>
        <w:rPr>
          <w:i/>
        </w:rPr>
        <w:t>strany“</w:t>
      </w:r>
      <w:r>
        <w:rPr/>
        <w:t xml:space="preserve">). </w:t>
      </w:r>
    </w:p>
    <w:p>
      <w:pPr>
        <w:pStyle w:val="P68B1DB1Normal19"/>
        <w:widowControl w:val="false"/>
        <w:spacing w:lineRule="auto" w:line="240" w:before="0" w:after="0"/>
        <w:ind w:left="0" w:right="0" w:hanging="0"/>
        <w:jc w:val="both"/>
        <w:rPr>
          <w:rFonts w:ascii="Times New Roman" w:hAnsi="Times New Roman"/>
          <w:color w:val="000000"/>
          <w:sz w:val="24"/>
        </w:rPr>
      </w:pPr>
      <w:r>
        <w:rPr/>
        <w:t xml:space="preserve"> </w:t>
      </w:r>
    </w:p>
    <w:p>
      <w:pPr>
        <w:pStyle w:val="P68B1DB1Normal33"/>
        <w:spacing w:lineRule="auto" w:line="240" w:before="0" w:after="0"/>
        <w:ind w:left="0" w:right="0" w:hanging="0"/>
        <w:jc w:val="both"/>
        <w:rPr>
          <w:rFonts w:ascii="Times New Roman" w:hAnsi="Times New Roman"/>
          <w:b/>
          <w:b/>
          <w:color w:val="000000"/>
          <w:sz w:val="24"/>
        </w:rPr>
      </w:pPr>
      <w:r>
        <w:rPr/>
        <w:t xml:space="preserve">B. Metodické strany </w:t>
      </w:r>
    </w:p>
    <w:p>
      <w:pPr>
        <w:pStyle w:val="P68B1DB1Normal19"/>
        <w:widowControl w:val="false"/>
        <w:spacing w:lineRule="auto" w:line="240" w:before="0" w:after="0"/>
        <w:ind w:left="0" w:right="0" w:hanging="0"/>
        <w:jc w:val="both"/>
        <w:rPr/>
      </w:pPr>
      <w:r>
        <w:rPr/>
        <w:t xml:space="preserve">Tyto tři závazky státu byly zohledněny v metodice konzultací v podobě </w:t>
      </w:r>
      <w:r>
        <w:rPr>
          <w:b/>
        </w:rPr>
        <w:t>sedmi silných metodických předsudků</w:t>
      </w:r>
      <w:r>
        <w:rPr/>
        <w:t xml:space="preserve">. </w:t>
      </w:r>
    </w:p>
    <w:p>
      <w:pPr>
        <w:pStyle w:val="Normal"/>
        <w:widowControl w:val="false"/>
        <w:spacing w:lineRule="auto" w:line="240" w:before="0" w:after="0"/>
        <w:ind w:left="0" w:right="0" w:hanging="0"/>
        <w:jc w:val="both"/>
        <w:rPr>
          <w:rFonts w:ascii="Times New Roman" w:hAnsi="Times New Roman"/>
          <w:color w:val="000000"/>
          <w:sz w:val="24"/>
        </w:rPr>
      </w:pPr>
      <w:r>
        <w:rPr>
          <w:rFonts w:ascii="Times New Roman" w:hAnsi="Times New Roman"/>
          <w:color w:val="000000"/>
          <w:sz w:val="24"/>
        </w:rPr>
      </w:r>
    </w:p>
    <w:p>
      <w:pPr>
        <w:pStyle w:val="P68B1DB1Normal35"/>
        <w:widowControl w:val="false"/>
        <w:spacing w:lineRule="auto" w:line="240" w:before="0" w:after="0"/>
        <w:ind w:left="0" w:right="0" w:hanging="0"/>
        <w:jc w:val="both"/>
        <w:rPr/>
      </w:pPr>
      <w:r>
        <w:rPr>
          <w:rFonts w:ascii="Times New Roman" w:hAnsi="Times New Roman"/>
        </w:rPr>
        <w:t>1.</w:t>
      </w:r>
      <w:r>
        <w:rPr/>
        <w:t xml:space="preserve"> </w:t>
      </w:r>
      <w:r>
        <w:rPr>
          <w:rFonts w:ascii="Times New Roman" w:hAnsi="Times New Roman"/>
        </w:rPr>
        <w:t>Teritorializace a blízkost</w:t>
      </w:r>
    </w:p>
    <w:p>
      <w:pPr>
        <w:pStyle w:val="P68B1DB1Normal24"/>
        <w:widowControl w:val="false"/>
        <w:spacing w:lineRule="auto" w:line="240" w:before="0" w:after="0"/>
        <w:ind w:left="0" w:right="0" w:hanging="0"/>
        <w:jc w:val="both"/>
        <w:rPr/>
      </w:pPr>
      <w:r>
        <w:rPr/>
        <w:t xml:space="preserve">Národní složka Konference o budoucnosti Evropy měla podobu 18 regionálních konferencí ve 13 metropolitních regionech a pěti francouzských ultramořských regionech, po nichž následovala národní konference v Paříži. Touto volbou pořádání panelů na místní úrovni bylo přáním </w:t>
      </w:r>
      <w:r>
        <w:rPr>
          <w:b/>
        </w:rPr>
        <w:t>shromáždit co nejblíže občanům</w:t>
      </w:r>
      <w:r>
        <w:rPr/>
        <w:t xml:space="preserve">. Tato předpojatost rovněž obohatila konzultace tím, že ukázala směr konsenzu a nesouhlasu mezi územími v různých oblastech. </w:t>
      </w:r>
    </w:p>
    <w:p>
      <w:pPr>
        <w:pStyle w:val="Normal"/>
        <w:widowControl w:val="false"/>
        <w:spacing w:lineRule="auto" w:line="240" w:before="0" w:after="0"/>
        <w:ind w:left="0" w:right="0" w:hanging="0"/>
        <w:jc w:val="both"/>
        <w:rPr>
          <w:rFonts w:ascii="Times New Roman" w:hAnsi="Times New Roman"/>
          <w:color w:val="000000"/>
          <w:sz w:val="22"/>
        </w:rPr>
      </w:pPr>
      <w:r>
        <w:rPr>
          <w:rFonts w:ascii="Times New Roman" w:hAnsi="Times New Roman"/>
          <w:color w:val="000000"/>
          <w:sz w:val="22"/>
        </w:rPr>
      </w:r>
    </w:p>
    <w:p>
      <w:pPr>
        <w:pStyle w:val="P68B1DB1Normal35"/>
        <w:widowControl w:val="false"/>
        <w:spacing w:lineRule="auto" w:line="240" w:before="0" w:after="0"/>
        <w:ind w:left="0" w:right="0" w:hanging="0"/>
        <w:jc w:val="both"/>
        <w:rPr/>
      </w:pPr>
      <w:r>
        <w:rPr>
          <w:rFonts w:ascii="Times New Roman" w:hAnsi="Times New Roman"/>
        </w:rPr>
        <w:t>2.</w:t>
      </w:r>
      <w:r>
        <w:rPr/>
        <w:t xml:space="preserve"> </w:t>
      </w:r>
      <w:r>
        <w:rPr>
          <w:rFonts w:ascii="Times New Roman" w:hAnsi="Times New Roman"/>
        </w:rPr>
        <w:t>Rozmanitost profilů občanů a využívání losování</w:t>
      </w:r>
    </w:p>
    <w:p>
      <w:pPr>
        <w:pStyle w:val="P68B1DB1Normal24"/>
        <w:widowControl w:val="false"/>
        <w:spacing w:lineRule="auto" w:line="240" w:before="0" w:after="0"/>
        <w:ind w:left="0" w:right="0" w:hanging="0"/>
        <w:jc w:val="both"/>
        <w:rPr/>
      </w:pPr>
      <w:r>
        <w:rPr/>
        <w:t xml:space="preserve">Před tímto procesem byl stanoven cíl pro nábor 50 občanů na regionální konferenci, s výjimkou ultramarinových konferencí Martinik, Mayotte, Guadeloupe a Guyany s 30 až 40 občany a konference Grand Est, na níž se rovněž zúčastnilo 5 německých občanů ze tří pohraničních Landers. </w:t>
      </w:r>
      <w:r>
        <w:rPr>
          <w:b/>
        </w:rPr>
        <w:t>Náhodná generace</w:t>
      </w:r>
      <w:r>
        <w:rPr/>
        <w:t xml:space="preserve"> telefonních čísel umožnila přilákat mnoho občanů, kteří byli pozváni k účasti na regionálních konferencích. </w:t>
      </w:r>
    </w:p>
    <w:p>
      <w:pPr>
        <w:pStyle w:val="P68B1DB1Normal24"/>
        <w:widowControl w:val="false"/>
        <w:spacing w:lineRule="auto" w:line="240" w:before="0" w:after="0"/>
        <w:ind w:left="0" w:right="0" w:hanging="0"/>
        <w:jc w:val="both"/>
        <w:rPr/>
      </w:pPr>
      <w:r>
        <w:rPr/>
        <w:t xml:space="preserve">Aby byli občané čerpáni losem, museli být starší 18 let a být Francouzi nebo trvale pobývajícími rezidenty v běžné situaci. Každý regionální panel občanů musí </w:t>
      </w:r>
      <w:r>
        <w:rPr>
          <w:b/>
        </w:rPr>
        <w:t>reprezentovat rozmanitost regionálního obyvatelstva</w:t>
      </w:r>
      <w:r>
        <w:rPr/>
        <w:t xml:space="preserve">a spojovat různé </w:t>
      </w:r>
      <w:r>
        <w:rPr>
          <w:b/>
        </w:rPr>
        <w:t>názory na Evropu</w:t>
      </w:r>
      <w:r>
        <w:rPr/>
        <w:t xml:space="preserve">. Přesná metodika náboru losováním je uvedena v příloze II. </w:t>
      </w:r>
    </w:p>
    <w:p>
      <w:pPr>
        <w:pStyle w:val="Normal"/>
        <w:widowControl w:val="false"/>
        <w:spacing w:lineRule="auto" w:line="240" w:before="0" w:after="0"/>
        <w:ind w:left="0" w:right="0" w:hanging="0"/>
        <w:jc w:val="both"/>
        <w:rPr>
          <w:rFonts w:ascii="Times New Roman" w:hAnsi="Times New Roman"/>
          <w:color w:val="000000"/>
          <w:sz w:val="22"/>
        </w:rPr>
      </w:pPr>
      <w:r>
        <w:rPr>
          <w:rFonts w:ascii="Times New Roman" w:hAnsi="Times New Roman"/>
          <w:color w:val="000000"/>
          <w:sz w:val="22"/>
        </w:rPr>
      </w:r>
    </w:p>
    <w:p>
      <w:pPr>
        <w:pStyle w:val="P68B1DB1Normal35"/>
        <w:widowControl w:val="false"/>
        <w:spacing w:lineRule="auto" w:line="240" w:before="0" w:after="0"/>
        <w:ind w:left="0" w:right="0" w:hanging="0"/>
        <w:jc w:val="both"/>
        <w:rPr/>
      </w:pPr>
      <w:r>
        <w:rPr>
          <w:rFonts w:ascii="Times New Roman" w:hAnsi="Times New Roman"/>
        </w:rPr>
        <w:t>3.</w:t>
      </w:r>
      <w:r>
        <w:rPr/>
        <w:t xml:space="preserve"> </w:t>
      </w:r>
      <w:r>
        <w:rPr>
          <w:rFonts w:ascii="Times New Roman" w:hAnsi="Times New Roman"/>
        </w:rPr>
        <w:t>Transparentnost přístupu</w:t>
      </w:r>
    </w:p>
    <w:p>
      <w:pPr>
        <w:pStyle w:val="P68B1DB1Normal24"/>
        <w:widowControl w:val="false"/>
        <w:spacing w:lineRule="auto" w:line="240" w:before="0" w:after="0"/>
        <w:ind w:left="0" w:right="0" w:hanging="0"/>
        <w:jc w:val="both"/>
        <w:rPr/>
      </w:pPr>
      <w:r>
        <w:rPr>
          <w:b/>
        </w:rPr>
        <w:t>Kolegium tří ručitelů</w:t>
      </w:r>
      <w:r>
        <w:rPr/>
        <w:t xml:space="preserve"> jmenovaných státním tajemníkem pro evropské záležitosti, předsedou Národního shromáždění a předsedou Evropského parlamentu sledovalo celý proces s cílem zajistit jeho neutralitu a správnost. Ručitelé mají zejména: sledovala upřímnost náboru občanů, která byla vybrána losem, vydala doporučení pro výběr odborníků a zajistila řádnou organizaci diskusí. Na konci postupu zveřejní ručitelé své stanovisko ke konzultaci. Tento dokument bude zveřejněn na platformě pro účast občanů státu. </w:t>
      </w:r>
    </w:p>
    <w:p>
      <w:pPr>
        <w:pStyle w:val="P68B1DB1Normal24"/>
        <w:widowControl w:val="false"/>
        <w:spacing w:lineRule="auto" w:line="240" w:before="0" w:after="0"/>
        <w:ind w:left="0" w:right="0" w:hanging="0"/>
        <w:jc w:val="both"/>
        <w:rPr/>
      </w:pPr>
      <w:r>
        <w:rPr/>
        <w:t xml:space="preserve">Bude rovněž zveřejněna na platformě pro účast občanů státu: shrnutí osmnácti regionálních konferencí, shrnutí všech změn vyjádřených na regionálních konferencích, syntéza celostátní konference a závěrečná zpráva předložená vládě. </w:t>
      </w:r>
    </w:p>
    <w:p>
      <w:pPr>
        <w:pStyle w:val="P68B1DB1Normal19"/>
        <w:widowControl w:val="false"/>
        <w:spacing w:lineRule="auto" w:line="240" w:before="0" w:after="0"/>
        <w:ind w:left="0" w:right="0" w:hanging="0"/>
        <w:jc w:val="both"/>
        <w:rPr>
          <w:rFonts w:ascii="Times New Roman" w:hAnsi="Times New Roman"/>
          <w:color w:val="000000"/>
          <w:sz w:val="24"/>
        </w:rPr>
      </w:pPr>
      <w:r>
        <w:rPr/>
        <w:t xml:space="preserve"> </w:t>
      </w:r>
    </w:p>
    <w:p>
      <w:pPr>
        <w:pStyle w:val="P68B1DB1Normal35"/>
        <w:spacing w:lineRule="auto" w:line="240" w:before="0" w:after="0"/>
        <w:ind w:left="0" w:right="0" w:hanging="0"/>
        <w:jc w:val="both"/>
        <w:rPr/>
      </w:pPr>
      <w:r>
        <w:rPr>
          <w:rFonts w:ascii="Times New Roman" w:hAnsi="Times New Roman"/>
        </w:rPr>
        <w:t>4.</w:t>
      </w:r>
      <w:r>
        <w:rPr/>
        <w:t xml:space="preserve"> </w:t>
      </w:r>
      <w:r>
        <w:rPr>
          <w:rFonts w:ascii="Times New Roman" w:hAnsi="Times New Roman"/>
        </w:rPr>
        <w:t>Otevřená debata bez vnuceného tématu</w:t>
      </w:r>
    </w:p>
    <w:p>
      <w:pPr>
        <w:pStyle w:val="P68B1DB1Normal24"/>
        <w:widowControl w:val="false"/>
        <w:spacing w:lineRule="auto" w:line="240" w:before="215" w:after="0"/>
        <w:ind w:left="1" w:right="0" w:hanging="0"/>
        <w:jc w:val="left"/>
        <w:rPr/>
      </w:pPr>
      <w:r>
        <w:rPr/>
        <w:t xml:space="preserve">V rámci této vnitrostátní konzultace byla pro zúčastněné občany formulována jediná otázka: „ </w:t>
      </w:r>
      <w:r>
        <w:rPr>
          <w:i/>
        </w:rPr>
        <w:t>Jako francouzští občané, jaké změny chcete pro Evropu?</w:t>
      </w:r>
      <w:r>
        <w:rPr/>
        <w:t xml:space="preserve">“ </w:t>
      </w:r>
    </w:p>
    <w:p>
      <w:pPr>
        <w:pStyle w:val="P68B1DB1Normal24"/>
        <w:widowControl w:val="false"/>
        <w:spacing w:lineRule="auto" w:line="240" w:before="235" w:after="0"/>
        <w:ind w:left="1" w:right="0" w:hanging="0"/>
        <w:jc w:val="both"/>
        <w:rPr/>
      </w:pPr>
      <w:r>
        <w:rPr/>
        <w:t xml:space="preserve">Díky rozvinutí a zavedené metodice byli občané schopni sami určit agendu požadovaných změn, aniž by byli omezováni konkrétním tématem nebo předchozím normativním rámcem. </w:t>
      </w:r>
    </w:p>
    <w:p>
      <w:pPr>
        <w:pStyle w:val="Normal"/>
        <w:widowControl w:val="false"/>
        <w:spacing w:lineRule="auto" w:line="240" w:before="233" w:after="0"/>
        <w:ind w:left="1" w:right="1" w:hanging="0"/>
        <w:jc w:val="both"/>
        <w:rPr/>
      </w:pPr>
      <w:r>
        <w:rPr>
          <w:rFonts w:ascii="Times New Roman" w:hAnsi="Times New Roman"/>
          <w:color w:val="000000"/>
        </w:rPr>
        <w:t>Cílem bylo umožnit občanům regionálních konferencí plnou svobodu v tématech, kterými se chtějí zabývat. Ministerstvo Evropy a zahraničních věcí pro národní část konference o budoucnosti Evropy se tak rozhodlo vypracovat doplňující přístup k evropskému cvičení, který je strukturován na devět témat: změna klimatu a životní prostředí; zdraví; silnější hospodářství, sociální spravedlnost a zaměstnanost; EU ve světě; hodnoty a práva, právní stát, bezpečnost; digitální transformace; Evropská demokracie; migrace; vzdělávání, kultura, mládež a sport; další nápady</w:t>
      </w:r>
      <w:r>
        <w:rPr>
          <w:rStyle w:val="Ancredenotedebasdepage"/>
          <w:rStyle w:val="Ancredenotedebasdepage"/>
          <w:rFonts w:ascii="Times New Roman" w:hAnsi="Times New Roman"/>
          <w:color w:val="000000"/>
          <w:sz w:val="14"/>
        </w:rPr>
        <w:footnoteReference w:id="15"/>
      </w:r>
      <w:r>
        <w:rPr>
          <w:rFonts w:ascii="Times New Roman" w:hAnsi="Times New Roman"/>
          <w:color w:val="000000"/>
        </w:rPr>
        <w:t xml:space="preserve">. </w:t>
      </w:r>
    </w:p>
    <w:p>
      <w:pPr>
        <w:pStyle w:val="P68B1DB1Normal24"/>
        <w:widowControl w:val="false"/>
        <w:spacing w:lineRule="auto" w:line="240" w:before="235" w:after="0"/>
        <w:ind w:left="0" w:right="2" w:hanging="0"/>
        <w:jc w:val="left"/>
        <w:rPr/>
      </w:pPr>
      <w:r>
        <w:rPr/>
        <w:t xml:space="preserve">Témata výměn regionálních konferencí tak definovali samotní občané, a nikoli jeho sponzor. </w:t>
      </w:r>
    </w:p>
    <w:p>
      <w:pPr>
        <w:pStyle w:val="P68B1DB1Normal35"/>
        <w:widowControl w:val="false"/>
        <w:spacing w:lineRule="exact" w:line="379" w:before="352" w:after="0"/>
        <w:ind w:left="358" w:right="0" w:hanging="0"/>
        <w:jc w:val="left"/>
        <w:rPr/>
      </w:pPr>
      <w:r>
        <w:rPr>
          <w:rFonts w:ascii="Times New Roman" w:hAnsi="Times New Roman"/>
        </w:rPr>
        <w:t>5.</w:t>
      </w:r>
      <w:r>
        <w:rPr/>
        <w:t xml:space="preserve"> </w:t>
      </w:r>
      <w:r>
        <w:rPr>
          <w:rFonts w:ascii="Times New Roman" w:hAnsi="Times New Roman"/>
        </w:rPr>
        <w:t>Reverzní odbornost</w:t>
      </w:r>
    </w:p>
    <w:p>
      <w:pPr>
        <w:pStyle w:val="P68B1DB1Normal24"/>
        <w:widowControl w:val="false"/>
        <w:spacing w:lineRule="auto" w:line="240" w:before="218" w:after="0"/>
        <w:ind w:left="1" w:right="0" w:hanging="0"/>
        <w:jc w:val="left"/>
        <w:rPr/>
      </w:pPr>
      <w:r>
        <w:rPr/>
        <w:t xml:space="preserve">S cílem co nejméně ovlivnit účastníky procesu identifikace jejich přání, pokud jde o Evropu, </w:t>
      </w:r>
      <w:r>
        <w:rPr>
          <w:b/>
        </w:rPr>
        <w:t>bylo rozhodnuto neposkytnout předběžné informace nebo odborné znalosti</w:t>
      </w:r>
      <w:r>
        <w:rPr/>
        <w:t xml:space="preserve"> (např. o současném projektu Evropské unie, jejích pravomocích nebo fungování orgánů), ale vycházet z otázek samotných občanů. Tato metodická předpojatost je založena na principu „ </w:t>
      </w:r>
      <w:r>
        <w:rPr>
          <w:i/>
        </w:rPr>
        <w:t>reverzní odborné znalosti</w:t>
      </w:r>
      <w:r>
        <w:rPr/>
        <w:t xml:space="preserve">“, podle níž je </w:t>
      </w:r>
      <w:r>
        <w:rPr>
          <w:b/>
        </w:rPr>
        <w:t>kolektivní reflexe</w:t>
      </w:r>
      <w:r>
        <w:rPr/>
        <w:t xml:space="preserve"> založena na zkušenostech a názorech občanů, kteří pak kladou otázky odborníkům, aby podpořili své diskuse a upevnili své pracovní hypotézy. </w:t>
      </w:r>
    </w:p>
    <w:p>
      <w:pPr>
        <w:pStyle w:val="P68B1DB1Normal24"/>
        <w:widowControl w:val="false"/>
        <w:spacing w:lineRule="auto" w:line="240" w:before="232" w:after="0"/>
        <w:ind w:left="0" w:right="0" w:hanging="0"/>
        <w:jc w:val="both"/>
        <w:rPr/>
      </w:pPr>
      <w:r>
        <w:rPr/>
        <w:t xml:space="preserve">K dosažení tohoto cíle byli zmobilizováni </w:t>
      </w:r>
      <w:r>
        <w:rPr>
          <w:b/>
        </w:rPr>
        <w:t>odborníci</w:t>
      </w:r>
      <w:r>
        <w:rPr/>
        <w:t xml:space="preserve"> v různých regionech (v průměru tři), zejména z akademické obce a informačních středisek Europe Direct na dotčených územích. Byli přítomni v sobotu a neděli, aby zodpověděli otázky občanů a hovořili pouze na jejich žádost. Kontrola </w:t>
      </w:r>
      <w:r>
        <w:rPr>
          <w:b/>
        </w:rPr>
        <w:t>faktů</w:t>
      </w:r>
      <w:r>
        <w:rPr/>
        <w:t xml:space="preserve"> byla rovněž dosažitelná,</w:t>
      </w:r>
      <w:r>
        <w:rPr>
          <w:i/>
        </w:rPr>
        <w:t>aby bylo možné</w:t>
      </w:r>
      <w:r>
        <w:rPr/>
        <w:t xml:space="preserve">rychle ověřit faktické otázky, jimiž se občané zabývají. </w:t>
      </w:r>
    </w:p>
    <w:p>
      <w:pPr>
        <w:pStyle w:val="P68B1DB1Normal24"/>
        <w:widowControl w:val="false"/>
        <w:spacing w:lineRule="auto" w:line="240" w:before="235" w:after="0"/>
        <w:ind w:left="0" w:right="1" w:hanging="0"/>
        <w:jc w:val="both"/>
        <w:rPr/>
      </w:pPr>
      <w:r>
        <w:rPr/>
        <w:t xml:space="preserve">Na národní konferenci o syntéze v EHSV se pracovních skupin zúčastnilo 19 odborníků na vysoké úrovni z akademické obce, think tanků a diplomatických sborů. Tito odborníci doprovázeli skupinu po celý víkend, což jim umožnilo prohloubit změny vyjádřené v regionech. </w:t>
      </w:r>
    </w:p>
    <w:p>
      <w:pPr>
        <w:pStyle w:val="Normal"/>
        <w:spacing w:lineRule="auto" w:line="240" w:before="0" w:after="0"/>
        <w:ind w:left="0" w:right="0" w:hanging="0"/>
        <w:jc w:val="both"/>
        <w:rPr/>
      </w:pPr>
      <w:r>
        <w:rPr/>
      </w:r>
    </w:p>
    <w:p>
      <w:pPr>
        <w:pStyle w:val="P68B1DB1Normal35"/>
        <w:spacing w:lineRule="auto" w:line="240" w:before="0" w:after="0"/>
        <w:ind w:left="0" w:right="0" w:hanging="0"/>
        <w:jc w:val="both"/>
        <w:rPr/>
      </w:pPr>
      <w:r>
        <w:rPr>
          <w:rFonts w:ascii="Times New Roman" w:hAnsi="Times New Roman"/>
        </w:rPr>
        <w:t>6.</w:t>
      </w:r>
      <w:r>
        <w:rPr/>
        <w:t xml:space="preserve"> </w:t>
      </w:r>
      <w:r>
        <w:rPr>
          <w:rFonts w:ascii="Times New Roman" w:hAnsi="Times New Roman"/>
        </w:rPr>
        <w:t>Kolegialita a agilní správa</w:t>
      </w:r>
    </w:p>
    <w:p>
      <w:pPr>
        <w:pStyle w:val="P68B1DB1Normal24"/>
        <w:widowControl w:val="false"/>
        <w:spacing w:lineRule="auto" w:line="240" w:before="212" w:after="0"/>
        <w:ind w:left="0" w:right="0" w:hanging="0"/>
        <w:jc w:val="left"/>
        <w:rPr/>
      </w:pPr>
      <w:r>
        <w:rPr/>
        <w:t xml:space="preserve">Celý proces </w:t>
      </w:r>
      <w:r>
        <w:rPr>
          <w:b/>
        </w:rPr>
        <w:t>byl postaven</w:t>
      </w:r>
      <w:r>
        <w:rPr/>
        <w:t xml:space="preserve"> Ministerstvem Evropy a zahraničních věcí (MEAE). </w:t>
      </w:r>
    </w:p>
    <w:p>
      <w:pPr>
        <w:pStyle w:val="P68B1DB1Normal24"/>
        <w:widowControl w:val="false"/>
        <w:spacing w:lineRule="auto" w:line="240"/>
        <w:ind w:left="0" w:right="4" w:hanging="0"/>
        <w:jc w:val="both"/>
        <w:rPr/>
      </w:pPr>
      <w:r>
        <w:rPr/>
        <w:t xml:space="preserve">s podporou participativní strategie Meziministerského střediska pro účast občanů (ICPC) meziministerského ředitelství pro veřejnou transformaci (DITP) a ministerstva pro parlamentní vztahy a účast občanů (MRPC). Program byl realizován dodavatelským konsorciem složeným z Roland Berger, Wavestone, Missions Publiques a Harris Interactive pro řízení procesu, podporu konferencí, přípravu občanů a vypracování zpráv a shrnutí ve spolupráci s regionálními prefektury pro místní organizaci regionálních konferencí. </w:t>
      </w:r>
    </w:p>
    <w:p>
      <w:pPr>
        <w:pStyle w:val="P68B1DB1Normal24"/>
        <w:widowControl w:val="false"/>
        <w:spacing w:lineRule="auto" w:line="240" w:before="232" w:after="0"/>
        <w:ind w:left="0" w:right="4" w:hanging="0"/>
        <w:jc w:val="left"/>
        <w:rPr/>
      </w:pPr>
      <w:r>
        <w:rPr>
          <w:b/>
        </w:rPr>
        <w:t>Kolem projektového týmu, kterému předsedá MEAE, byla zřízena specifická správa</w:t>
      </w:r>
      <w:r>
        <w:rPr/>
        <w:t xml:space="preserve">, která sdružuje CPIC, MRPC a dodavatelské konsorcium. </w:t>
      </w:r>
    </w:p>
    <w:p>
      <w:pPr>
        <w:pStyle w:val="P68B1DB1Normal35"/>
        <w:widowControl w:val="false"/>
        <w:spacing w:lineRule="auto" w:line="240" w:before="354" w:after="0"/>
        <w:ind w:left="358" w:right="0" w:hanging="0"/>
        <w:jc w:val="left"/>
        <w:rPr/>
      </w:pPr>
      <w:r>
        <w:rPr>
          <w:rFonts w:ascii="Times New Roman" w:hAnsi="Times New Roman"/>
        </w:rPr>
        <w:t>7.</w:t>
      </w:r>
      <w:r>
        <w:rPr/>
        <w:t xml:space="preserve"> </w:t>
      </w:r>
      <w:r>
        <w:rPr>
          <w:rFonts w:ascii="Times New Roman" w:hAnsi="Times New Roman"/>
        </w:rPr>
        <w:t>Povinnost následných opatření a propojení s evropským cvičením</w:t>
      </w:r>
    </w:p>
    <w:p>
      <w:pPr>
        <w:pStyle w:val="P68B1DB1Normal19"/>
        <w:widowControl w:val="false"/>
        <w:spacing w:lineRule="auto" w:line="240" w:before="211" w:after="0"/>
        <w:ind w:left="0" w:right="0" w:hanging="0"/>
        <w:jc w:val="left"/>
        <w:rPr/>
      </w:pPr>
      <w:r>
        <w:rPr/>
        <w:t xml:space="preserve">U příležitosti národní konference bylo oznámeno několik </w:t>
      </w:r>
      <w:r>
        <w:rPr>
          <w:b/>
        </w:rPr>
        <w:t>prvků navazujících povinností</w:t>
      </w:r>
      <w:r>
        <w:rPr/>
        <w:t xml:space="preserve"> francouzských institucí po skončení konference o budoucnosti Evropy: </w:t>
      </w:r>
    </w:p>
    <w:p>
      <w:pPr>
        <w:pStyle w:val="P68B1DB1Normal34"/>
        <w:widowControl w:val="false"/>
        <w:spacing w:lineRule="auto" w:line="240" w:before="333" w:after="0"/>
        <w:ind w:left="720" w:right="0" w:hanging="359"/>
        <w:jc w:val="both"/>
        <w:rPr/>
      </w:pPr>
      <w:r>
        <w:rPr>
          <w:rFonts w:ascii="Calibri" w:hAnsi="Calibri"/>
        </w:rPr>
        <w:t>Zpřístupnění</w:t>
      </w:r>
      <w:r>
        <w:rPr/>
        <w:t xml:space="preserve"> </w:t>
      </w:r>
      <w:r>
        <w:rPr>
          <w:rFonts w:ascii="Times New Roman" w:hAnsi="Times New Roman"/>
          <w:b/>
        </w:rPr>
        <w:t>všech informací o</w:t>
      </w:r>
      <w:r>
        <w:rPr>
          <w:rFonts w:ascii="Times New Roman" w:hAnsi="Times New Roman"/>
        </w:rPr>
        <w:t xml:space="preserve"> tomto přístupu, tomto dokumentu, jakož i souhrnných zpráv regionálních a národních konferencí transparentním a přístupným způsobem pro všechny na nové platformě pro účast občanů, která byla zahájena u příležitosti návratu k vládě; </w:t>
      </w:r>
    </w:p>
    <w:p>
      <w:pPr>
        <w:pStyle w:val="P68B1DB1Normal34"/>
        <w:widowControl w:val="false"/>
        <w:spacing w:lineRule="auto" w:line="240" w:before="90" w:after="0"/>
        <w:ind w:left="360" w:right="0" w:hanging="0"/>
        <w:jc w:val="left"/>
        <w:rPr/>
      </w:pPr>
      <w:r>
        <w:rPr>
          <w:rFonts w:ascii="Calibri" w:hAnsi="Calibri"/>
        </w:rPr>
        <w:t>Uspořádání</w:t>
      </w:r>
      <w:r>
        <w:rPr/>
        <w:t xml:space="preserve"> </w:t>
      </w:r>
      <w:r>
        <w:rPr>
          <w:rFonts w:ascii="Times New Roman" w:hAnsi="Times New Roman"/>
        </w:rPr>
        <w:t xml:space="preserve"> </w:t>
      </w:r>
      <w:r>
        <w:rPr>
          <w:rFonts w:ascii="Times New Roman" w:hAnsi="Times New Roman"/>
          <w:b/>
        </w:rPr>
        <w:t>akce s cílem vrátit vládě</w:t>
      </w:r>
      <w:r>
        <w:rPr>
          <w:rFonts w:ascii="Times New Roman" w:hAnsi="Times New Roman"/>
        </w:rPr>
        <w:t xml:space="preserve"> závěrečnou zprávu o národní složce konference o budoucnosti Evropy v listopadu 2021; </w:t>
      </w:r>
    </w:p>
    <w:p>
      <w:pPr>
        <w:pStyle w:val="P68B1DB1Normal34"/>
        <w:widowControl w:val="false"/>
        <w:spacing w:lineRule="auto" w:line="240" w:before="90" w:after="0"/>
        <w:ind w:left="720" w:right="0" w:hanging="359"/>
        <w:jc w:val="both"/>
        <w:rPr/>
      </w:pPr>
      <w:r>
        <w:rPr>
          <w:rFonts w:ascii="Calibri" w:hAnsi="Calibri"/>
        </w:rPr>
        <w:t>Zřízení</w:t>
      </w:r>
      <w:r>
        <w:rPr/>
        <w:t xml:space="preserve"> </w:t>
      </w:r>
      <w:r>
        <w:rPr>
          <w:rFonts w:ascii="Times New Roman" w:hAnsi="Times New Roman"/>
        </w:rPr>
        <w:t xml:space="preserve"> </w:t>
      </w:r>
      <w:r>
        <w:rPr>
          <w:rFonts w:ascii="Times New Roman" w:hAnsi="Times New Roman"/>
          <w:b/>
        </w:rPr>
        <w:t>výboru pro sledování občanů s cílem</w:t>
      </w:r>
      <w:r>
        <w:rPr>
          <w:rFonts w:ascii="Times New Roman" w:hAnsi="Times New Roman"/>
        </w:rPr>
        <w:t xml:space="preserve"> zajistit, aby byl výsledek procesu v souladu s předloženými návrhy. Tento výbor se bude skládat z 15 občanů, včetně 14 účastníků regionálních konferencí a jednoho účastníka konzultace „Slova </w:t>
      </w:r>
      <w:r>
        <w:rPr>
          <w:rFonts w:ascii="Times New Roman" w:hAnsi="Times New Roman"/>
          <w:i/>
        </w:rPr>
        <w:t>pro mládež“</w:t>
      </w:r>
      <w:r>
        <w:rPr>
          <w:rFonts w:ascii="Times New Roman" w:hAnsi="Times New Roman"/>
        </w:rPr>
        <w:t xml:space="preserve">; </w:t>
      </w:r>
    </w:p>
    <w:p>
      <w:pPr>
        <w:pStyle w:val="P68B1DB1Normal34"/>
        <w:widowControl w:val="false"/>
        <w:spacing w:lineRule="auto" w:line="240" w:before="95" w:after="0"/>
        <w:ind w:left="360" w:right="0" w:hanging="0"/>
        <w:jc w:val="left"/>
        <w:rPr/>
      </w:pPr>
      <w:r>
        <w:rPr>
          <w:rFonts w:ascii="Calibri" w:hAnsi="Calibri"/>
        </w:rPr>
        <w:t>—</w:t>
      </w:r>
      <w:r>
        <w:rPr/>
        <w:t xml:space="preserve"> </w:t>
      </w:r>
      <w:r>
        <w:rPr>
          <w:rFonts w:ascii="Times New Roman" w:hAnsi="Times New Roman"/>
          <w:b/>
        </w:rPr>
        <w:t>Poskytnutí francouzského příspěvku na konferenci o budoucnosti Evropy evropským orgánům</w:t>
      </w:r>
      <w:r>
        <w:rPr>
          <w:rFonts w:ascii="Times New Roman" w:hAnsi="Times New Roman"/>
        </w:rPr>
        <w:t xml:space="preserve"> v lednu 2022; </w:t>
      </w:r>
    </w:p>
    <w:p>
      <w:pPr>
        <w:pStyle w:val="P68B1DB1Normal19"/>
        <w:widowControl w:val="false"/>
        <w:spacing w:lineRule="auto" w:line="240" w:before="87" w:after="0"/>
        <w:ind w:left="0" w:right="0" w:hanging="0"/>
        <w:jc w:val="left"/>
        <w:rPr/>
      </w:pPr>
      <w:r>
        <w:rPr/>
        <w:t xml:space="preserve">Návrhy francouzských občanů budou předloženy ke kolektivní reflexi členských států a evropských orgánů. Jako země, která v první polovině roku 2022 předsedá Radě Evropské unie, bude na Francii, aby vyjadřovala hlas svých občanů a zároveň usilovala o vymezení společného postoje na celém kontinentu. </w:t>
      </w:r>
    </w:p>
    <w:p>
      <w:pPr>
        <w:pStyle w:val="Normal"/>
        <w:widowControl w:val="false"/>
        <w:spacing w:lineRule="exact" w:line="498" w:before="85" w:after="0"/>
        <w:ind w:left="0" w:right="0" w:hanging="0"/>
        <w:jc w:val="left"/>
        <w:rPr>
          <w:rFonts w:ascii="Times New Roman" w:hAnsi="Times New Roman"/>
          <w:b/>
          <w:b/>
          <w:color w:val="000000"/>
          <w:sz w:val="30"/>
        </w:rPr>
      </w:pPr>
      <w:r>
        <w:rPr>
          <w:rFonts w:ascii="Times New Roman" w:hAnsi="Times New Roman"/>
          <w:b/>
          <w:color w:val="000000"/>
          <w:sz w:val="30"/>
        </w:rPr>
      </w:r>
      <w:r>
        <w:br w:type="page"/>
      </w:r>
    </w:p>
    <w:p>
      <w:pPr>
        <w:pStyle w:val="P68B1DB1Titre236"/>
        <w:numPr>
          <w:ilvl w:val="0"/>
          <w:numId w:val="2"/>
        </w:numPr>
        <w:rPr/>
      </w:pPr>
      <w:bookmarkStart w:id="211" w:name="__RefHeading___Toc300456_1346298689"/>
      <w:bookmarkEnd w:id="211"/>
      <w:r>
        <w:rPr/>
        <w:t xml:space="preserve">První část: prezentace výsledků regionálních konferencí o budoucnosti Evropy </w:t>
      </w:r>
    </w:p>
    <w:p>
      <w:pPr>
        <w:pStyle w:val="P68B1DB1Normal19"/>
        <w:widowControl w:val="false"/>
        <w:pBdr>
          <w:top w:val="single" w:sz="2" w:space="1" w:color="000001"/>
          <w:left w:val="single" w:sz="2" w:space="1" w:color="000001"/>
          <w:bottom w:val="single" w:sz="2" w:space="1" w:color="000001"/>
          <w:right w:val="single" w:sz="2" w:space="1" w:color="000001"/>
        </w:pBdr>
        <w:spacing w:lineRule="auto" w:line="240" w:before="153" w:after="0"/>
        <w:ind w:left="506" w:right="29" w:hanging="0"/>
        <w:jc w:val="both"/>
        <w:rPr/>
      </w:pPr>
      <w:r>
        <w:rPr/>
        <w:t xml:space="preserve">Na každé z 18 regionálních konferencí vyjádřili občané přání Evropy roku 2035 jednotlivě a pak jako skupina. V každém regionu se objevily 3 až 8 skupin přání, což vedlo k tomu, že </w:t>
      </w:r>
      <w:r>
        <w:rPr>
          <w:b/>
        </w:rPr>
        <w:t>po celé Francii si přálo celkem 101 Evropy</w:t>
      </w:r>
      <w:r>
        <w:rPr/>
        <w:t xml:space="preserve">. Občané poté formulovali změny, které považovali za nezbytné k dosažení požadované Evropy, a poté je ilustrovali konkrétními kroky. Tento proces přinesl celkem </w:t>
      </w:r>
      <w:r>
        <w:rPr>
          <w:b/>
        </w:rPr>
        <w:t>515 změn</w:t>
      </w:r>
      <w:r>
        <w:rPr/>
        <w:t xml:space="preserve"> a </w:t>
      </w:r>
      <w:r>
        <w:rPr>
          <w:b/>
        </w:rPr>
        <w:t xml:space="preserve">1 301 konkrétních opatření v celé </w:t>
      </w:r>
      <w:r>
        <w:rPr/>
        <w:t xml:space="preserve">Francii. </w:t>
      </w:r>
    </w:p>
    <w:p>
      <w:pPr>
        <w:pStyle w:val="P68B1DB1Normal19"/>
        <w:widowControl w:val="false"/>
        <w:pBdr>
          <w:top w:val="single" w:sz="2" w:space="1" w:color="000001"/>
          <w:left w:val="single" w:sz="2" w:space="1" w:color="000001"/>
          <w:bottom w:val="single" w:sz="2" w:space="1" w:color="000001"/>
          <w:right w:val="single" w:sz="2" w:space="1" w:color="000001"/>
        </w:pBdr>
        <w:spacing w:lineRule="auto" w:line="240" w:before="375" w:after="0"/>
        <w:ind w:left="506" w:right="29" w:hanging="0"/>
        <w:jc w:val="both"/>
        <w:rPr/>
      </w:pPr>
      <w:r>
        <w:rPr/>
        <w:t>V týdnech, které rozdělily regionální konference a národní konferenci, realizoval projektový tým 515 změn do soudržných skupin. Všechny změny vyjádřené v regionech byly podrobeny lexikologické analýze a byly ukončeny, když se jejich základní záměr zdál podobný nebo blízký, s cílem vytvořit pro národní konference pracovní skupiny se společným přáním pro Evropu. A konečně</w:t>
      </w:r>
      <w:r>
        <w:rPr>
          <w:b/>
        </w:rPr>
        <w:t>, změny zjištěné v regionech byly seskupeny do 14 různých evropských přání</w:t>
      </w:r>
      <w:r>
        <w:rPr/>
        <w:t xml:space="preserve">. </w:t>
      </w:r>
    </w:p>
    <w:p>
      <w:pPr>
        <w:pStyle w:val="Normal"/>
        <w:rPr/>
      </w:pPr>
      <w:r>
        <w:rPr/>
        <mc:AlternateContent>
          <mc:Choice Requires="wpg">
            <w:drawing>
              <wp:anchor behindDoc="0" distT="0" distB="0" distL="0" distR="0" simplePos="0" locked="0" layoutInCell="1" allowOverlap="1" relativeHeight="52">
                <wp:simplePos x="0" y="0"/>
                <wp:positionH relativeFrom="column">
                  <wp:posOffset>436880</wp:posOffset>
                </wp:positionH>
                <wp:positionV relativeFrom="paragraph">
                  <wp:posOffset>92075</wp:posOffset>
                </wp:positionV>
                <wp:extent cx="5765800" cy="1319530"/>
                <wp:effectExtent l="0" t="0" r="0" b="0"/>
                <wp:wrapTopAndBottom/>
                <wp:docPr id="94" name="Formulář 11"/>
                <a:graphic xmlns:a="http://schemas.openxmlformats.org/drawingml/2006/main">
                  <a:graphicData uri="http://schemas.microsoft.com/office/word/2010/wordprocessingGroup">
                    <wpg:wgp>
                      <wpg:cNvGrpSpPr/>
                      <wpg:grpSpPr>
                        <a:xfrm>
                          <a:off x="0" y="0"/>
                          <a:ext cx="5765040" cy="1319040"/>
                        </a:xfrm>
                      </wpg:grpSpPr>
                      <pic:pic xmlns:pic="http://schemas.openxmlformats.org/drawingml/2006/picture">
                        <pic:nvPicPr>
                          <pic:cNvPr id="4" name="" descr=""/>
                          <pic:cNvPicPr/>
                        </pic:nvPicPr>
                        <pic:blipFill>
                          <a:blip r:embed="rId99"/>
                          <a:stretch/>
                        </pic:blipFill>
                        <pic:spPr>
                          <a:xfrm>
                            <a:off x="0" y="0"/>
                            <a:ext cx="5765040" cy="1077480"/>
                          </a:xfrm>
                          <a:prstGeom prst="rect">
                            <a:avLst/>
                          </a:prstGeom>
                          <a:ln>
                            <a:noFill/>
                          </a:ln>
                        </pic:spPr>
                      </pic:pic>
                      <wps:wsp>
                        <wps:cNvSpPr/>
                        <wps:spPr>
                          <a:xfrm>
                            <a:off x="1058040" y="195120"/>
                            <a:ext cx="1094040" cy="875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Přání</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pro Evropu 2035</w:t>
                              </w:r>
                            </w:p>
                          </w:txbxContent>
                        </wps:txbx>
                        <wps:bodyPr lIns="90000" rIns="90000" tIns="45000" bIns="45000">
                          <a:noAutofit/>
                        </wps:bodyPr>
                      </wps:wsp>
                      <wps:wsp>
                        <wps:cNvSpPr/>
                        <wps:spPr>
                          <a:xfrm>
                            <a:off x="2309040" y="195120"/>
                            <a:ext cx="1454040" cy="11239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Změny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k dosažení této žádoucí Evropy</w:t>
                              </w:r>
                            </w:p>
                          </w:txbxContent>
                        </wps:txbx>
                        <wps:bodyPr lIns="90000" rIns="90000" tIns="45000" bIns="45000">
                          <a:noAutofit/>
                        </wps:bodyPr>
                      </wps:wsp>
                      <wps:wsp>
                        <wps:cNvSpPr/>
                        <wps:spPr>
                          <a:xfrm>
                            <a:off x="3931920" y="79200"/>
                            <a:ext cx="1743120" cy="11239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Konkrétní návrhy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na provedení těchto změn</w:t>
                              </w:r>
                            </w:p>
                          </w:txbxContent>
                        </wps:txbx>
                        <wps:bodyPr lIns="90000" rIns="90000" tIns="45000" bIns="45000">
                          <a:noAutofit/>
                        </wps:bodyPr>
                      </wps:wsp>
                    </wpg:wgp>
                  </a:graphicData>
                </a:graphic>
              </wp:anchor>
            </w:drawing>
          </mc:Choice>
          <mc:Fallback>
            <w:pict>
              <v:group id="shape_0" alt="Formulář 11" style="position:absolute;margin-left:34.4pt;margin-top:7.25pt;width:453.95pt;height:103.85pt" coordorigin="688,145" coordsize="9079,2077">
                <v:shape id="shape_0" stroked="f" style="position:absolute;left:688;top:145;width:9078;height:1696" type="shapetype_75">
                  <v:imagedata r:id="rId99" o:detectmouseclick="t"/>
                  <w10:wrap type="none"/>
                  <v:stroke color="#3465a4" joinstyle="round" endcap="flat"/>
                </v:shape>
                <v:rect id="shape_0" stroked="f" style="position:absolute;left:2354;top:452;width:1722;height:1377">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Přání</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pro Evropu 2035</w:t>
                        </w:r>
                      </w:p>
                    </w:txbxContent>
                  </v:textbox>
                  <w10:wrap type="square"/>
                  <v:fill o:detectmouseclick="t" on="false"/>
                  <v:stroke color="#3465a4" joinstyle="round" endcap="flat"/>
                </v:rect>
                <v:rect id="shape_0" stroked="f" style="position:absolute;left:4325;top:452;width:2289;height:1769">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Změny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k dosažení této žádoucí Evropy</w:t>
                        </w:r>
                      </w:p>
                    </w:txbxContent>
                  </v:textbox>
                  <w10:wrap type="square"/>
                  <v:fill o:detectmouseclick="t" on="false"/>
                  <v:stroke color="#3465a4" joinstyle="round" endcap="flat"/>
                </v:rect>
                <v:rect id="shape_0" stroked="f" style="position:absolute;left:6880;top:270;width:2744;height:1769">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Konkrétní návrhy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na provedení těchto změn</w:t>
                        </w:r>
                      </w:p>
                    </w:txbxContent>
                  </v:textbox>
                  <w10:wrap type="square"/>
                  <v:fill o:detectmouseclick="t" on="false"/>
                  <v:stroke color="#3465a4" joinstyle="round" endcap="flat"/>
                </v:rect>
              </v:group>
            </w:pict>
          </mc:Fallback>
        </mc:AlternateContent>
      </w:r>
    </w:p>
    <w:tbl>
      <w:tblPr>
        <w:tblW w:w="9638"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409"/>
        <w:gridCol w:w="2409"/>
        <w:gridCol w:w="2410"/>
        <w:gridCol w:w="2409"/>
      </w:tblGrid>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Otázka pro občany</w:t>
            </w:r>
          </w:p>
        </w:tc>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Jaké je vaše přání pro Evropu roku 2035?</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Jaké změny jsou zapotřebí k dosažení této žádoucí Evropy?</w:t>
            </w:r>
          </w:p>
        </w:tc>
        <w:tc>
          <w:tcPr>
            <w:tcW w:w="2409"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Jaké konkrétní návrhy byste předložil k provedení těchto změn?</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Výsledky regionálních konferencí</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101 přání</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515 změn</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1301 konkrétních návrhů</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Objednání 515 regionálních změn ve 14 konzistentních přáních organizačního týmu</w:t>
            </w:r>
          </w:p>
        </w:tc>
        <w:tc>
          <w:tcPr>
            <w:tcW w:w="4819"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Seskupování, stanovení priorit a podrobnosti o změnách účastníků během národní konference</w:t>
            </w:r>
          </w:p>
        </w:tc>
      </w:tr>
      <w:tr>
        <w:trPr/>
        <w:tc>
          <w:tcPr>
            <w:tcW w:w="2409"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Výsledky celostátní konference</w:t>
            </w:r>
          </w:p>
        </w:tc>
        <w:tc>
          <w:tcPr>
            <w:tcW w:w="2409"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14 přání</w:t>
            </w:r>
          </w:p>
        </w:tc>
        <w:tc>
          <w:tcPr>
            <w:tcW w:w="2410"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80 změn</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EEEEEE" w:val="clear"/>
          </w:tcPr>
          <w:p>
            <w:pPr>
              <w:pStyle w:val="Normal"/>
              <w:spacing w:before="57" w:after="57"/>
              <w:ind w:left="0" w:right="0" w:hanging="0"/>
              <w:rPr/>
            </w:pPr>
            <w:r>
              <w:rPr/>
              <w:t>Klíčové prováděcí kroky a kritéria úspěchu pro každou změnu</w:t>
            </w:r>
          </w:p>
        </w:tc>
      </w:tr>
    </w:tbl>
    <w:p>
      <w:pPr>
        <w:pStyle w:val="Normal"/>
        <w:rPr/>
      </w:pPr>
      <w:r>
        <w:rPr/>
      </w:r>
      <w:r>
        <w:br w:type="page"/>
      </w:r>
    </w:p>
    <w:p>
      <w:pPr>
        <w:pStyle w:val="P68B1DB1Normal33"/>
        <w:spacing w:lineRule="auto" w:line="240"/>
        <w:rPr>
          <w:rFonts w:ascii="Times New Roman" w:hAnsi="Times New Roman"/>
          <w:b/>
          <w:b/>
          <w:color w:val="000000"/>
          <w:sz w:val="24"/>
        </w:rPr>
      </w:pPr>
      <w:r>
        <w:rPr/>
        <w:t xml:space="preserve">a. Pořadení 14 přání Evropy </w:t>
      </w:r>
    </w:p>
    <w:p>
      <w:pPr>
        <w:pStyle w:val="P68B1DB1Normal19"/>
        <w:widowControl w:val="false"/>
        <w:spacing w:lineRule="auto" w:line="240" w:before="322" w:after="0"/>
        <w:ind w:left="0" w:right="0" w:hanging="0"/>
        <w:jc w:val="left"/>
        <w:rPr>
          <w:rFonts w:ascii="Times New Roman" w:hAnsi="Times New Roman"/>
          <w:color w:val="000000"/>
          <w:sz w:val="24"/>
        </w:rPr>
      </w:pPr>
      <w:r>
        <w:rPr/>
        <w:t xml:space="preserve">Na konci každé regionální konference hlasovali zúčastnění občané, aby vyjádřili podporu změnám identifikovaným různými pracovními skupinami. </w:t>
      </w:r>
    </w:p>
    <w:p>
      <w:pPr>
        <w:pStyle w:val="Normal"/>
        <w:widowControl w:val="false"/>
        <w:spacing w:lineRule="auto" w:line="240" w:before="332" w:after="0"/>
        <w:ind w:left="0" w:right="0" w:hanging="0"/>
        <w:jc w:val="both"/>
        <w:rPr/>
      </w:pPr>
      <w:r>
        <mc:AlternateContent>
          <mc:Choice Requires="wps">
            <w:drawing>
              <wp:anchor behindDoc="0" distT="0" distB="0" distL="0" distR="0" simplePos="0" locked="0" layoutInCell="1" allowOverlap="1" relativeHeight="8">
                <wp:simplePos x="0" y="0"/>
                <wp:positionH relativeFrom="column">
                  <wp:posOffset>635</wp:posOffset>
                </wp:positionH>
                <wp:positionV relativeFrom="paragraph">
                  <wp:posOffset>1340485</wp:posOffset>
                </wp:positionV>
                <wp:extent cx="5111750" cy="6269990"/>
                <wp:effectExtent l="0" t="0" r="0" b="0"/>
                <wp:wrapTopAndBottom/>
                <wp:docPr id="95" name="Rámec51"/>
                <a:graphic xmlns:a="http://schemas.openxmlformats.org/drawingml/2006/main">
                  <a:graphicData uri="http://schemas.microsoft.com/office/word/2010/wordprocessingShape">
                    <wps:wsp>
                      <wps:cNvSpPr/>
                      <wps:spPr>
                        <a:xfrm>
                          <a:off x="0" y="0"/>
                          <a:ext cx="5111280" cy="6269400"/>
                        </a:xfrm>
                        <a:prstGeom prst="rect">
                          <a:avLst/>
                        </a:prstGeom>
                        <a:solidFill>
                          <a:srgbClr val="ffffff"/>
                        </a:solidFill>
                        <a:ln>
                          <a:noFill/>
                        </a:ln>
                      </wps:spPr>
                      <wps:style>
                        <a:lnRef idx="0"/>
                        <a:fillRef idx="0"/>
                        <a:effectRef idx="0"/>
                        <a:fontRef idx="minor"/>
                      </wps:style>
                      <wps:txbx>
                        <w:txbxContent>
                          <w:p>
                            <w:pPr>
                              <w:pStyle w:val="Lgende"/>
                              <w:suppressLineNumbers/>
                              <w:spacing w:before="120" w:after="120"/>
                              <w:rPr>
                                <w:color w:val="auto"/>
                              </w:rPr>
                            </w:pPr>
                            <w:r>
                              <w:rPr>
                                <w:color w:val="auto"/>
                              </w:rPr>
                              <w:t xml:space="preserve">Hodnocení přání Evropy podle míry popularity </w:t>
                            </w:r>
                          </w:p>
                        </w:txbxContent>
                      </wps:txbx>
                      <wps:bodyPr lIns="0" rIns="0" tIns="0" bIns="0">
                        <a:noAutofit/>
                      </wps:bodyPr>
                    </wps:wsp>
                  </a:graphicData>
                </a:graphic>
              </wp:anchor>
            </w:drawing>
          </mc:Choice>
          <mc:Fallback>
            <w:pict>
              <v:rect id="shape_0" ID="Rámec51" fillcolor="white" stroked="f" style="position:absolute;margin-left:0.05pt;margin-top:105.55pt;width:402.4pt;height:493.6pt">
                <w10:wrap type="square"/>
                <v:fill o:detectmouseclick="t" type="solid" color2="black"/>
                <v:stroke color="#3465a4" joinstyle="round" endcap="flat"/>
                <v:textbox>
                  <w:txbxContent>
                    <w:p>
                      <w:pPr>
                        <w:pStyle w:val="Lgende"/>
                        <w:suppressLineNumbers/>
                        <w:spacing w:before="120" w:after="120"/>
                        <w:rPr>
                          <w:color w:val="auto"/>
                        </w:rPr>
                      </w:pPr>
                      <w:r>
                        <w:rPr>
                          <w:color w:val="auto"/>
                        </w:rPr>
                        <w:t xml:space="preserve">Hodnocení přání Evropy podle míry popularity </w:t>
                      </w:r>
                    </w:p>
                  </w:txbxContent>
                </v:textbox>
              </v:rect>
            </w:pict>
          </mc:Fallback>
        </mc:AlternateContent>
      </w:r>
      <w:r>
        <w:rPr>
          <w:rFonts w:ascii="Times New Roman" w:hAnsi="Times New Roman"/>
          <w:color w:val="000000"/>
          <w:sz w:val="24"/>
        </w:rPr>
        <w:t xml:space="preserve">Na základě uskupení uskutečněných před konáním celostátní souhrnné konference je možné – díky hlasování o změnách v každém regionu – určit přání Evropy, která byla mezi občany nejoblíbenější. Přání „ </w:t>
      </w:r>
      <w:r>
        <w:rPr>
          <w:rFonts w:ascii="Times New Roman" w:hAnsi="Times New Roman"/>
          <w:i/>
          <w:color w:val="000000"/>
          <w:sz w:val="24"/>
        </w:rPr>
        <w:t>Evropa, která staví vzdělávání do popředí“</w:t>
      </w:r>
      <w:r>
        <w:rPr>
          <w:rFonts w:ascii="Times New Roman" w:hAnsi="Times New Roman"/>
          <w:color w:val="000000"/>
          <w:sz w:val="24"/>
        </w:rPr>
        <w:t xml:space="preserve"> a „ </w:t>
      </w:r>
      <w:r>
        <w:rPr>
          <w:rFonts w:ascii="Times New Roman" w:hAnsi="Times New Roman"/>
          <w:i/>
          <w:color w:val="000000"/>
          <w:sz w:val="24"/>
        </w:rPr>
        <w:t>užší a přístupná Evropa</w:t>
      </w:r>
      <w:r>
        <w:rPr>
          <w:rFonts w:ascii="Times New Roman" w:hAnsi="Times New Roman"/>
          <w:color w:val="000000"/>
          <w:sz w:val="24"/>
        </w:rPr>
        <w:t>“</w:t>
      </w:r>
      <w:r>
        <w:rPr>
          <w:rFonts w:ascii="Times New Roman" w:hAnsi="Times New Roman"/>
          <w:i/>
          <w:color w:val="000000"/>
          <w:sz w:val="24"/>
        </w:rPr>
        <w:t xml:space="preserve"> </w:t>
      </w:r>
      <w:r>
        <w:rPr>
          <w:rFonts w:ascii="Times New Roman" w:hAnsi="Times New Roman"/>
          <w:color w:val="000000"/>
          <w:sz w:val="24"/>
        </w:rPr>
        <w:t xml:space="preserve">byla proto široce vítána, přičemž změny podpořilo v průměru 56 % občanů na regionálních konferencích. </w:t>
      </w:r>
    </w:p>
    <w:p>
      <w:pPr>
        <w:pStyle w:val="Normal"/>
        <w:rPr/>
      </w:pPr>
      <w:r>
        <w:rPr/>
        <mc:AlternateContent>
          <mc:Choice Requires="wpg">
            <w:drawing>
              <wp:anchor behindDoc="0" distT="0" distB="0" distL="0" distR="0" simplePos="0" locked="0" layoutInCell="1" allowOverlap="1" relativeHeight="53">
                <wp:simplePos x="0" y="0"/>
                <wp:positionH relativeFrom="column">
                  <wp:posOffset>273050</wp:posOffset>
                </wp:positionH>
                <wp:positionV relativeFrom="paragraph">
                  <wp:posOffset>506095</wp:posOffset>
                </wp:positionV>
                <wp:extent cx="4505960" cy="6283960"/>
                <wp:effectExtent l="0" t="0" r="0" b="0"/>
                <wp:wrapTopAndBottom/>
                <wp:docPr id="97" name="Formulář4"/>
                <a:graphic xmlns:a="http://schemas.openxmlformats.org/drawingml/2006/main">
                  <a:graphicData uri="http://schemas.microsoft.com/office/word/2010/wordprocessingGroup">
                    <wpg:wgp>
                      <wpg:cNvGrpSpPr/>
                      <wpg:grpSpPr>
                        <a:xfrm>
                          <a:off x="0" y="0"/>
                          <a:ext cx="4505400" cy="6283440"/>
                        </a:xfrm>
                      </wpg:grpSpPr>
                      <pic:pic xmlns:pic="http://schemas.openxmlformats.org/drawingml/2006/picture">
                        <pic:nvPicPr>
                          <pic:cNvPr id="5" name="" descr=""/>
                          <pic:cNvPicPr/>
                        </pic:nvPicPr>
                        <pic:blipFill>
                          <a:blip r:embed="rId100"/>
                          <a:stretch/>
                        </pic:blipFill>
                        <pic:spPr>
                          <a:xfrm>
                            <a:off x="2270160" y="590400"/>
                            <a:ext cx="1982520" cy="5692680"/>
                          </a:xfrm>
                          <a:prstGeom prst="rect">
                            <a:avLst/>
                          </a:prstGeom>
                          <a:ln>
                            <a:noFill/>
                          </a:ln>
                        </pic:spPr>
                      </pic:pic>
                      <wps:wsp>
                        <wps:cNvSpPr/>
                        <wps:spPr>
                          <a:xfrm>
                            <a:off x="1151280" y="0"/>
                            <a:ext cx="3354120" cy="498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Jaké změny byste chtěli provést?</w:t>
                              </w:r>
                            </w:p>
                          </w:txbxContent>
                        </wps:txbx>
                        <wps:bodyPr lIns="90000" rIns="90000" tIns="45000" bIns="45000">
                          <a:noAutofit/>
                        </wps:bodyPr>
                      </wps:wsp>
                      <wps:wsp>
                        <wps:cNvSpPr/>
                        <wps:spPr>
                          <a:xfrm>
                            <a:off x="0" y="73836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 Evropa, která staví vzdělávání do popředí</w:t>
                              </w:r>
                            </w:p>
                          </w:txbxContent>
                        </wps:txbx>
                        <wps:bodyPr lIns="90000" rIns="90000" tIns="45000" bIns="45000">
                          <a:noAutofit/>
                        </wps:bodyPr>
                      </wps:wsp>
                      <wps:wsp>
                        <wps:cNvSpPr/>
                        <wps:spPr>
                          <a:xfrm>
                            <a:off x="0" y="107964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 Užší a přístupná Evropa</w:t>
                              </w:r>
                            </w:p>
                          </w:txbxContent>
                        </wps:txbx>
                        <wps:bodyPr lIns="90000" rIns="90000" tIns="45000" bIns="45000">
                          <a:noAutofit/>
                        </wps:bodyPr>
                      </wps:wsp>
                      <wps:wsp>
                        <wps:cNvSpPr/>
                        <wps:spPr>
                          <a:xfrm>
                            <a:off x="0" y="1548000"/>
                            <a:ext cx="221760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Evropa se sdílenými kulturami a identitami</w:t>
                              </w:r>
                            </w:p>
                          </w:txbxContent>
                        </wps:txbx>
                        <wps:bodyPr lIns="90000" rIns="90000" tIns="45000" bIns="45000">
                          <a:noAutofit/>
                        </wps:bodyPr>
                      </wps:wsp>
                      <wps:wsp>
                        <wps:cNvSpPr/>
                        <wps:spPr>
                          <a:xfrm>
                            <a:off x="0" y="194868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4. Evropa angažovaná v oblasti klimatu a životního prostředí</w:t>
                              </w:r>
                            </w:p>
                          </w:txbxContent>
                        </wps:txbx>
                        <wps:bodyPr lIns="90000" rIns="90000" tIns="45000" bIns="45000">
                          <a:noAutofit/>
                        </wps:bodyPr>
                      </wps:wsp>
                      <wps:wsp>
                        <wps:cNvSpPr/>
                        <wps:spPr>
                          <a:xfrm>
                            <a:off x="0" y="232776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5. Jednotnější Evropa</w:t>
                              </w:r>
                            </w:p>
                          </w:txbxContent>
                        </wps:txbx>
                        <wps:bodyPr lIns="90000" rIns="90000" tIns="45000" bIns="45000">
                          <a:noAutofit/>
                        </wps:bodyPr>
                      </wps:wsp>
                      <wps:wsp>
                        <wps:cNvSpPr/>
                        <wps:spPr>
                          <a:xfrm>
                            <a:off x="0" y="263088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 Solidarita Evropa, která chrání</w:t>
                              </w:r>
                            </w:p>
                          </w:txbxContent>
                        </wps:txbx>
                        <wps:bodyPr lIns="90000" rIns="90000" tIns="45000" bIns="45000">
                          <a:noAutofit/>
                        </wps:bodyPr>
                      </wps:wsp>
                      <wps:wsp>
                        <wps:cNvSpPr/>
                        <wps:spPr>
                          <a:xfrm>
                            <a:off x="0" y="303480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7. Evropa, která zaručuje dodržování základních práv</w:t>
                              </w:r>
                            </w:p>
                          </w:txbxContent>
                        </wps:txbx>
                        <wps:bodyPr lIns="90000" rIns="90000" tIns="45000" bIns="45000">
                          <a:noAutofit/>
                        </wps:bodyPr>
                      </wps:wsp>
                      <wps:wsp>
                        <wps:cNvSpPr/>
                        <wps:spPr>
                          <a:xfrm>
                            <a:off x="0" y="346824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 Konkurenceschopná a inovativní Evropa</w:t>
                              </w:r>
                            </w:p>
                          </w:txbxContent>
                        </wps:txbx>
                        <wps:bodyPr lIns="90000" rIns="90000" tIns="45000" bIns="45000">
                          <a:noAutofit/>
                        </wps:bodyPr>
                      </wps:wsp>
                      <wps:wsp>
                        <wps:cNvSpPr/>
                        <wps:spPr>
                          <a:xfrm>
                            <a:off x="0" y="391284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9. Evropa, která podporuje udržitelný rozvoj</w:t>
                              </w:r>
                            </w:p>
                          </w:txbxContent>
                        </wps:txbx>
                        <wps:bodyPr lIns="90000" rIns="90000" tIns="45000" bIns="45000">
                          <a:noAutofit/>
                        </wps:bodyPr>
                      </wps:wsp>
                      <wps:wsp>
                        <wps:cNvSpPr/>
                        <wps:spPr>
                          <a:xfrm>
                            <a:off x="0" y="424512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Demokratičtější Evropa</w:t>
                              </w:r>
                            </w:p>
                          </w:txbxContent>
                        </wps:txbx>
                        <wps:bodyPr lIns="90000" rIns="90000" tIns="45000" bIns="45000">
                          <a:noAutofit/>
                        </wps:bodyPr>
                      </wps:wsp>
                      <wps:wsp>
                        <wps:cNvSpPr/>
                        <wps:spPr>
                          <a:xfrm>
                            <a:off x="0" y="4566960"/>
                            <a:ext cx="221760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Evropa s účinnější správou</w:t>
                              </w:r>
                            </w:p>
                          </w:txbxContent>
                        </wps:txbx>
                        <wps:bodyPr lIns="90000" rIns="90000" tIns="45000" bIns="45000">
                          <a:noAutofit/>
                        </wps:bodyPr>
                      </wps:wsp>
                      <wps:wsp>
                        <wps:cNvSpPr/>
                        <wps:spPr>
                          <a:xfrm>
                            <a:off x="0" y="5103360"/>
                            <a:ext cx="2217600" cy="2217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12. Evropa, která hájí své zájmy</w:t>
                              </w:r>
                            </w:p>
                          </w:txbxContent>
                        </wps:txbx>
                        <wps:bodyPr lIns="90000" rIns="90000" tIns="45000" bIns="45000">
                          <a:noAutofit/>
                        </wps:bodyPr>
                      </wps:wsp>
                      <wps:wsp>
                        <wps:cNvSpPr/>
                        <wps:spPr>
                          <a:xfrm>
                            <a:off x="0" y="552276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13. Silná Evropa ve světě</w:t>
                              </w:r>
                            </w:p>
                          </w:txbxContent>
                        </wps:txbx>
                        <wps:bodyPr lIns="90000" rIns="90000" tIns="45000" bIns="45000">
                          <a:noAutofit/>
                        </wps:bodyPr>
                      </wps:wsp>
                      <wps:wsp>
                        <wps:cNvSpPr/>
                        <wps:spPr>
                          <a:xfrm>
                            <a:off x="0" y="587700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14. Evropa, ve které převažují zájmy každého státu</w:t>
                              </w:r>
                            </w:p>
                          </w:txbxContent>
                        </wps:txbx>
                        <wps:bodyPr lIns="90000" rIns="90000" tIns="45000" bIns="45000">
                          <a:noAutofit/>
                        </wps:bodyPr>
                      </wps:wsp>
                    </wpg:wgp>
                  </a:graphicData>
                </a:graphic>
              </wp:anchor>
            </w:drawing>
          </mc:Choice>
          <mc:Fallback>
            <w:pict>
              <v:group id="shape_0" alt="Formulář4" style="position:absolute;margin-left:21.5pt;margin-top:39.85pt;width:354.75pt;height:494.75pt" coordorigin="430,797" coordsize="7095,9895">
                <v:shape id="shape_0" stroked="f" style="position:absolute;left:4005;top:1727;width:3121;height:8964" type="shapetype_75">
                  <v:imagedata r:id="rId100" o:detectmouseclick="t"/>
                  <w10:wrap type="none"/>
                  <v:stroke color="#3465a4" joinstyle="round" endcap="flat"/>
                </v:shape>
                <v:rect id="shape_0" stroked="f" style="position:absolute;left:2243;top:797;width:5281;height:7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Jaké změny byste chtěli provést?</w:t>
                        </w:r>
                      </w:p>
                    </w:txbxContent>
                  </v:textbox>
                  <w10:wrap type="square"/>
                  <v:fill o:detectmouseclick="t" on="false"/>
                  <v:stroke color="#3465a4" joinstyle="round" endcap="flat"/>
                </v:rect>
                <v:rect id="shape_0" stroked="f" style="position:absolute;left:430;top:1960;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 Evropa, která staví vzdělávání do popředí</w:t>
                        </w:r>
                      </w:p>
                    </w:txbxContent>
                  </v:textbox>
                  <w10:wrap type="square"/>
                  <v:fill o:detectmouseclick="t" on="false"/>
                  <v:stroke color="#3465a4" joinstyle="round" endcap="flat"/>
                </v:rect>
                <v:rect id="shape_0" stroked="f" style="position:absolute;left:430;top:2497;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 Užší a přístupná Evropa</w:t>
                        </w:r>
                      </w:p>
                    </w:txbxContent>
                  </v:textbox>
                  <w10:wrap type="square"/>
                  <v:fill o:detectmouseclick="t" on="false"/>
                  <v:stroke color="#3465a4" joinstyle="round" endcap="flat"/>
                </v:rect>
                <v:rect id="shape_0" stroked="f" style="position:absolute;left:430;top:3235;width:3491;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Evropa se sdílenými kulturami a identitami</w:t>
                        </w:r>
                      </w:p>
                    </w:txbxContent>
                  </v:textbox>
                  <w10:wrap type="square"/>
                  <v:fill o:detectmouseclick="t" on="false"/>
                  <v:stroke color="#3465a4" joinstyle="round" endcap="flat"/>
                </v:rect>
                <v:rect id="shape_0" stroked="f" style="position:absolute;left:430;top:3866;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4. Evropa angažovaná v oblasti klimatu a životního prostředí</w:t>
                        </w:r>
                      </w:p>
                    </w:txbxContent>
                  </v:textbox>
                  <w10:wrap type="square"/>
                  <v:fill o:detectmouseclick="t" on="false"/>
                  <v:stroke color="#3465a4" joinstyle="round" endcap="flat"/>
                </v:rect>
                <v:rect id="shape_0" stroked="f" style="position:absolute;left:430;top:4463;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5. Jednotnější Evropa</w:t>
                        </w:r>
                      </w:p>
                    </w:txbxContent>
                  </v:textbox>
                  <w10:wrap type="square"/>
                  <v:fill o:detectmouseclick="t" on="false"/>
                  <v:stroke color="#3465a4" joinstyle="round" endcap="flat"/>
                </v:rect>
                <v:rect id="shape_0" stroked="f" style="position:absolute;left:430;top:4940;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 Solidarita Evropa, která chrání</w:t>
                        </w:r>
                      </w:p>
                    </w:txbxContent>
                  </v:textbox>
                  <w10:wrap type="square"/>
                  <v:fill o:detectmouseclick="t" on="false"/>
                  <v:stroke color="#3465a4" joinstyle="round" endcap="flat"/>
                </v:rect>
                <v:rect id="shape_0" stroked="f" style="position:absolute;left:430;top:5576;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7. Evropa, která zaručuje dodržování základních práv</w:t>
                        </w:r>
                      </w:p>
                    </w:txbxContent>
                  </v:textbox>
                  <w10:wrap type="square"/>
                  <v:fill o:detectmouseclick="t" on="false"/>
                  <v:stroke color="#3465a4" joinstyle="round" endcap="flat"/>
                </v:rect>
                <v:rect id="shape_0" stroked="f" style="position:absolute;left:430;top:6259;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 Konkurenceschopná a inovativní Evropa</w:t>
                        </w:r>
                      </w:p>
                    </w:txbxContent>
                  </v:textbox>
                  <w10:wrap type="square"/>
                  <v:fill o:detectmouseclick="t" on="false"/>
                  <v:stroke color="#3465a4" joinstyle="round" endcap="flat"/>
                </v:rect>
                <v:rect id="shape_0" stroked="f" style="position:absolute;left:430;top:6959;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9. Evropa, která podporuje udržitelný rozvoj</w:t>
                        </w:r>
                      </w:p>
                    </w:txbxContent>
                  </v:textbox>
                  <w10:wrap type="square"/>
                  <v:fill o:detectmouseclick="t" on="false"/>
                  <v:stroke color="#3465a4" joinstyle="round" endcap="flat"/>
                </v:rect>
                <v:rect id="shape_0" stroked="f" style="position:absolute;left:430;top:7482;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Demokratičtější Evropa</w:t>
                        </w:r>
                      </w:p>
                    </w:txbxContent>
                  </v:textbox>
                  <w10:wrap type="square"/>
                  <v:fill o:detectmouseclick="t" on="false"/>
                  <v:stroke color="#3465a4" joinstyle="round" endcap="flat"/>
                </v:rect>
                <v:rect id="shape_0" stroked="f" style="position:absolute;left:430;top:7989;width:3491;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Evropa s účinnější správou</w:t>
                        </w:r>
                      </w:p>
                    </w:txbxContent>
                  </v:textbox>
                  <w10:wrap type="square"/>
                  <v:fill o:detectmouseclick="t" on="false"/>
                  <v:stroke color="#3465a4" joinstyle="round" endcap="flat"/>
                </v:rect>
                <v:rect id="shape_0" stroked="f" style="position:absolute;left:430;top:8834;width:3491;height:34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12. Evropa, která hájí své zájmy</w:t>
                        </w:r>
                      </w:p>
                    </w:txbxContent>
                  </v:textbox>
                  <w10:wrap type="square"/>
                  <v:fill o:detectmouseclick="t" on="false"/>
                  <v:stroke color="#3465a4" joinstyle="round" endcap="flat"/>
                </v:rect>
                <v:rect id="shape_0" stroked="f" style="position:absolute;left:430;top:9494;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13. Silná Evropa ve světě</w:t>
                        </w:r>
                      </w:p>
                    </w:txbxContent>
                  </v:textbox>
                  <w10:wrap type="square"/>
                  <v:fill o:detectmouseclick="t" on="false"/>
                  <v:stroke color="#3465a4" joinstyle="round" endcap="flat"/>
                </v:rect>
                <v:rect id="shape_0" stroked="f" style="position:absolute;left:430;top:10052;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14. Evropa, ve které převažují zájmy každého státu</w:t>
                        </w:r>
                      </w:p>
                    </w:txbxContent>
                  </v:textbox>
                  <w10:wrap type="square"/>
                  <v:fill o:detectmouseclick="t" on="false"/>
                  <v:stroke color="#3465a4" joinstyle="round" endcap="flat"/>
                </v:rect>
              </v:group>
            </w:pict>
          </mc:Fallback>
        </mc:AlternateContent>
      </w:r>
      <w:r>
        <w:br w:type="page"/>
      </w:r>
    </w:p>
    <w:p>
      <w:pPr>
        <w:pStyle w:val="P68B1DB1Normal33"/>
        <w:rPr>
          <w:rFonts w:ascii="Times New Roman" w:hAnsi="Times New Roman"/>
          <w:b/>
          <w:b/>
          <w:color w:val="000000"/>
          <w:sz w:val="24"/>
        </w:rPr>
      </w:pPr>
      <w:r>
        <w:rPr/>
        <w:t xml:space="preserve">B. Prezentace 14 prioritních změn vyplývajících z národní konference </w:t>
      </w:r>
    </w:p>
    <w:p>
      <w:pPr>
        <w:pStyle w:val="P68B1DB1Normal19"/>
        <w:widowControl w:val="false"/>
        <w:spacing w:lineRule="exact" w:line="388" w:before="322" w:after="0"/>
        <w:ind w:left="0" w:right="0" w:hanging="0"/>
        <w:jc w:val="left"/>
        <w:rPr/>
      </w:pPr>
      <w:r>
        <w:rPr/>
        <w:t>Na Národní konferenci o syntéze pracovalo 100 zúčastněných občanů na jedné ze 14 zavedených skupin přání. Na konci práce každá skupina, která byla vybrána, aby reprezentovala své přání</w:t>
      </w:r>
      <w:r>
        <w:rPr>
          <w:b/>
        </w:rPr>
        <w:t>, aby Evropa učinila do roku 2035 prioritní změnu</w:t>
      </w:r>
      <w:r>
        <w:rPr/>
        <w:t xml:space="preserve">. Těchto 14 prioritních změn bylo poté navrženo k hlasování 100 občanů v poslední den celostátní konference. Výsledek tohoto hlasování je uveden níže v sestupném pořadí podle počtu hlasů získaných pro každou změnu. </w:t>
      </w:r>
    </w:p>
    <w:p>
      <w:pPr>
        <w:pStyle w:val="P68B1DB1Normal19"/>
        <w:widowControl w:val="false"/>
        <w:spacing w:lineRule="exact" w:line="413" w:before="332" w:after="0"/>
        <w:ind w:left="0" w:right="708" w:hanging="0"/>
        <w:jc w:val="left"/>
        <w:rPr/>
      </w:pPr>
      <w:r>
        <w:rPr/>
        <w:t xml:space="preserve">Změna, která získala nejvíce hlasů od 100 občanů národní konference, je „ </w:t>
      </w:r>
      <w:r>
        <w:rPr>
          <w:i/>
        </w:rPr>
        <w:t>Rozvoj energetické střízlivosti ke snížení spotřeby tím, že zastaví nadbytečné“</w:t>
      </w:r>
      <w:r>
        <w:rPr/>
        <w:t xml:space="preserve">. </w:t>
      </w:r>
    </w:p>
    <w:p>
      <w:pPr>
        <w:pStyle w:val="P68B1DB1Normal39"/>
        <w:widowControl w:val="false"/>
        <w:spacing w:lineRule="exact" w:line="199" w:before="42" w:after="0"/>
        <w:ind w:left="0" w:right="0" w:hanging="0"/>
        <w:jc w:val="left"/>
        <w:rPr>
          <w:rFonts w:ascii="Times New Roman" w:hAnsi="Times New Roman"/>
          <w:b/>
          <w:b/>
          <w:color w:val="000000"/>
          <w:sz w:val="12"/>
        </w:rPr>
      </w:pPr>
      <w:r>
        <w:rPr/>
        <w:t xml:space="preserve"> </w:t>
      </w:r>
    </w:p>
    <w:p>
      <w:pPr>
        <w:pStyle w:val="P68B1DB1Normal40"/>
        <w:widowControl w:val="false"/>
        <w:spacing w:lineRule="auto" w:line="240"/>
        <w:ind w:left="208" w:right="0" w:hanging="0"/>
        <w:jc w:val="left"/>
        <w:rPr/>
      </w:pPr>
      <w:r>
        <w:rPr>
          <w:b/>
          <w:sz w:val="34"/>
        </w:rPr>
        <w:t xml:space="preserve">14 </w:t>
      </w:r>
      <w:r>
        <w:rPr>
          <w:sz w:val="30"/>
        </w:rPr>
        <w:t>klíčových změn pro Evropu v roce 2035</w:t>
      </w:r>
    </w:p>
    <w:p>
      <w:pPr>
        <w:pStyle w:val="P68B1DB1Normal41"/>
        <w:widowControl w:val="false"/>
        <w:spacing w:lineRule="auto" w:line="240" w:before="202" w:after="0"/>
        <w:ind w:left="336" w:right="0" w:hanging="0"/>
        <w:jc w:val="left"/>
        <w:rPr/>
      </w:pPr>
      <w:r>
        <w:rPr>
          <w:color w:val="FFFFFF"/>
        </w:rPr>
        <w:t>1</w:t>
      </w:r>
      <w:r>
        <w:rPr>
          <w:color w:val="000000"/>
        </w:rPr>
        <w:t>(1)</w:t>
      </w:r>
      <w:r>
        <w:rPr>
          <w:color w:val="FFFFFF"/>
        </w:rPr>
        <w:t xml:space="preserve"> </w:t>
      </w:r>
      <w:r>
        <w:rPr>
          <w:color w:val="000000"/>
        </w:rPr>
        <w:t>Rozvíjet energetickou střízlivost ke spotřebě méně z nadbytečného</w:t>
      </w:r>
    </w:p>
    <w:p>
      <w:pPr>
        <w:pStyle w:val="P68B1DB1Normal41"/>
        <w:widowControl w:val="false"/>
        <w:spacing w:lineRule="auto" w:line="240" w:before="193" w:after="0"/>
        <w:ind w:left="324" w:right="0" w:hanging="0"/>
        <w:jc w:val="left"/>
        <w:rPr/>
      </w:pPr>
      <w:r>
        <w:rPr>
          <w:color w:val="FFFFFF"/>
        </w:rPr>
        <w:t>2</w:t>
      </w:r>
      <w:r>
        <w:rPr>
          <w:color w:val="000000"/>
        </w:rPr>
        <w:t>(2)</w:t>
      </w:r>
      <w:r>
        <w:rPr>
          <w:color w:val="FFFFFF"/>
        </w:rPr>
        <w:t xml:space="preserve"> </w:t>
      </w:r>
      <w:r>
        <w:rPr>
          <w:color w:val="000000"/>
        </w:rPr>
        <w:t>Posílení společné obrany a bezpečnosti Evropské unie</w:t>
      </w:r>
    </w:p>
    <w:p>
      <w:pPr>
        <w:pStyle w:val="P68B1DB1Normal41"/>
        <w:widowControl w:val="false"/>
        <w:spacing w:lineRule="auto" w:line="240" w:before="193" w:after="0"/>
        <w:ind w:left="324" w:right="0" w:hanging="0"/>
        <w:jc w:val="left"/>
        <w:rPr/>
      </w:pPr>
      <w:r>
        <w:rPr>
          <w:color w:val="FFFFFF"/>
        </w:rPr>
        <w:t>3</w:t>
      </w:r>
      <w:r>
        <w:rPr>
          <w:color w:val="000000"/>
        </w:rPr>
        <w:t>(3)</w:t>
      </w:r>
      <w:r>
        <w:rPr>
          <w:color w:val="FFFFFF"/>
        </w:rPr>
        <w:t xml:space="preserve"> </w:t>
      </w:r>
      <w:r>
        <w:rPr>
          <w:color w:val="000000"/>
        </w:rPr>
        <w:t>Podporovat kolektivní hospodářskou výkonnost prostřednictvím autonomního, konkurenceschopného a hodnotného průmyslu Evropské unie</w:t>
      </w:r>
    </w:p>
    <w:p>
      <w:pPr>
        <w:pStyle w:val="P68B1DB1Normal41"/>
        <w:widowControl w:val="false"/>
        <w:spacing w:lineRule="auto" w:line="240" w:before="136" w:after="0"/>
        <w:ind w:left="324" w:right="0" w:hanging="0"/>
        <w:jc w:val="left"/>
        <w:rPr/>
      </w:pPr>
      <w:r>
        <w:rPr>
          <w:color w:val="FFFFFF"/>
        </w:rPr>
        <w:t>4</w:t>
      </w:r>
      <w:r>
        <w:rPr>
          <w:color w:val="000000"/>
        </w:rPr>
        <w:t>(4)</w:t>
      </w:r>
      <w:r>
        <w:rPr>
          <w:color w:val="FFFFFF"/>
        </w:rPr>
        <w:t xml:space="preserve"> </w:t>
      </w:r>
      <w:r>
        <w:rPr>
          <w:color w:val="000000"/>
        </w:rPr>
        <w:t>Ustavení občanské moci na několika úrovních: účast, rozhodnutí, kontrola</w:t>
      </w:r>
    </w:p>
    <w:p>
      <w:pPr>
        <w:pStyle w:val="P68B1DB1Normal41"/>
        <w:widowControl w:val="false"/>
        <w:spacing w:lineRule="auto" w:line="240" w:before="193" w:after="0"/>
        <w:ind w:left="324" w:right="695" w:hanging="0"/>
        <w:jc w:val="left"/>
        <w:rPr/>
      </w:pPr>
      <w:r>
        <w:rPr>
          <w:color w:val="FFFFFF"/>
        </w:rPr>
        <w:t>5</w:t>
      </w:r>
      <w:r>
        <w:rPr>
          <w:color w:val="000000"/>
        </w:rPr>
        <w:t>(5)</w:t>
      </w:r>
      <w:r>
        <w:rPr>
          <w:color w:val="FFFFFF"/>
        </w:rPr>
        <w:t xml:space="preserve"> </w:t>
      </w:r>
      <w:r>
        <w:rPr>
          <w:color w:val="000000"/>
        </w:rPr>
        <w:t>Jít do federace evropských států se silnými pravomocemi v oblastech společného zájmu</w:t>
      </w:r>
    </w:p>
    <w:p>
      <w:pPr>
        <w:pStyle w:val="P68B1DB1Normal41"/>
        <w:widowControl w:val="false"/>
        <w:spacing w:lineRule="auto" w:line="240" w:before="136" w:after="0"/>
        <w:ind w:left="324" w:right="0" w:hanging="0"/>
        <w:jc w:val="left"/>
        <w:rPr/>
      </w:pPr>
      <w:r>
        <w:rPr>
          <w:color w:val="000000"/>
        </w:rPr>
        <w:t>6 (6)</w:t>
      </w:r>
      <w:r>
        <w:rPr>
          <w:color w:val="FFFFFF"/>
        </w:rPr>
        <w:t xml:space="preserve"> </w:t>
      </w:r>
      <w:r>
        <w:rPr>
          <w:color w:val="000000"/>
        </w:rPr>
        <w:t>Navrhovat celoživotní výměnné programy</w:t>
      </w:r>
    </w:p>
    <w:p>
      <w:pPr>
        <w:pStyle w:val="P68B1DB1Normal41"/>
        <w:widowControl w:val="false"/>
        <w:spacing w:lineRule="auto" w:line="240" w:before="193" w:after="0"/>
        <w:ind w:left="324" w:right="0" w:hanging="0"/>
        <w:jc w:val="left"/>
        <w:rPr/>
      </w:pPr>
      <w:r>
        <w:rPr>
          <w:color w:val="FFFFFF"/>
        </w:rPr>
        <w:t>7</w:t>
      </w:r>
      <w:r>
        <w:rPr>
          <w:color w:val="000000"/>
        </w:rPr>
        <w:t>(7)</w:t>
      </w:r>
      <w:r>
        <w:rPr>
          <w:color w:val="FFFFFF"/>
        </w:rPr>
        <w:t xml:space="preserve"> </w:t>
      </w:r>
      <w:r>
        <w:rPr>
          <w:color w:val="000000"/>
        </w:rPr>
        <w:t>Sdílení evropských kultur prostřednictvím sjednocujících událostí a událostí</w:t>
      </w:r>
    </w:p>
    <w:p>
      <w:pPr>
        <w:pStyle w:val="P68B1DB1Normal41"/>
        <w:widowControl w:val="false"/>
        <w:spacing w:lineRule="auto" w:line="240" w:before="353" w:after="0"/>
        <w:ind w:left="324" w:right="0" w:hanging="0"/>
        <w:jc w:val="left"/>
        <w:rPr/>
      </w:pPr>
      <w:r>
        <w:rPr>
          <w:color w:val="FFFFFF"/>
        </w:rPr>
        <w:t>8</w:t>
      </w:r>
      <w:r>
        <w:rPr>
          <w:color w:val="000000"/>
        </w:rPr>
        <w:t>(8)</w:t>
      </w:r>
      <w:r>
        <w:rPr>
          <w:color w:val="FFFFFF"/>
        </w:rPr>
        <w:t xml:space="preserve"> </w:t>
      </w:r>
      <w:r>
        <w:rPr>
          <w:color w:val="000000"/>
        </w:rPr>
        <w:t>Harmonizace zdraví a jeho zpřístupnění všem Evropanům prostřednictvím společné zdravotní politiky</w:t>
      </w:r>
    </w:p>
    <w:p>
      <w:pPr>
        <w:pStyle w:val="P68B1DB1Normal41"/>
        <w:widowControl w:val="false"/>
        <w:spacing w:lineRule="auto" w:line="240" w:before="193" w:after="0"/>
        <w:ind w:left="324" w:right="0" w:hanging="0"/>
        <w:jc w:val="left"/>
        <w:rPr/>
      </w:pPr>
      <w:r>
        <w:rPr>
          <w:color w:val="FFFFFF"/>
        </w:rPr>
        <w:t>9</w:t>
      </w:r>
      <w:r>
        <w:rPr>
          <w:color w:val="000000"/>
        </w:rPr>
        <w:t>(9)</w:t>
      </w:r>
      <w:r>
        <w:rPr>
          <w:color w:val="FFFFFF"/>
        </w:rPr>
        <w:t xml:space="preserve"> </w:t>
      </w:r>
      <w:r>
        <w:rPr>
          <w:color w:val="000000"/>
        </w:rPr>
        <w:t>Rozvoj a pilotní využívání strategických kanálů na evropské úrovni s cílem zajistit naši suverenitu</w:t>
      </w:r>
    </w:p>
    <w:p>
      <w:pPr>
        <w:pStyle w:val="P68B1DB1Normal41"/>
        <w:widowControl w:val="false"/>
        <w:spacing w:lineRule="auto" w:line="240" w:before="193" w:after="0"/>
        <w:ind w:left="324" w:right="0" w:hanging="0"/>
        <w:jc w:val="left"/>
        <w:rPr/>
      </w:pPr>
      <w:r>
        <w:rPr>
          <w:color w:val="FFFFFF"/>
        </w:rPr>
        <w:t>10</w:t>
      </w:r>
      <w:r>
        <w:rPr>
          <w:color w:val="000000"/>
        </w:rPr>
        <w:t>(10) Zlepšování ochrany životního prostředí a ekosystémů a vytváření chráněných oblastí v srdci městských, příměstských a venkovských oblastí</w:t>
      </w:r>
    </w:p>
    <w:p>
      <w:pPr>
        <w:pStyle w:val="P68B1DB1Normal41"/>
        <w:widowControl w:val="false"/>
        <w:spacing w:lineRule="auto" w:line="240" w:before="136" w:after="0"/>
        <w:ind w:left="295" w:right="0" w:hanging="0"/>
        <w:jc w:val="left"/>
        <w:rPr/>
      </w:pPr>
      <w:r>
        <w:rPr>
          <w:color w:val="FFFFFF"/>
        </w:rPr>
        <w:t>11</w:t>
      </w:r>
      <w:r>
        <w:rPr>
          <w:color w:val="000000"/>
        </w:rPr>
        <w:t>(11)</w:t>
      </w:r>
      <w:r>
        <w:rPr>
          <w:color w:val="FFFFFF"/>
        </w:rPr>
        <w:t xml:space="preserve"> </w:t>
      </w:r>
      <w:r>
        <w:rPr>
          <w:color w:val="000000"/>
        </w:rPr>
        <w:t>Zakládání evropských štafet na územích pro naslouchání a poradenství občanům</w:t>
      </w:r>
    </w:p>
    <w:p>
      <w:pPr>
        <w:pStyle w:val="P68B1DB1Normal41"/>
        <w:widowControl w:val="false"/>
        <w:spacing w:lineRule="auto" w:line="240" w:before="193" w:after="0"/>
        <w:ind w:left="283" w:right="643" w:hanging="0"/>
        <w:jc w:val="left"/>
        <w:rPr/>
      </w:pPr>
      <w:r>
        <w:rPr>
          <w:color w:val="000000"/>
        </w:rPr>
        <w:t>12 ( 12)Sjednotit způsob volby do Evropského parlamentu pro dvacet sedm států a zlepšit blízkost občanů nahrazením současného hlasování jednorázovým hlasováním na regionální úrovni</w:t>
      </w:r>
    </w:p>
    <w:p>
      <w:pPr>
        <w:pStyle w:val="P68B1DB1Normal41"/>
        <w:widowControl w:val="false"/>
        <w:spacing w:lineRule="auto" w:line="240" w:before="136" w:after="0"/>
        <w:ind w:left="283" w:right="164" w:hanging="0"/>
        <w:jc w:val="left"/>
        <w:rPr/>
      </w:pPr>
      <w:r>
        <w:rPr>
          <w:color w:val="FFFFFF"/>
        </w:rPr>
        <w:t>13</w:t>
      </w:r>
      <w:r>
        <w:rPr>
          <w:color w:val="000000"/>
        </w:rPr>
        <w:t>(13)</w:t>
      </w:r>
      <w:r>
        <w:rPr>
          <w:color w:val="FFFFFF"/>
        </w:rPr>
        <w:t xml:space="preserve"> </w:t>
      </w:r>
      <w:r>
        <w:rPr>
          <w:color w:val="000000"/>
        </w:rPr>
        <w:t>Definování společné politiky pro zlepšení přijímání a sociální a profesní integrace migrantů (včetně nelegálních migrantů)</w:t>
      </w:r>
    </w:p>
    <w:p>
      <w:pPr>
        <w:pStyle w:val="P68B1DB1Normal41"/>
        <w:widowControl w:val="false"/>
        <w:spacing w:lineRule="auto" w:line="240" w:before="136" w:after="0"/>
        <w:ind w:left="283" w:right="700" w:hanging="0"/>
        <w:jc w:val="left"/>
        <w:rPr/>
      </w:pPr>
      <w:r>
        <w:rPr>
          <w:color w:val="FFFFFF"/>
        </w:rPr>
        <w:t>14</w:t>
      </w:r>
      <w:r>
        <w:rPr>
          <w:color w:val="000000"/>
        </w:rPr>
        <w:t>(14)</w:t>
      </w:r>
      <w:r>
        <w:rPr>
          <w:color w:val="FFFFFF"/>
        </w:rPr>
        <w:t xml:space="preserve"> </w:t>
      </w:r>
      <w:r>
        <w:rPr>
          <w:color w:val="000000"/>
        </w:rPr>
        <w:t>Zachovávat specifika (potravinové etikety, řemeslná výroba, tradice) různých evropských regionů s cílem zabránit jednotnému životnímu stylu a zajistit sledovatelnost a kvalitu výrobků</w:t>
      </w:r>
    </w:p>
    <w:p>
      <w:pPr>
        <w:pStyle w:val="Normal"/>
        <w:spacing w:lineRule="auto" w:line="240"/>
        <w:rPr/>
      </w:pPr>
      <w:r>
        <w:rPr/>
      </w:r>
    </w:p>
    <w:p>
      <w:pPr>
        <w:pStyle w:val="Normal"/>
        <w:rPr/>
      </w:pPr>
      <w:r>
        <w:rPr/>
        <w:t xml:space="preserve">U každé prioritní změny uvedli občané dotčené skupiny definici změny, navrhli konkrétní opatření, která mají být provedena pro její provádění, a uvedli kritéria úspěchu do roku 2035. </w:t>
      </w:r>
    </w:p>
    <w:p>
      <w:pPr>
        <w:pStyle w:val="Normal"/>
        <w:rPr/>
      </w:pPr>
      <w:r>
        <w:rPr/>
      </w:r>
      <w:r>
        <w:br w:type="page"/>
      </w:r>
    </w:p>
    <w:p>
      <w:pPr>
        <w:pStyle w:val="P68B1DB1Normal42"/>
        <w:widowControl w:val="false"/>
        <w:spacing w:lineRule="auto" w:line="240" w:before="237" w:after="0"/>
        <w:ind w:left="0" w:right="0" w:hanging="0"/>
        <w:jc w:val="left"/>
        <w:rPr/>
      </w:pPr>
      <w:r>
        <w:rPr/>
        <w:t xml:space="preserve">Změna 1 – Rozvíjení energetické střízlivosti ke spotřebě méně zastavením nadbytečného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Přání přidružené Evropy: Evropa angažovaná v oblasti klimatu a životního prostředí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Co tato změna znamená? </w:t>
      </w:r>
    </w:p>
    <w:p>
      <w:pPr>
        <w:pStyle w:val="P68B1DB1Normal7"/>
        <w:widowControl w:val="false"/>
        <w:spacing w:lineRule="auto" w:line="240" w:before="76" w:after="0"/>
        <w:ind w:left="0" w:right="0" w:hanging="0"/>
        <w:jc w:val="left"/>
        <w:rPr/>
      </w:pPr>
      <w:r>
        <w:rPr>
          <w:i/>
          <w:color w:val="000000"/>
        </w:rPr>
        <w:t>Klíčová slova: Rozvoj obnovitelných zdrojů energie, snížení spotřeby energie</w:t>
      </w:r>
      <w:r>
        <w:rPr>
          <w:b/>
          <w:color w:val="273375"/>
        </w:rPr>
        <w:t xml:space="preserve"> </w:t>
      </w:r>
    </w:p>
    <w:p>
      <w:pPr>
        <w:pStyle w:val="P68B1DB1Normal19"/>
        <w:widowControl w:val="false"/>
        <w:spacing w:lineRule="auto" w:line="240" w:before="248" w:after="0"/>
        <w:ind w:left="0" w:right="9" w:hanging="0"/>
        <w:jc w:val="both"/>
        <w:rPr/>
      </w:pPr>
      <w:r>
        <w:rPr/>
        <w:t xml:space="preserve">Cílem této změny je podpořit snižování spotřeby energie v Evropě a rozvoj energie z obnovitelných zdrojů. Jeho upřednostňování ze strany občanů přepisuje jejich přání začlenit Evropu a její obyvatele do </w:t>
      </w:r>
      <w:r>
        <w:rPr>
          <w:b/>
        </w:rPr>
        <w:t>rozhodného přístupu</w:t>
      </w:r>
      <w:r>
        <w:rPr/>
        <w:t xml:space="preserve"> k klimatickým a environmentálním výzvám. </w:t>
      </w:r>
    </w:p>
    <w:p>
      <w:pPr>
        <w:pStyle w:val="P68B1DB1Normal33"/>
        <w:widowControl w:val="false"/>
        <w:spacing w:lineRule="auto" w:line="240" w:before="333" w:after="0"/>
        <w:ind w:left="0" w:right="0" w:hanging="0"/>
        <w:jc w:val="left"/>
        <w:rPr>
          <w:rFonts w:ascii="Times New Roman" w:hAnsi="Times New Roman"/>
          <w:b/>
          <w:b/>
          <w:color w:val="000000"/>
          <w:sz w:val="24"/>
        </w:rPr>
      </w:pPr>
      <w:r>
        <w:rPr/>
        <w:t xml:space="preserve">Jaké jsou klíčové kroky a kritéria úspěchu? </w:t>
      </w:r>
    </w:p>
    <w:p>
      <w:pPr>
        <w:pStyle w:val="P68B1DB1Normal19"/>
        <w:widowControl w:val="false"/>
        <w:spacing w:lineRule="auto" w:line="240" w:before="237" w:after="0"/>
        <w:ind w:left="0" w:right="9" w:hanging="0"/>
        <w:jc w:val="both"/>
        <w:rPr/>
      </w:pPr>
      <w:r>
        <w:rPr/>
        <w:t xml:space="preserve">Tato změna se odráží ve vývoji </w:t>
      </w:r>
      <w:r>
        <w:rPr>
          <w:b/>
        </w:rPr>
        <w:t>ambiciózních výzkumných programů</w:t>
      </w:r>
      <w:r>
        <w:rPr/>
        <w:t xml:space="preserve"> v oblasti obnovitelných zdrojů energie a ve </w:t>
      </w:r>
      <w:r>
        <w:rPr>
          <w:b/>
        </w:rPr>
        <w:t>využívání evropských investičních fondů</w:t>
      </w:r>
      <w:r>
        <w:rPr/>
        <w:t xml:space="preserve"> s přímou účastí v podnicích v tomto odvětví. </w:t>
      </w:r>
    </w:p>
    <w:p>
      <w:pPr>
        <w:pStyle w:val="P68B1DB1Normal19"/>
        <w:widowControl w:val="false"/>
        <w:spacing w:lineRule="auto" w:line="240" w:before="326" w:after="0"/>
        <w:ind w:left="0" w:right="9" w:hanging="0"/>
        <w:jc w:val="both"/>
        <w:rPr/>
      </w:pPr>
      <w:r>
        <w:rPr/>
        <w:t>Pro občany by tato změna</w:t>
      </w:r>
      <w:r>
        <w:rPr>
          <w:b/>
        </w:rPr>
        <w:t>byla úspěšná, pokud by byly zavedeny závazné cíle v oblasti spotřeby energie a klíčové ukazatele střízlivosti</w:t>
      </w:r>
      <w:r>
        <w:rPr/>
        <w:t xml:space="preserve">, jako je pokles evropského vozového parku nebo spotřeba masa. Cílem je rovněž uspět při stanovování </w:t>
      </w:r>
      <w:r>
        <w:rPr>
          <w:b/>
        </w:rPr>
        <w:t>spotřebitelských kvót podle odvětví</w:t>
      </w:r>
      <w:r>
        <w:rPr/>
        <w:t xml:space="preserve"> s přihlédnutím k výkyvům spotřeby společností a respektováním důvěrnosti jejich údajů. </w:t>
      </w:r>
    </w:p>
    <w:p>
      <w:pPr>
        <w:pStyle w:val="Normal"/>
        <w:spacing w:lineRule="auto" w:line="240"/>
        <w:rPr/>
      </w:pPr>
      <w:r>
        <w:rPr/>
      </w:r>
    </w:p>
    <w:p>
      <w:pPr>
        <w:pStyle w:val="P68B1DB1Normal42"/>
        <w:spacing w:lineRule="auto" w:line="240"/>
        <w:rPr/>
      </w:pPr>
      <w:r>
        <w:rPr/>
        <w:t xml:space="preserve">Změna 2 – Posílení společné obrany a bezpečnosti Evropské unie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Přání přidružené Evropy: Silná Evropa ve světě </w:t>
      </w:r>
    </w:p>
    <w:p>
      <w:pPr>
        <w:pStyle w:val="P68B1DB1Normal33"/>
        <w:widowControl w:val="false"/>
        <w:spacing w:lineRule="auto" w:line="240" w:before="321" w:after="0"/>
        <w:ind w:left="0" w:right="0" w:hanging="0"/>
        <w:jc w:val="left"/>
        <w:rPr>
          <w:rFonts w:ascii="Times New Roman" w:hAnsi="Times New Roman"/>
          <w:b/>
          <w:b/>
          <w:color w:val="000000"/>
          <w:sz w:val="24"/>
        </w:rPr>
      </w:pPr>
      <w:r>
        <w:rPr/>
        <w:t xml:space="preserve">Co tato změna znamená? </w:t>
      </w:r>
    </w:p>
    <w:p>
      <w:pPr>
        <w:pStyle w:val="P68B1DB1Normal7"/>
        <w:widowControl w:val="false"/>
        <w:spacing w:lineRule="auto" w:line="240" w:before="78" w:after="0"/>
        <w:ind w:left="0" w:right="0" w:hanging="0"/>
        <w:jc w:val="left"/>
        <w:rPr/>
      </w:pPr>
      <w:r>
        <w:rPr>
          <w:i/>
          <w:color w:val="000000"/>
        </w:rPr>
        <w:t>Klíčová slova: Evropská armáda, strategická autonomie</w:t>
      </w:r>
      <w:r>
        <w:rPr>
          <w:b/>
          <w:color w:val="273375"/>
        </w:rPr>
        <w:t xml:space="preserve"> </w:t>
      </w:r>
    </w:p>
    <w:p>
      <w:pPr>
        <w:pStyle w:val="P68B1DB1Normal19"/>
        <w:widowControl w:val="false"/>
        <w:spacing w:lineRule="auto" w:line="240" w:before="201" w:after="0"/>
        <w:ind w:left="0" w:right="10" w:hanging="0"/>
        <w:jc w:val="left"/>
        <w:rPr/>
      </w:pPr>
      <w:r>
        <w:rPr/>
        <w:t>Tato změna reaguje na jednomyslnou vůli občanů dosáhnout</w:t>
      </w:r>
      <w:r>
        <w:rPr>
          <w:b/>
        </w:rPr>
        <w:t>autonomie</w:t>
      </w:r>
      <w:r>
        <w:rPr/>
        <w:t xml:space="preserve"> v oblasti obrany a bezpečnosti v Evropě, aby nebyla závislá na zahraničních mocnostech.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Jaké jsou klíčové kroky a kritéria úspěchu? </w:t>
      </w:r>
    </w:p>
    <w:p>
      <w:pPr>
        <w:pStyle w:val="P68B1DB1Normal19"/>
        <w:widowControl w:val="false"/>
        <w:spacing w:lineRule="auto" w:line="240" w:before="198" w:after="0"/>
        <w:ind w:left="0" w:right="10" w:hanging="0"/>
        <w:jc w:val="left"/>
        <w:rPr/>
      </w:pPr>
      <w:r>
        <w:rPr/>
        <w:t>Úspěch této změny by v první řadě vedl ke jmenování</w:t>
      </w:r>
      <w:r>
        <w:rPr>
          <w:b/>
        </w:rPr>
        <w:t xml:space="preserve"> evropského komisaře</w:t>
      </w:r>
      <w:r>
        <w:rPr/>
        <w:t xml:space="preserve"> pro obranu a bezpečnost. </w:t>
      </w:r>
    </w:p>
    <w:p>
      <w:pPr>
        <w:pStyle w:val="P68B1DB1Normal19"/>
        <w:widowControl w:val="false"/>
        <w:spacing w:lineRule="auto" w:line="240" w:before="203" w:after="0"/>
        <w:ind w:left="0" w:right="10" w:hanging="0"/>
        <w:jc w:val="both"/>
        <w:rPr/>
      </w:pPr>
      <w:r>
        <w:rPr/>
        <w:t>Vytvoření</w:t>
      </w:r>
      <w:r>
        <w:rPr>
          <w:b/>
        </w:rPr>
        <w:t xml:space="preserve"> stálé, reaktivní a projektovatelné armády</w:t>
      </w:r>
      <w:r>
        <w:rPr/>
        <w:t xml:space="preserve"> po celém světě by Evropě umožnilo chránit své hranice a v případě potřeby zasáhnout na žádost třetích zemí. </w:t>
      </w:r>
    </w:p>
    <w:p>
      <w:pPr>
        <w:pStyle w:val="P68B1DB1Normal19"/>
        <w:widowControl w:val="false"/>
        <w:spacing w:lineRule="auto" w:line="240" w:before="206" w:after="0"/>
        <w:ind w:left="0" w:right="10" w:hanging="0"/>
        <w:jc w:val="both"/>
        <w:rPr/>
      </w:pPr>
      <w:r>
        <w:rPr/>
        <w:t xml:space="preserve">Pokud jde o bezpečnost, měla by Evropa v očích svých občanů zaručit </w:t>
      </w:r>
      <w:r>
        <w:rPr>
          <w:b/>
        </w:rPr>
        <w:t>bezpečnost svých dodávek</w:t>
      </w:r>
      <w:r>
        <w:rPr/>
        <w:t xml:space="preserve"> a chránit svůj </w:t>
      </w:r>
      <w:r>
        <w:rPr>
          <w:b/>
        </w:rPr>
        <w:t>strategický výzkum</w:t>
      </w:r>
      <w:r>
        <w:rPr/>
        <w:t xml:space="preserve"> v prioritních odvětvích, jako je vesmír, kybernetická bezpečnost, zdravotnictví a životní prostředí. Lepší </w:t>
      </w:r>
      <w:r>
        <w:rPr>
          <w:b/>
        </w:rPr>
        <w:t>ochrana vnějších hranic</w:t>
      </w:r>
      <w:r>
        <w:rPr/>
        <w:t xml:space="preserve"> by měla rovněž pomoci zastavit nelegální přistěhovalectví a obchodování s lidmi. </w:t>
      </w:r>
    </w:p>
    <w:p>
      <w:pPr>
        <w:pStyle w:val="Normal"/>
        <w:spacing w:lineRule="auto" w:line="240"/>
        <w:rPr/>
      </w:pPr>
      <w:r>
        <w:rPr/>
      </w:r>
    </w:p>
    <w:p>
      <w:pPr>
        <w:pStyle w:val="P68B1DB1Normal42"/>
        <w:spacing w:lineRule="auto" w:line="240"/>
        <w:rPr/>
      </w:pPr>
      <w:r>
        <w:rPr/>
        <w:t xml:space="preserve">Změna 3 – Podpora kolektivní hospodářské výkonnosti prostřednictvím autonomního, konkurenceschopného a hodnotného průmyslu ze strany Evropské unie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Přání přidružené Evropy: Evropa, která hájí své zájmy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Co tato změna znamená? </w:t>
      </w:r>
    </w:p>
    <w:p>
      <w:pPr>
        <w:pStyle w:val="P68B1DB1Normal44"/>
        <w:widowControl w:val="false"/>
        <w:spacing w:lineRule="auto" w:line="240" w:before="84" w:after="0"/>
        <w:ind w:left="0" w:right="10" w:hanging="0"/>
        <w:jc w:val="left"/>
        <w:rPr>
          <w:rFonts w:ascii="Times New Roman" w:hAnsi="Times New Roman"/>
          <w:i/>
          <w:i/>
          <w:color w:val="000000"/>
          <w:sz w:val="24"/>
        </w:rPr>
      </w:pPr>
      <w:r>
        <w:rPr/>
        <w:t xml:space="preserve">Klíčová slova: </w:t>
      </w:r>
    </w:p>
    <w:p>
      <w:pPr>
        <w:pStyle w:val="P68B1DB1Normal7"/>
        <w:widowControl w:val="false"/>
        <w:spacing w:lineRule="auto" w:line="240"/>
        <w:ind w:left="0" w:right="10" w:hanging="0"/>
        <w:jc w:val="left"/>
        <w:rPr/>
      </w:pPr>
      <w:r>
        <w:rPr>
          <w:i/>
          <w:color w:val="000000"/>
        </w:rPr>
        <w:t>Evropská preference, ochrana know-how, rozvoj evropských šampionů</w:t>
      </w:r>
      <w:r>
        <w:rPr>
          <w:b/>
          <w:color w:val="273375"/>
        </w:rPr>
        <w:t xml:space="preserve"> </w:t>
      </w:r>
    </w:p>
    <w:p>
      <w:pPr>
        <w:pStyle w:val="P68B1DB1Normal19"/>
        <w:widowControl w:val="false"/>
        <w:spacing w:lineRule="auto" w:line="240" w:before="321" w:after="0"/>
        <w:ind w:left="0" w:right="10" w:hanging="0"/>
        <w:jc w:val="both"/>
        <w:rPr/>
      </w:pPr>
      <w:r>
        <w:rPr/>
        <w:t xml:space="preserve">Cílem této změny je dosáhnout tří cílů: posílit politiku </w:t>
      </w:r>
      <w:r>
        <w:rPr>
          <w:b/>
        </w:rPr>
        <w:t>„</w:t>
      </w:r>
      <w:r>
        <w:rPr/>
        <w:t xml:space="preserve"> </w:t>
      </w:r>
      <w:r>
        <w:rPr>
          <w:b/>
        </w:rPr>
        <w:t>evropské preference“</w:t>
      </w:r>
      <w:r>
        <w:rPr/>
        <w:t xml:space="preserve"> v rámci Unie, zaručit </w:t>
      </w:r>
      <w:r>
        <w:rPr>
          <w:b/>
        </w:rPr>
        <w:t>ochranu základního zboží a know-how</w:t>
      </w:r>
      <w:r>
        <w:rPr/>
        <w:t xml:space="preserve"> a vytvořit </w:t>
      </w:r>
      <w:r>
        <w:rPr>
          <w:b/>
        </w:rPr>
        <w:t>„evropské šampiony“.</w:t>
      </w:r>
      <w:r>
        <w:rPr/>
        <w:t xml:space="preserve">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Jaké jsou klíčové kroky a kritéria úspěchu? </w:t>
      </w:r>
    </w:p>
    <w:p>
      <w:pPr>
        <w:pStyle w:val="P68B1DB1Normal19"/>
        <w:widowControl w:val="false"/>
        <w:spacing w:lineRule="auto" w:line="240" w:before="316" w:after="0"/>
        <w:ind w:left="0" w:right="10" w:hanging="0"/>
        <w:jc w:val="both"/>
        <w:rPr/>
      </w:pPr>
      <w:r>
        <w:rPr/>
        <w:t xml:space="preserve">Dosažení těchto cílů vyžaduje především zavedení </w:t>
      </w:r>
      <w:r>
        <w:rPr>
          <w:b/>
        </w:rPr>
        <w:t>politiky „evropské preference“</w:t>
      </w:r>
      <w:r>
        <w:rPr/>
        <w:t xml:space="preserve"> v souvislosti s nabídkovými řízeními a zavedení </w:t>
      </w:r>
      <w:r>
        <w:rPr>
          <w:b/>
        </w:rPr>
        <w:t>uhlíkové daně z</w:t>
      </w:r>
      <w:r>
        <w:rPr/>
        <w:t xml:space="preserve"> dovozu. </w:t>
      </w:r>
    </w:p>
    <w:p>
      <w:pPr>
        <w:pStyle w:val="P68B1DB1Normal19"/>
        <w:widowControl w:val="false"/>
        <w:spacing w:lineRule="auto" w:line="240" w:before="332" w:after="0"/>
        <w:ind w:left="0" w:right="10" w:hanging="0"/>
        <w:jc w:val="left"/>
        <w:rPr/>
      </w:pPr>
      <w:r>
        <w:rPr/>
        <w:t xml:space="preserve">Ochrana know-how by vedla ke zvýšení kontroly zahraničních repo obchodů a investic a k rozvoji pomoci při </w:t>
      </w:r>
      <w:r>
        <w:rPr>
          <w:b/>
        </w:rPr>
        <w:t>přemístění</w:t>
      </w:r>
      <w:r>
        <w:rPr/>
        <w:t xml:space="preserve">. </w:t>
      </w:r>
    </w:p>
    <w:p>
      <w:pPr>
        <w:pStyle w:val="P68B1DB1Normal19"/>
        <w:widowControl w:val="false"/>
        <w:spacing w:lineRule="auto" w:line="240" w:before="323" w:after="0"/>
        <w:ind w:left="0" w:right="10" w:hanging="0"/>
        <w:jc w:val="both"/>
        <w:rPr/>
      </w:pPr>
      <w:r>
        <w:rPr/>
        <w:t xml:space="preserve">A konečně, vytvoření „evropských šampiónů“ zahrnuje podporu evropských </w:t>
      </w:r>
      <w:r>
        <w:rPr>
          <w:b/>
        </w:rPr>
        <w:t>průmyslových aliancí</w:t>
      </w:r>
      <w:r>
        <w:rPr/>
        <w:t xml:space="preserve"> ve strategických odvětvích a podporu veřejných investic rizikového kapitálu. </w:t>
      </w:r>
    </w:p>
    <w:p>
      <w:pPr>
        <w:pStyle w:val="P68B1DB1Normal45"/>
        <w:widowControl w:val="false"/>
        <w:spacing w:lineRule="auto" w:line="240" w:before="333" w:after="0"/>
        <w:ind w:left="0" w:right="13" w:hanging="0"/>
        <w:jc w:val="both"/>
        <w:rPr>
          <w:sz w:val="20"/>
        </w:rPr>
      </w:pPr>
      <w:r>
        <w:rPr/>
        <w:t xml:space="preserve">Úspěch této změny se pro občany projevuje rozvíjením evropských průmyslových aliancí v klíčových odvětvích, zvýšením počtu přemísťování podniků a zlepšením obchodní bilance. </w:t>
      </w:r>
    </w:p>
    <w:p>
      <w:pPr>
        <w:pStyle w:val="P68B1DB1Normal19"/>
        <w:widowControl w:val="false"/>
        <w:spacing w:lineRule="auto" w:line="240" w:before="153"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Změna 4 – Posílení moci občanů na několika úrovních: účast, rozhodnutí, kontrola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Přání přidružené Evropy: Demokratičtější Evropa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Co tato změna znamená? </w:t>
      </w:r>
    </w:p>
    <w:p>
      <w:pPr>
        <w:pStyle w:val="P68B1DB1Normal7"/>
        <w:widowControl w:val="false"/>
        <w:spacing w:lineRule="auto" w:line="240" w:before="84" w:after="0"/>
        <w:ind w:left="0" w:right="10" w:hanging="0"/>
        <w:jc w:val="left"/>
        <w:rPr/>
      </w:pPr>
      <w:r>
        <w:rPr>
          <w:i/>
          <w:color w:val="000000"/>
        </w:rPr>
        <w:t>Klíčová slova: zvýšení volební účasti, evropský barometr spokojenosti, zobecnění konzultací s občany</w:t>
      </w:r>
      <w:r>
        <w:rPr>
          <w:b/>
          <w:color w:val="273375"/>
        </w:rPr>
        <w:t xml:space="preserve"> </w:t>
      </w:r>
    </w:p>
    <w:p>
      <w:pPr>
        <w:pStyle w:val="P68B1DB1Normal19"/>
        <w:widowControl w:val="false"/>
        <w:spacing w:lineRule="auto" w:line="240" w:before="324" w:after="0"/>
        <w:ind w:left="0" w:right="10" w:hanging="0"/>
        <w:jc w:val="both"/>
        <w:rPr/>
      </w:pPr>
      <w:r>
        <w:rPr/>
        <w:t>Díky této změně občané navrhují vytvořit pro</w:t>
      </w:r>
      <w:r>
        <w:rPr>
          <w:i/>
        </w:rPr>
        <w:t xml:space="preserve"> </w:t>
      </w:r>
      <w:r>
        <w:rPr/>
        <w:t xml:space="preserve">Evropany „ </w:t>
      </w:r>
      <w:r>
        <w:rPr>
          <w:i/>
        </w:rPr>
        <w:t xml:space="preserve">úplnou občanskou zkušenost“ </w:t>
      </w:r>
      <w:r>
        <w:rPr/>
        <w:t xml:space="preserve">a zvýšit jejich </w:t>
      </w:r>
      <w:r>
        <w:rPr>
          <w:b/>
        </w:rPr>
        <w:t>zapojení do</w:t>
      </w:r>
      <w:r>
        <w:rPr/>
        <w:t xml:space="preserve"> všech fází rozhodovacích procesů. Odráží ochotu občanů </w:t>
      </w:r>
      <w:r>
        <w:rPr>
          <w:b/>
        </w:rPr>
        <w:t>vyjádřit svůj hlas</w:t>
      </w:r>
      <w:r>
        <w:rPr/>
        <w:t xml:space="preserve"> a ovlivňovat veřejné politiky, které ovlivňují jejich každodenní život.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Jaké jsou klíčové kroky a kritéria úspěchu? </w:t>
      </w:r>
    </w:p>
    <w:p>
      <w:pPr>
        <w:pStyle w:val="P68B1DB1Normal24"/>
        <w:widowControl w:val="false"/>
        <w:spacing w:lineRule="auto" w:line="240" w:before="323" w:after="0"/>
        <w:ind w:left="0" w:right="13" w:hanging="0"/>
        <w:jc w:val="both"/>
        <w:rPr/>
      </w:pPr>
      <w:r>
        <w:rPr/>
        <w:t>To je především na občanech, aby rozvíjeli a podporovali iniciativy zapojení občanů</w:t>
      </w:r>
      <w:r>
        <w:rPr>
          <w:b/>
        </w:rPr>
        <w:t xml:space="preserve">. </w:t>
      </w:r>
      <w:r>
        <w:rPr/>
        <w:t xml:space="preserve">Za tímto účelem by mohlo být zavedeno několik nástrojů: zřízení </w:t>
      </w:r>
      <w:r>
        <w:rPr>
          <w:b/>
        </w:rPr>
        <w:t>stálé poradní komory</w:t>
      </w:r>
      <w:r>
        <w:rPr/>
        <w:t xml:space="preserve">, registrace </w:t>
      </w:r>
      <w:r>
        <w:rPr>
          <w:b/>
        </w:rPr>
        <w:t>občanské moci</w:t>
      </w:r>
      <w:r>
        <w:rPr/>
        <w:t xml:space="preserve"> do evropských smluv nebo vytvoření </w:t>
      </w:r>
      <w:r>
        <w:rPr>
          <w:b/>
        </w:rPr>
        <w:t>označení</w:t>
      </w:r>
      <w:r>
        <w:rPr/>
        <w:t xml:space="preserve"> potvrzujícího právní předpisy, které byly předmětem konzultace s občany. </w:t>
      </w:r>
    </w:p>
    <w:p>
      <w:pPr>
        <w:pStyle w:val="P68B1DB1Normal19"/>
        <w:widowControl w:val="false"/>
        <w:spacing w:lineRule="auto" w:line="240" w:before="230" w:after="0"/>
        <w:ind w:left="0" w:right="10" w:hanging="0"/>
        <w:jc w:val="both"/>
        <w:rPr/>
      </w:pPr>
      <w:r>
        <w:rPr/>
        <w:t xml:space="preserve">Úspěch této změny by se projevil nárůstem ukazatelů, jako je </w:t>
      </w:r>
      <w:r>
        <w:rPr>
          <w:b/>
        </w:rPr>
        <w:t>volební účast, zájem</w:t>
      </w:r>
      <w:r>
        <w:rPr/>
        <w:t xml:space="preserve"> a </w:t>
      </w:r>
      <w:r>
        <w:rPr>
          <w:b/>
        </w:rPr>
        <w:t>důvěra</w:t>
      </w:r>
      <w:r>
        <w:rPr/>
        <w:t xml:space="preserve"> v Evropskou unii a </w:t>
      </w:r>
      <w:r>
        <w:rPr>
          <w:b/>
        </w:rPr>
        <w:t>účast evropských internetových stránek</w:t>
      </w:r>
      <w:r>
        <w:rPr/>
        <w:t xml:space="preserve">. Nárůst počtu rozhodnutí přijatých po konzultaci s občany a větší využívání </w:t>
      </w:r>
      <w:r>
        <w:rPr>
          <w:b/>
        </w:rPr>
        <w:t>evropských občanských iniciativ jsou</w:t>
      </w:r>
      <w:r>
        <w:rPr/>
        <w:t xml:space="preserve">rovněž považovány za ukazatele úspěchu. </w:t>
      </w:r>
    </w:p>
    <w:p>
      <w:pPr>
        <w:pStyle w:val="P68B1DB1Normal19"/>
        <w:widowControl w:val="false"/>
        <w:spacing w:lineRule="auto" w:line="240" w:before="90"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Změna 5 – Směrem k federaci evropských států se silnými pravomocemi v oblastech společného zájmu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Přání přidružené Evropy: Jednotnější Evropa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Co tato změna znamená? </w:t>
      </w:r>
    </w:p>
    <w:p>
      <w:pPr>
        <w:pStyle w:val="P68B1DB1Normal7"/>
        <w:widowControl w:val="false"/>
        <w:spacing w:lineRule="auto" w:line="240" w:before="76" w:after="0"/>
        <w:ind w:left="0" w:right="0" w:hanging="0"/>
        <w:jc w:val="left"/>
        <w:rPr/>
      </w:pPr>
      <w:r>
        <w:rPr>
          <w:i/>
          <w:color w:val="000000"/>
        </w:rPr>
        <w:t>Klíčová slova: institucionální sjednocení, nově zvolený předseda, posílení pravomocí EU</w:t>
      </w:r>
      <w:r>
        <w:rPr>
          <w:b/>
          <w:color w:val="273375"/>
        </w:rPr>
        <w:t xml:space="preserve"> </w:t>
      </w:r>
    </w:p>
    <w:p>
      <w:pPr>
        <w:pStyle w:val="P68B1DB1Normal19"/>
        <w:widowControl w:val="false"/>
        <w:spacing w:lineRule="auto" w:line="240" w:before="244" w:after="0"/>
        <w:ind w:left="0" w:right="10" w:hanging="0"/>
        <w:jc w:val="both"/>
        <w:rPr/>
      </w:pPr>
      <w:r>
        <w:rPr/>
        <w:t>Tato změna odráží ambici občanů</w:t>
      </w:r>
      <w:r>
        <w:rPr>
          <w:b/>
        </w:rPr>
        <w:t>sjednotit</w:t>
      </w:r>
      <w:r>
        <w:rPr/>
        <w:t xml:space="preserve"> evropské politické instituce. Zobrazený model je vzorem federace států s cílem </w:t>
      </w:r>
      <w:r>
        <w:rPr>
          <w:b/>
        </w:rPr>
        <w:t>posílit sdílené nebo výlučné pravomoci</w:t>
      </w:r>
      <w:r>
        <w:rPr/>
        <w:t xml:space="preserve"> Evropské unie, aniž by však směřoval k federálnímu státu.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Jaké jsou hlavní milníky a kritéria úspěchu? </w:t>
      </w:r>
    </w:p>
    <w:p>
      <w:pPr>
        <w:pStyle w:val="P68B1DB1Normal19"/>
        <w:widowControl w:val="false"/>
        <w:spacing w:lineRule="auto" w:line="240" w:before="239" w:after="0"/>
        <w:ind w:left="0" w:right="10" w:hanging="0"/>
        <w:jc w:val="both"/>
        <w:rPr/>
      </w:pPr>
      <w:r>
        <w:rPr/>
        <w:t xml:space="preserve">Interně by tato změna mohla zahrnovat </w:t>
      </w:r>
      <w:r>
        <w:rPr>
          <w:b/>
        </w:rPr>
        <w:t>rozvoj účasti občanů</w:t>
      </w:r>
      <w:r>
        <w:rPr/>
        <w:t xml:space="preserve">, vytvoření </w:t>
      </w:r>
      <w:r>
        <w:rPr>
          <w:b/>
        </w:rPr>
        <w:t>evropských ministerstev v členských</w:t>
      </w:r>
      <w:r>
        <w:rPr/>
        <w:t xml:space="preserve"> státech a v dlouhodobém horizontu</w:t>
      </w:r>
      <w:r>
        <w:rPr>
          <w:b/>
        </w:rPr>
        <w:t xml:space="preserve">volbu </w:t>
      </w:r>
      <w:r>
        <w:rPr/>
        <w:t xml:space="preserve">předsedy Evropské komise </w:t>
      </w:r>
      <w:r>
        <w:rPr>
          <w:b/>
        </w:rPr>
        <w:t>ve všeobecných volbách</w:t>
      </w:r>
      <w:r>
        <w:rPr/>
        <w:t xml:space="preserve">. </w:t>
      </w:r>
    </w:p>
    <w:p>
      <w:pPr>
        <w:pStyle w:val="P68B1DB1Normal19"/>
        <w:widowControl w:val="false"/>
        <w:spacing w:lineRule="auto" w:line="240" w:before="327" w:after="0"/>
        <w:ind w:left="0" w:right="10" w:hanging="0"/>
        <w:jc w:val="left"/>
        <w:rPr/>
      </w:pPr>
      <w:r>
        <w:rPr/>
        <w:t xml:space="preserve">Navenek by se posílení evropského hlasu v zahraničí promítlo do </w:t>
      </w:r>
      <w:r>
        <w:rPr>
          <w:b/>
        </w:rPr>
        <w:t xml:space="preserve">inkarnace </w:t>
      </w:r>
      <w:r>
        <w:rPr/>
        <w:t>prostřednictvím</w:t>
      </w:r>
      <w:r>
        <w:rPr>
          <w:b/>
        </w:rPr>
        <w:t xml:space="preserve"> jedinečného zástupce</w:t>
      </w:r>
      <w:r>
        <w:rPr/>
        <w:t xml:space="preserve"> </w:t>
      </w:r>
      <w:r>
        <w:rPr>
          <w:b/>
        </w:rPr>
        <w:t>Evropy na</w:t>
      </w:r>
      <w:r>
        <w:rPr/>
        <w:t xml:space="preserve"> mezinárodní scéně. </w:t>
      </w:r>
    </w:p>
    <w:p>
      <w:pPr>
        <w:pStyle w:val="P68B1DB1Normal24"/>
        <w:widowControl w:val="false"/>
        <w:spacing w:lineRule="auto" w:line="240" w:before="324" w:after="0"/>
        <w:ind w:left="0" w:right="15" w:hanging="0"/>
        <w:jc w:val="left"/>
        <w:rPr/>
      </w:pPr>
      <w:r>
        <w:rPr/>
        <w:t xml:space="preserve">Tato federace států by rovněž těžila ze zvýšeného </w:t>
      </w:r>
      <w:r>
        <w:rPr>
          <w:b/>
        </w:rPr>
        <w:t>evropského rozpočtu</w:t>
      </w:r>
      <w:r>
        <w:rPr/>
        <w:t xml:space="preserve"> s ambicí dosáhnout 10 % HDP (v současné době ve srovnání s 2 %). </w:t>
      </w:r>
    </w:p>
    <w:p>
      <w:pPr>
        <w:pStyle w:val="Normal"/>
        <w:widowControl w:val="false"/>
        <w:spacing w:lineRule="auto" w:line="240" w:before="153"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42"/>
        <w:spacing w:lineRule="auto" w:line="240"/>
        <w:rPr>
          <w:rFonts w:ascii="Times New Roman" w:hAnsi="Times New Roman"/>
          <w:b/>
          <w:b/>
          <w:color w:val="000000"/>
          <w:sz w:val="28"/>
        </w:rPr>
      </w:pPr>
      <w:r>
        <w:rPr/>
        <w:t xml:space="preserve">Změna 6 – Navrhování celoživotních výměnných programů </w:t>
      </w:r>
    </w:p>
    <w:p>
      <w:pPr>
        <w:pStyle w:val="P68B1DB1Normal43"/>
        <w:widowControl w:val="false"/>
        <w:spacing w:lineRule="auto" w:line="240" w:before="349" w:after="0"/>
        <w:ind w:left="0" w:right="0" w:hanging="0"/>
        <w:jc w:val="left"/>
        <w:rPr>
          <w:rFonts w:ascii="Times New Roman" w:hAnsi="Times New Roman"/>
          <w:b/>
          <w:b/>
          <w:i/>
          <w:i/>
          <w:color w:val="808080"/>
          <w:sz w:val="24"/>
        </w:rPr>
      </w:pPr>
      <w:r>
        <w:rPr/>
        <w:t xml:space="preserve">Přání přidružené Evropy: Evropa, která staví vzdělávání do popředí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Co tato změna znamená? </w:t>
      </w:r>
    </w:p>
    <w:p>
      <w:pPr>
        <w:pStyle w:val="P68B1DB1Normal44"/>
        <w:widowControl w:val="false"/>
        <w:spacing w:lineRule="auto" w:line="240" w:before="326" w:after="0"/>
        <w:ind w:left="0" w:right="0" w:hanging="0"/>
        <w:jc w:val="left"/>
        <w:rPr>
          <w:rFonts w:ascii="Times New Roman" w:hAnsi="Times New Roman"/>
          <w:i/>
          <w:i/>
          <w:color w:val="000000"/>
          <w:sz w:val="24"/>
        </w:rPr>
      </w:pPr>
      <w:r>
        <w:rPr/>
        <w:t xml:space="preserve">Klíčová slova: školní výměny, Erasmus </w:t>
      </w:r>
    </w:p>
    <w:p>
      <w:pPr>
        <w:pStyle w:val="P68B1DB1Normal19"/>
        <w:widowControl w:val="false"/>
        <w:spacing w:lineRule="auto" w:line="240" w:before="330" w:after="0"/>
        <w:ind w:left="0" w:right="0" w:hanging="0"/>
        <w:jc w:val="both"/>
        <w:rPr/>
      </w:pPr>
      <w:r>
        <w:rPr/>
        <w:t xml:space="preserve">Tato změna, která je všeobecně uznávaná, odráží význam setkání a zkušeností v zahraničí pro občany jako silného kvašení evropského sentimentu. Cílem je přejít </w:t>
      </w:r>
      <w:r>
        <w:rPr>
          <w:i/>
        </w:rPr>
        <w:t>„od akademických znalostí k živému</w:t>
      </w:r>
      <w:r>
        <w:rPr>
          <w:b/>
          <w:i/>
        </w:rPr>
        <w:t>, zkušenému a citlivému přístupu</w:t>
      </w:r>
      <w:r>
        <w:rPr>
          <w:i/>
        </w:rPr>
        <w:t>k Evropě</w:t>
      </w:r>
      <w:r>
        <w:rPr/>
        <w:t xml:space="preserve">“ a chápat vzdělávání v širším smyslu jako </w:t>
      </w:r>
      <w:r>
        <w:rPr>
          <w:b/>
        </w:rPr>
        <w:t xml:space="preserve">celoživotní učení.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Jaké jsou klíčové kroky a kritéria úspěchu? </w:t>
      </w:r>
    </w:p>
    <w:p>
      <w:pPr>
        <w:pStyle w:val="P68B1DB1Normal24"/>
        <w:widowControl w:val="false"/>
        <w:spacing w:lineRule="auto" w:line="240" w:before="317" w:after="0"/>
        <w:ind w:left="0" w:right="4" w:hanging="0"/>
        <w:jc w:val="both"/>
        <w:rPr/>
      </w:pPr>
      <w:r>
        <w:rPr/>
        <w:t xml:space="preserve">Úspěch této změny je způsoben především zavedením </w:t>
      </w:r>
      <w:r>
        <w:rPr>
          <w:b/>
        </w:rPr>
        <w:t>rozšířené nabídky mobility</w:t>
      </w:r>
      <w:r>
        <w:rPr/>
        <w:t xml:space="preserve">, mimo jiné včetně školních výměn, twinningu, cestování a profesní mobility. Pro občany musí být tato nabídka přístupná všem, zejména těm s nízkými zdroji nebo zdravotním postižením. Například program Erasmus by se mohl vztahovat na všechny Evropany bez věkových omezení a omezení zdrojů. Tyto programy musí být koncipovány jako </w:t>
      </w:r>
      <w:r>
        <w:rPr>
          <w:b/>
        </w:rPr>
        <w:t>rozmanité, inkluzivní</w:t>
      </w:r>
      <w:r>
        <w:rPr>
          <w:b/>
          <w:sz w:val="20"/>
        </w:rPr>
        <w:t xml:space="preserve"> </w:t>
      </w:r>
      <w:r>
        <w:rPr>
          <w:b/>
        </w:rPr>
        <w:t>a přístupné</w:t>
      </w:r>
      <w:r>
        <w:rPr/>
        <w:t xml:space="preserve"> se zjednodušenými administrativními postupy. </w:t>
      </w:r>
    </w:p>
    <w:p>
      <w:pPr>
        <w:pStyle w:val="P68B1DB1Normal24"/>
        <w:widowControl w:val="false"/>
        <w:spacing w:lineRule="auto" w:line="240" w:before="232" w:after="0"/>
        <w:ind w:left="0" w:right="3" w:hanging="0"/>
        <w:jc w:val="both"/>
        <w:rPr/>
      </w:pPr>
      <w:r>
        <w:rPr/>
        <w:t xml:space="preserve">Kromě mobilit byl zmíněn i </w:t>
      </w:r>
      <w:r>
        <w:rPr>
          <w:b/>
        </w:rPr>
        <w:t>význam rozvoje mostů mezi vzdělávacími systémy</w:t>
      </w:r>
      <w:r>
        <w:rPr/>
        <w:t xml:space="preserve"> (rovnocennosti diplomů atd.) a zvýšení přitažlivosti Evropy, aby se zabránilo úniku talentů do zahraničí. </w:t>
      </w:r>
    </w:p>
    <w:p>
      <w:pPr>
        <w:pStyle w:val="P68B1DB1Normal19"/>
        <w:widowControl w:val="false"/>
        <w:spacing w:lineRule="auto" w:line="240" w:before="153"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Změna 7 – Sdílení evropských kultur prostřednictvím sjednocujících událostí a událostí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Přání přidružené Evropy: Evropa se sdílenými kulturami a identitami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Co tato změna znamená? </w:t>
      </w:r>
    </w:p>
    <w:p>
      <w:pPr>
        <w:pStyle w:val="P68B1DB1Normal44"/>
        <w:widowControl w:val="false"/>
        <w:spacing w:lineRule="auto" w:line="240" w:before="206" w:after="0"/>
        <w:ind w:left="0" w:right="0" w:hanging="0"/>
        <w:jc w:val="left"/>
        <w:rPr>
          <w:rFonts w:ascii="Times New Roman" w:hAnsi="Times New Roman"/>
          <w:i/>
          <w:i/>
          <w:color w:val="000000"/>
          <w:sz w:val="24"/>
        </w:rPr>
      </w:pPr>
      <w:r>
        <w:rPr/>
        <w:t xml:space="preserve">Klíčová slova: Evropský festival, Evropský veřejný svátek, Světová výstava Evropy </w:t>
      </w:r>
    </w:p>
    <w:p>
      <w:pPr>
        <w:pStyle w:val="P68B1DB1Normal19"/>
        <w:widowControl w:val="false"/>
        <w:spacing w:lineRule="auto" w:line="240" w:before="246" w:after="0"/>
        <w:ind w:left="0" w:right="10" w:hanging="0"/>
        <w:jc w:val="left"/>
        <w:rPr/>
      </w:pPr>
      <w:r>
        <w:rPr/>
        <w:t xml:space="preserve">Cílem této změny je </w:t>
      </w:r>
      <w:r>
        <w:rPr>
          <w:b/>
        </w:rPr>
        <w:t>vytvořit a žít evropského ducha</w:t>
      </w:r>
      <w:r>
        <w:rPr/>
        <w:t xml:space="preserve"> prostřednictvím sdílených zkušeností, událostí a slavnostních událostí.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Jaké jsou klíčové kroky a kritéria úspěchu? </w:t>
      </w:r>
    </w:p>
    <w:p>
      <w:pPr>
        <w:pStyle w:val="P68B1DB1Normal19"/>
        <w:widowControl w:val="false"/>
        <w:spacing w:lineRule="auto" w:line="240" w:before="239" w:after="0"/>
        <w:ind w:left="0" w:right="10" w:hanging="0"/>
        <w:jc w:val="both"/>
        <w:rPr/>
      </w:pPr>
      <w:r>
        <w:rPr/>
        <w:t xml:space="preserve">Události představované občany mají být </w:t>
      </w:r>
      <w:r>
        <w:rPr>
          <w:b/>
        </w:rPr>
        <w:t>zábavné, sjednocující a populární</w:t>
      </w:r>
      <w:r>
        <w:rPr/>
        <w:t xml:space="preserve">, aby byly sdíleny největším počtem. Za tímto účelem by měly být zapojeny </w:t>
      </w:r>
      <w:r>
        <w:rPr>
          <w:b/>
        </w:rPr>
        <w:t>všechny publikum</w:t>
      </w:r>
      <w:r>
        <w:rPr/>
        <w:t xml:space="preserve"> (včetně dětí, školního publika, mladých lidí a studentů programu Erasmus) a měly by se konat na </w:t>
      </w:r>
      <w:r>
        <w:rPr>
          <w:b/>
        </w:rPr>
        <w:t>různých místech</w:t>
      </w:r>
      <w:r>
        <w:rPr/>
        <w:t xml:space="preserve"> (důchodové domy, školy, orgány veřejné správy, věznice atd.). </w:t>
      </w:r>
    </w:p>
    <w:p>
      <w:pPr>
        <w:pStyle w:val="P68B1DB1Normal24"/>
        <w:widowControl w:val="false"/>
        <w:spacing w:lineRule="auto" w:line="240" w:before="327" w:after="0"/>
        <w:ind w:left="0" w:right="13" w:hanging="0"/>
        <w:jc w:val="both"/>
        <w:rPr/>
      </w:pPr>
      <w:r>
        <w:rPr/>
        <w:t xml:space="preserve">Byly plánovány zejména dvě akce, které mají Evropany spojit: </w:t>
      </w:r>
      <w:r>
        <w:rPr>
          <w:b/>
        </w:rPr>
        <w:t>univerzální výstava Evropy</w:t>
      </w:r>
      <w:r>
        <w:rPr/>
        <w:t xml:space="preserve">, která by umožnila reprezentovat všechny členské státy, a </w:t>
      </w:r>
      <w:r>
        <w:rPr>
          <w:b/>
        </w:rPr>
        <w:t>přepracování Dne Evropy 9.</w:t>
      </w:r>
      <w:r>
        <w:rPr/>
        <w:t xml:space="preserve">května, které by zahrnovalo zejména vzdělávací akci, </w:t>
      </w:r>
      <w:r>
        <w:rPr>
          <w:i/>
        </w:rPr>
        <w:t>abychom „nezapomněli na mír spojený s Evropou a jejími hodnotami</w:t>
      </w:r>
      <w:r>
        <w:rPr/>
        <w:t xml:space="preserve">“. Evropští zástupci by se zároveň mohli setkat se školáky kontinentu na svých školách, aby se posílila blízkost Evropy a porozumění občanům od útlého věku. </w:t>
      </w:r>
    </w:p>
    <w:p>
      <w:pPr>
        <w:pStyle w:val="P68B1DB1Normal19"/>
        <w:widowControl w:val="false"/>
        <w:spacing w:lineRule="auto" w:line="240" w:before="112"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Změna 8 – Harmonizace zdraví a jeho zpřístupnění všem Evropanům prostřednictvím společné zdravotní politiky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Přání přidružené Evropy: Solidarita Evropa, která chrání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Co tato změna znamená? </w:t>
      </w:r>
    </w:p>
    <w:p>
      <w:pPr>
        <w:pStyle w:val="P68B1DB1Normal7"/>
        <w:widowControl w:val="false"/>
        <w:spacing w:lineRule="auto" w:line="240" w:before="86" w:after="0"/>
        <w:ind w:left="0" w:right="10" w:hanging="0"/>
        <w:jc w:val="left"/>
        <w:rPr/>
      </w:pPr>
      <w:r>
        <w:rPr>
          <w:i/>
          <w:color w:val="000000"/>
        </w:rPr>
        <w:t>Klíčová slova: všeobecné zdravotní pojištění, harmonizace péče, zdraví jako základní právo</w:t>
      </w:r>
      <w:r>
        <w:rPr>
          <w:b/>
          <w:color w:val="273375"/>
        </w:rPr>
        <w:t xml:space="preserve"> </w:t>
      </w:r>
    </w:p>
    <w:p>
      <w:pPr>
        <w:pStyle w:val="P68B1DB1Normal19"/>
        <w:widowControl w:val="false"/>
        <w:spacing w:lineRule="auto" w:line="240" w:before="248" w:after="0"/>
        <w:ind w:left="0" w:right="10" w:hanging="0"/>
        <w:jc w:val="both"/>
        <w:rPr/>
      </w:pPr>
      <w:r>
        <w:rPr/>
        <w:t xml:space="preserve">S cílem zaručit všem Evropanům přístup ke zdraví a reagovat </w:t>
      </w:r>
      <w:r>
        <w:rPr>
          <w:i/>
        </w:rPr>
        <w:t>na „potřebu ochrany a solidarity</w:t>
      </w:r>
      <w:r>
        <w:rPr/>
        <w:t xml:space="preserve">“ byl jednomyslně navržen </w:t>
      </w:r>
      <w:r>
        <w:rPr>
          <w:b/>
        </w:rPr>
        <w:t>nadnárodní systém zdravotní</w:t>
      </w:r>
      <w:r>
        <w:rPr/>
        <w:t xml:space="preserve"> péče. Bylo by založeno na spravedlivém financování mezi členskými státy a vycházelo by z nejlepších systémů EU. Tato změna odráží ochotu občanů, aby Evropa hrála aktivnější úlohu při ochraně svých obyvatel, zejména v oblasti zdraví, kde jsou dosavadní kroky považovány za příliš plaché.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Jaké jsou klíčové kroky a kritéria úspěchu? </w:t>
      </w:r>
    </w:p>
    <w:p>
      <w:pPr>
        <w:pStyle w:val="P68B1DB1Normal19"/>
        <w:widowControl w:val="false"/>
        <w:spacing w:lineRule="auto" w:line="240" w:before="239" w:after="0"/>
        <w:ind w:left="0" w:right="10" w:hanging="0"/>
        <w:jc w:val="both"/>
        <w:rPr/>
      </w:pPr>
      <w:r>
        <w:rPr/>
        <w:t xml:space="preserve">K provedení této změny byla většinou schválena zásada </w:t>
      </w:r>
      <w:r>
        <w:rPr>
          <w:b/>
        </w:rPr>
        <w:t>evropského všeobecného sociálního zabezpečení</w:t>
      </w:r>
      <w:r>
        <w:rPr/>
        <w:t xml:space="preserve">. O opatřeních pro zavedení tohoto systému však nebylo možné rozhodnout. Zatímco někteří argumentují </w:t>
      </w:r>
      <w:r>
        <w:rPr>
          <w:i/>
        </w:rPr>
        <w:t xml:space="preserve">„centralizací dat umožňujících evropským zdravotnickým pracovníkům přístup ke všem pacientům v anamnéze“, </w:t>
      </w:r>
      <w:r>
        <w:rPr/>
        <w:t xml:space="preserve">jiní vnímají toto opatření jako </w:t>
      </w:r>
      <w:r>
        <w:rPr>
          <w:i/>
        </w:rPr>
        <w:t>„dodatečnou deprivaci svobody a systém kontroly“.</w:t>
      </w:r>
      <w:r>
        <w:rPr/>
        <w:t xml:space="preserve"> </w:t>
      </w:r>
    </w:p>
    <w:p>
      <w:pPr>
        <w:pStyle w:val="P68B1DB1Normal24"/>
        <w:widowControl w:val="false"/>
        <w:spacing w:lineRule="auto" w:line="240" w:before="329" w:after="0"/>
        <w:ind w:left="0" w:right="14" w:hanging="0"/>
        <w:jc w:val="both"/>
        <w:rPr/>
      </w:pPr>
      <w:r>
        <w:rPr>
          <w:b/>
        </w:rPr>
        <w:t xml:space="preserve">Transparentnost </w:t>
      </w:r>
      <w:r>
        <w:rPr/>
        <w:t>a</w:t>
      </w:r>
      <w:r>
        <w:rPr>
          <w:b/>
        </w:rPr>
        <w:t>harmonizace regulačních požadavků na celém</w:t>
      </w:r>
      <w:r>
        <w:rPr/>
        <w:t xml:space="preserve"> kontinentu, jakož i </w:t>
      </w:r>
      <w:r>
        <w:rPr>
          <w:b/>
        </w:rPr>
        <w:t>evropský plán v oblasti zdraví byly nicméně</w:t>
      </w:r>
      <w:r>
        <w:rPr/>
        <w:t xml:space="preserve"> označeny za předpoklady pro jakoukoli významnou transformaci. </w:t>
      </w:r>
    </w:p>
    <w:p>
      <w:pPr>
        <w:pStyle w:val="P68B1DB1Normal19"/>
        <w:spacing w:lineRule="auto" w:line="240"/>
        <w:rPr>
          <w:rFonts w:ascii="Times New Roman" w:hAnsi="Times New Roman"/>
          <w:color w:val="000000"/>
          <w:sz w:val="24"/>
        </w:rPr>
      </w:pPr>
      <w:r>
        <w:rPr/>
        <w:t xml:space="preserve"> </w:t>
      </w:r>
    </w:p>
    <w:p>
      <w:pPr>
        <w:pStyle w:val="P68B1DB1Normal42"/>
        <w:widowControl w:val="false"/>
        <w:spacing w:lineRule="auto" w:line="240" w:before="237" w:after="0"/>
        <w:ind w:left="0" w:right="0" w:hanging="0"/>
        <w:jc w:val="left"/>
        <w:rPr/>
      </w:pPr>
      <w:r>
        <w:rPr/>
        <w:t xml:space="preserve">Změna 9 – Rozvíjet a vést strategické kanály na evropské úrovni s cílem zajistit naši suverenitu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Přání přidružené Evropy: Konkurenceschopná a inovativní Evropa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Co tato změna znamená? </w:t>
      </w:r>
    </w:p>
    <w:p>
      <w:pPr>
        <w:pStyle w:val="P68B1DB1Normal7"/>
        <w:widowControl w:val="false"/>
        <w:spacing w:lineRule="auto" w:line="240" w:before="86" w:after="0"/>
        <w:ind w:left="0" w:right="9" w:hanging="0"/>
        <w:jc w:val="left"/>
        <w:rPr/>
      </w:pPr>
      <w:r>
        <w:rPr>
          <w:i/>
          <w:color w:val="000000"/>
        </w:rPr>
        <w:t>Klíčová slova: rozvoj evropských šampionů, kontrola zahraničních investic, digitální autonomie a energetika</w:t>
      </w:r>
      <w:r>
        <w:rPr>
          <w:b/>
          <w:color w:val="273375"/>
        </w:rPr>
        <w:t xml:space="preserve"> </w:t>
      </w:r>
    </w:p>
    <w:p>
      <w:pPr>
        <w:pStyle w:val="P68B1DB1Normal19"/>
        <w:widowControl w:val="false"/>
        <w:spacing w:lineRule="auto" w:line="240" w:before="248" w:after="0"/>
        <w:ind w:left="0" w:right="9" w:hanging="0"/>
        <w:jc w:val="both"/>
        <w:rPr/>
      </w:pPr>
      <w:r>
        <w:rPr/>
        <w:t xml:space="preserve">Pilotní strategická odvětví, jako je zdravotnictví, potravinářství, energetika, digitální technologie, obrana, doprava a nové materiály na evropské úrovni, reaguje na </w:t>
      </w:r>
      <w:r>
        <w:rPr>
          <w:b/>
        </w:rPr>
        <w:t xml:space="preserve">potřebu suverenity </w:t>
      </w:r>
      <w:r>
        <w:rPr/>
        <w:t>zjištěné občany. To by omezilo hospodářskou soutěž mezi evropskými společnostmi, podpořilo</w:t>
      </w:r>
      <w:r>
        <w:rPr>
          <w:b/>
        </w:rPr>
        <w:t>vznik kontinentálních šampiónů</w:t>
      </w:r>
      <w:r>
        <w:rPr/>
        <w:t xml:space="preserve"> a </w:t>
      </w:r>
      <w:r>
        <w:rPr>
          <w:b/>
        </w:rPr>
        <w:t>reindustrializovalo Evropu</w:t>
      </w:r>
      <w:r>
        <w:rPr/>
        <w:t xml:space="preserve"> prostřednictvím evropských preferencí. </w:t>
      </w:r>
    </w:p>
    <w:p>
      <w:pPr>
        <w:pStyle w:val="P68B1DB1Normal33"/>
        <w:widowControl w:val="false"/>
        <w:spacing w:lineRule="auto" w:line="240" w:before="325" w:after="0"/>
        <w:ind w:left="0" w:right="0" w:hanging="0"/>
        <w:jc w:val="left"/>
        <w:rPr>
          <w:rFonts w:ascii="Times New Roman" w:hAnsi="Times New Roman"/>
          <w:b/>
          <w:b/>
          <w:color w:val="000000"/>
          <w:sz w:val="24"/>
        </w:rPr>
      </w:pPr>
      <w:r>
        <w:rPr/>
        <w:t xml:space="preserve">Jaké jsou klíčové kroky a kritéria úspěchu? </w:t>
      </w:r>
    </w:p>
    <w:p>
      <w:pPr>
        <w:pStyle w:val="P68B1DB1Normal19"/>
        <w:widowControl w:val="false"/>
        <w:spacing w:lineRule="auto" w:line="240" w:before="237" w:after="0"/>
        <w:ind w:left="0" w:right="9" w:hanging="0"/>
        <w:jc w:val="both"/>
        <w:rPr/>
      </w:pPr>
      <w:r>
        <w:rPr/>
        <w:t xml:space="preserve">K dosažení této svrchovanosti by </w:t>
      </w:r>
      <w:r>
        <w:rPr>
          <w:b/>
        </w:rPr>
        <w:t>evropský orgán</w:t>
      </w:r>
      <w:r>
        <w:rPr/>
        <w:t xml:space="preserve"> mohl být pověřen vedením těchto odvětví vydáváním povolení k nákupu evropských společností zahraničními konkurenty a zajištěním toho, aby dovážené výrobky splňovaly stejné normy jako výroba v EU. Ve střednědobém horizontu by</w:t>
      </w:r>
      <w:r>
        <w:rPr>
          <w:b/>
        </w:rPr>
        <w:t xml:space="preserve"> 30 až 50 %</w:t>
      </w:r>
      <w:r>
        <w:rPr/>
        <w:t xml:space="preserve"> evropské spotřeby v těchto strategických odvětvích mělo být </w:t>
      </w:r>
      <w:r>
        <w:rPr>
          <w:b/>
        </w:rPr>
        <w:t>produkováno na kontinentu</w:t>
      </w:r>
      <w:r>
        <w:rPr/>
        <w:t xml:space="preserve"> a v dlouhodobém horizontu až </w:t>
      </w:r>
      <w:r>
        <w:rPr>
          <w:b/>
        </w:rPr>
        <w:t>70 %</w:t>
      </w:r>
      <w:r>
        <w:rPr/>
        <w:t>. Splnění těchto kritérií by zajistilo</w:t>
      </w:r>
      <w:r>
        <w:rPr>
          <w:b/>
        </w:rPr>
        <w:t>soběstačnost</w:t>
      </w:r>
      <w:r>
        <w:rPr/>
        <w:t xml:space="preserve"> a</w:t>
      </w:r>
      <w:r>
        <w:rPr>
          <w:b/>
        </w:rPr>
        <w:t xml:space="preserve"> vliv</w:t>
      </w:r>
      <w:r>
        <w:rPr/>
        <w:t>a dokonce</w:t>
      </w:r>
      <w:r>
        <w:rPr>
          <w:b/>
        </w:rPr>
        <w:t xml:space="preserve">export </w:t>
      </w:r>
      <w:r>
        <w:rPr/>
        <w:t xml:space="preserve">evropského průmyslového modelu. </w:t>
      </w:r>
    </w:p>
    <w:p>
      <w:pPr>
        <w:pStyle w:val="Normal"/>
        <w:spacing w:lineRule="auto" w:line="240"/>
        <w:rPr/>
      </w:pPr>
      <w:r>
        <w:rPr/>
      </w:r>
    </w:p>
    <w:p>
      <w:pPr>
        <w:pStyle w:val="P68B1DB1Normal42"/>
        <w:spacing w:lineRule="auto" w:line="240"/>
        <w:rPr/>
      </w:pPr>
      <w:r>
        <w:rPr/>
        <w:t xml:space="preserve">Změna 10 – Zlepšení ochrany životního prostředí a ekosystémů a vytvoření chráněných oblastí v centru městských, příměstských a venkovských oblastí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Přání přidružené Evropy: Evropa, která podporuje udržitelný rozvoj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Co tato změna znamená? </w:t>
      </w:r>
    </w:p>
    <w:p>
      <w:pPr>
        <w:pStyle w:val="P68B1DB1Normal7"/>
        <w:widowControl w:val="false"/>
        <w:spacing w:lineRule="auto" w:line="240" w:before="78" w:after="0"/>
        <w:ind w:left="0" w:right="0" w:hanging="0"/>
        <w:jc w:val="left"/>
        <w:rPr/>
      </w:pPr>
      <w:r>
        <w:rPr>
          <w:i/>
          <w:color w:val="000000"/>
        </w:rPr>
        <w:t>Klíčová slova: ekologičtější urbanizace, respektování a ochrana půdy</w:t>
      </w:r>
      <w:r>
        <w:rPr>
          <w:b/>
          <w:color w:val="273375"/>
        </w:rPr>
        <w:t xml:space="preserve"> </w:t>
      </w:r>
    </w:p>
    <w:p>
      <w:pPr>
        <w:pStyle w:val="P68B1DB1Normal19"/>
        <w:widowControl w:val="false"/>
        <w:spacing w:lineRule="auto" w:line="240" w:before="321" w:after="0"/>
        <w:ind w:left="0" w:right="9" w:hanging="0"/>
        <w:jc w:val="both"/>
        <w:rPr/>
      </w:pPr>
      <w:r>
        <w:rPr/>
        <w:t xml:space="preserve">Cílem je </w:t>
      </w:r>
      <w:r>
        <w:rPr>
          <w:b/>
        </w:rPr>
        <w:t>omezit negativní dopad urbanizace na půdu</w:t>
      </w:r>
      <w:r>
        <w:rPr/>
        <w:t xml:space="preserve">. Důrazná opatření by </w:t>
      </w:r>
      <w:r>
        <w:rPr>
          <w:b/>
        </w:rPr>
        <w:t xml:space="preserve">omezila katastrofy související s </w:t>
      </w:r>
      <w:r>
        <w:rPr/>
        <w:t>destrukcí půdy, jako jsou sesuvy půdy</w:t>
      </w:r>
      <w:r>
        <w:rPr>
          <w:b/>
        </w:rPr>
        <w:t>, a zlepšila by kvalitu života v městských oblastech</w:t>
      </w:r>
      <w:r>
        <w:rPr/>
        <w:t xml:space="preserve">, zejména výsadbou stromů.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Jaké jsou klíčové kroky a kritéria úspěchu? </w:t>
      </w:r>
    </w:p>
    <w:p>
      <w:pPr>
        <w:pStyle w:val="P68B1DB1Normal19"/>
        <w:widowControl w:val="false"/>
        <w:spacing w:lineRule="auto" w:line="240" w:before="318" w:after="0"/>
        <w:ind w:left="0" w:right="9" w:hanging="0"/>
        <w:jc w:val="both"/>
        <w:rPr/>
      </w:pPr>
      <w:r>
        <w:rPr/>
        <w:t xml:space="preserve">Bylo navrženo jednat na dvou úrovních: zaprvé </w:t>
      </w:r>
      <w:r>
        <w:rPr>
          <w:b/>
        </w:rPr>
        <w:t>zvrátit trend nových staveb</w:t>
      </w:r>
      <w:r>
        <w:rPr/>
        <w:t xml:space="preserve">, aby se snížila míra zakrývání půdy, a za druhé </w:t>
      </w:r>
      <w:r>
        <w:rPr>
          <w:b/>
        </w:rPr>
        <w:t>podpořit obnovu půdy s</w:t>
      </w:r>
      <w:r>
        <w:rPr/>
        <w:t xml:space="preserve"> cílem „navrátit do </w:t>
      </w:r>
      <w:r>
        <w:rPr>
          <w:i/>
        </w:rPr>
        <w:t>přírody to, co k ní patří</w:t>
      </w:r>
      <w:r>
        <w:rPr/>
        <w:t xml:space="preserve">“. </w:t>
      </w:r>
    </w:p>
    <w:p>
      <w:pPr>
        <w:pStyle w:val="Normal"/>
        <w:spacing w:lineRule="auto" w:line="240"/>
        <w:rPr/>
      </w:pPr>
      <w:r>
        <w:rPr/>
      </w:r>
    </w:p>
    <w:p>
      <w:pPr>
        <w:pStyle w:val="P68B1DB1Normal42"/>
        <w:spacing w:lineRule="auto" w:line="240"/>
        <w:rPr/>
      </w:pPr>
      <w:r>
        <w:rPr/>
        <w:t xml:space="preserve">Změna 11 – Zavedení evropských relé na územích, která budou občanům naslouchat a poskytovat jim poradenství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Přání přidružené Evropy: Užší a přístupná Evropa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Co tato změna znamená? </w:t>
      </w:r>
    </w:p>
    <w:p>
      <w:pPr>
        <w:pStyle w:val="P68B1DB1Normal44"/>
        <w:widowControl w:val="false"/>
        <w:spacing w:lineRule="auto" w:line="240" w:before="326" w:after="0"/>
        <w:ind w:left="0" w:right="0" w:hanging="0"/>
        <w:jc w:val="left"/>
        <w:rPr>
          <w:rFonts w:ascii="Times New Roman" w:hAnsi="Times New Roman"/>
          <w:i/>
          <w:i/>
          <w:color w:val="000000"/>
          <w:sz w:val="24"/>
        </w:rPr>
      </w:pPr>
      <w:r>
        <w:rPr/>
        <w:t xml:space="preserve">Klíčová slova: Domy Evropy, referent Evropa místní, lepší přístup k informacím </w:t>
      </w:r>
    </w:p>
    <w:p>
      <w:pPr>
        <w:pStyle w:val="P68B1DB1Normal19"/>
        <w:widowControl w:val="false"/>
        <w:spacing w:lineRule="auto" w:line="240" w:before="326" w:after="0"/>
        <w:ind w:left="0" w:right="11" w:hanging="0"/>
        <w:jc w:val="both"/>
        <w:rPr/>
      </w:pPr>
      <w:r>
        <w:rPr/>
        <w:t xml:space="preserve">Cílem této změny je poskytnout konkrétní odpovědi na </w:t>
      </w:r>
      <w:r>
        <w:rPr>
          <w:b/>
        </w:rPr>
        <w:t>nedostatek vtělení Evropské unie do</w:t>
      </w:r>
      <w:r>
        <w:rPr/>
        <w:t xml:space="preserve"> každodenního života, který poznamenalo mnoho účastníků, a usilovat o sbližování Evropy a jejích občanů. </w:t>
      </w:r>
    </w:p>
    <w:p>
      <w:pPr>
        <w:pStyle w:val="P68B1DB1Normal33"/>
        <w:widowControl w:val="false"/>
        <w:spacing w:lineRule="auto" w:line="240" w:before="333" w:after="0"/>
        <w:ind w:left="0" w:right="0" w:hanging="0"/>
        <w:jc w:val="left"/>
        <w:rPr>
          <w:rFonts w:ascii="Times New Roman" w:hAnsi="Times New Roman"/>
          <w:b/>
          <w:b/>
          <w:color w:val="000000"/>
          <w:sz w:val="24"/>
        </w:rPr>
      </w:pPr>
      <w:r>
        <w:rPr/>
        <w:t xml:space="preserve">Jaké jsou klíčové kroky a kritéria úspěchu? </w:t>
      </w:r>
    </w:p>
    <w:p>
      <w:pPr>
        <w:pStyle w:val="P68B1DB1Normal24"/>
        <w:widowControl w:val="false"/>
        <w:spacing w:lineRule="auto" w:line="240" w:before="317" w:after="0"/>
        <w:ind w:left="0" w:right="14" w:hanging="0"/>
        <w:jc w:val="both"/>
        <w:rPr/>
      </w:pPr>
      <w:r>
        <w:rPr/>
        <w:t xml:space="preserve">Pro řešení této vzdálenosti mezi EU a občany by mohl </w:t>
      </w:r>
      <w:r>
        <w:rPr>
          <w:b/>
        </w:rPr>
        <w:t>být do každé radnice jmenován odborný referent</w:t>
      </w:r>
      <w:r>
        <w:rPr/>
        <w:t xml:space="preserve"> s posláním naslouchat a radit občanům. Informace uvedené v této zprávě by mohly být sociálně-ekonomické, zejména pokud jde o přístup k evropské nebo informační pomoci, například o úloze lobbistů. Poskytnuté informace by byly zaměřeny jak na širokou veřejnost, tak na odborníky, zejména na poradenství malým a středním podnikům a na pomoc vedoucím projektů v přístupu k finančním prostředkům EU. Z dlouhodobého hlediska by tato změna mohla vést k vytvoření </w:t>
      </w:r>
      <w:r>
        <w:rPr>
          <w:b/>
        </w:rPr>
        <w:t>míst věnovaných Evropě</w:t>
      </w:r>
      <w:r>
        <w:rPr/>
        <w:t xml:space="preserve">, podobná stávajícím evropským domům, ale na úrovni společenství, která by umožnila dobrou územní síť. </w:t>
      </w:r>
    </w:p>
    <w:p>
      <w:pPr>
        <w:pStyle w:val="P68B1DB1Normal24"/>
        <w:widowControl w:val="false"/>
        <w:spacing w:lineRule="auto" w:line="240" w:before="235" w:after="0"/>
        <w:ind w:left="0" w:right="15" w:hanging="0"/>
        <w:jc w:val="both"/>
        <w:rPr/>
      </w:pPr>
      <w:r>
        <w:rPr/>
        <w:t xml:space="preserve">Úspěch této změny by byl úplný, kdyby každý občan věděl „ </w:t>
      </w:r>
      <w:r>
        <w:rPr>
          <w:i/>
        </w:rPr>
        <w:t>jako zjevnou</w:t>
      </w:r>
      <w:r>
        <w:rPr/>
        <w:t xml:space="preserve">“ existenci tohoto odkazu a tohoto místa zdrojů věnovaných Evropě, které by poskytovaly zdroje, naslouchání, informace a poradenství. </w:t>
      </w:r>
    </w:p>
    <w:p>
      <w:pPr>
        <w:pStyle w:val="P68B1DB1Normal19"/>
        <w:widowControl w:val="false"/>
        <w:spacing w:lineRule="auto" w:line="240" w:before="153" w:after="0"/>
        <w:ind w:left="0" w:right="0" w:hanging="0"/>
        <w:jc w:val="left"/>
        <w:rPr>
          <w:rFonts w:ascii="Times New Roman" w:hAnsi="Times New Roman"/>
          <w:color w:val="000000"/>
          <w:sz w:val="24"/>
        </w:rPr>
      </w:pPr>
      <w:r>
        <w:rPr/>
        <w:t xml:space="preserve"> </w:t>
      </w:r>
    </w:p>
    <w:p>
      <w:pPr>
        <w:pStyle w:val="P68B1DB1Normal42"/>
        <w:widowControl w:val="false"/>
        <w:spacing w:lineRule="auto" w:line="240" w:before="237" w:after="0"/>
        <w:ind w:left="0" w:right="0" w:hanging="0"/>
        <w:jc w:val="both"/>
        <w:rPr/>
      </w:pPr>
      <w:r>
        <w:rPr/>
        <w:t xml:space="preserve">Změna 12 – Sjednotit způsob volby do Evropského parlamentu pro 27 států a zlepšit blízkost občanů nahrazením současného hlasování jednorázovým hlasováním na regionální úrovni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Přání přidružené Evropy: Evropa s účinnější správou </w:t>
      </w:r>
    </w:p>
    <w:p>
      <w:pPr>
        <w:pStyle w:val="P68B1DB1Normal33"/>
        <w:widowControl w:val="false"/>
        <w:spacing w:lineRule="auto" w:line="240" w:before="328" w:after="0"/>
        <w:ind w:left="0" w:right="0" w:hanging="0"/>
        <w:jc w:val="left"/>
        <w:rPr>
          <w:rFonts w:ascii="Times New Roman" w:hAnsi="Times New Roman"/>
          <w:b/>
          <w:b/>
          <w:color w:val="000000"/>
          <w:sz w:val="24"/>
        </w:rPr>
      </w:pPr>
      <w:r>
        <w:rPr/>
        <w:t xml:space="preserve">Co tato změna znamená? </w:t>
      </w:r>
    </w:p>
    <w:p>
      <w:pPr>
        <w:pStyle w:val="P68B1DB1Normal7"/>
        <w:widowControl w:val="false"/>
        <w:spacing w:lineRule="auto" w:line="240" w:before="76" w:after="0"/>
        <w:ind w:left="0" w:right="0" w:hanging="0"/>
        <w:jc w:val="left"/>
        <w:rPr/>
      </w:pPr>
      <w:r>
        <w:rPr>
          <w:i/>
          <w:color w:val="000000"/>
        </w:rPr>
        <w:t>Klíčová slova: institucionální změny, následované občany akcí v průběhu celého mandátu</w:t>
      </w:r>
      <w:r>
        <w:rPr>
          <w:b/>
          <w:color w:val="273375"/>
        </w:rPr>
        <w:t xml:space="preserve"> </w:t>
      </w:r>
    </w:p>
    <w:p>
      <w:pPr>
        <w:pStyle w:val="P68B1DB1Normal19"/>
        <w:widowControl w:val="false"/>
        <w:spacing w:lineRule="auto" w:line="240" w:before="275" w:after="0"/>
        <w:ind w:left="0" w:right="10" w:hanging="0"/>
        <w:jc w:val="both"/>
        <w:rPr/>
      </w:pPr>
      <w:r>
        <w:rPr/>
        <w:t xml:space="preserve">Tato změna odráží přání občanů posílit svou </w:t>
      </w:r>
      <w:r>
        <w:rPr>
          <w:b/>
        </w:rPr>
        <w:t>blízkost ke zvoleným</w:t>
      </w:r>
      <w:r>
        <w:rPr/>
        <w:t xml:space="preserve"> úředníkům a sledovat jejich činnost po celou dobu svého mandátu. Reaguje na široce sdílené pozorování nedostatečného převádění obav občanů do konkrétních opatření zvolených zástupců Evropského parlamentu. </w:t>
      </w:r>
    </w:p>
    <w:p>
      <w:pPr>
        <w:pStyle w:val="P68B1DB1Normal33"/>
        <w:widowControl w:val="false"/>
        <w:spacing w:lineRule="auto" w:line="240" w:before="381" w:after="0"/>
        <w:ind w:left="0" w:right="0" w:hanging="0"/>
        <w:jc w:val="left"/>
        <w:rPr>
          <w:rFonts w:ascii="Times New Roman" w:hAnsi="Times New Roman"/>
          <w:b/>
          <w:b/>
          <w:color w:val="000000"/>
          <w:sz w:val="24"/>
        </w:rPr>
      </w:pPr>
      <w:r>
        <w:rPr/>
        <w:t xml:space="preserve">Jaké jsou klíčové kroky a kritéria úspěchu? </w:t>
      </w:r>
    </w:p>
    <w:p>
      <w:pPr>
        <w:pStyle w:val="P68B1DB1Normal19"/>
        <w:widowControl w:val="false"/>
        <w:spacing w:lineRule="auto" w:line="240" w:before="316" w:after="0"/>
        <w:ind w:left="0" w:right="10" w:hanging="0"/>
        <w:jc w:val="both"/>
        <w:rPr/>
      </w:pPr>
      <w:r>
        <w:rPr/>
        <w:t xml:space="preserve">Změna způsobu voleb by spočívala v </w:t>
      </w:r>
      <w:r>
        <w:rPr>
          <w:b/>
        </w:rPr>
        <w:t>sjednocení volebního systému</w:t>
      </w:r>
      <w:r>
        <w:rPr/>
        <w:t xml:space="preserve"> na evropské úrovni a v přechodu z vnitrostátních k regionálním volebním obvodům, který by měl být možný do roku 2035. </w:t>
      </w:r>
    </w:p>
    <w:p>
      <w:pPr>
        <w:pStyle w:val="Normal"/>
        <w:spacing w:lineRule="auto" w:line="240"/>
        <w:rPr/>
      </w:pPr>
      <w:r>
        <w:rPr/>
      </w:r>
    </w:p>
    <w:p>
      <w:pPr>
        <w:pStyle w:val="P68B1DB1Normal42"/>
        <w:spacing w:lineRule="auto" w:line="240"/>
        <w:rPr/>
      </w:pPr>
      <w:r>
        <w:rPr/>
        <w:t xml:space="preserve">Změna 13 – Vymezení společné politiky pro zlepšení přijímání a sociální a profesní integrace migrantů (včetně nelegálních migrantů)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Přání přidružené Evropy: Evropa, která zaručuje dodržování základních práv </w:t>
      </w:r>
    </w:p>
    <w:p>
      <w:pPr>
        <w:pStyle w:val="P68B1DB1Normal33"/>
        <w:widowControl w:val="false"/>
        <w:spacing w:lineRule="auto" w:line="240" w:before="328" w:after="0"/>
        <w:ind w:left="0" w:right="0" w:hanging="0"/>
        <w:jc w:val="left"/>
        <w:rPr>
          <w:rFonts w:ascii="Times New Roman" w:hAnsi="Times New Roman"/>
          <w:b/>
          <w:b/>
          <w:color w:val="000000"/>
          <w:sz w:val="24"/>
        </w:rPr>
      </w:pPr>
      <w:r>
        <w:rPr/>
        <w:t xml:space="preserve">Co tato změna znamená? </w:t>
      </w:r>
    </w:p>
    <w:p>
      <w:pPr>
        <w:pStyle w:val="P68B1DB1Normal7"/>
        <w:widowControl w:val="false"/>
        <w:spacing w:lineRule="auto" w:line="240" w:before="76" w:after="0"/>
        <w:ind w:left="0" w:right="0" w:hanging="0"/>
        <w:jc w:val="left"/>
        <w:rPr/>
      </w:pPr>
      <w:r>
        <w:rPr>
          <w:i/>
          <w:color w:val="000000"/>
        </w:rPr>
        <w:t>Klíčová slova: Evropský úřad pro migraci, zajištění důstojného přijetí v celé Evropě</w:t>
      </w:r>
      <w:r>
        <w:rPr>
          <w:b/>
          <w:color w:val="273375"/>
        </w:rPr>
        <w:t xml:space="preserve"> </w:t>
      </w:r>
    </w:p>
    <w:p>
      <w:pPr>
        <w:pStyle w:val="P68B1DB1Normal19"/>
        <w:widowControl w:val="false"/>
        <w:spacing w:lineRule="auto" w:line="240" w:before="248" w:after="0"/>
        <w:ind w:left="0" w:right="10" w:hanging="0"/>
        <w:jc w:val="both"/>
        <w:rPr/>
      </w:pPr>
      <w:r>
        <w:rPr/>
        <w:t xml:space="preserve">Cílem této změny je zlepšit přijímání migrantů v rámci Evropské unie, což je problém, který občané jednomyslně označili za </w:t>
      </w:r>
      <w:r>
        <w:rPr>
          <w:b/>
        </w:rPr>
        <w:t>mimořádnou situaci</w:t>
      </w:r>
      <w:r>
        <w:rPr/>
        <w:t xml:space="preserve">. Na rozchodu se současnou situací se zdá, že vytvoření </w:t>
      </w:r>
      <w:r>
        <w:rPr>
          <w:b/>
        </w:rPr>
        <w:t>společné, koordinované a solidární imigrační politiky</w:t>
      </w:r>
      <w:r>
        <w:rPr/>
        <w:t xml:space="preserve"> je hlavním vektorem míru.</w:t>
      </w:r>
      <w:r>
        <w:rPr>
          <w:b/>
        </w:rPr>
        <w:t xml:space="preserve"> </w:t>
      </w:r>
    </w:p>
    <w:p>
      <w:pPr>
        <w:pStyle w:val="P68B1DB1Normal33"/>
        <w:widowControl w:val="false"/>
        <w:spacing w:lineRule="auto" w:line="240" w:before="325" w:after="0"/>
        <w:ind w:left="0" w:right="0" w:hanging="0"/>
        <w:jc w:val="left"/>
        <w:rPr>
          <w:rFonts w:ascii="Times New Roman" w:hAnsi="Times New Roman"/>
          <w:b/>
          <w:b/>
          <w:color w:val="000000"/>
          <w:sz w:val="24"/>
        </w:rPr>
      </w:pPr>
      <w:r>
        <w:rPr/>
        <w:t xml:space="preserve">Jaké jsou klíčové kroky a kritéria úspěchu? </w:t>
      </w:r>
    </w:p>
    <w:p>
      <w:pPr>
        <w:pStyle w:val="P68B1DB1Normal19"/>
        <w:widowControl w:val="false"/>
        <w:spacing w:lineRule="auto" w:line="240" w:before="243" w:after="0"/>
        <w:ind w:left="0" w:right="10" w:hanging="0"/>
        <w:jc w:val="left"/>
        <w:rPr/>
      </w:pPr>
      <w:r>
        <w:rPr/>
        <w:t xml:space="preserve">Úspěch takové změny by vedl k postupnému provádění společné politiky v oblasti přijímání migrantů. </w:t>
      </w:r>
    </w:p>
    <w:p>
      <w:pPr>
        <w:pStyle w:val="P68B1DB1Normal19"/>
        <w:widowControl w:val="false"/>
        <w:spacing w:lineRule="auto" w:line="240" w:before="326" w:after="0"/>
        <w:ind w:left="0" w:right="10" w:hanging="0"/>
        <w:jc w:val="both"/>
        <w:rPr/>
      </w:pPr>
      <w:r>
        <w:rPr>
          <w:b/>
        </w:rPr>
        <w:t>Občanská iniciativa</w:t>
      </w:r>
      <w:r>
        <w:rPr/>
        <w:t xml:space="preserve"> by měla tuto záležitost předložit Komisi a ve střednědobém horizontu umožnit přijetí </w:t>
      </w:r>
      <w:r>
        <w:rPr>
          <w:b/>
        </w:rPr>
        <w:t>společného standardu</w:t>
      </w:r>
      <w:r>
        <w:rPr/>
        <w:t xml:space="preserve">, který stanoví rámec pro přijímání a sociální integraci migrantů. Z dlouhodobého hlediska by tato norma byla podpořena vytvořením </w:t>
      </w:r>
      <w:r>
        <w:rPr>
          <w:b/>
        </w:rPr>
        <w:t>specializovaného evropského úřadu pro přistěhovalectví</w:t>
      </w:r>
      <w:r>
        <w:rPr/>
        <w:t xml:space="preserve"> a uznáním migrační politiky jako pravomoci Evropské unie. </w:t>
      </w:r>
    </w:p>
    <w:p>
      <w:pPr>
        <w:pStyle w:val="Normal"/>
        <w:spacing w:lineRule="auto" w:line="240"/>
        <w:rPr/>
      </w:pPr>
      <w:r>
        <w:rPr/>
      </w:r>
    </w:p>
    <w:p>
      <w:pPr>
        <w:pStyle w:val="P68B1DB1Normal42"/>
        <w:spacing w:lineRule="auto" w:line="240"/>
        <w:rPr/>
      </w:pPr>
      <w:r>
        <w:rPr/>
        <w:t xml:space="preserve">Změna 14 – Zachování zvláštností (označky potravin, řemeslná výroba, tradice) různých evropských regionů s cílem zabránit jednotnému životnímu stylu a zajistit sledovatelnost a kvalitu výrobků </w:t>
      </w:r>
    </w:p>
    <w:p>
      <w:pPr>
        <w:pStyle w:val="P68B1DB1Normal43"/>
        <w:widowControl w:val="false"/>
        <w:spacing w:lineRule="auto" w:line="240" w:before="347" w:after="0"/>
        <w:ind w:left="0" w:right="912" w:hanging="0"/>
        <w:jc w:val="left"/>
        <w:rPr/>
      </w:pPr>
      <w:r>
        <w:rPr/>
        <w:t xml:space="preserve">Přání přidružené Evropy: Evropa, ve které převažují zájmy každého státu </w:t>
      </w:r>
    </w:p>
    <w:p>
      <w:pPr>
        <w:pStyle w:val="P68B1DB1Normal33"/>
        <w:widowControl w:val="false"/>
        <w:spacing w:lineRule="auto" w:line="240" w:before="347" w:after="0"/>
        <w:ind w:left="0" w:right="912" w:hanging="0"/>
        <w:jc w:val="left"/>
        <w:rPr>
          <w:rFonts w:ascii="Times New Roman" w:hAnsi="Times New Roman"/>
          <w:b/>
          <w:b/>
          <w:color w:val="000000"/>
          <w:sz w:val="24"/>
        </w:rPr>
      </w:pPr>
      <w:r>
        <w:rPr/>
        <w:t xml:space="preserve">Co tato změna znamená? </w:t>
      </w:r>
    </w:p>
    <w:p>
      <w:pPr>
        <w:pStyle w:val="P68B1DB1Normal7"/>
        <w:widowControl w:val="false"/>
        <w:spacing w:lineRule="auto" w:line="240" w:before="76" w:after="0"/>
        <w:ind w:left="0" w:right="0" w:hanging="0"/>
        <w:jc w:val="left"/>
        <w:rPr/>
      </w:pPr>
      <w:r>
        <w:rPr>
          <w:i/>
          <w:color w:val="000000"/>
        </w:rPr>
        <w:t>Klíčová slova: Evropská označení, ocenění rozmanitosti kultur a tradic</w:t>
      </w:r>
      <w:r>
        <w:rPr>
          <w:b/>
          <w:color w:val="273375"/>
        </w:rPr>
        <w:t xml:space="preserve"> </w:t>
      </w:r>
    </w:p>
    <w:p>
      <w:pPr>
        <w:pStyle w:val="P68B1DB1Normal19"/>
        <w:widowControl w:val="false"/>
        <w:spacing w:lineRule="auto" w:line="240" w:before="323" w:after="0"/>
        <w:ind w:left="0" w:right="10" w:hanging="0"/>
        <w:jc w:val="both"/>
        <w:rPr/>
      </w:pPr>
      <w:r>
        <w:rPr/>
        <w:t xml:space="preserve">Cílem této změny je zachovat </w:t>
      </w:r>
      <w:r>
        <w:rPr>
          <w:b/>
        </w:rPr>
        <w:t>rozmanitost evropských tradic a produkce</w:t>
      </w:r>
      <w:r>
        <w:rPr/>
        <w:t xml:space="preserve"> a</w:t>
      </w:r>
      <w:r>
        <w:rPr>
          <w:b/>
        </w:rPr>
        <w:t xml:space="preserve">vyhnout se standardizaci </w:t>
      </w:r>
      <w:r>
        <w:rPr/>
        <w:t>životního stylu, často označovaného jako kritika Evropské unie.</w:t>
      </w:r>
      <w:r>
        <w:rPr>
          <w:b/>
        </w:rPr>
        <w:t xml:space="preserve"> </w:t>
      </w:r>
    </w:p>
    <w:p>
      <w:pPr>
        <w:pStyle w:val="P68B1DB1Normal33"/>
        <w:widowControl w:val="false"/>
        <w:spacing w:lineRule="auto" w:line="240" w:before="325" w:after="0"/>
        <w:ind w:left="0" w:right="0" w:hanging="0"/>
        <w:jc w:val="left"/>
        <w:rPr>
          <w:rFonts w:ascii="Times New Roman" w:hAnsi="Times New Roman"/>
          <w:b/>
          <w:b/>
          <w:color w:val="000000"/>
          <w:sz w:val="24"/>
        </w:rPr>
      </w:pPr>
      <w:r>
        <w:rPr/>
        <w:t xml:space="preserve">Jaké jsou klíčové kroky a kritéria úspěchu? </w:t>
      </w:r>
    </w:p>
    <w:p>
      <w:pPr>
        <w:pStyle w:val="P68B1DB1Normal19"/>
        <w:widowControl w:val="false"/>
        <w:spacing w:lineRule="auto" w:line="240" w:before="322" w:after="0"/>
        <w:ind w:left="0" w:right="10" w:hanging="0"/>
        <w:jc w:val="both"/>
        <w:rPr/>
      </w:pPr>
      <w:r>
        <w:rPr/>
        <w:t xml:space="preserve">Pro občany je hlavním cílem zpřístupnit stávající databázi uvádějící různé </w:t>
      </w:r>
      <w:r>
        <w:rPr>
          <w:b/>
        </w:rPr>
        <w:t>evropské a vnitrostátní značky</w:t>
      </w:r>
      <w:r>
        <w:rPr/>
        <w:t xml:space="preserve">. Za tímto účelem se navrhuje vytvoření webové stránky „ </w:t>
      </w:r>
      <w:r>
        <w:rPr>
          <w:i/>
        </w:rPr>
        <w:t>tří kliknutí“</w:t>
      </w:r>
      <w:r>
        <w:rPr/>
        <w:t xml:space="preserve">: jedno kliknutí pro přístup na stránky, druhé zobrazení mapy regionů Evropské unie a druhé zobrazení popisu štítků každého regionu. </w:t>
      </w:r>
    </w:p>
    <w:p>
      <w:pPr>
        <w:pStyle w:val="Normal"/>
        <w:widowControl w:val="false"/>
        <w:spacing w:lineRule="auto" w:line="240" w:before="327" w:after="0"/>
        <w:ind w:left="0" w:right="14" w:hanging="0"/>
        <w:jc w:val="left"/>
        <w:rPr/>
      </w:pPr>
      <w:r>
        <w:rPr>
          <w:rFonts w:ascii="Times New Roman" w:hAnsi="Times New Roman"/>
          <w:color w:val="000000"/>
        </w:rPr>
        <w:t xml:space="preserve">Úspěch této změny by spočíval v posílené </w:t>
      </w:r>
      <w:r>
        <w:rPr>
          <w:rFonts w:ascii="Times New Roman" w:hAnsi="Times New Roman"/>
          <w:b/>
          <w:color w:val="000000"/>
        </w:rPr>
        <w:t>komunikaci</w:t>
      </w:r>
      <w:r>
        <w:rPr>
          <w:rFonts w:ascii="Times New Roman" w:hAnsi="Times New Roman"/>
          <w:color w:val="000000"/>
        </w:rPr>
        <w:t xml:space="preserve"> o stávajících úspěších, což by vedlo k lepšímu </w:t>
      </w:r>
      <w:r>
        <w:rPr>
          <w:rFonts w:ascii="Times New Roman" w:hAnsi="Times New Roman"/>
          <w:b/>
          <w:color w:val="000000"/>
        </w:rPr>
        <w:t>pochopení</w:t>
      </w:r>
      <w:r>
        <w:rPr>
          <w:rFonts w:ascii="Times New Roman" w:hAnsi="Times New Roman"/>
          <w:color w:val="000000"/>
        </w:rPr>
        <w:t xml:space="preserve"> rozmanitosti evropských kultur ze strany občanů.</w:t>
      </w:r>
      <w:r>
        <w:rPr>
          <w:rFonts w:ascii="Times New Roman" w:hAnsi="Times New Roman"/>
          <w:b/>
          <w:color w:val="273375"/>
        </w:rPr>
        <w:t xml:space="preserve"> </w:t>
      </w:r>
      <w:r>
        <w:br w:type="page"/>
      </w:r>
    </w:p>
    <w:p>
      <w:pPr>
        <w:pStyle w:val="Titre2"/>
        <w:numPr>
          <w:ilvl w:val="1"/>
          <w:numId w:val="2"/>
        </w:numPr>
        <w:rPr/>
      </w:pPr>
      <w:bookmarkStart w:id="212" w:name="__RefHeading___Toc297351_1346298689"/>
      <w:bookmarkEnd w:id="212"/>
      <w:r>
        <w:rPr/>
        <w:t>Druhá část: prezentace výsledků konzultace „Slova pro mládež“</w:t>
      </w:r>
      <w:r>
        <w:rPr>
          <w:rFonts w:ascii="Times New Roman" w:hAnsi="Times New Roman"/>
          <w:color w:val="000070"/>
          <w:sz w:val="30"/>
        </w:rPr>
        <w:t xml:space="preserve"> </w:t>
      </w:r>
    </w:p>
    <w:p>
      <w:pPr>
        <w:pStyle w:val="P68B1DB1Normal46"/>
        <w:widowControl w:val="false"/>
        <w:spacing w:lineRule="auto" w:line="240" w:before="34" w:after="0"/>
        <w:ind w:left="0" w:right="0" w:hanging="0"/>
        <w:jc w:val="center"/>
        <w:rPr>
          <w:rFonts w:ascii="Times New Roman" w:hAnsi="Times New Roman"/>
          <w:b/>
          <w:b/>
          <w:color w:val="F79646"/>
          <w:sz w:val="24"/>
        </w:rPr>
      </w:pPr>
      <w:r>
        <w:rPr/>
        <w:t xml:space="preserve">Data konzultace </w:t>
      </w:r>
    </w:p>
    <w:p>
      <w:pPr>
        <w:pStyle w:val="P68B1DB1Normal19"/>
        <w:widowControl w:val="false"/>
        <w:spacing w:lineRule="auto" w:line="240" w:before="34" w:after="0"/>
        <w:ind w:left="0" w:right="0" w:hanging="0"/>
        <w:jc w:val="center"/>
        <w:rPr/>
      </w:pPr>
      <w:r>
        <w:rPr/>
        <w:t>od 9. května 2021 do 18. července 2021</w:t>
      </w:r>
      <w:r>
        <w:rPr>
          <w:b/>
        </w:rPr>
        <w:t xml:space="preserve"> </w:t>
      </w:r>
    </w:p>
    <w:p>
      <w:pPr>
        <w:pStyle w:val="P68B1DB1Normal47"/>
        <w:widowControl w:val="false"/>
        <w:spacing w:lineRule="auto" w:line="240" w:before="102" w:after="0"/>
        <w:ind w:left="0" w:right="0" w:hanging="0"/>
        <w:jc w:val="center"/>
        <w:rPr>
          <w:rFonts w:ascii="Times New Roman" w:hAnsi="Times New Roman"/>
          <w:b/>
          <w:b/>
          <w:color w:val="1F497D"/>
          <w:sz w:val="12"/>
        </w:rPr>
      </w:pPr>
      <w:r>
        <w:rPr/>
        <w:t xml:space="preserve"> </w:t>
      </w:r>
    </w:p>
    <w:p>
      <w:pPr>
        <w:pStyle w:val="P68B1DB1Normal48"/>
        <w:widowControl w:val="false"/>
        <w:spacing w:lineRule="auto" w:line="240" w:before="26" w:after="0"/>
        <w:ind w:left="0" w:right="0" w:hanging="0"/>
        <w:jc w:val="center"/>
        <w:rPr/>
      </w:pPr>
      <w:r>
        <w:rPr>
          <w:b/>
        </w:rPr>
        <w:t>Údaje o účasti</w:t>
      </w:r>
      <w:r>
        <w:rPr/>
        <w:t xml:space="preserve"> </w:t>
      </w:r>
    </w:p>
    <w:p>
      <w:pPr>
        <w:pStyle w:val="P68B1DB1Normal19"/>
        <w:widowControl w:val="false"/>
        <w:spacing w:lineRule="auto" w:line="240" w:before="26" w:after="0"/>
        <w:ind w:left="0" w:right="0" w:hanging="0"/>
        <w:jc w:val="center"/>
        <w:rPr>
          <w:rFonts w:ascii="Times New Roman" w:hAnsi="Times New Roman"/>
          <w:color w:val="000000"/>
          <w:sz w:val="24"/>
        </w:rPr>
      </w:pPr>
      <w:r>
        <w:rPr/>
        <w:t xml:space="preserve">50 008 účastníků </w:t>
      </w:r>
    </w:p>
    <w:p>
      <w:pPr>
        <w:pStyle w:val="P68B1DB1Normal19"/>
        <w:widowControl w:val="false"/>
        <w:spacing w:lineRule="auto" w:line="240" w:before="92" w:after="0"/>
        <w:ind w:left="0" w:right="0" w:hanging="0"/>
        <w:jc w:val="center"/>
        <w:rPr>
          <w:rFonts w:ascii="Times New Roman" w:hAnsi="Times New Roman"/>
          <w:color w:val="000000"/>
          <w:sz w:val="24"/>
        </w:rPr>
      </w:pPr>
      <w:r>
        <w:rPr/>
        <w:t xml:space="preserve">2 918 návrhů </w:t>
      </w:r>
    </w:p>
    <w:p>
      <w:pPr>
        <w:pStyle w:val="P68B1DB1Normal19"/>
        <w:widowControl w:val="false"/>
        <w:spacing w:lineRule="auto" w:line="240" w:before="90" w:after="0"/>
        <w:ind w:left="0" w:right="0" w:hanging="0"/>
        <w:jc w:val="center"/>
        <w:rPr>
          <w:rFonts w:ascii="Times New Roman" w:hAnsi="Times New Roman"/>
          <w:color w:val="000000"/>
          <w:sz w:val="24"/>
        </w:rPr>
      </w:pPr>
      <w:r>
        <w:rPr/>
        <w:t xml:space="preserve">338 330 hlasů </w:t>
      </w:r>
    </w:p>
    <w:p>
      <w:pPr>
        <w:pStyle w:val="P68B1DB1Normal49"/>
        <w:widowControl w:val="false"/>
        <w:spacing w:lineRule="auto" w:line="240" w:before="106" w:after="0"/>
        <w:ind w:left="4819" w:right="0" w:hanging="0"/>
        <w:jc w:val="left"/>
        <w:rPr>
          <w:rFonts w:ascii="Times New Roman" w:hAnsi="Times New Roman"/>
          <w:color w:val="000000"/>
          <w:sz w:val="12"/>
        </w:rPr>
      </w:pPr>
      <w:r>
        <w:rPr/>
        <w:t xml:space="preserve"> </w:t>
      </w:r>
    </w:p>
    <w:p>
      <w:pPr>
        <w:pStyle w:val="P68B1DB1Normal50"/>
        <w:widowControl w:val="false"/>
        <w:spacing w:lineRule="auto" w:line="240" w:before="30" w:after="0"/>
        <w:ind w:left="0" w:right="28" w:hanging="0"/>
        <w:jc w:val="both"/>
        <w:rPr/>
      </w:pPr>
      <w:r>
        <w:rPr/>
        <w:t xml:space="preserve">Konzultace s názvem „Cesta k mládeži“ byla zahájena z podnětu státního sekretariátu pro evropské záležitosti. Tato konzultace se koná v souvislosti s konferencí o budoucnosti Evropy, bezprecedentní participativní demokracií vedenou evropskými orgány, jejímž cílem je umožnit všem evropským občanům vyjádřit své názory na to, co od Evropské unie očekávají. Ponaučení z konzultací budou podkladem pro práci Konference o budoucnosti Evropy a francouzského předsednictví Rady Evropské unie. </w:t>
      </w:r>
    </w:p>
    <w:p>
      <w:pPr>
        <w:pStyle w:val="P68B1DB1Normal51"/>
        <w:widowControl w:val="false"/>
        <w:spacing w:lineRule="auto" w:line="240" w:before="210" w:after="0"/>
        <w:ind w:left="0" w:right="0" w:hanging="0"/>
        <w:jc w:val="left"/>
        <w:rPr>
          <w:rFonts w:ascii="Times New Roman" w:hAnsi="Times New Roman"/>
          <w:b/>
          <w:b/>
          <w:color w:val="222222"/>
          <w:sz w:val="24"/>
        </w:rPr>
      </w:pPr>
      <w:r>
        <w:rPr/>
        <w:t xml:space="preserve">4 hlavní lekce </w:t>
      </w:r>
    </w:p>
    <w:p>
      <w:pPr>
        <w:pStyle w:val="P68B1DB1Normal34"/>
        <w:widowControl w:val="false"/>
        <w:spacing w:lineRule="auto" w:line="240" w:before="78" w:after="0"/>
        <w:ind w:left="360" w:right="0" w:hanging="0"/>
        <w:jc w:val="left"/>
        <w:rPr/>
      </w:pPr>
      <w:r>
        <w:rPr>
          <w:rFonts w:ascii="Times New Roman" w:hAnsi="Times New Roman"/>
        </w:rPr>
        <w:t>1.</w:t>
      </w:r>
      <w:r>
        <w:rPr/>
        <w:t xml:space="preserve"> </w:t>
      </w:r>
      <w:r>
        <w:rPr>
          <w:rFonts w:ascii="Times New Roman" w:hAnsi="Times New Roman"/>
        </w:rPr>
        <w:t>Masivní mobilizace mladých lidí: konzultace se</w:t>
      </w:r>
      <w:r>
        <w:rPr>
          <w:rFonts w:ascii="Times New Roman" w:hAnsi="Times New Roman"/>
          <w:b/>
        </w:rPr>
        <w:t xml:space="preserve"> zúčastnilo více než 50 000 mladých francouzských občanů </w:t>
      </w:r>
      <w:r>
        <w:rPr>
          <w:rFonts w:ascii="Times New Roman" w:hAnsi="Times New Roman"/>
        </w:rPr>
        <w:t xml:space="preserve">napříč všemi územími. </w:t>
      </w:r>
    </w:p>
    <w:p>
      <w:pPr>
        <w:pStyle w:val="P68B1DB1Normal34"/>
        <w:widowControl w:val="false"/>
        <w:spacing w:lineRule="auto" w:line="240" w:before="86" w:after="0"/>
        <w:ind w:left="360" w:right="0" w:hanging="0"/>
        <w:jc w:val="left"/>
        <w:rPr/>
      </w:pPr>
      <w:r>
        <w:rPr>
          <w:rFonts w:ascii="Times New Roman" w:hAnsi="Times New Roman"/>
        </w:rPr>
        <w:t>2.</w:t>
      </w:r>
      <w:r>
        <w:rPr/>
        <w:t xml:space="preserve"> </w:t>
      </w:r>
      <w:r>
        <w:rPr>
          <w:rFonts w:ascii="Times New Roman" w:hAnsi="Times New Roman"/>
        </w:rPr>
        <w:t xml:space="preserve"> Nejdůležitější konsensus </w:t>
      </w:r>
      <w:r>
        <w:rPr>
          <w:rFonts w:ascii="Times New Roman" w:hAnsi="Times New Roman"/>
          <w:b/>
        </w:rPr>
        <w:t>se týká evropských politik v boji proti změně klimatu, přemístění  výroby do Evropy, oživení evropské demokracie, váhy EU ve světě (hospodářství, výzkum, lidská práva, diplomacie).</w:t>
      </w:r>
    </w:p>
    <w:p>
      <w:pPr>
        <w:pStyle w:val="Normal"/>
        <w:spacing w:lineRule="auto" w:line="240"/>
        <w:rPr>
          <w:rFonts w:ascii="Times New Roman" w:hAnsi="Times New Roman"/>
          <w:color w:val="000000"/>
          <w:sz w:val="24"/>
        </w:rPr>
      </w:pPr>
      <w:r>
        <w:rPr>
          <w:rFonts w:ascii="Times New Roman" w:hAnsi="Times New Roman"/>
          <w:color w:val="000000"/>
          <w:sz w:val="24"/>
        </w:rPr>
      </w:r>
    </w:p>
    <w:p>
      <w:pPr>
        <w:pStyle w:val="P68B1DB1Normal34"/>
        <w:widowControl w:val="false"/>
        <w:spacing w:lineRule="auto" w:line="240" w:before="88" w:after="0"/>
        <w:ind w:left="360" w:right="0" w:hanging="0"/>
        <w:jc w:val="left"/>
        <w:rPr/>
      </w:pPr>
      <w:r>
        <w:rPr>
          <w:rFonts w:ascii="Times New Roman" w:hAnsi="Times New Roman"/>
        </w:rPr>
        <w:t>3.</w:t>
      </w:r>
      <w:r>
        <w:rPr/>
        <w:t xml:space="preserve"> </w:t>
      </w:r>
      <w:r>
        <w:rPr>
          <w:rFonts w:ascii="Times New Roman" w:hAnsi="Times New Roman"/>
          <w:b/>
        </w:rPr>
        <w:t>Myšlenka silnější a sjednocenější Evropy prochází celou konzultací a</w:t>
      </w:r>
      <w:r>
        <w:rPr>
          <w:rFonts w:ascii="Times New Roman" w:hAnsi="Times New Roman"/>
        </w:rPr>
        <w:t xml:space="preserve"> dosahuje konsensu v několika bodech: </w:t>
      </w:r>
    </w:p>
    <w:p>
      <w:pPr>
        <w:pStyle w:val="P68B1DB1Normal34"/>
        <w:widowControl w:val="false"/>
        <w:spacing w:lineRule="auto" w:line="240" w:before="92" w:after="0"/>
        <w:ind w:left="360" w:right="0" w:hanging="0"/>
        <w:jc w:val="left"/>
        <w:rPr/>
      </w:pPr>
      <w:r>
        <w:rPr>
          <w:rFonts w:ascii="Times New Roman" w:hAnsi="Times New Roman"/>
        </w:rPr>
        <w:t>Silnější</w:t>
      </w:r>
      <w:r>
        <w:rPr/>
        <w:t xml:space="preserve"> </w:t>
      </w:r>
      <w:r>
        <w:rPr>
          <w:rFonts w:ascii="Times New Roman" w:hAnsi="Times New Roman"/>
        </w:rPr>
        <w:t xml:space="preserve">Evropa ekonomicky (zejména prostřednictvím přemísťování) s cílem vyrovnat se s Čínou nebo Spojenými státy </w:t>
      </w:r>
    </w:p>
    <w:p>
      <w:pPr>
        <w:pStyle w:val="P68B1DB1Normal34"/>
        <w:widowControl w:val="false"/>
        <w:spacing w:lineRule="auto" w:line="240" w:before="92" w:after="0"/>
        <w:ind w:left="360" w:right="0" w:hanging="0"/>
        <w:jc w:val="left"/>
        <w:rPr/>
      </w:pPr>
      <w:r>
        <w:rPr>
          <w:rFonts w:ascii="Times New Roman" w:hAnsi="Times New Roman"/>
        </w:rPr>
        <w:t>Diplomatická</w:t>
      </w:r>
      <w:r>
        <w:rPr/>
        <w:t xml:space="preserve"> </w:t>
      </w:r>
      <w:r>
        <w:rPr>
          <w:rFonts w:ascii="Times New Roman" w:hAnsi="Times New Roman"/>
        </w:rPr>
        <w:t xml:space="preserve">Evropa, která má větší váhu na mezinárodní scéně </w:t>
      </w:r>
    </w:p>
    <w:p>
      <w:pPr>
        <w:pStyle w:val="P68B1DB1Normal34"/>
        <w:widowControl w:val="false"/>
        <w:spacing w:lineRule="auto" w:line="240" w:before="85" w:after="0"/>
        <w:ind w:left="360" w:right="1483" w:hanging="0"/>
        <w:jc w:val="left"/>
        <w:rPr/>
      </w:pPr>
      <w:r>
        <w:rPr>
          <w:rFonts w:ascii="Times New Roman" w:hAnsi="Times New Roman"/>
        </w:rPr>
        <w:t>Evropa</w:t>
      </w:r>
      <w:r>
        <w:rPr/>
        <w:t xml:space="preserve"> </w:t>
      </w:r>
      <w:r>
        <w:rPr>
          <w:rFonts w:ascii="Times New Roman" w:hAnsi="Times New Roman"/>
        </w:rPr>
        <w:t>je lídrem v boji proti změně klimatu ve světě</w:t>
      </w:r>
    </w:p>
    <w:p>
      <w:pPr>
        <w:pStyle w:val="P68B1DB1Normal34"/>
        <w:widowControl w:val="false"/>
        <w:spacing w:lineRule="auto" w:line="240" w:before="85" w:after="0"/>
        <w:ind w:left="360" w:right="1483" w:hanging="0"/>
        <w:jc w:val="left"/>
        <w:rPr/>
      </w:pPr>
      <w:r>
        <w:rPr>
          <w:rFonts w:ascii="Times New Roman" w:hAnsi="Times New Roman"/>
        </w:rPr>
        <w:t xml:space="preserve">Evropa, kterou spojuje její mládež </w:t>
      </w:r>
    </w:p>
    <w:p>
      <w:pPr>
        <w:pStyle w:val="P68B1DB1Normal34"/>
        <w:widowControl w:val="false"/>
        <w:spacing w:lineRule="auto" w:line="240" w:before="85" w:after="0"/>
        <w:ind w:left="360" w:right="0" w:hanging="0"/>
        <w:jc w:val="left"/>
        <w:rPr/>
      </w:pPr>
      <w:r>
        <w:rPr>
          <w:rFonts w:ascii="Times New Roman" w:hAnsi="Times New Roman"/>
        </w:rPr>
        <w:t>Sjednocená</w:t>
      </w:r>
      <w:r>
        <w:rPr/>
        <w:t xml:space="preserve"> </w:t>
      </w:r>
      <w:r>
        <w:rPr>
          <w:rFonts w:ascii="Times New Roman" w:hAnsi="Times New Roman"/>
        </w:rPr>
        <w:t xml:space="preserve">Evropa v oblasti výzkumu a inovací </w:t>
      </w:r>
    </w:p>
    <w:p>
      <w:pPr>
        <w:pStyle w:val="P68B1DB1Normal19"/>
        <w:widowControl w:val="false"/>
        <w:spacing w:lineRule="auto" w:line="240" w:before="88" w:after="0"/>
        <w:ind w:left="720" w:right="0" w:hanging="0"/>
        <w:jc w:val="left"/>
        <w:rPr>
          <w:rFonts w:ascii="Times New Roman" w:hAnsi="Times New Roman"/>
          <w:color w:val="000000"/>
          <w:sz w:val="24"/>
        </w:rPr>
      </w:pPr>
      <w:r>
        <w:rPr/>
        <w:t xml:space="preserve"> </w:t>
      </w:r>
    </w:p>
    <w:p>
      <w:pPr>
        <w:pStyle w:val="P68B1DB1Normal34"/>
        <w:widowControl w:val="false"/>
        <w:spacing w:lineRule="auto" w:line="240" w:before="86" w:after="0"/>
        <w:ind w:left="360" w:right="1128" w:hanging="0"/>
        <w:jc w:val="left"/>
        <w:rPr/>
      </w:pPr>
      <w:r>
        <w:rPr>
          <w:rFonts w:ascii="Times New Roman" w:hAnsi="Times New Roman"/>
        </w:rPr>
        <w:t>4.</w:t>
      </w:r>
      <w:r>
        <w:rPr/>
        <w:t xml:space="preserve"> </w:t>
      </w:r>
      <w:r>
        <w:rPr>
          <w:rFonts w:ascii="Times New Roman" w:hAnsi="Times New Roman"/>
          <w:b/>
        </w:rPr>
        <w:t>Mladí lidé rovněž uvítali čtyři doplňující myšlenky</w:t>
      </w:r>
      <w:r>
        <w:rPr/>
        <w:t>k</w:t>
      </w:r>
      <w:r>
        <w:rPr>
          <w:rFonts w:ascii="Times New Roman" w:hAnsi="Times New Roman"/>
        </w:rPr>
        <w:t xml:space="preserve"> těm z panelových panelů občanů: </w:t>
      </w:r>
    </w:p>
    <w:p>
      <w:pPr>
        <w:pStyle w:val="P68B1DB1Normal34"/>
        <w:widowControl w:val="false"/>
        <w:spacing w:lineRule="auto" w:line="240" w:before="90" w:after="0"/>
        <w:ind w:left="360" w:right="0" w:hanging="0"/>
        <w:jc w:val="left"/>
        <w:rPr/>
      </w:pPr>
      <w:r>
        <w:rPr>
          <w:rFonts w:ascii="Times New Roman" w:hAnsi="Times New Roman"/>
        </w:rPr>
        <w:t>-Ekologicky</w:t>
      </w:r>
      <w:r>
        <w:rPr/>
        <w:t xml:space="preserve"> </w:t>
      </w:r>
      <w:r>
        <w:rPr>
          <w:rFonts w:ascii="Times New Roman" w:hAnsi="Times New Roman"/>
        </w:rPr>
        <w:t xml:space="preserve">a sociálně odpovědné evropské hospodářství </w:t>
      </w:r>
    </w:p>
    <w:p>
      <w:pPr>
        <w:pStyle w:val="P68B1DB1Normal34"/>
        <w:widowControl w:val="false"/>
        <w:spacing w:lineRule="auto" w:line="240" w:before="88" w:after="0"/>
        <w:ind w:left="360" w:right="0" w:hanging="0"/>
        <w:jc w:val="left"/>
        <w:rPr/>
      </w:pPr>
      <w:r>
        <w:rPr>
          <w:rFonts w:ascii="Times New Roman" w:hAnsi="Times New Roman"/>
        </w:rPr>
        <w:t>Evropa</w:t>
      </w:r>
      <w:r>
        <w:rPr/>
        <w:t xml:space="preserve"> </w:t>
      </w:r>
      <w:r>
        <w:rPr>
          <w:rFonts w:ascii="Times New Roman" w:hAnsi="Times New Roman"/>
        </w:rPr>
        <w:t xml:space="preserve">geograficky více propojená po železnici </w:t>
      </w:r>
    </w:p>
    <w:p>
      <w:pPr>
        <w:pStyle w:val="P68B1DB1Normal34"/>
        <w:widowControl w:val="false"/>
        <w:spacing w:lineRule="auto" w:line="240" w:before="85" w:after="0"/>
        <w:ind w:left="360" w:right="0" w:hanging="0"/>
        <w:jc w:val="left"/>
        <w:rPr/>
      </w:pPr>
      <w:r>
        <w:rPr>
          <w:rFonts w:ascii="Times New Roman" w:hAnsi="Times New Roman"/>
        </w:rPr>
        <w:t>Fiskálně</w:t>
      </w:r>
      <w:r>
        <w:rPr/>
        <w:t xml:space="preserve"> </w:t>
      </w:r>
      <w:r>
        <w:rPr>
          <w:rFonts w:ascii="Times New Roman" w:hAnsi="Times New Roman"/>
        </w:rPr>
        <w:t xml:space="preserve">spravedlivější Evropa </w:t>
      </w:r>
    </w:p>
    <w:p>
      <w:pPr>
        <w:pStyle w:val="P68B1DB1Normal34"/>
        <w:widowControl w:val="false"/>
        <w:spacing w:lineRule="auto" w:line="240" w:before="88" w:after="0"/>
        <w:ind w:left="360" w:right="0" w:hanging="0"/>
        <w:jc w:val="left"/>
        <w:rPr/>
      </w:pPr>
      <w:r>
        <w:rPr>
          <w:rFonts w:ascii="Times New Roman" w:hAnsi="Times New Roman"/>
        </w:rPr>
        <w:t>—</w:t>
      </w:r>
      <w:r>
        <w:rPr/>
        <w:t xml:space="preserve"> </w:t>
      </w:r>
      <w:r>
        <w:rPr>
          <w:rFonts w:ascii="Times New Roman" w:hAnsi="Times New Roman"/>
        </w:rPr>
        <w:t xml:space="preserve">Důrazná opatření Evropské unie na podporu práv žen </w:t>
      </w:r>
    </w:p>
    <w:p>
      <w:pPr>
        <w:pStyle w:val="Normal"/>
        <w:widowControl w:val="false"/>
        <w:spacing w:lineRule="auto" w:line="240" w:before="85"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33"/>
        <w:widowControl w:val="false"/>
        <w:spacing w:lineRule="auto" w:line="240" w:before="85" w:after="0"/>
        <w:ind w:left="0" w:right="0" w:hanging="0"/>
        <w:jc w:val="left"/>
        <w:rPr/>
      </w:pPr>
      <w:r>
        <w:rPr/>
        <w:t xml:space="preserve">22 populárních myšlenek a 13 kontroverzních myšlenek se rozšířilo v 9 tématech konference o budoucnosti Evropy </w:t>
      </w:r>
    </w:p>
    <w:p>
      <w:pPr>
        <w:pStyle w:val="P68B1DB1Normal19"/>
        <w:widowControl w:val="false"/>
        <w:spacing w:lineRule="auto" w:line="240" w:before="80" w:after="0"/>
        <w:ind w:left="0" w:right="0" w:hanging="0"/>
        <w:jc w:val="left"/>
        <w:rPr>
          <w:rFonts w:ascii="Times New Roman" w:hAnsi="Times New Roman"/>
          <w:color w:val="000000"/>
          <w:sz w:val="24"/>
        </w:rPr>
      </w:pPr>
      <w:r>
        <w:rPr/>
        <w:t xml:space="preserve"> </w:t>
      </w:r>
    </w:p>
    <w:p>
      <w:pPr>
        <w:pStyle w:val="P68B1DB1Normal52"/>
        <w:widowControl w:val="false"/>
        <w:spacing w:lineRule="auto" w:line="240" w:before="96" w:after="0"/>
        <w:ind w:left="0" w:right="0" w:hanging="0"/>
        <w:jc w:val="both"/>
        <w:rPr/>
      </w:pPr>
      <w:r>
        <w:rPr>
          <w:color w:val="38761D"/>
        </w:rPr>
        <w:t>Uznávané myšlenky</w:t>
      </w:r>
      <w:r>
        <w:rPr>
          <w:color w:val="000000"/>
        </w:rPr>
        <w:t xml:space="preserve"> vycházejí z návrhů, které většinou podporují účastníci konzultace. Uznávané návrhy jsou návrhy, které přitahují největší podporu, využívají v průměru </w:t>
      </w:r>
      <w:r>
        <w:rPr>
          <w:b/>
          <w:color w:val="000000"/>
        </w:rPr>
        <w:t>79 % hlasů pro</w:t>
      </w:r>
      <w:r>
        <w:rPr>
          <w:color w:val="000000"/>
        </w:rPr>
        <w:t xml:space="preserve">. </w:t>
      </w:r>
    </w:p>
    <w:p>
      <w:pPr>
        <w:pStyle w:val="P68B1DB1Normal44"/>
        <w:widowControl w:val="false"/>
        <w:spacing w:lineRule="auto" w:line="240" w:before="94" w:after="0"/>
        <w:ind w:left="0" w:right="0" w:hanging="0"/>
        <w:jc w:val="left"/>
        <w:rPr>
          <w:rFonts w:ascii="Times New Roman" w:hAnsi="Times New Roman"/>
          <w:i/>
          <w:i/>
          <w:color w:val="000000"/>
          <w:sz w:val="24"/>
        </w:rPr>
      </w:pPr>
      <w:r>
        <w:rPr/>
        <w:t xml:space="preserve"> </w:t>
      </w:r>
    </w:p>
    <w:p>
      <w:pPr>
        <w:pStyle w:val="P68B1DB1Normal52"/>
        <w:widowControl w:val="false"/>
        <w:spacing w:lineRule="auto" w:line="240" w:before="96" w:after="0"/>
        <w:ind w:left="0" w:right="0" w:hanging="0"/>
        <w:jc w:val="both"/>
        <w:rPr/>
      </w:pPr>
      <w:r>
        <w:rPr>
          <w:color w:val="FF9900"/>
        </w:rPr>
        <w:t>Kontroverzní myšlenky</w:t>
      </w:r>
      <w:r>
        <w:rPr>
          <w:color w:val="000000"/>
        </w:rPr>
        <w:t xml:space="preserve"> jsou založeny na návrzích, o nichž se účastníci konzultace nejvíce diskutovali, a to s rovnováhou mezi hlasy pro a proti. Kontroverzní návrhy jsou nejdiskutovanějšími návrhy konzultací, které v průměru využívají </w:t>
      </w:r>
      <w:r>
        <w:rPr>
          <w:b/>
          <w:color w:val="000000"/>
        </w:rPr>
        <w:t>40 % hlasů pro</w:t>
      </w:r>
      <w:r>
        <w:rPr>
          <w:color w:val="000000"/>
        </w:rPr>
        <w:t xml:space="preserve">, </w:t>
      </w:r>
      <w:r>
        <w:rPr>
          <w:b/>
          <w:color w:val="000000"/>
        </w:rPr>
        <w:t>38 % hlasů proti</w:t>
      </w:r>
      <w:r>
        <w:rPr>
          <w:color w:val="000000"/>
        </w:rPr>
        <w:t xml:space="preserve">. </w:t>
      </w:r>
    </w:p>
    <w:p>
      <w:pPr>
        <w:pStyle w:val="P68B1DB1Normal44"/>
        <w:widowControl w:val="false"/>
        <w:spacing w:lineRule="auto" w:line="240" w:before="96" w:after="0"/>
        <w:ind w:left="0" w:right="0" w:hanging="0"/>
        <w:jc w:val="left"/>
        <w:rPr>
          <w:rFonts w:ascii="Times New Roman" w:hAnsi="Times New Roman"/>
          <w:i/>
          <w:i/>
          <w:color w:val="000000"/>
          <w:sz w:val="24"/>
        </w:rPr>
      </w:pPr>
      <w:r>
        <w:rPr/>
        <w:t xml:space="preserve"> </w:t>
      </w:r>
    </w:p>
    <w:p>
      <w:pPr>
        <w:pStyle w:val="Normal"/>
        <w:widowControl w:val="false"/>
        <w:spacing w:lineRule="auto" w:line="240" w:before="90" w:after="0"/>
        <w:ind w:left="0" w:right="0" w:hanging="0"/>
        <w:jc w:val="both"/>
        <w:rPr/>
      </w:pPr>
      <w:r>
        <w:rPr>
          <w:rFonts w:ascii="Times New Roman" w:hAnsi="Times New Roman"/>
          <w:color w:val="000000"/>
          <w:sz w:val="24"/>
        </w:rPr>
        <w:t xml:space="preserve">Analýza těchto návrhů identifikovala 22 uznávaných myšlenek a 13 kontroverzních myšlenek. Těchto 22 uznávaných myšlenek a 13 kontroverzních myšlenek bylo rozděleno do devíti os, které odpovídají hlavním tématům Konference o budoucnosti Evropy. </w:t>
      </w:r>
      <w:r>
        <w:br w:type="page"/>
      </w:r>
    </w:p>
    <w:p>
      <w:pPr>
        <w:pStyle w:val="Normal"/>
        <w:widowControl w:val="false"/>
        <w:spacing w:lineRule="auto" w:line="240" w:before="85" w:after="0"/>
        <w:ind w:left="0" w:right="0" w:hanging="0"/>
        <w:jc w:val="left"/>
        <w:rPr/>
      </w:pPr>
      <w:r>
        <w:rPr/>
        <w:t>Syntéza uznávaných a kontroverzních myšlenek</w:t>
      </w:r>
      <w:r>
        <w:rPr>
          <w:rFonts w:ascii="Times New Roman" w:hAnsi="Times New Roman"/>
          <w:color w:val="000000"/>
          <w:sz w:val="24"/>
        </w:rPr>
        <w:t xml:space="preserve"> </w:t>
      </w:r>
    </w:p>
    <w:tbl>
      <w:tblPr>
        <w:tblW w:w="9638" w:type="dxa"/>
        <w:jc w:val="left"/>
        <w:tblInd w:w="-5"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top w:w="55" w:type="dxa"/>
          <w:left w:w="50" w:type="dxa"/>
          <w:bottom w:w="55" w:type="dxa"/>
          <w:right w:w="55" w:type="dxa"/>
        </w:tblCellMar>
      </w:tblPr>
      <w:tblGrid>
        <w:gridCol w:w="2409"/>
        <w:gridCol w:w="803"/>
        <w:gridCol w:w="1606"/>
        <w:gridCol w:w="1607"/>
        <w:gridCol w:w="803"/>
        <w:gridCol w:w="2409"/>
      </w:tblGrid>
      <w:tr>
        <w:trPr/>
        <w:tc>
          <w:tcPr>
            <w:tcW w:w="9637" w:type="dxa"/>
            <w:gridSpan w:val="6"/>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3"/>
              <w:spacing w:before="57" w:after="57"/>
              <w:jc w:val="center"/>
              <w:rPr>
                <w:color w:val="FFFFFF"/>
                <w:sz w:val="18"/>
                <w:highlight w:val="darkCyan"/>
              </w:rPr>
            </w:pPr>
            <w:r>
              <w:rPr/>
              <w:t>Změna klimatu a životní prostředí</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Zavedení silnější evropské ekologické politiky</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Přechod k udržitelnějšímu zemědělství</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Důraznější opatření na ochranu biologické rozmanitosti</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Rozvoj železniční dopravy v EU</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Zrychlit transformaci energetiky</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Omezení obalů a zlepšení nakládání s odpady</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Zvyšování povědomí o životním prostředí</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rFonts w:eastAsia="Wingdings" w:cs="Wingdings" w:ascii="Wingdings" w:hAnsi="Wingdings"/>
              </w:rPr>
              <w:t xml:space="preserve"> </w:t>
            </w:r>
            <w:r>
              <w:rPr/>
              <w:t>Podpora ekologicky odpovědných stavebních procesů</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Více investovat do jaderné energetiky</w:t>
            </w:r>
          </w:p>
        </w:tc>
      </w:tr>
      <w:tr>
        <w:trPr/>
        <w:tc>
          <w:tcPr>
            <w:tcW w:w="9637" w:type="dxa"/>
            <w:gridSpan w:val="6"/>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5"/>
              <w:spacing w:before="57" w:after="57"/>
              <w:jc w:val="center"/>
              <w:rPr>
                <w:color w:val="FFFFFF"/>
                <w:sz w:val="18"/>
                <w:highlight w:val="darkCyan"/>
              </w:rPr>
            </w:pPr>
            <w:r>
              <w:rPr/>
              <w:t>Evropská demokracie</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Lepší komunikace o úloze a práci EU</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Změna demokratického fungování Evropské unie</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rFonts w:eastAsia="Wingdings" w:cs="Wingdings" w:ascii="Wingdings" w:hAnsi="Wingdings"/>
              </w:rPr>
              <w:t xml:space="preserve"> </w:t>
            </w:r>
            <w:r>
              <w:rPr/>
              <w:t>Boj proti dezinformacím</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Učinit z Evropy federaci</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Ponechat větší autonomii členským státům</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Budování silnější evropské výkonné moci</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Dát mladým lidem místo v evropských institucích</w:t>
            </w:r>
          </w:p>
        </w:tc>
        <w:tc>
          <w:tcPr>
            <w:tcW w:w="3213"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sz w:val="18"/>
              </w:rPr>
            </w:pPr>
            <w:r>
              <w:rPr>
                <w:sz w:val="18"/>
              </w:rPr>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sz w:val="18"/>
              </w:rPr>
            </w:pPr>
            <w:r>
              <w:rPr>
                <w:sz w:val="18"/>
              </w:rPr>
            </w:r>
          </w:p>
        </w:tc>
      </w:tr>
      <w:tr>
        <w:trPr/>
        <w:tc>
          <w:tcPr>
            <w:tcW w:w="9637" w:type="dxa"/>
            <w:gridSpan w:val="6"/>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6"/>
              <w:spacing w:before="57" w:after="57"/>
              <w:jc w:val="center"/>
              <w:rPr>
                <w:color w:val="FFFFFF"/>
                <w:sz w:val="18"/>
                <w:highlight w:val="red"/>
              </w:rPr>
            </w:pPr>
            <w:r>
              <w:rPr/>
              <w:t>Ekonomika, sociální spravedlnost a zaměstnanost</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Přesun výroby do Evropy pro větší autonomii</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Zodpovědnější obchodní praktiky a obchod</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Boj proti daňovým únikům a optimalizaci</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Harmonizace evropských mezd</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Vytvoření univerzálního příjmu</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Přeorientování Evropy na antikapitalistický model</w:t>
            </w:r>
          </w:p>
        </w:tc>
      </w:tr>
      <w:tr>
        <w:trPr/>
        <w:tc>
          <w:tcPr>
            <w:tcW w:w="4818" w:type="dxa"/>
            <w:gridSpan w:val="3"/>
            <w:tcBorders>
              <w:top w:val="single" w:sz="4" w:space="0" w:color="000001"/>
              <w:left w:val="single" w:sz="4" w:space="0" w:color="000001"/>
              <w:bottom w:val="single" w:sz="4" w:space="0" w:color="000001"/>
              <w:insideH w:val="single" w:sz="4" w:space="0" w:color="000001"/>
            </w:tcBorders>
            <w:shd w:fill="auto" w:val="clear"/>
          </w:tcPr>
          <w:p>
            <w:pPr>
              <w:pStyle w:val="P68B1DB1Contenudetableau57"/>
              <w:spacing w:before="57" w:after="57"/>
              <w:jc w:val="center"/>
              <w:rPr>
                <w:rFonts w:ascii="Arial" w:hAnsi="Arial"/>
                <w:b w:val="false"/>
                <w:b w:val="false"/>
                <w:i w:val="false"/>
                <w:i w:val="false"/>
                <w:strike w:val="false"/>
                <w:dstrike w:val="false"/>
                <w:outline w:val="false"/>
                <w:shadow w:val="false"/>
                <w:color w:val="FFFFFF"/>
                <w:sz w:val="18"/>
                <w:highlight w:val="blue"/>
                <w:u w:val="none"/>
              </w:rPr>
            </w:pPr>
            <w:r>
              <w:rPr/>
              <w:t>Vzdělávání, kultura, mládež a sport</w:t>
            </w:r>
          </w:p>
        </w:tc>
        <w:tc>
          <w:tcPr>
            <w:tcW w:w="4819" w:type="dxa"/>
            <w:gridSpan w:val="3"/>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8"/>
              <w:spacing w:before="57" w:after="57"/>
              <w:jc w:val="center"/>
              <w:rPr>
                <w:rFonts w:ascii="Arial" w:hAnsi="Arial"/>
                <w:b w:val="false"/>
                <w:b w:val="false"/>
                <w:i w:val="false"/>
                <w:i w:val="false"/>
                <w:strike w:val="false"/>
                <w:dstrike w:val="false"/>
                <w:outline w:val="false"/>
                <w:shadow w:val="false"/>
                <w:color w:val="FFFFFF"/>
                <w:sz w:val="18"/>
                <w:highlight w:val="darkMagenta"/>
                <w:u w:val="none"/>
              </w:rPr>
            </w:pPr>
            <w:r>
              <w:rPr/>
              <w:t>Digitální transformace</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Umožnit mladým lidem, aby si více vyměňovali s ostatními zeměmi EU</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Podporovat výuku neanglických jazyků</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Investice do vědeckého, digitálního a environmentálního výzkumu</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Zvýšit povědomí o digitálních technologiích a jejich nebezpečích</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Povinné pobyty v Evropě pro mladé lidi</w:t>
            </w:r>
          </w:p>
        </w:tc>
        <w:tc>
          <w:tcPr>
            <w:tcW w:w="2409"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Rozvoj kryptoměn v Evropě</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r>
      <w:tr>
        <w:trPr/>
        <w:tc>
          <w:tcPr>
            <w:tcW w:w="4818" w:type="dxa"/>
            <w:gridSpan w:val="3"/>
            <w:tcBorders>
              <w:left w:val="single" w:sz="4" w:space="0" w:color="000001"/>
              <w:bottom w:val="single" w:sz="4" w:space="0" w:color="000001"/>
              <w:insideH w:val="single" w:sz="4" w:space="0" w:color="000001"/>
            </w:tcBorders>
            <w:shd w:fill="auto" w:val="clear"/>
          </w:tcPr>
          <w:p>
            <w:pPr>
              <w:pStyle w:val="P68B1DB1Contenudetableau60"/>
              <w:spacing w:before="57" w:after="57"/>
              <w:jc w:val="center"/>
              <w:rPr>
                <w:rFonts w:ascii="Arial" w:hAnsi="Arial"/>
                <w:b w:val="false"/>
                <w:b w:val="false"/>
                <w:i w:val="false"/>
                <w:i w:val="false"/>
                <w:strike w:val="false"/>
                <w:dstrike w:val="false"/>
                <w:outline w:val="false"/>
                <w:shadow w:val="false"/>
                <w:color w:val="FFFFFF"/>
                <w:sz w:val="18"/>
                <w:highlight w:val="blue"/>
                <w:u w:val="none"/>
              </w:rPr>
            </w:pPr>
            <w:r>
              <w:rPr/>
              <w:t>Hodnoty a práva, právní stát, bezpečnost</w:t>
            </w:r>
          </w:p>
        </w:tc>
        <w:tc>
          <w:tcPr>
            <w:tcW w:w="4819" w:type="dxa"/>
            <w:gridSpan w:val="3"/>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61"/>
              <w:spacing w:before="57" w:after="57"/>
              <w:jc w:val="center"/>
              <w:rPr>
                <w:rFonts w:ascii="Arial" w:hAnsi="Arial"/>
                <w:b w:val="false"/>
                <w:b w:val="false"/>
                <w:i w:val="false"/>
                <w:i w:val="false"/>
                <w:strike w:val="false"/>
                <w:dstrike w:val="false"/>
                <w:outline w:val="false"/>
                <w:shadow w:val="false"/>
                <w:color w:val="FFFFFF"/>
                <w:sz w:val="18"/>
                <w:highlight w:val="darkBlue"/>
                <w:u w:val="none"/>
              </w:rPr>
            </w:pPr>
            <w:r>
              <w:rPr/>
              <w:t>Zdraví</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Posílení činnosti EU zaměřené na dodržování lidských práv</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Posílení práv žen</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Investice do zdraví</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Zlepšete kvalitu našich potravinářských výrobků</w:t>
            </w:r>
          </w:p>
        </w:tc>
      </w:tr>
      <w:tr>
        <w:trPr/>
        <w:tc>
          <w:tcPr>
            <w:tcW w:w="4818" w:type="dxa"/>
            <w:gridSpan w:val="3"/>
            <w:tcBorders>
              <w:left w:val="single" w:sz="4" w:space="0" w:color="000001"/>
              <w:bottom w:val="single" w:sz="4" w:space="0" w:color="000001"/>
              <w:insideH w:val="single" w:sz="4" w:space="0" w:color="000001"/>
            </w:tcBorders>
            <w:shd w:fill="auto" w:val="clear"/>
          </w:tcPr>
          <w:p>
            <w:pPr>
              <w:pStyle w:val="P68B1DB1Contenudetableau62"/>
              <w:spacing w:before="57" w:after="57"/>
              <w:jc w:val="center"/>
              <w:rPr>
                <w:rFonts w:ascii="Arial" w:hAnsi="Arial"/>
                <w:b w:val="false"/>
                <w:b w:val="false"/>
                <w:i w:val="false"/>
                <w:i w:val="false"/>
                <w:strike w:val="false"/>
                <w:dstrike w:val="false"/>
                <w:outline w:val="false"/>
                <w:shadow w:val="false"/>
                <w:color w:val="FFFFFF"/>
                <w:sz w:val="18"/>
                <w:highlight w:val="cyan"/>
                <w:u w:val="none"/>
              </w:rPr>
            </w:pPr>
            <w:r>
              <w:rPr/>
              <w:t>EU ve světě</w:t>
            </w:r>
          </w:p>
        </w:tc>
        <w:tc>
          <w:tcPr>
            <w:tcW w:w="4819" w:type="dxa"/>
            <w:gridSpan w:val="3"/>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63"/>
              <w:spacing w:before="57" w:after="57"/>
              <w:jc w:val="center"/>
              <w:rPr>
                <w:rFonts w:ascii="Arial" w:hAnsi="Arial"/>
                <w:b w:val="false"/>
                <w:b w:val="false"/>
                <w:i w:val="false"/>
                <w:i w:val="false"/>
                <w:strike w:val="false"/>
                <w:dstrike w:val="false"/>
                <w:outline w:val="false"/>
                <w:shadow w:val="false"/>
                <w:color w:val="FFFFFF"/>
                <w:sz w:val="18"/>
                <w:highlight w:val="red"/>
                <w:u w:val="none"/>
              </w:rPr>
            </w:pPr>
            <w:r>
              <w:rPr/>
              <w:t xml:space="preserve">Imigrace </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Zajistit, aby EU byla schopna vážit na mezinárodní úrovni</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Vytvoření evropských ozbrojených sil</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Snížení nebo doprovázení imigrace v Evropě</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r>
    </w:tbl>
    <w:p>
      <w:pPr>
        <w:pStyle w:val="Normal"/>
        <w:spacing w:lineRule="auto" w:line="240"/>
        <w:rPr/>
      </w:pPr>
      <w:r>
        <w:rPr/>
      </w:r>
    </w:p>
    <w:p>
      <w:pPr>
        <w:pStyle w:val="P68B1DB1Contenudetableau64"/>
        <w:spacing w:lineRule="auto" w:line="240"/>
        <w:jc w:val="center"/>
        <w:rPr>
          <w:rFonts w:ascii="Arial" w:hAnsi="Arial"/>
          <w:b w:val="false"/>
          <w:b w:val="false"/>
          <w:i w:val="false"/>
          <w:i w:val="false"/>
          <w:strike w:val="false"/>
          <w:dstrike w:val="false"/>
          <w:outline w:val="false"/>
          <w:shadow w:val="false"/>
          <w:color w:val="000000"/>
          <w:sz w:val="18"/>
          <w:u w:val="none"/>
        </w:rPr>
      </w:pPr>
      <w:r>
        <w:rPr>
          <w:rFonts w:eastAsia="SimSun" w:cs="Mangal" w:ascii="Times New Roman" w:hAnsi="Times New Roman"/>
        </w:rPr>
        <w:t>Převládající myšlenka (&gt; 10 uznávaných návrhů)</w:t>
      </w:r>
    </w:p>
    <w:p>
      <w:pPr>
        <w:pStyle w:val="P68B1DB1Contenudetableau64"/>
        <w:spacing w:lineRule="auto" w:line="240"/>
        <w:jc w:val="center"/>
        <w:rPr>
          <w:rFonts w:ascii="Arial" w:hAnsi="Arial"/>
          <w:b w:val="false"/>
          <w:b w:val="false"/>
          <w:i w:val="false"/>
          <w:i w:val="false"/>
          <w:strike w:val="false"/>
          <w:dstrike w:val="false"/>
          <w:outline w:val="false"/>
          <w:shadow w:val="false"/>
          <w:color w:val="000000"/>
          <w:sz w:val="18"/>
          <w:u w:val="none"/>
        </w:rPr>
      </w:pPr>
      <w:r>
        <w:rPr>
          <w:rFonts w:eastAsia="SimSun" w:cs="Mangal" w:ascii="Times New Roman" w:hAnsi="Times New Roman"/>
        </w:rPr>
        <w:t>Jedinečná myšlenka (\lt;10 uznávaných návrhů)</w:t>
      </w:r>
    </w:p>
    <w:p>
      <w:pPr>
        <w:pStyle w:val="Contenudetableau"/>
        <w:spacing w:lineRule="auto" w:line="240"/>
        <w:jc w:val="center"/>
        <w:rPr/>
      </w:pPr>
      <w:r>
        <w:rPr>
          <w:rFonts w:eastAsia="SimSun" w:cs="Mangal" w:ascii="Times New Roman" w:hAnsi="Times New Roman"/>
          <w:color w:val="F58220"/>
          <w:sz w:val="18"/>
        </w:rPr>
        <w:t>Kontroverzní myšlenka (&gt; 3 kontroverzní návrhy)</w:t>
      </w:r>
      <w:r>
        <w:br w:type="page"/>
      </w:r>
    </w:p>
    <w:p>
      <w:pPr>
        <w:pStyle w:val="Titre2"/>
        <w:numPr>
          <w:ilvl w:val="1"/>
          <w:numId w:val="2"/>
        </w:numPr>
        <w:rPr/>
      </w:pPr>
      <w:bookmarkStart w:id="213" w:name="__RefHeading___Toc300458_1346298689"/>
      <w:bookmarkEnd w:id="213"/>
      <w:r>
        <w:rPr/>
        <w:t xml:space="preserve">Závěr </w:t>
      </w:r>
    </w:p>
    <w:p>
      <w:pPr>
        <w:pStyle w:val="P68B1DB1Normal33"/>
        <w:widowControl w:val="false"/>
        <w:spacing w:lineRule="exact" w:line="399" w:before="293" w:after="0"/>
        <w:ind w:left="0" w:right="0" w:hanging="0"/>
        <w:jc w:val="left"/>
        <w:rPr>
          <w:rFonts w:ascii="Times New Roman" w:hAnsi="Times New Roman"/>
          <w:b/>
          <w:b/>
          <w:color w:val="000000"/>
          <w:sz w:val="24"/>
        </w:rPr>
      </w:pPr>
      <w:r>
        <w:rPr/>
        <w:t xml:space="preserve"> </w:t>
      </w:r>
    </w:p>
    <w:p>
      <w:pPr>
        <w:pStyle w:val="P68B1DB1Normal33"/>
        <w:widowControl w:val="false"/>
        <w:spacing w:lineRule="exact" w:line="399" w:before="81" w:after="0"/>
        <w:ind w:left="0" w:right="0" w:hanging="0"/>
        <w:jc w:val="left"/>
        <w:rPr>
          <w:rFonts w:ascii="Times New Roman" w:hAnsi="Times New Roman"/>
          <w:b/>
          <w:b/>
          <w:color w:val="000000"/>
          <w:sz w:val="24"/>
        </w:rPr>
      </w:pPr>
      <w:r>
        <w:rPr/>
        <w:t xml:space="preserve"> </w:t>
      </w:r>
    </w:p>
    <w:p>
      <w:pPr>
        <w:pStyle w:val="P68B1DB1Normal33"/>
        <w:widowControl w:val="false"/>
        <w:spacing w:lineRule="exact" w:line="399" w:before="83" w:after="0"/>
        <w:ind w:left="0" w:right="0" w:hanging="0"/>
        <w:jc w:val="left"/>
        <w:rPr>
          <w:rFonts w:ascii="Times New Roman" w:hAnsi="Times New Roman"/>
          <w:b/>
          <w:b/>
          <w:color w:val="000000"/>
          <w:sz w:val="24"/>
        </w:rPr>
      </w:pPr>
      <w:r>
        <w:rPr/>
        <w:t xml:space="preserve"> </w:t>
      </w:r>
    </w:p>
    <w:p>
      <w:pPr>
        <w:pStyle w:val="P68B1DB1Normal65"/>
        <w:widowControl w:val="false"/>
        <w:spacing w:lineRule="exact" w:line="416" w:before="88" w:after="0"/>
        <w:ind w:left="0" w:right="0" w:hanging="0"/>
        <w:jc w:val="left"/>
        <w:rPr>
          <w:rFonts w:ascii="Times New Roman" w:hAnsi="Times New Roman"/>
          <w:b/>
          <w:b/>
          <w:i/>
          <w:i/>
          <w:color w:val="273375"/>
          <w:sz w:val="26"/>
        </w:rPr>
      </w:pPr>
      <w:r>
        <w:rPr/>
        <w:t xml:space="preserve">Jedním slovem, pro vás, Evropa v roce 2035 bude muset být...“: </w:t>
      </w:r>
    </w:p>
    <w:p>
      <w:pPr>
        <w:pStyle w:val="Normal"/>
        <w:widowControl w:val="false"/>
        <w:spacing w:lineRule="exact" w:line="430" w:before="2454" w:after="0"/>
        <w:ind w:left="0" w:right="0" w:hanging="0"/>
        <w:jc w:val="center"/>
        <w:rPr/>
      </w:pPr>
      <w:r>
        <w:drawing>
          <wp:anchor behindDoc="0" distT="0" distB="0" distL="0" distR="0" simplePos="0" locked="0" layoutInCell="1" allowOverlap="1" relativeHeight="40">
            <wp:simplePos x="0" y="0"/>
            <wp:positionH relativeFrom="column">
              <wp:align>center</wp:align>
            </wp:positionH>
            <wp:positionV relativeFrom="paragraph">
              <wp:posOffset>635</wp:posOffset>
            </wp:positionV>
            <wp:extent cx="6120130" cy="1558290"/>
            <wp:effectExtent l="0" t="0" r="0" b="0"/>
            <wp:wrapSquare wrapText="largest"/>
            <wp:docPr id="98" name="Fotografie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Fotografie41" descr=""/>
                    <pic:cNvPicPr>
                      <a:picLocks noChangeAspect="1" noChangeArrowheads="1"/>
                    </pic:cNvPicPr>
                  </pic:nvPicPr>
                  <pic:blipFill>
                    <a:blip r:embed="rId101"/>
                    <a:stretch>
                      <a:fillRect/>
                    </a:stretch>
                  </pic:blipFill>
                  <pic:spPr bwMode="auto">
                    <a:xfrm>
                      <a:off x="0" y="0"/>
                      <a:ext cx="6120130" cy="1558290"/>
                    </a:xfrm>
                    <a:prstGeom prst="rect">
                      <a:avLst/>
                    </a:prstGeom>
                  </pic:spPr>
                </pic:pic>
              </a:graphicData>
            </a:graphic>
          </wp:anchor>
        </w:drawing>
      </w:r>
      <w:r>
        <w:rPr>
          <w:rFonts w:ascii="Times New Roman" w:hAnsi="Times New Roman"/>
          <w:i/>
          <w:color w:val="632423"/>
          <w:sz w:val="24"/>
        </w:rPr>
        <w:t>O</w:t>
      </w:r>
      <w:r>
        <w:rPr>
          <w:rFonts w:ascii="Times New Roman" w:hAnsi="Times New Roman"/>
          <w:i/>
          <w:color w:val="632423"/>
          <w:sz w:val="24"/>
        </w:rPr>
        <w:t xml:space="preserve">dpověď občanů národní konference na závěrečnou otázku: </w:t>
      </w:r>
    </w:p>
    <w:p>
      <w:pPr>
        <w:pStyle w:val="P68B1DB1Normal66"/>
        <w:widowControl w:val="false"/>
        <w:spacing w:lineRule="exact" w:line="430" w:before="95" w:after="0"/>
        <w:ind w:left="0" w:right="0" w:hanging="0"/>
        <w:jc w:val="center"/>
        <w:rPr>
          <w:rFonts w:ascii="Times New Roman" w:hAnsi="Times New Roman"/>
          <w:i/>
          <w:i/>
          <w:color w:val="632423"/>
          <w:sz w:val="24"/>
        </w:rPr>
      </w:pPr>
      <w:r>
        <w:rPr/>
        <w:t xml:space="preserve">Stručně řečeno, Evropa v roce 2035 bude muset být... </w:t>
      </w:r>
    </w:p>
    <w:p>
      <w:pPr>
        <w:pStyle w:val="Normal"/>
        <w:widowControl w:val="false"/>
        <w:spacing w:lineRule="exact" w:line="430" w:before="95" w:after="0"/>
        <w:ind w:left="0" w:right="0" w:hanging="0"/>
        <w:jc w:val="left"/>
        <w:rPr>
          <w:rFonts w:ascii="Times New Roman" w:hAnsi="Times New Roman"/>
          <w:b/>
          <w:b/>
          <w:i/>
          <w:i/>
          <w:color w:val="632423"/>
          <w:sz w:val="24"/>
        </w:rPr>
      </w:pPr>
      <w:r>
        <w:rPr>
          <w:rFonts w:ascii="Times New Roman" w:hAnsi="Times New Roman"/>
          <w:b/>
          <w:i/>
          <w:color w:val="632423"/>
          <w:sz w:val="24"/>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spacing w:lineRule="auto" w:line="240"/>
        <w:rPr/>
      </w:pPr>
      <w:r>
        <w:rPr/>
      </w:r>
      <w:r>
        <w:br w:type="page"/>
      </w:r>
    </w:p>
    <w:p>
      <w:pPr>
        <w:pStyle w:val="Titre1"/>
        <w:numPr>
          <w:ilvl w:val="0"/>
          <w:numId w:val="2"/>
        </w:numPr>
        <w:rPr/>
      </w:pPr>
      <w:bookmarkStart w:id="214" w:name="__RefHeading___Toc297353_1346298689"/>
      <w:bookmarkEnd w:id="214"/>
      <w:r>
        <w:rPr/>
        <w:t>II C Národní panely: Německo</w:t>
      </w:r>
    </w:p>
    <w:p>
      <w:pPr>
        <w:pStyle w:val="P68B1DB1Normal67"/>
        <w:spacing w:lineRule="auto" w:line="240"/>
        <w:rPr>
          <w:rFonts w:ascii="Calibri" w:hAnsi="Calibri"/>
          <w:b/>
          <w:b/>
          <w:color w:val="000000"/>
          <w:sz w:val="36"/>
        </w:rPr>
      </w:pPr>
      <w:r>
        <w:rPr/>
        <w:t xml:space="preserve">Panel národních občanů o budoucnosti Evropy v Berlíně </w:t>
      </w:r>
    </w:p>
    <w:p>
      <w:pPr>
        <w:pStyle w:val="P68B1DB1Normal19"/>
        <w:widowControl w:val="false"/>
        <w:spacing w:lineRule="exact" w:line="388" w:before="206" w:after="0"/>
        <w:ind w:left="3422" w:right="0" w:hanging="0"/>
        <w:jc w:val="left"/>
        <w:rPr>
          <w:rFonts w:ascii="Times New Roman" w:hAnsi="Times New Roman"/>
          <w:color w:val="000000"/>
          <w:sz w:val="24"/>
        </w:rPr>
      </w:pPr>
      <w:r>
        <w:rPr/>
        <w:t xml:space="preserve">Doporučení občanů — </w:t>
      </w:r>
    </w:p>
    <w:p>
      <w:pPr>
        <w:pStyle w:val="P68B1DB1Normal52"/>
        <w:widowControl w:val="false"/>
        <w:spacing w:lineRule="exact" w:line="317" w:before="288" w:after="0"/>
        <w:ind w:left="276" w:right="113" w:hanging="0"/>
        <w:jc w:val="both"/>
        <w:rPr/>
      </w:pPr>
      <w:r>
        <w:rPr>
          <w:color w:val="000000"/>
        </w:rPr>
        <w:t xml:space="preserve">Německo uspořádalo ve dnech 5., 8., 15. a 16. ledna svůj národní panel občanů o budoucnosti Evropy. Proces výběru občanů sledoval stratifikovaný náhodný výběr účastníků evropských panelových diskusí občanů. K účasti bylo pozváno 12 000 německých občanů; z respondentů bylo vybráno přibližně 100, s přihlédnutím k aktuálním údajům ze sčítání Spolkové republiky Německo, s cílem zohlednit rozmanitost německé společnosti a obyvatelstva jako celku. V rámci národního panelu občanů účastníci diskutovali o pěti tématech: EU ve světě; silnější hospodářství; změna klimatu a životní prostředí; sociální spravedlnost; Evropské hodnoty a právní stát. Poté vypracovali konkrétní doporučení pro každé z těchto témat, která byla přijata na závěrečném plenárním zasedání dne 16. ledna: </w:t>
      </w:r>
      <w:r>
        <w:rPr>
          <w:color w:val="0000FF"/>
        </w:rPr>
        <w:t>www.youtube.com/watch?v=cefqmarZXzY</w:t>
      </w:r>
    </w:p>
    <w:p>
      <w:pPr>
        <w:pStyle w:val="Normal"/>
        <w:spacing w:lineRule="auto" w:line="240"/>
        <w:rPr/>
      </w:pPr>
      <w:r>
        <w:rPr/>
      </w:r>
    </w:p>
    <w:p>
      <w:pPr>
        <w:pStyle w:val="Normal"/>
        <w:spacing w:lineRule="auto" w:line="240"/>
        <w:rPr/>
      </w:pPr>
      <w:r>
        <w:rPr/>
      </w:r>
      <w:r>
        <w:br w:type="page"/>
      </w:r>
    </w:p>
    <w:p>
      <w:pPr>
        <w:pStyle w:val="P68B1DB1Normal44"/>
        <w:spacing w:lineRule="auto" w:line="240"/>
        <w:rPr>
          <w:rFonts w:ascii="Times New Roman" w:hAnsi="Times New Roman"/>
          <w:i/>
          <w:i/>
          <w:color w:val="000000"/>
          <w:sz w:val="24"/>
        </w:rPr>
      </w:pPr>
      <w:r>
        <w:rPr/>
        <w:t xml:space="preserve">Kulatý stůl 1: </w:t>
      </w:r>
    </w:p>
    <w:p>
      <w:pPr>
        <w:pStyle w:val="P68B1DB1Normal68"/>
        <w:widowControl w:val="false"/>
        <w:spacing w:lineRule="exact" w:line="400" w:before="196" w:after="0"/>
        <w:ind w:left="0" w:right="0" w:hanging="0"/>
        <w:jc w:val="left"/>
        <w:rPr>
          <w:rFonts w:ascii="Calibri" w:hAnsi="Calibri"/>
          <w:b/>
          <w:b/>
          <w:color w:val="000000"/>
          <w:sz w:val="24"/>
        </w:rPr>
      </w:pPr>
      <w:r>
        <w:rPr/>
        <w:t xml:space="preserve">Propojení zájmů zahraničního obchodu s opatřeními politiky v oblasti klimatu </w:t>
      </w:r>
    </w:p>
    <w:p>
      <w:pPr>
        <w:pStyle w:val="P68B1DB1Normal20"/>
        <w:widowControl w:val="false"/>
        <w:spacing w:lineRule="exact" w:line="337" w:before="192" w:after="0"/>
        <w:ind w:left="276" w:right="123" w:hanging="0"/>
        <w:jc w:val="both"/>
        <w:rPr/>
      </w:pPr>
      <w:r>
        <w:rPr/>
        <w:t xml:space="preserve">Doporučujeme, aby EU (zejména Evropská komise) zahájila investiční balíček pro technologie a inovace šetrné ke klimatu, včetně programů financování. Tento balíček opatření by měl být financován z dovozních cel souvisejících s klimatem, která by byla konkrétně ovlivněna a převedena jako finanční náhrada za škody způsobené klimatem. V této souvislosti by byl pro některé výrobky zaveden systém bodů pro posuzování udržitelnosti. Jasný postoj EU a silná a inovativní Evropa by přispěly k dosažení globálních cílů v oblasti klimatu. To by pomohlo upevnit úlohu Evropské unie jako globálního průkopníka a odpovědného modelu, který zaručuje bohatství a může vést k udržitelným změnám v celosvětovém měřítku. Tyto cíle jsou pro nás důležité, neboť EU udržitelným způsobem přispívá k boji proti změně klimatu, který by z dlouhodobého hlediska mohl hrát klíčovou úlohu při upevňování světového míru. </w:t>
      </w:r>
    </w:p>
    <w:p>
      <w:pPr>
        <w:pStyle w:val="Normal"/>
        <w:widowControl w:val="false"/>
        <w:spacing w:lineRule="exact" w:line="385" w:before="135" w:after="0"/>
        <w:ind w:left="0" w:right="0" w:hanging="0"/>
        <w:jc w:val="left"/>
        <w:rPr>
          <w:rFonts w:ascii="Calibri" w:hAnsi="Calibri"/>
          <w:color w:val="000000"/>
          <w:sz w:val="24"/>
        </w:rPr>
      </w:pPr>
      <w:r>
        <w:rPr>
          <w:rFonts w:ascii="Calibri" w:hAnsi="Calibri"/>
          <w:color w:val="000000"/>
          <w:sz w:val="24"/>
        </w:rPr>
      </w:r>
    </w:p>
    <w:p>
      <w:pPr>
        <w:pStyle w:val="P68B1DB1Normal44"/>
        <w:widowControl w:val="false"/>
        <w:spacing w:lineRule="exact" w:line="383"/>
        <w:ind w:left="276" w:right="0" w:hanging="0"/>
        <w:jc w:val="left"/>
        <w:rPr>
          <w:rFonts w:ascii="Times New Roman" w:hAnsi="Times New Roman"/>
          <w:i/>
          <w:i/>
          <w:color w:val="000000"/>
          <w:sz w:val="24"/>
        </w:rPr>
      </w:pPr>
      <w:r>
        <w:rPr/>
        <w:t xml:space="preserve">Kulatý stůl 2: </w:t>
      </w:r>
    </w:p>
    <w:p>
      <w:pPr>
        <w:pStyle w:val="P68B1DB1Normal68"/>
        <w:widowControl w:val="false"/>
        <w:spacing w:lineRule="exact" w:line="338" w:before="321" w:after="0"/>
        <w:ind w:left="0" w:right="131" w:hanging="0"/>
        <w:jc w:val="left"/>
        <w:rPr/>
      </w:pPr>
      <w:r>
        <w:rPr/>
        <w:t xml:space="preserve">Vytvářet pobídky k zavádění výroby v EU, zejména pokud jde o komodity </w:t>
      </w:r>
    </w:p>
    <w:p>
      <w:pPr>
        <w:pStyle w:val="P68B1DB1Normal20"/>
        <w:widowControl w:val="false"/>
        <w:spacing w:lineRule="exact" w:line="337" w:before="208" w:after="0"/>
        <w:ind w:left="276" w:right="121" w:hanging="0"/>
        <w:jc w:val="both"/>
        <w:rPr/>
      </w:pPr>
      <w:r>
        <w:rPr/>
        <w:t xml:space="preserve">V zájmu usnadnění produkce komodit v EU doporučujeme urychlit a standardizovat schvalovací postupy, snížit byrokracii a poskytovat dotace společnostem, které se přesunou do EU a/nebo zřizují výrobní závody v EU. EU by měla masivně podporovat energii z obnovitelných zdrojů s cílem snížit náklady na energii. </w:t>
      </w:r>
    </w:p>
    <w:p>
      <w:pPr>
        <w:pStyle w:val="P68B1DB1Normal20"/>
        <w:widowControl w:val="false"/>
        <w:spacing w:lineRule="exact" w:line="336" w:before="216" w:after="0"/>
        <w:ind w:left="276" w:right="121" w:hanging="0"/>
        <w:jc w:val="both"/>
        <w:rPr/>
      </w:pPr>
      <w:r>
        <w:rPr/>
        <w:t xml:space="preserve">Prostřednictvím těchto opatření chceme zkrátit dodavatelské řetězce a učinit je šetrnějšími ke klimatu, pomoci posílit EU a vytvářet pracovní místa, v nichž jsou dodržována lidská práva. </w:t>
      </w:r>
    </w:p>
    <w:p>
      <w:pPr>
        <w:pStyle w:val="Normal"/>
        <w:widowControl w:val="false"/>
        <w:spacing w:lineRule="exact" w:line="336" w:before="219" w:after="0"/>
        <w:ind w:left="276" w:right="121" w:hanging="0"/>
        <w:jc w:val="both"/>
        <w:rPr/>
      </w:pPr>
      <w:r>
        <w:rPr>
          <w:rFonts w:ascii="Calibri" w:hAnsi="Calibri"/>
          <w:color w:val="000000"/>
          <w:sz w:val="24"/>
        </w:rPr>
        <w:t xml:space="preserve">Tyto cíle jsou pro nás důležité, protože přemístění výroby do EU by učinilo EU na mezinárodní úrovni autonomnější a méně politicky zranitelnou. </w:t>
      </w:r>
      <w:r>
        <w:br w:type="page"/>
      </w:r>
    </w:p>
    <w:p>
      <w:pPr>
        <w:pStyle w:val="P68B1DB1Normal44"/>
        <w:widowControl w:val="false"/>
        <w:spacing w:lineRule="exact" w:line="383" w:before="247" w:after="0"/>
        <w:ind w:left="276" w:right="0" w:hanging="0"/>
        <w:jc w:val="left"/>
        <w:rPr>
          <w:rFonts w:ascii="Times New Roman" w:hAnsi="Times New Roman"/>
          <w:i/>
          <w:i/>
          <w:color w:val="000000"/>
          <w:sz w:val="24"/>
        </w:rPr>
      </w:pPr>
      <w:r>
        <w:rPr/>
        <w:t xml:space="preserve">Kulatý stůl 1: </w:t>
      </w:r>
    </w:p>
    <w:p>
      <w:pPr>
        <w:pStyle w:val="P68B1DB1Normal68"/>
        <w:widowControl w:val="false"/>
        <w:spacing w:lineRule="exact" w:line="400" w:before="196" w:after="0"/>
        <w:ind w:left="0" w:right="0" w:hanging="0"/>
        <w:jc w:val="left"/>
        <w:rPr>
          <w:rFonts w:ascii="Calibri" w:hAnsi="Calibri"/>
          <w:b/>
          <w:b/>
          <w:color w:val="000000"/>
          <w:sz w:val="24"/>
        </w:rPr>
      </w:pPr>
      <w:r>
        <w:rPr/>
        <w:t xml:space="preserve">Digi-Score – bodový systém pro silnou digitální ekonomiku v celé EU </w:t>
      </w:r>
    </w:p>
    <w:p>
      <w:pPr>
        <w:pStyle w:val="P68B1DB1Normal20"/>
        <w:widowControl w:val="false"/>
        <w:spacing w:lineRule="exact" w:line="337" w:before="192" w:after="0"/>
        <w:ind w:left="276" w:right="119" w:hanging="0"/>
        <w:jc w:val="both"/>
        <w:rPr/>
      </w:pPr>
      <w:r>
        <w:rPr/>
        <w:t xml:space="preserve">Navrhujeme vytvoření veřejně přístupného digitálního přehledu s názvem Digi-Score, který spravuje Evropská komise (GŘ CNECT). Jednalo by se o přesný systém hodnocení, který by indikoval a porovnával současnou úroveň digitální vyspělosti společností v EU. Tímto návrhem chceme podpořit větší digitalizaci v celé Evropě. Společnosti s nízkým digitálním skóre by měly nárok na cílenou podporu, která jim pomůže dohnat je. </w:t>
      </w:r>
    </w:p>
    <w:p>
      <w:pPr>
        <w:pStyle w:val="P68B1DB1Normal20"/>
        <w:widowControl w:val="false"/>
        <w:spacing w:lineRule="exact" w:line="338" w:before="219" w:after="0"/>
        <w:ind w:left="276" w:right="121" w:hanging="0"/>
        <w:jc w:val="both"/>
        <w:rPr/>
      </w:pPr>
      <w:r>
        <w:rPr/>
        <w:t xml:space="preserve">Tento cíl je pro nás důležitý, neboť by pomohl připravit půdu pro zvýšení produktivity, efektivity a prodeje, čímž by se posílila úloha Evropy jako základu pro výrobu. </w:t>
      </w:r>
    </w:p>
    <w:p>
      <w:pPr>
        <w:pStyle w:val="P68B1DB1Normal20"/>
        <w:widowControl w:val="false"/>
        <w:spacing w:lineRule="exact" w:line="385" w:before="137" w:after="0"/>
        <w:ind w:left="0" w:right="0" w:hanging="0"/>
        <w:jc w:val="left"/>
        <w:rPr>
          <w:rFonts w:ascii="Calibri" w:hAnsi="Calibri"/>
          <w:color w:val="000000"/>
          <w:sz w:val="24"/>
        </w:rPr>
      </w:pPr>
      <w:r>
        <w:rPr/>
        <w:t xml:space="preserve"> </w:t>
      </w:r>
    </w:p>
    <w:p>
      <w:pPr>
        <w:pStyle w:val="P68B1DB1Normal44"/>
        <w:widowControl w:val="false"/>
        <w:spacing w:lineRule="exact" w:line="383" w:before="271" w:after="0"/>
        <w:ind w:left="276" w:right="0" w:hanging="0"/>
        <w:jc w:val="left"/>
        <w:rPr>
          <w:rFonts w:ascii="Times New Roman" w:hAnsi="Times New Roman"/>
          <w:i/>
          <w:i/>
          <w:color w:val="000000"/>
          <w:sz w:val="24"/>
        </w:rPr>
      </w:pPr>
      <w:r>
        <w:rPr/>
        <w:t xml:space="preserve">Kulatý stůl 2: </w:t>
      </w:r>
    </w:p>
    <w:p>
      <w:pPr>
        <w:pStyle w:val="P68B1DB1Normal68"/>
        <w:widowControl w:val="false"/>
        <w:spacing w:lineRule="exact" w:line="400" w:before="209" w:after="0"/>
        <w:ind w:left="0" w:right="0" w:hanging="0"/>
        <w:jc w:val="left"/>
        <w:rPr>
          <w:rFonts w:ascii="Calibri" w:hAnsi="Calibri"/>
          <w:b/>
          <w:b/>
          <w:color w:val="000000"/>
          <w:sz w:val="24"/>
        </w:rPr>
      </w:pPr>
      <w:r>
        <w:rPr/>
        <w:t xml:space="preserve">Informační platforma pro výměnu znalostí a zkušeností na úrovni EU </w:t>
      </w:r>
    </w:p>
    <w:p>
      <w:pPr>
        <w:pStyle w:val="P68B1DB1Normal20"/>
        <w:widowControl w:val="false"/>
        <w:spacing w:lineRule="exact" w:line="337"/>
        <w:ind w:left="276" w:right="119" w:hanging="0"/>
        <w:jc w:val="both"/>
        <w:rPr/>
      </w:pPr>
      <w:r>
        <w:rPr/>
        <w:t xml:space="preserve">Doporučujeme, aby EU zřídila informační platformu pro výměnu znalostí a zkušeností na úrovni EU. Naším cílem je sdílet informace o stávajících nadnárodních činnostech v oblasti vzdělávání a odborné přípravy v EU, prezentovat příklady osvědčených postupů a poskytnout občanům příležitost prezentovat nové nápady pro přeshraniční výměny. Kromě toho by mohly být poskytnuty další informace na dostupných technických odborných fórech (např. o energetice, životním prostředí nebo digitální transformaci). </w:t>
      </w:r>
    </w:p>
    <w:p>
      <w:pPr>
        <w:pStyle w:val="P68B1DB1Normal20"/>
        <w:widowControl w:val="false"/>
        <w:spacing w:lineRule="exact" w:line="337" w:before="216" w:after="0"/>
        <w:ind w:left="276" w:right="121" w:hanging="0"/>
        <w:jc w:val="both"/>
        <w:rPr/>
      </w:pPr>
      <w:r>
        <w:rPr/>
        <w:t xml:space="preserve">Domníváme se, že je to důležité, protože občané potřebují transparentnost, pokud jde o dostupné přeshraniční činnosti v oblasti vzdělávání a odborné přípravy. Měly by obdržet lepší pokyny na úrovni EU ohledně stávajících fór a platforem. </w:t>
      </w:r>
    </w:p>
    <w:p>
      <w:pPr>
        <w:pStyle w:val="Normal"/>
        <w:spacing w:lineRule="auto" w:line="240"/>
        <w:rPr/>
      </w:pPr>
      <w:r>
        <w:rPr/>
      </w:r>
      <w:r>
        <w:br w:type="page"/>
      </w:r>
    </w:p>
    <w:p>
      <w:pPr>
        <w:pStyle w:val="P68B1DB1Normal44"/>
        <w:spacing w:lineRule="auto" w:line="240"/>
        <w:rPr>
          <w:rFonts w:ascii="Times New Roman" w:hAnsi="Times New Roman"/>
          <w:i/>
          <w:i/>
          <w:color w:val="000000"/>
          <w:sz w:val="24"/>
        </w:rPr>
      </w:pPr>
      <w:r>
        <w:rPr/>
        <w:t xml:space="preserve">Kulatý stůl 1: </w:t>
      </w:r>
    </w:p>
    <w:p>
      <w:pPr>
        <w:pStyle w:val="P68B1DB1Normal68"/>
        <w:widowControl w:val="false"/>
        <w:spacing w:lineRule="exact" w:line="400" w:before="196" w:after="0"/>
        <w:ind w:left="0" w:right="0" w:hanging="0"/>
        <w:jc w:val="left"/>
        <w:rPr>
          <w:rFonts w:ascii="Calibri" w:hAnsi="Calibri"/>
          <w:b/>
          <w:b/>
          <w:color w:val="000000"/>
          <w:sz w:val="24"/>
        </w:rPr>
      </w:pPr>
      <w:r>
        <w:rPr/>
        <w:t xml:space="preserve">Nařízení o záruce životnosti produktu </w:t>
      </w:r>
    </w:p>
    <w:p>
      <w:pPr>
        <w:pStyle w:val="P68B1DB1Normal20"/>
        <w:widowControl w:val="false"/>
        <w:spacing w:lineRule="exact" w:line="337" w:before="192" w:after="0"/>
        <w:ind w:left="276" w:right="119" w:hanging="0"/>
        <w:jc w:val="both"/>
        <w:rPr/>
      </w:pPr>
      <w:r>
        <w:rPr/>
        <w:t xml:space="preserve">Doporučujeme, aby EU přijala právní předpisy s cílem stanovit prodlouženou, zaručenou a konkrétní dobu životnosti každého výrobku vyráběného a prodávaného v EU a aby byla v tomto ohledu transparentní se spotřebiteli. </w:t>
      </w:r>
    </w:p>
    <w:p>
      <w:pPr>
        <w:pStyle w:val="P68B1DB1Normal20"/>
        <w:widowControl w:val="false"/>
        <w:spacing w:lineRule="exact" w:line="336" w:before="219" w:after="0"/>
        <w:ind w:left="276" w:right="126" w:hanging="0"/>
        <w:jc w:val="both"/>
        <w:rPr/>
      </w:pPr>
      <w:r>
        <w:rPr/>
        <w:t xml:space="preserve">Zdroje jsou omezené, což by ušetřilo peníze a snížilo plýtvání, což by prospělo životnímu prostředí, klimatu a spotřebitelům. </w:t>
      </w:r>
    </w:p>
    <w:p>
      <w:pPr>
        <w:pStyle w:val="P68B1DB1Normal20"/>
        <w:widowControl w:val="false"/>
        <w:spacing w:lineRule="exact" w:line="338" w:before="216" w:after="0"/>
        <w:ind w:left="276" w:right="131" w:hanging="0"/>
        <w:jc w:val="left"/>
        <w:rPr/>
      </w:pPr>
      <w:r>
        <w:rPr/>
        <w:t xml:space="preserve">Chceme povzbudit výrobce, aby na trh uváděli trvanlivější a opravitelné výrobky. </w:t>
      </w:r>
    </w:p>
    <w:p>
      <w:pPr>
        <w:pStyle w:val="P68B1DB1Normal69"/>
        <w:widowControl w:val="false"/>
        <w:spacing w:lineRule="exact" w:line="332" w:before="138" w:after="0"/>
        <w:ind w:left="0" w:right="0" w:hanging="0"/>
        <w:jc w:val="left"/>
        <w:rPr>
          <w:rFonts w:ascii="Calibri" w:hAnsi="Calibri"/>
          <w:b/>
          <w:b/>
          <w:color w:val="000000"/>
          <w:sz w:val="20"/>
        </w:rPr>
      </w:pPr>
      <w:r>
        <w:rPr/>
        <w:t xml:space="preserve"> </w:t>
      </w:r>
    </w:p>
    <w:p>
      <w:pPr>
        <w:pStyle w:val="P68B1DB1Normal44"/>
        <w:widowControl w:val="false"/>
        <w:spacing w:lineRule="exact" w:line="383" w:before="107" w:after="0"/>
        <w:ind w:left="276" w:right="0" w:hanging="0"/>
        <w:jc w:val="left"/>
        <w:rPr>
          <w:rFonts w:ascii="Times New Roman" w:hAnsi="Times New Roman"/>
          <w:i/>
          <w:i/>
          <w:color w:val="000000"/>
          <w:sz w:val="24"/>
        </w:rPr>
      </w:pPr>
      <w:r>
        <w:rPr/>
        <w:t xml:space="preserve">Kulatý stůl 2: </w:t>
      </w:r>
    </w:p>
    <w:p>
      <w:pPr>
        <w:pStyle w:val="P68B1DB1Normal68"/>
        <w:widowControl w:val="false"/>
        <w:spacing w:lineRule="exact" w:line="400" w:before="321" w:after="0"/>
        <w:ind w:left="0" w:right="0" w:hanging="0"/>
        <w:jc w:val="left"/>
        <w:rPr>
          <w:rFonts w:ascii="Calibri" w:hAnsi="Calibri"/>
          <w:b/>
          <w:b/>
          <w:color w:val="000000"/>
          <w:sz w:val="24"/>
        </w:rPr>
      </w:pPr>
      <w:r>
        <w:rPr/>
        <w:t xml:space="preserve">Dlouhodobá kampaň EU za udržitelnou spotřebu a životní styl </w:t>
      </w:r>
    </w:p>
    <w:p>
      <w:pPr>
        <w:pStyle w:val="P68B1DB1Normal20"/>
        <w:widowControl w:val="false"/>
        <w:spacing w:lineRule="exact" w:line="336"/>
        <w:ind w:left="276" w:right="126" w:hanging="0"/>
        <w:jc w:val="left"/>
        <w:rPr/>
      </w:pPr>
      <w:r>
        <w:rPr/>
        <w:t xml:space="preserve">Doporučujeme, aby evropský orgán, včetně poboček v zemích EU, měl vlastní zdroje a vedl tuto kampaň. </w:t>
      </w:r>
    </w:p>
    <w:p>
      <w:pPr>
        <w:pStyle w:val="P68B1DB1Normal20"/>
        <w:widowControl w:val="false"/>
        <w:spacing w:lineRule="exact" w:line="336" w:before="219" w:after="0"/>
        <w:ind w:left="276" w:right="128" w:hanging="0"/>
        <w:jc w:val="both"/>
        <w:rPr/>
      </w:pPr>
      <w:r>
        <w:rPr/>
        <w:t xml:space="preserve">Naším cílem je zajistit, aby se všichni občané EU uznali ve společné identitě, více si uvědomovali potřebu udržitelné spotřeby a životního stylu a přijali tento způsob života. </w:t>
      </w:r>
    </w:p>
    <w:p>
      <w:pPr>
        <w:pStyle w:val="P68B1DB1Normal20"/>
        <w:widowControl w:val="false"/>
        <w:spacing w:lineRule="exact" w:line="336" w:before="216" w:after="0"/>
        <w:ind w:left="276" w:right="128" w:hanging="0"/>
        <w:jc w:val="left"/>
        <w:rPr/>
      </w:pPr>
      <w:r>
        <w:rPr/>
        <w:t xml:space="preserve">Tyto cíle jsou pro nás důležité, protože chceme probudit vnitřní motivaci k udržitelnému životnímu stylu. </w:t>
      </w:r>
    </w:p>
    <w:p>
      <w:pPr>
        <w:pStyle w:val="Normal"/>
        <w:spacing w:lineRule="auto" w:line="240"/>
        <w:rPr/>
      </w:pPr>
      <w:r>
        <w:rPr/>
      </w:r>
      <w:r>
        <w:br w:type="page"/>
      </w:r>
    </w:p>
    <w:p>
      <w:pPr>
        <w:pStyle w:val="P68B1DB1Normal44"/>
        <w:widowControl w:val="false"/>
        <w:spacing w:lineRule="exact" w:line="383" w:before="247" w:after="0"/>
        <w:ind w:left="276" w:right="0" w:hanging="0"/>
        <w:jc w:val="left"/>
        <w:rPr>
          <w:rFonts w:ascii="Times New Roman" w:hAnsi="Times New Roman"/>
          <w:i/>
          <w:i/>
          <w:color w:val="000000"/>
          <w:sz w:val="24"/>
        </w:rPr>
      </w:pPr>
      <w:r>
        <w:rPr/>
        <w:t xml:space="preserve">Kulatý stůl 1: </w:t>
      </w:r>
    </w:p>
    <w:p>
      <w:pPr>
        <w:pStyle w:val="P68B1DB1Normal68"/>
        <w:widowControl w:val="false"/>
        <w:spacing w:lineRule="exact" w:line="400" w:before="88" w:after="0"/>
        <w:ind w:left="0" w:right="0" w:hanging="0"/>
        <w:jc w:val="left"/>
        <w:rPr>
          <w:rFonts w:ascii="Calibri" w:hAnsi="Calibri"/>
          <w:b/>
          <w:b/>
          <w:color w:val="000000"/>
          <w:sz w:val="24"/>
        </w:rPr>
      </w:pPr>
      <w:r>
        <w:rPr/>
        <w:t xml:space="preserve">Vytvoření většího počtu výměnných příležitostí pro studenty v Evropě </w:t>
      </w:r>
    </w:p>
    <w:p>
      <w:pPr>
        <w:pStyle w:val="P68B1DB1Normal20"/>
        <w:widowControl w:val="false"/>
        <w:spacing w:lineRule="exact" w:line="293" w:before="162" w:after="0"/>
        <w:ind w:left="276" w:right="123" w:hanging="0"/>
        <w:jc w:val="both"/>
        <w:rPr/>
      </w:pPr>
      <w:r>
        <w:rPr/>
        <w:t xml:space="preserve">Doporučujeme, aby Evropská unie kromě programu Erasmus přijala nařízení o výměnném programu pro žáky a studenty ve věku od 14 do 25 let bez ohledu na jejich původ, pohlaví a úroveň vzdělání. Tento výměnný program by měl být systematicky zřizován a podporován školami na místní úrovni. Každý student by měl mít možnost účastnit se výměnného programu kdykoliv během školní docházky. Za tímto účelem by Evropská komise měla předložit návrh Evropskému parlamentu a Evropské radě. </w:t>
      </w:r>
    </w:p>
    <w:p>
      <w:pPr>
        <w:pStyle w:val="P68B1DB1Normal20"/>
        <w:widowControl w:val="false"/>
        <w:spacing w:lineRule="exact" w:line="293" w:before="168" w:after="0"/>
        <w:ind w:left="276" w:right="123" w:hanging="0"/>
        <w:jc w:val="both"/>
        <w:rPr/>
      </w:pPr>
      <w:r>
        <w:rPr/>
        <w:t xml:space="preserve">Naším cílem je poskytnout studentům, bez ohledu na jejich akademické výsledky a finanční podporu svých rodičů, možnost účastnit se výměnných programů v celé Evropě. Od školního věku by měla být podporována kultura evropských výměn. Především je důležité, aby výměnné programy byly snadno přístupné a bez byrokracie. Prostřednictvím tohoto výměnného programu chceme vytvořit evropskou solidaritu a omezit jazykové bariéry. V této souvislosti je třeba mít na paměti rovnost ve vzdělávání a účast na vzdělávání s cílem posílit mezikulturní a komunikační dovednosti. </w:t>
      </w:r>
    </w:p>
    <w:p>
      <w:pPr>
        <w:pStyle w:val="P68B1DB1Normal20"/>
        <w:widowControl w:val="false"/>
        <w:spacing w:lineRule="exact" w:line="293" w:before="168" w:after="0"/>
        <w:ind w:left="276" w:right="123" w:hanging="0"/>
        <w:jc w:val="both"/>
        <w:rPr/>
      </w:pPr>
      <w:r>
        <w:rPr/>
        <w:t xml:space="preserve">Tyto cíle jsou pro nás důležité, neboť mohou pomoci podpořit evropskou soudržnost, posílit úctu a spolupráci a předávat evropské hodnoty již od útlého věku, aby rozmanitost Evropy mohla být vnímána jako příležitost. </w:t>
      </w:r>
    </w:p>
    <w:p>
      <w:pPr>
        <w:pStyle w:val="P68B1DB1Normal20"/>
        <w:widowControl w:val="false"/>
        <w:spacing w:lineRule="exact" w:line="385" w:before="92" w:after="0"/>
        <w:ind w:left="0" w:right="0" w:hanging="0"/>
        <w:jc w:val="left"/>
        <w:rPr>
          <w:rFonts w:ascii="Calibri" w:hAnsi="Calibri"/>
          <w:color w:val="000000"/>
          <w:sz w:val="24"/>
        </w:rPr>
      </w:pPr>
      <w:r>
        <w:rPr/>
        <w:t xml:space="preserve"> </w:t>
      </w:r>
    </w:p>
    <w:p>
      <w:pPr>
        <w:pStyle w:val="P68B1DB1Normal44"/>
        <w:widowControl w:val="false"/>
        <w:spacing w:lineRule="exact" w:line="383" w:before="112" w:after="0"/>
        <w:ind w:left="276" w:right="0" w:hanging="0"/>
        <w:jc w:val="left"/>
        <w:rPr>
          <w:rFonts w:ascii="Times New Roman" w:hAnsi="Times New Roman"/>
          <w:i/>
          <w:i/>
          <w:color w:val="000000"/>
          <w:sz w:val="24"/>
        </w:rPr>
      </w:pPr>
      <w:r>
        <w:rPr/>
        <w:t xml:space="preserve">Kulatý stůl 2: </w:t>
      </w:r>
    </w:p>
    <w:p>
      <w:pPr>
        <w:pStyle w:val="P68B1DB1Normal68"/>
        <w:widowControl w:val="false"/>
        <w:spacing w:lineRule="exact" w:line="400" w:before="205" w:after="0"/>
        <w:ind w:left="0" w:right="0" w:hanging="0"/>
        <w:jc w:val="left"/>
        <w:rPr>
          <w:rFonts w:ascii="Calibri" w:hAnsi="Calibri"/>
          <w:b/>
          <w:b/>
          <w:color w:val="000000"/>
          <w:sz w:val="24"/>
        </w:rPr>
      </w:pPr>
      <w:r>
        <w:rPr/>
        <w:t xml:space="preserve">Stanovení základní mzdy specifické pro zaměstnání </w:t>
      </w:r>
    </w:p>
    <w:p>
      <w:pPr>
        <w:pStyle w:val="P68B1DB1Normal20"/>
        <w:widowControl w:val="false"/>
        <w:spacing w:lineRule="exact" w:line="293"/>
        <w:ind w:left="276" w:right="121" w:hanging="0"/>
        <w:jc w:val="both"/>
        <w:rPr/>
      </w:pPr>
      <w:r>
        <w:rPr/>
        <w:t xml:space="preserve">Doporučujeme, aby evropský komisař pro zaměstnanost a sociální práva předložil Evropskému parlamentu návrh na zavedení základní mzdy specifické pro zaměstnanost ve všech členských státech. Tato základní mzda by se měla skládat z minimálního příjmu dostatečného k zajištění živobytí a specifického doplňku zaměstnání. </w:t>
      </w:r>
    </w:p>
    <w:p>
      <w:pPr>
        <w:pStyle w:val="P68B1DB1Normal20"/>
        <w:widowControl w:val="false"/>
        <w:spacing w:lineRule="exact" w:line="293" w:before="173" w:after="0"/>
        <w:ind w:left="276" w:right="121" w:hanging="0"/>
        <w:jc w:val="both"/>
        <w:rPr/>
      </w:pPr>
      <w:r>
        <w:rPr/>
        <w:t xml:space="preserve">Naším cílem je zajistit, aby profesní výkonnost a mzdy byly v celé EU srovnatelné s cílem posílit sociální spravedlnost. Tento cíl je pro nás důležitý, neboť by zajistil, aby trh práce dodržoval základní zásadu EU: srovnatelné životní a pracovní podmínky bez ohledu na místo bydliště a povolání osoby. </w:t>
      </w:r>
    </w:p>
    <w:p>
      <w:pPr>
        <w:pStyle w:val="Normal"/>
        <w:spacing w:lineRule="auto" w:line="240"/>
        <w:rPr/>
      </w:pPr>
      <w:r>
        <w:rPr/>
      </w:r>
      <w:r>
        <w:br w:type="page"/>
      </w:r>
    </w:p>
    <w:p>
      <w:pPr>
        <w:pStyle w:val="P68B1DB1Normal44"/>
        <w:spacing w:lineRule="auto" w:line="240"/>
        <w:rPr>
          <w:rFonts w:ascii="Times New Roman" w:hAnsi="Times New Roman"/>
          <w:i/>
          <w:i/>
          <w:color w:val="000000"/>
          <w:sz w:val="24"/>
        </w:rPr>
      </w:pPr>
      <w:r>
        <w:rPr/>
        <w:t xml:space="preserve">Kulatý stůl 1: </w:t>
      </w:r>
    </w:p>
    <w:p>
      <w:pPr>
        <w:pStyle w:val="P68B1DB1Normal68"/>
        <w:widowControl w:val="false"/>
        <w:spacing w:lineRule="exact" w:line="400" w:before="196" w:after="0"/>
        <w:ind w:left="0" w:right="0" w:hanging="0"/>
        <w:jc w:val="left"/>
        <w:rPr>
          <w:rFonts w:ascii="Calibri" w:hAnsi="Calibri"/>
          <w:b/>
          <w:b/>
          <w:color w:val="000000"/>
          <w:sz w:val="24"/>
        </w:rPr>
      </w:pPr>
      <w:r>
        <w:rPr/>
        <w:t xml:space="preserve">Ztělesňování evropských hodnot a jejich sdělování apelováním na emoce </w:t>
      </w:r>
    </w:p>
    <w:p>
      <w:pPr>
        <w:pStyle w:val="P68B1DB1Normal20"/>
        <w:widowControl w:val="false"/>
        <w:spacing w:lineRule="exact" w:line="338" w:before="192" w:after="0"/>
        <w:ind w:left="276" w:right="126" w:hanging="0"/>
        <w:jc w:val="both"/>
        <w:rPr/>
      </w:pPr>
      <w:r>
        <w:rPr/>
        <w:t xml:space="preserve">Doporučujeme, aby evropské hodnoty byly konkrétnější a komunikovaly s více emocemi. Toho bychom mohli dosáhnout například prostřednictvím „integračního“ balíčku zahrnujícího sdělovací prostředky, interaktivní prvky a větší zapojení občanů. </w:t>
      </w:r>
    </w:p>
    <w:p>
      <w:pPr>
        <w:pStyle w:val="P68B1DB1Normal20"/>
        <w:widowControl w:val="false"/>
        <w:spacing w:lineRule="exact" w:line="336" w:before="216" w:after="0"/>
        <w:ind w:left="276" w:right="126" w:hanging="0"/>
        <w:jc w:val="left"/>
        <w:rPr/>
      </w:pPr>
      <w:r>
        <w:rPr/>
        <w:t xml:space="preserve">Naším cílem je, aby všichni žijící v EU znali a přijali společné hodnoty. </w:t>
      </w:r>
    </w:p>
    <w:p>
      <w:pPr>
        <w:pStyle w:val="P68B1DB1Normal20"/>
        <w:widowControl w:val="false"/>
        <w:spacing w:lineRule="exact" w:line="337" w:before="216" w:after="0"/>
        <w:ind w:left="276" w:right="119" w:hanging="0"/>
        <w:jc w:val="both"/>
        <w:rPr/>
      </w:pPr>
      <w:r>
        <w:rPr/>
        <w:t xml:space="preserve">Tento cíl je pro nás důležitý, protože tvoří základ našeho soužití v našem společenství hodnot. Tyto hodnoty jsou příliš málo známy, protože chybí osobní spojení. Musíme navázat toto spojení. </w:t>
      </w:r>
    </w:p>
    <w:p>
      <w:pPr>
        <w:pStyle w:val="P68B1DB1Normal20"/>
        <w:widowControl w:val="false"/>
        <w:spacing w:lineRule="exact" w:line="385" w:before="135" w:after="0"/>
        <w:ind w:left="0" w:right="0" w:hanging="0"/>
        <w:jc w:val="left"/>
        <w:rPr>
          <w:rFonts w:ascii="Calibri" w:hAnsi="Calibri"/>
          <w:color w:val="000000"/>
          <w:sz w:val="24"/>
        </w:rPr>
      </w:pPr>
      <w:r>
        <w:rPr/>
        <w:t xml:space="preserve"> </w:t>
      </w:r>
    </w:p>
    <w:p>
      <w:pPr>
        <w:pStyle w:val="P68B1DB1Normal44"/>
        <w:widowControl w:val="false"/>
        <w:spacing w:lineRule="exact" w:line="383" w:before="114" w:after="0"/>
        <w:ind w:left="276" w:right="0" w:hanging="0"/>
        <w:jc w:val="left"/>
        <w:rPr>
          <w:rFonts w:ascii="Times New Roman" w:hAnsi="Times New Roman"/>
          <w:i/>
          <w:i/>
          <w:color w:val="000000"/>
          <w:sz w:val="24"/>
        </w:rPr>
      </w:pPr>
      <w:r>
        <w:rPr/>
        <w:t xml:space="preserve">Kulatý stůl 2: </w:t>
      </w:r>
    </w:p>
    <w:p>
      <w:pPr>
        <w:pStyle w:val="P68B1DB1Normal68"/>
        <w:widowControl w:val="false"/>
        <w:spacing w:lineRule="exact" w:line="400" w:before="211" w:after="0"/>
        <w:ind w:left="0" w:right="0" w:hanging="0"/>
        <w:jc w:val="left"/>
        <w:rPr>
          <w:rFonts w:ascii="Calibri" w:hAnsi="Calibri"/>
          <w:b/>
          <w:b/>
          <w:color w:val="000000"/>
          <w:sz w:val="24"/>
        </w:rPr>
      </w:pPr>
      <w:r>
        <w:rPr/>
        <w:t xml:space="preserve">Život v EU </w:t>
      </w:r>
    </w:p>
    <w:p>
      <w:pPr>
        <w:pStyle w:val="P68B1DB1Normal20"/>
        <w:widowControl w:val="false"/>
        <w:spacing w:lineRule="exact" w:line="337" w:before="191" w:after="0"/>
        <w:ind w:left="276" w:right="116" w:hanging="0"/>
        <w:jc w:val="both"/>
        <w:rPr/>
      </w:pPr>
      <w:r>
        <w:rPr/>
        <w:t xml:space="preserve">Doporučujeme, aby EU vytvořila vlastní vzdělávací a informační televizní program s cílem zvýšit povědomí všech občanů EU o našich sdílených hodnotách a zajistit snadný a neomezený přístup k těmto informacím pro všechny. Tyto cíle jsou pro nás důležité, protože chceme lépe porozumět veřejnému mínění v každé ze zemí EU. Tímto způsobem chceme posílit společnou půdu a pomoci sjednotit občany, aby podpořili větší solidaritu a školili je v oblasti právního státu s cílem zachovat demokracii. </w:t>
      </w:r>
    </w:p>
    <w:p>
      <w:pPr>
        <w:pStyle w:val="P68B1DB1Normal33"/>
        <w:widowControl w:val="false"/>
        <w:spacing w:lineRule="exact" w:line="399" w:before="365" w:after="0"/>
        <w:ind w:left="4819" w:right="0" w:hanging="0"/>
        <w:jc w:val="left"/>
        <w:rPr/>
      </w:pPr>
      <w:r>
        <w:rPr/>
        <w:t xml:space="preserve"> </w:t>
      </w:r>
      <w:r>
        <w:rPr/>
        <w:t>___</w:t>
      </w:r>
    </w:p>
    <w:p>
      <w:pPr>
        <w:pStyle w:val="Normal"/>
        <w:spacing w:lineRule="auto" w:line="240"/>
        <w:rPr/>
      </w:pPr>
      <w:r>
        <w:rPr/>
      </w:r>
      <w:r>
        <w:br w:type="page"/>
      </w:r>
    </w:p>
    <w:p>
      <w:pPr>
        <w:pStyle w:val="Titre1"/>
        <w:numPr>
          <w:ilvl w:val="0"/>
          <w:numId w:val="2"/>
        </w:numPr>
        <w:rPr/>
      </w:pPr>
      <w:bookmarkStart w:id="215" w:name="__RefHeading___Toc297355_1346298689"/>
      <w:bookmarkEnd w:id="215"/>
      <w:r>
        <w:rPr/>
        <w:t>II D Národní panely: Itálie</w:t>
      </w:r>
    </w:p>
    <w:p>
      <w:pPr>
        <w:pStyle w:val="P68B1DB1Normal70"/>
        <w:spacing w:lineRule="auto" w:line="240"/>
        <w:jc w:val="center"/>
        <w:rPr/>
      </w:pPr>
      <w:r>
        <w:rPr/>
        <w:t xml:space="preserve">Panel občanů předloží doporučení pro konferenci o budoucnosti Evropy ve dnech 11.–12. března 2022 </w:t>
      </w:r>
    </w:p>
    <w:p>
      <w:pPr>
        <w:pStyle w:val="P68B1DB1Normal71"/>
        <w:widowControl w:val="false"/>
        <w:spacing w:lineRule="exact" w:line="916" w:before="147" w:after="0"/>
        <w:ind w:left="2234" w:right="0" w:hanging="0"/>
        <w:jc w:val="left"/>
        <w:rPr>
          <w:rFonts w:ascii="Arial" w:hAnsi="Arial"/>
          <w:color w:val="BD1271"/>
          <w:sz w:val="56"/>
        </w:rPr>
      </w:pPr>
      <w:r>
        <w:rPr/>
        <w:t xml:space="preserve">Souhrnná zpráva </w:t>
      </w:r>
    </w:p>
    <w:p>
      <w:pPr>
        <w:pStyle w:val="Normal"/>
        <w:widowControl w:val="false"/>
        <w:spacing w:lineRule="exact" w:line="719" w:before="216" w:after="0"/>
        <w:ind w:left="4819" w:right="0" w:hanging="0"/>
        <w:jc w:val="left"/>
        <w:rPr/>
      </w:pPr>
      <w:r>
        <w:rPr>
          <w:color w:val="BD1271"/>
          <w:sz w:val="44"/>
        </w:rPr>
        <w:t xml:space="preserve"> </w:t>
      </w:r>
      <w:r>
        <w:rPr>
          <w:color w:val="000000"/>
          <w:sz w:val="32"/>
        </w:rPr>
        <w:t>Řím 16. března 2022</w:t>
      </w:r>
    </w:p>
    <w:p>
      <w:pPr>
        <w:pStyle w:val="P68B1DB1Normal72"/>
        <w:widowControl w:val="false"/>
        <w:spacing w:lineRule="exact" w:line="719" w:before="216" w:after="0"/>
        <w:ind w:left="4819" w:right="0" w:hanging="0"/>
        <w:jc w:val="left"/>
        <w:rPr>
          <w:rFonts w:ascii="Arial" w:hAnsi="Arial"/>
          <w:color w:val="BD1271"/>
          <w:sz w:val="44"/>
        </w:rPr>
      </w:pPr>
      <w:r>
        <w:rPr>
          <w:color w:val="BD1271"/>
          <w:sz w:val="44"/>
        </w:rPr>
        <w:drawing>
          <wp:anchor behindDoc="0" distT="0" distB="0" distL="0" distR="0" simplePos="0" locked="0" layoutInCell="1" allowOverlap="1" relativeHeight="41">
            <wp:simplePos x="0" y="0"/>
            <wp:positionH relativeFrom="column">
              <wp:posOffset>50800</wp:posOffset>
            </wp:positionH>
            <wp:positionV relativeFrom="paragraph">
              <wp:posOffset>155575</wp:posOffset>
            </wp:positionV>
            <wp:extent cx="810895" cy="956310"/>
            <wp:effectExtent l="0" t="0" r="0" b="0"/>
            <wp:wrapSquare wrapText="largest"/>
            <wp:docPr id="99" name="Fotografie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Fotografie42" descr=""/>
                    <pic:cNvPicPr>
                      <a:picLocks noChangeAspect="1" noChangeArrowheads="1"/>
                    </pic:cNvPicPr>
                  </pic:nvPicPr>
                  <pic:blipFill>
                    <a:blip r:embed="rId102"/>
                    <a:stretch>
                      <a:fillRect/>
                    </a:stretch>
                  </pic:blipFill>
                  <pic:spPr bwMode="auto">
                    <a:xfrm>
                      <a:off x="0" y="0"/>
                      <a:ext cx="810895" cy="956310"/>
                    </a:xfrm>
                    <a:prstGeom prst="rect">
                      <a:avLst/>
                    </a:prstGeom>
                  </pic:spPr>
                </pic:pic>
              </a:graphicData>
            </a:graphic>
          </wp:anchor>
        </w:drawing>
      </w:r>
    </w:p>
    <w:p>
      <w:pPr>
        <w:pStyle w:val="Normal"/>
        <w:spacing w:lineRule="auto" w:line="240"/>
        <w:rPr/>
      </w:pPr>
      <w:r>
        <w:rPr/>
      </w:r>
    </w:p>
    <w:p>
      <w:pPr>
        <w:pStyle w:val="Normal"/>
        <w:spacing w:lineRule="auto" w:line="240"/>
        <w:rPr/>
      </w:pPr>
      <w:r>
        <w:rPr/>
      </w:r>
      <w:r>
        <w:br w:type="page"/>
      </w:r>
    </w:p>
    <w:sdt>
      <w:sdtPr>
        <w:docPartObj>
          <w:docPartGallery w:val="Table of Contents"/>
          <w:docPartUnique w:val="true"/>
        </w:docPartObj>
      </w:sdtPr>
      <w:sdtContent>
        <w:p>
          <w:pPr>
            <w:pStyle w:val="TOAHeading"/>
            <w:rPr/>
          </w:pPr>
          <w:r>
            <w:rPr/>
            <w:t>Tabulka obsahu</w:t>
          </w:r>
        </w:p>
        <w:p>
          <w:pPr>
            <w:pStyle w:val="Tabledesmatiresniveau1"/>
            <w:rPr/>
          </w:pPr>
          <w:r>
            <w:fldChar w:fldCharType="begin"/>
          </w:r>
          <w:r>
            <w:rPr>
              <w:rStyle w:val="Sautdindex"/>
            </w:rPr>
            <w:instrText> TOC \f \o "1-4" \h</w:instrText>
          </w:r>
          <w:r>
            <w:rPr>
              <w:rStyle w:val="Sautdindex"/>
            </w:rPr>
            <w:fldChar w:fldCharType="separate"/>
          </w:r>
          <w:hyperlink w:anchor="__RefHeading___Toc297355_1346298689">
            <w:r>
              <w:rPr>
                <w:rStyle w:val="Sautdindex"/>
              </w:rPr>
              <w:t>II D Panels nationaux : Italie</w:t>
              <w:tab/>
              <w:t>227</w:t>
            </w:r>
          </w:hyperlink>
        </w:p>
        <w:p>
          <w:pPr>
            <w:pStyle w:val="Tabledesmatiresniveau2"/>
            <w:tabs>
              <w:tab w:val="right" w:pos="9638" w:leader="dot"/>
            </w:tabs>
            <w:rPr/>
          </w:pPr>
          <w:hyperlink w:anchor="__RefHeading___Toc300308_1346298689">
            <w:r>
              <w:rPr>
                <w:rStyle w:val="Sautdindex"/>
              </w:rPr>
              <w:t>1. Principes directeurs du processus d'organisation du panel</w:t>
              <w:tab/>
              <w:t>229</w:t>
            </w:r>
          </w:hyperlink>
        </w:p>
        <w:p>
          <w:pPr>
            <w:pStyle w:val="Tabledesmatiresniveau2"/>
            <w:tabs>
              <w:tab w:val="right" w:pos="9638" w:leader="dot"/>
            </w:tabs>
            <w:rPr/>
          </w:pPr>
          <w:hyperlink w:anchor="__RefHeading___Toc300310_1346298689">
            <w:r>
              <w:rPr>
                <w:rStyle w:val="Sautdindex"/>
              </w:rPr>
              <w:t>2. Sélection des participants et modalité de participation</w:t>
              <w:tab/>
              <w:t>230</w:t>
            </w:r>
          </w:hyperlink>
        </w:p>
        <w:p>
          <w:pPr>
            <w:pStyle w:val="Tabledesmatiresniveau2"/>
            <w:tabs>
              <w:tab w:val="right" w:pos="9638" w:leader="dot"/>
            </w:tabs>
            <w:rPr/>
          </w:pPr>
          <w:hyperlink w:anchor="__RefHeading___Toc300312_1346298689">
            <w:r>
              <w:rPr>
                <w:rStyle w:val="Sautdindex"/>
              </w:rPr>
              <w:t>3. Organisation du panel</w:t>
              <w:tab/>
              <w:t>233</w:t>
            </w:r>
          </w:hyperlink>
        </w:p>
        <w:p>
          <w:pPr>
            <w:pStyle w:val="Tabledesmatiresniveau2"/>
            <w:tabs>
              <w:tab w:val="right" w:pos="9638" w:leader="dot"/>
            </w:tabs>
            <w:rPr/>
          </w:pPr>
          <w:hyperlink w:anchor="__RefHeading___Toc300314_1346298689">
            <w:r>
              <w:rPr>
                <w:rStyle w:val="Sautdindex"/>
              </w:rPr>
              <w:t>4. Programme de travail</w:t>
              <w:tab/>
              <w:t>233</w:t>
            </w:r>
          </w:hyperlink>
        </w:p>
        <w:p>
          <w:pPr>
            <w:pStyle w:val="Tabledesmatiresniveau2"/>
            <w:tabs>
              <w:tab w:val="right" w:pos="9638" w:leader="dot"/>
            </w:tabs>
            <w:rPr/>
          </w:pPr>
          <w:hyperlink w:anchor="__RefHeading___Toc300316_1346298689">
            <w:r>
              <w:rPr>
                <w:rStyle w:val="Sautdindex"/>
              </w:rPr>
              <w:t>5. Recommandations formulées</w:t>
              <w:tab/>
              <w:t>235</w:t>
            </w:r>
          </w:hyperlink>
        </w:p>
        <w:p>
          <w:pPr>
            <w:pStyle w:val="Tabledesmatiresniveau3"/>
            <w:tabs>
              <w:tab w:val="right" w:pos="9638" w:leader="dot"/>
            </w:tabs>
            <w:rPr/>
          </w:pPr>
          <w:hyperlink w:anchor="__RefHeading___Toc300318_1346298689">
            <w:r>
              <w:rPr>
                <w:rStyle w:val="Sautdindex"/>
              </w:rPr>
              <w:t>Une économie plus forte, justice sociale et emploi</w:t>
              <w:tab/>
              <w:t>235</w:t>
            </w:r>
          </w:hyperlink>
        </w:p>
        <w:p>
          <w:pPr>
            <w:pStyle w:val="Tabledesmatiresniveau4"/>
            <w:tabs>
              <w:tab w:val="right" w:pos="9638" w:leader="dot"/>
            </w:tabs>
            <w:rPr/>
          </w:pPr>
          <w:hyperlink w:anchor="__RefHeading___Toc300428_1346298689">
            <w:r>
              <w:rPr>
                <w:rStyle w:val="Sautdindex"/>
              </w:rPr>
              <w:t>1. Dépasser le modèle de production du siècle passé</w:t>
              <w:tab/>
              <w:t>235</w:t>
            </w:r>
          </w:hyperlink>
        </w:p>
        <w:p>
          <w:pPr>
            <w:pStyle w:val="Tabledesmatiresniveau4"/>
            <w:tabs>
              <w:tab w:val="right" w:pos="9638" w:leader="dot"/>
            </w:tabs>
            <w:rPr/>
          </w:pPr>
          <w:hyperlink w:anchor="__RefHeading___Toc300430_1346298689">
            <w:r>
              <w:rPr>
                <w:rStyle w:val="Sautdindex"/>
              </w:rPr>
              <w:t>2. Règlements génératifs et inclusifs en matière de production</w:t>
              <w:tab/>
              <w:t>235</w:t>
            </w:r>
          </w:hyperlink>
        </w:p>
        <w:p>
          <w:pPr>
            <w:pStyle w:val="Tabledesmatiresniveau4"/>
            <w:tabs>
              <w:tab w:val="right" w:pos="9638" w:leader="dot"/>
            </w:tabs>
            <w:rPr/>
          </w:pPr>
          <w:hyperlink w:anchor="__RefHeading___Toc300432_1346298689">
            <w:r>
              <w:rPr>
                <w:rStyle w:val="Sautdindex"/>
              </w:rPr>
              <w:t>3. Mesurer la croissance à l'aune du bonheur au sein de la population plutôt que de la quantité de produits</w:t>
              <w:tab/>
              <w:t>236</w:t>
            </w:r>
          </w:hyperlink>
        </w:p>
        <w:p>
          <w:pPr>
            <w:pStyle w:val="Tabledesmatiresniveau4"/>
            <w:tabs>
              <w:tab w:val="right" w:pos="9638" w:leader="dot"/>
            </w:tabs>
            <w:rPr/>
          </w:pPr>
          <w:hyperlink w:anchor="__RefHeading___Toc300434_1346298689">
            <w:r>
              <w:rPr>
                <w:rStyle w:val="Sautdindex"/>
              </w:rPr>
              <w:t>4. Une plus grande intégration parmi les États</w:t>
              <w:tab/>
              <w:t>237</w:t>
            </w:r>
          </w:hyperlink>
        </w:p>
        <w:p>
          <w:pPr>
            <w:pStyle w:val="Tabledesmatiresniveau4"/>
            <w:tabs>
              <w:tab w:val="right" w:pos="9638" w:leader="dot"/>
            </w:tabs>
            <w:rPr/>
          </w:pPr>
          <w:hyperlink w:anchor="__RefHeading___Toc300436_1346298689">
            <w:r>
              <w:rPr>
                <w:rStyle w:val="Sautdindex"/>
              </w:rPr>
              <w:t>5. Politiques d'inclusion</w:t>
              <w:tab/>
              <w:t>238</w:t>
            </w:r>
          </w:hyperlink>
        </w:p>
        <w:p>
          <w:pPr>
            <w:pStyle w:val="Tabledesmatiresniveau4"/>
            <w:tabs>
              <w:tab w:val="right" w:pos="9638" w:leader="dot"/>
            </w:tabs>
            <w:rPr/>
          </w:pPr>
          <w:hyperlink w:anchor="__RefHeading___Toc300438_1346298689">
            <w:r>
              <w:rPr>
                <w:rStyle w:val="Sautdindex"/>
              </w:rPr>
              <w:t>6. Emploi</w:t>
              <w:tab/>
              <w:t>239</w:t>
            </w:r>
          </w:hyperlink>
        </w:p>
        <w:p>
          <w:pPr>
            <w:pStyle w:val="Tabledesmatiresniveau3"/>
            <w:tabs>
              <w:tab w:val="right" w:pos="9638" w:leader="dot"/>
            </w:tabs>
            <w:rPr/>
          </w:pPr>
          <w:hyperlink w:anchor="__RefHeading___Toc300320_1346298689">
            <w:r>
              <w:rPr>
                <w:rStyle w:val="Sautdindex"/>
              </w:rPr>
              <w:t xml:space="preserve"> </w:t>
            </w:r>
            <w:r>
              <w:rPr>
                <w:rStyle w:val="Sautdindex"/>
              </w:rPr>
              <w:t>L'Europe dans le monde</w:t>
              <w:tab/>
              <w:t>240</w:t>
            </w:r>
          </w:hyperlink>
        </w:p>
        <w:p>
          <w:pPr>
            <w:pStyle w:val="Tabledesmatiresniveau4"/>
            <w:tabs>
              <w:tab w:val="right" w:pos="9638" w:leader="dot"/>
            </w:tabs>
            <w:rPr/>
          </w:pPr>
          <w:hyperlink w:anchor="__RefHeading___Toc300440_1346298689">
            <w:r>
              <w:rPr>
                <w:rStyle w:val="Sautdindex"/>
              </w:rPr>
              <w:t>1. Renforcer l'identité européenne</w:t>
              <w:tab/>
              <w:t>240</w:t>
            </w:r>
          </w:hyperlink>
        </w:p>
        <w:p>
          <w:pPr>
            <w:pStyle w:val="Tabledesmatiresniveau4"/>
            <w:tabs>
              <w:tab w:val="right" w:pos="9638" w:leader="dot"/>
            </w:tabs>
            <w:rPr/>
          </w:pPr>
          <w:hyperlink w:anchor="__RefHeading___Toc300442_1346298689">
            <w:r>
              <w:rPr>
                <w:rStyle w:val="Sautdindex"/>
              </w:rPr>
              <w:t>2. Renforcer l'économie et les institutions</w:t>
              <w:tab/>
              <w:t>240</w:t>
            </w:r>
          </w:hyperlink>
        </w:p>
        <w:p>
          <w:pPr>
            <w:pStyle w:val="Tabledesmatiresniveau4"/>
            <w:tabs>
              <w:tab w:val="right" w:pos="9638" w:leader="dot"/>
            </w:tabs>
            <w:rPr/>
          </w:pPr>
          <w:hyperlink w:anchor="__RefHeading___Toc300444_1346298689">
            <w:r>
              <w:rPr>
                <w:rStyle w:val="Sautdindex"/>
              </w:rPr>
              <w:t>3. Coopération et partenariats</w:t>
              <w:tab/>
              <w:t>241</w:t>
            </w:r>
          </w:hyperlink>
        </w:p>
        <w:p>
          <w:pPr>
            <w:pStyle w:val="Tabledesmatiresniveau4"/>
            <w:tabs>
              <w:tab w:val="right" w:pos="9638" w:leader="dot"/>
            </w:tabs>
            <w:rPr/>
          </w:pPr>
          <w:hyperlink w:anchor="__RefHeading___Toc300446_1346298689">
            <w:r>
              <w:rPr>
                <w:rStyle w:val="Sautdindex"/>
              </w:rPr>
              <w:t>4. Référence politique et culturelle</w:t>
              <w:tab/>
              <w:t>242</w:t>
            </w:r>
          </w:hyperlink>
        </w:p>
        <w:p>
          <w:pPr>
            <w:pStyle w:val="Tabledesmatiresniveau2"/>
            <w:tabs>
              <w:tab w:val="right" w:pos="9638" w:leader="dot"/>
            </w:tabs>
            <w:rPr/>
          </w:pPr>
          <w:hyperlink w:anchor="__RefHeading___Toc300322_1346298689">
            <w:r>
              <w:rPr>
                <w:rStyle w:val="Sautdindex"/>
              </w:rPr>
              <w:t>6. Évaluation finale par les participants</w:t>
              <w:tab/>
              <w:t>242</w:t>
            </w:r>
          </w:hyperlink>
        </w:p>
      </w:sdtContent>
    </w:sdt>
    <w:p>
      <w:pPr>
        <w:pStyle w:val="Normal"/>
        <w:spacing w:lineRule="auto" w:line="240"/>
        <w:rPr>
          <w:rFonts w:ascii="Calibri" w:hAnsi="Calibri"/>
          <w:color w:val="0000FF"/>
          <w:sz w:val="22"/>
        </w:rPr>
      </w:pPr>
      <w:r>
        <w:rPr>
          <w:rFonts w:ascii="Calibri" w:hAnsi="Calibri"/>
          <w:color w:val="0000FF"/>
          <w:sz w:val="22"/>
        </w:rPr>
      </w:r>
      <w:r>
        <w:rPr>
          <w:sz w:val="22"/>
          <w:rFonts w:ascii="Calibri" w:hAnsi="Calibri"/>
        </w:rPr>
        <w:fldChar w:fldCharType="end"/>
      </w:r>
      <w:r>
        <w:br w:type="page"/>
      </w:r>
    </w:p>
    <w:p>
      <w:pPr>
        <w:pStyle w:val="P68B1DB1Titre273"/>
        <w:numPr>
          <w:ilvl w:val="0"/>
          <w:numId w:val="2"/>
        </w:numPr>
        <w:rPr/>
      </w:pPr>
      <w:bookmarkStart w:id="216" w:name="__RefHeading___Toc300308_1346298689"/>
      <w:bookmarkEnd w:id="216"/>
      <w:r>
        <w:rPr/>
        <w:t xml:space="preserve">1. Hlavní zásady pro proces organizování panelu </w:t>
      </w:r>
    </w:p>
    <w:p>
      <w:pPr>
        <w:pStyle w:val="P68B1DB1Normal34"/>
        <w:widowControl w:val="false"/>
        <w:spacing w:lineRule="auto" w:line="240"/>
        <w:ind w:left="0" w:right="0" w:hanging="0"/>
        <w:jc w:val="left"/>
        <w:rPr/>
      </w:pPr>
      <w:r>
        <w:rPr/>
        <w:t xml:space="preserve"> </w:t>
      </w:r>
      <w:r>
        <w:rPr/>
        <w:t xml:space="preserve">Celý proces provádění panelu byl navržen tak, aby byl v souladu s pokyny obsaženými v pokynech pro vnitrostátní panely občanů v souvislosti s konferencí o budoucnosti Evropy. Konkrétněji: </w:t>
      </w:r>
    </w:p>
    <w:p>
      <w:pPr>
        <w:pStyle w:val="Normal"/>
        <w:widowControl w:val="false"/>
        <w:spacing w:lineRule="auto" w:line="240" w:before="80" w:after="0"/>
        <w:ind w:left="360" w:right="0" w:hanging="0"/>
        <w:jc w:val="left"/>
        <w:rPr/>
      </w:pPr>
      <w:r>
        <w:rPr>
          <w:rFonts w:ascii="Symbol" w:hAnsi="Symbol"/>
          <w:color w:val="000000"/>
        </w:rPr>
        <w:t>•</w:t>
      </w:r>
      <w:r>
        <w:rPr>
          <w:color w:val="000000"/>
        </w:rPr>
        <w:t xml:space="preserve"> </w:t>
      </w:r>
      <w:r>
        <w:rPr>
          <w:b/>
          <w:color w:val="2E74B5"/>
        </w:rPr>
        <w:t>Účel:</w:t>
      </w:r>
      <w:r>
        <w:rPr>
          <w:b/>
          <w:color w:val="000000"/>
        </w:rPr>
        <w:t xml:space="preserve"> </w:t>
      </w:r>
    </w:p>
    <w:p>
      <w:pPr>
        <w:pStyle w:val="P68B1DB1Normal34"/>
        <w:widowControl w:val="false"/>
        <w:spacing w:lineRule="auto" w:line="240"/>
        <w:ind w:left="720" w:right="0" w:hanging="0"/>
        <w:jc w:val="left"/>
        <w:rPr/>
      </w:pPr>
      <w:r>
        <w:rPr/>
        <w:t xml:space="preserve">Všichni pozvaní k účasti v panelu vyplnili dotazník o účasti, který obsahoval cíle a účely projektu, se zvláštními odkazy na konferenci o budoucnosti Evropy, zahrnutá témata a podmínky účasti.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Průhlednost: </w:t>
      </w:r>
    </w:p>
    <w:p>
      <w:pPr>
        <w:pStyle w:val="P68B1DB1Normal34"/>
        <w:widowControl w:val="false"/>
        <w:spacing w:lineRule="auto" w:line="240"/>
        <w:ind w:left="720" w:right="0" w:hanging="0"/>
        <w:jc w:val="left"/>
        <w:rPr/>
      </w:pPr>
      <w:r>
        <w:rPr/>
        <w:t xml:space="preserve">Všechny dokumenty, které iniciativu prezentovaly, byly účastníkům zpřístupněny různými způsoby, přičemž vždy odkazovaly na oficiální internetové stránky konference. Dokumenty byly zaslány e-mailem všem účastníkům.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Inkluzivnost: </w:t>
      </w:r>
    </w:p>
    <w:p>
      <w:pPr>
        <w:pStyle w:val="P68B1DB1Normal75"/>
        <w:widowControl w:val="false"/>
        <w:spacing w:lineRule="auto" w:line="240"/>
        <w:ind w:left="708" w:right="0" w:hanging="0"/>
        <w:jc w:val="left"/>
        <w:rPr/>
      </w:pPr>
      <w:r>
        <w:rPr>
          <w:color w:val="000000"/>
        </w:rPr>
        <w:t xml:space="preserve">Výzva k účasti byla zaslána prostřednictvím různých kanálů: například e-mail členům komunity </w:t>
      </w:r>
      <w:r>
        <w:rPr>
          <w:color w:val="ED7D31"/>
        </w:rPr>
        <w:t>SWG</w:t>
      </w:r>
      <w:r>
        <w:rPr>
          <w:color w:val="000000"/>
        </w:rPr>
        <w:t xml:space="preserve"> a sdílet odkaz na formulář žádosti prostřednictvím Twitteru a LinkedIn. Výsledkem bylo celkem více než 400 přístupů k přihlášce a 245 přihlášek. (Náhodný) výběr účastníků byl proveden tak, aby byla zaručena přítomnost různých osob pohlaví, věku, sociálního původu, místa bydliště a profesního postavení.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Reprezentativnost: </w:t>
      </w:r>
    </w:p>
    <w:p>
      <w:pPr>
        <w:pStyle w:val="P68B1DB1Normal34"/>
        <w:widowControl w:val="false"/>
        <w:spacing w:lineRule="auto" w:line="240"/>
        <w:ind w:left="708" w:right="0" w:hanging="0"/>
        <w:jc w:val="left"/>
        <w:rPr/>
      </w:pPr>
      <w:r>
        <w:rPr/>
        <w:t xml:space="preserve">Ačkoli velikost vzorku není ve statistickém smyslu reprezentativní, vzorek byl navržen tak, aby se dosáhlo maximální heterogenity mezi účastníky za účelem reprodukce mikrokosmu cílové skupiny.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Informace: </w:t>
      </w:r>
    </w:p>
    <w:p>
      <w:pPr>
        <w:pStyle w:val="Normal"/>
        <w:widowControl w:val="false"/>
        <w:spacing w:lineRule="auto" w:line="240"/>
        <w:ind w:left="720" w:right="0" w:hanging="0"/>
        <w:jc w:val="left"/>
        <w:rPr/>
      </w:pPr>
      <w:r>
        <w:rPr>
          <w:color w:val="000000"/>
        </w:rPr>
        <w:t xml:space="preserve">Všichni účastníci obdrželi širokou škálu informací o konferenci a tématech diskutovaných v rámci panelu. Cíle a podmínky projektu byly účastníkům úvodní části připomenuty v souladu se zásadami neutrality a úplnosti. Všem účastníkům byla dána možnost požádat o další informace a podrobnosti o akci prostřednictvím přímých telefonních čísel projektových manažerů v rámci </w:t>
      </w:r>
      <w:r>
        <w:rPr>
          <w:color w:val="ED7D31"/>
        </w:rPr>
        <w:t>SWG</w:t>
      </w:r>
      <w:r>
        <w:rPr>
          <w:color w:val="000000"/>
        </w:rPr>
        <w:t xml:space="preserve">.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Diskusní skupiny: </w:t>
      </w:r>
    </w:p>
    <w:p>
      <w:pPr>
        <w:pStyle w:val="P68B1DB1Normal76"/>
        <w:widowControl w:val="false"/>
        <w:spacing w:lineRule="auto" w:line="240"/>
        <w:ind w:left="720" w:right="0" w:hanging="0"/>
        <w:jc w:val="left"/>
        <w:rPr/>
      </w:pPr>
      <w:r>
        <w:rPr/>
        <w:t xml:space="preserve">Hlavním cílem celého procesu bylo formulovat konkrétní doporučení, která účastníci široce sdílejí a která mají být adresována Evropské unii. Způsob organizace práce a vedení skupin vyústil v proces zaměřený na sběr indikací účastníků, jejich zpracování a syntézu, jakož i na jejich ověřování a validaci samotnými skupinami během následujícího pracovního zasedání.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Kalendář: </w:t>
      </w:r>
    </w:p>
    <w:p>
      <w:pPr>
        <w:pStyle w:val="P68B1DB1Normal76"/>
        <w:widowControl w:val="false"/>
        <w:spacing w:lineRule="auto" w:line="240"/>
        <w:ind w:left="720" w:right="0" w:hanging="0"/>
        <w:jc w:val="left"/>
        <w:rPr/>
      </w:pPr>
      <w:r>
        <w:rPr/>
        <w:t xml:space="preserve">Během pracovních zasedání byla vytvořena uvolněná atmosféra, která účastníkům poskytovala veškerý čas potřebný k prohloubení témat, na něž byli pozváni, aby se zabývali, vyjádřili své názory a naslouchali názorům ostatních. Ze stejného důvodu bylo rozhodnuto rozdělit obě hlavní skupiny do dvou podskupin. Kromě toho byla práce rozložena do dvou dnů, aby bylo možné založit formulované myšlenky. </w:t>
      </w:r>
    </w:p>
    <w:p>
      <w:pPr>
        <w:pStyle w:val="Normal"/>
        <w:widowControl w:val="false"/>
        <w:spacing w:lineRule="auto" w:line="240"/>
        <w:ind w:left="360" w:right="0" w:hanging="0"/>
        <w:jc w:val="left"/>
        <w:rPr/>
      </w:pPr>
      <w:r>
        <w:rPr>
          <w:rFonts w:ascii="Symbol" w:hAnsi="Symbol"/>
          <w:color w:val="000000"/>
        </w:rPr>
        <w:t>•</w:t>
      </w:r>
      <w:r>
        <w:rPr>
          <w:color w:val="000000"/>
        </w:rPr>
        <w:t xml:space="preserve"> </w:t>
      </w:r>
      <w:r>
        <w:rPr>
          <w:b/>
          <w:color w:val="2E74B5"/>
        </w:rPr>
        <w:t>Následná opatření:</w:t>
      </w:r>
      <w:r>
        <w:rPr>
          <w:color w:val="000000"/>
        </w:rPr>
        <w:t xml:space="preserve"> </w:t>
      </w:r>
    </w:p>
    <w:p>
      <w:pPr>
        <w:pStyle w:val="P68B1DB1Normal76"/>
        <w:widowControl w:val="false"/>
        <w:spacing w:lineRule="auto" w:line="240"/>
        <w:ind w:left="720" w:right="0" w:hanging="0"/>
        <w:jc w:val="left"/>
        <w:rPr/>
      </w:pPr>
      <w:r>
        <w:rPr/>
        <w:t xml:space="preserve">Poslední den provedly všechny skupiny ověření a validaci prvního návrhu doporučení učiněného během první fáze práce. Jakmile byla zpráva o výsledcích předložena evropské tematické sekci předsednictví Rady ministrů a její zmocnění, bylo konečné znění doporučení předáno všem účastníkům panelu. V každém případě byli účastníci vyzváni, aby pokračovali ve sledování činnosti konference na internetových stránkách a prostřednictvím aktualizací, které mají být zveřejněny.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Integrita: </w:t>
      </w:r>
    </w:p>
    <w:p>
      <w:pPr>
        <w:pStyle w:val="Normal"/>
        <w:widowControl w:val="false"/>
        <w:spacing w:lineRule="auto" w:line="240"/>
        <w:ind w:left="720" w:right="0" w:hanging="0"/>
        <w:jc w:val="left"/>
        <w:rPr/>
      </w:pPr>
      <w:r>
        <w:rPr>
          <w:color w:val="000000"/>
        </w:rPr>
        <w:t xml:space="preserve">Celý pracovní proces byl prováděn nezávisle </w:t>
      </w:r>
      <w:r>
        <w:rPr>
          <w:color w:val="ED7D31"/>
        </w:rPr>
        <w:t>SWG</w:t>
      </w:r>
      <w:r>
        <w:rPr>
          <w:color w:val="000000"/>
        </w:rPr>
        <w:t xml:space="preserve"> v závislosti na přijaté misi. O různých fázích iniciativy a výsledcích byla průběžně informována evropská tematická sekce předsednictví Rady ministrů. </w:t>
      </w:r>
    </w:p>
    <w:p>
      <w:pPr>
        <w:pStyle w:val="P68B1DB1Normal74"/>
        <w:widowControl w:val="false"/>
        <w:spacing w:lineRule="auto" w:line="240"/>
        <w:ind w:left="361" w:right="0" w:hanging="0"/>
        <w:jc w:val="left"/>
        <w:rPr/>
      </w:pPr>
      <w:r>
        <w:rPr>
          <w:rFonts w:ascii="Symbol" w:hAnsi="Symbol"/>
        </w:rPr>
        <w:t>•</w:t>
      </w:r>
      <w:r>
        <w:rPr/>
        <w:t xml:space="preserve"> </w:t>
      </w:r>
      <w:r>
        <w:rPr>
          <w:b/>
        </w:rPr>
        <w:t xml:space="preserve">Ochrana soukromí: </w:t>
      </w:r>
    </w:p>
    <w:p>
      <w:pPr>
        <w:pStyle w:val="P68B1DB1Normal76"/>
        <w:widowControl w:val="false"/>
        <w:spacing w:lineRule="auto" w:line="240"/>
        <w:ind w:left="721" w:right="0" w:hanging="0"/>
        <w:jc w:val="left"/>
        <w:rPr/>
      </w:pPr>
      <w:r>
        <w:rPr/>
        <w:t xml:space="preserve">Soukromí účastníků bylo plně zaručeno. Aby byli způsobilí k účasti v porotě, museli všichni uchazeči podepsat formulář informovaného souhlasu, který vyžaduje zákon. </w:t>
      </w:r>
    </w:p>
    <w:p>
      <w:pPr>
        <w:pStyle w:val="P68B1DB1Normal74"/>
        <w:widowControl w:val="false"/>
        <w:spacing w:lineRule="auto" w:line="240"/>
        <w:ind w:left="361" w:right="0" w:hanging="0"/>
        <w:jc w:val="left"/>
        <w:rPr/>
      </w:pPr>
      <w:r>
        <w:rPr>
          <w:rFonts w:ascii="Symbol" w:hAnsi="Symbol"/>
        </w:rPr>
        <w:t>•</w:t>
      </w:r>
      <w:r>
        <w:rPr/>
        <w:t xml:space="preserve"> </w:t>
      </w:r>
      <w:r>
        <w:rPr>
          <w:b/>
        </w:rPr>
        <w:t xml:space="preserve">Hodnocení: </w:t>
      </w:r>
    </w:p>
    <w:p>
      <w:pPr>
        <w:pStyle w:val="P68B1DB1Normal76"/>
        <w:widowControl w:val="false"/>
        <w:spacing w:lineRule="auto" w:line="240"/>
        <w:ind w:left="721" w:right="0" w:hanging="0"/>
        <w:jc w:val="left"/>
        <w:rPr>
          <w:rFonts w:ascii="Arial" w:hAnsi="Arial"/>
          <w:color w:val="000000"/>
          <w:sz w:val="22"/>
        </w:rPr>
      </w:pPr>
      <w:r>
        <w:rPr/>
        <w:t xml:space="preserve">Na konci procesu byl všem účastníkům zaslán dotazník k posouzení jejich zkušeností. Výsledky jsou shrnuty v této zprávě. </w:t>
      </w:r>
    </w:p>
    <w:p>
      <w:pPr>
        <w:pStyle w:val="P68B1DB1Titre277"/>
        <w:numPr>
          <w:ilvl w:val="0"/>
          <w:numId w:val="2"/>
        </w:numPr>
        <w:rPr>
          <w:color w:val="BD1271"/>
        </w:rPr>
      </w:pPr>
      <w:bookmarkStart w:id="217" w:name="__RefHeading___Toc300310_1346298689"/>
      <w:bookmarkEnd w:id="217"/>
      <w:r>
        <w:rPr/>
        <w:t xml:space="preserve">2. Výběr účastníků a způsob účasti </w:t>
      </w:r>
    </w:p>
    <w:p>
      <w:pPr>
        <w:pStyle w:val="P68B1DB1Normal74"/>
        <w:widowControl w:val="false"/>
        <w:spacing w:lineRule="auto" w:line="240" w:before="208" w:after="0"/>
        <w:ind w:left="0" w:right="0" w:hanging="0"/>
        <w:jc w:val="left"/>
        <w:rPr>
          <w:rFonts w:ascii="Arial" w:hAnsi="Arial"/>
          <w:color w:val="2E74B5"/>
          <w:sz w:val="22"/>
        </w:rPr>
      </w:pPr>
      <w:r>
        <w:rPr/>
        <w:t xml:space="preserve">Výběr </w:t>
      </w:r>
    </w:p>
    <w:p>
      <w:pPr>
        <w:pStyle w:val="P68B1DB1Normal76"/>
        <w:widowControl w:val="false"/>
        <w:spacing w:lineRule="auto" w:line="240" w:before="90" w:after="0"/>
        <w:ind w:left="0" w:right="6" w:hanging="0"/>
        <w:jc w:val="left"/>
        <w:rPr/>
      </w:pPr>
      <w:r>
        <w:rPr/>
        <w:t xml:space="preserve">Cílem komunikační fáze před akcí bylo vybrat nejméně 50 italských občanů, kteří mají zájem o účast na iniciativě. </w:t>
      </w:r>
    </w:p>
    <w:p>
      <w:pPr>
        <w:pStyle w:val="Normal"/>
        <w:widowControl w:val="false"/>
        <w:spacing w:lineRule="auto" w:line="240" w:before="90" w:after="0"/>
        <w:ind w:left="0" w:right="4" w:hanging="0"/>
        <w:jc w:val="both"/>
        <w:rPr/>
      </w:pPr>
      <w:r>
        <w:rPr>
          <w:color w:val="000000"/>
        </w:rPr>
        <w:t xml:space="preserve">Za tímto účelem byl vytvořen krátký formulář pro vlastní podání žádosti ve formě dotazníku, který má být vyplněn on-line na platformě </w:t>
      </w:r>
      <w:r>
        <w:rPr>
          <w:color w:val="ED7D31"/>
        </w:rPr>
        <w:t>SWG</w:t>
      </w:r>
      <w:r>
        <w:rPr>
          <w:color w:val="000000"/>
        </w:rPr>
        <w:t xml:space="preserve">a jehož prostřednictvím se mohli přihlásit všichni zájemci o účast na iniciativě s uvedením údajů, které je třeba vložit do skupin, z nichž byli účastníci náhodně vybráni. Nezbytnými podmínkami pro účast byly: mít připojení k internetu, zařízení vybavené mikrofonem a videokamerou, stejně jako podepsat chartu konference. </w:t>
      </w:r>
    </w:p>
    <w:p>
      <w:pPr>
        <w:pStyle w:val="Normal"/>
        <w:widowControl w:val="false"/>
        <w:spacing w:lineRule="auto" w:line="240" w:before="90" w:after="0"/>
        <w:ind w:left="0" w:right="3" w:hanging="0"/>
        <w:jc w:val="left"/>
        <w:rPr/>
      </w:pPr>
      <w:r>
        <w:drawing>
          <wp:anchor behindDoc="0" distT="0" distB="0" distL="0" distR="0" simplePos="0" locked="0" layoutInCell="1" allowOverlap="1" relativeHeight="64">
            <wp:simplePos x="0" y="0"/>
            <wp:positionH relativeFrom="column">
              <wp:posOffset>58420</wp:posOffset>
            </wp:positionH>
            <wp:positionV relativeFrom="paragraph">
              <wp:posOffset>1365885</wp:posOffset>
            </wp:positionV>
            <wp:extent cx="187960" cy="187960"/>
            <wp:effectExtent l="0" t="0" r="0" b="0"/>
            <wp:wrapSquare wrapText="largest"/>
            <wp:docPr id="100" name="Foto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Foto44" descr=""/>
                    <pic:cNvPicPr>
                      <a:picLocks noChangeAspect="1" noChangeArrowheads="1"/>
                    </pic:cNvPicPr>
                  </pic:nvPicPr>
                  <pic:blipFill>
                    <a:blip r:embed="rId103"/>
                    <a:stretch>
                      <a:fillRect/>
                    </a:stretch>
                  </pic:blipFill>
                  <pic:spPr bwMode="auto">
                    <a:xfrm>
                      <a:off x="0" y="0"/>
                      <a:ext cx="187960" cy="187960"/>
                    </a:xfrm>
                    <a:prstGeom prst="rect">
                      <a:avLst/>
                    </a:prstGeom>
                  </pic:spPr>
                </pic:pic>
              </a:graphicData>
            </a:graphic>
          </wp:anchor>
        </w:drawing>
        <w:drawing>
          <wp:anchor behindDoc="0" distT="0" distB="0" distL="0" distR="0" simplePos="0" locked="0" layoutInCell="1" allowOverlap="1" relativeHeight="78">
            <wp:simplePos x="0" y="0"/>
            <wp:positionH relativeFrom="column">
              <wp:posOffset>49530</wp:posOffset>
            </wp:positionH>
            <wp:positionV relativeFrom="paragraph">
              <wp:posOffset>958850</wp:posOffset>
            </wp:positionV>
            <wp:extent cx="287020" cy="287020"/>
            <wp:effectExtent l="0" t="0" r="0" b="0"/>
            <wp:wrapSquare wrapText="largest"/>
            <wp:docPr id="101" name="Fotografie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Fotografie43" descr=""/>
                    <pic:cNvPicPr>
                      <a:picLocks noChangeAspect="1" noChangeArrowheads="1"/>
                    </pic:cNvPicPr>
                  </pic:nvPicPr>
                  <pic:blipFill>
                    <a:blip r:embed="rId104"/>
                    <a:stretch>
                      <a:fillRect/>
                    </a:stretch>
                  </pic:blipFill>
                  <pic:spPr bwMode="auto">
                    <a:xfrm>
                      <a:off x="0" y="0"/>
                      <a:ext cx="287020" cy="287020"/>
                    </a:xfrm>
                    <a:prstGeom prst="rect">
                      <a:avLst/>
                    </a:prstGeom>
                  </pic:spPr>
                </pic:pic>
              </a:graphicData>
            </a:graphic>
          </wp:anchor>
        </w:drawing>
      </w:r>
      <w:r>
        <w:rPr>
          <w:color w:val="000000"/>
        </w:rPr>
        <w:t>F</w:t>
      </w:r>
      <w:r>
        <w:rPr>
          <w:color w:val="000000"/>
        </w:rPr>
        <w:t>ormulář žádosti byl distribuován na sociálních sítích z účtů</w:t>
      </w:r>
      <w:r>
        <w:rPr>
          <w:color w:val="ED7D31"/>
        </w:rPr>
        <w:t>SWG</w:t>
      </w:r>
      <w:r>
        <w:rPr>
          <w:color w:val="000000"/>
        </w:rPr>
        <w:t xml:space="preserve">. Za tímto účelem bylo na Twitteru zveřejněno šest příspěvků a jeden na LinkedIn s následujícími výsledky: </w:t>
      </w:r>
    </w:p>
    <w:tbl>
      <w:tblPr>
        <w:tblW w:w="9638"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409"/>
        <w:gridCol w:w="2409"/>
        <w:gridCol w:w="2410"/>
        <w:gridCol w:w="2409"/>
      </w:tblGrid>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Sociální sítě</w:t>
            </w:r>
          </w:p>
        </w:tc>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Termíny</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Počet zobrazení</w:t>
            </w:r>
          </w:p>
        </w:tc>
        <w:tc>
          <w:tcPr>
            <w:tcW w:w="2409"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Přístup k přihlášce</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Na Twitteru</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6 pracovních míst mezi 8. a 10. březnem</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889</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31</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Nakladatelství</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1 místo 8. března</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410</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25</w:t>
            </w:r>
          </w:p>
        </w:tc>
      </w:tr>
    </w:tbl>
    <w:p>
      <w:pPr>
        <w:pStyle w:val="Normal"/>
        <w:rPr/>
      </w:pPr>
      <w:r>
        <w:rPr/>
      </w:r>
    </w:p>
    <w:p>
      <w:pPr>
        <w:pStyle w:val="Normal"/>
        <w:widowControl w:val="false"/>
        <w:spacing w:lineRule="exact" w:line="252" w:before="208" w:after="0"/>
        <w:ind w:left="0" w:right="3" w:hanging="0"/>
        <w:jc w:val="both"/>
        <w:rPr/>
      </w:pPr>
      <w:r>
        <w:rPr>
          <w:color w:val="000000"/>
        </w:rPr>
        <w:t xml:space="preserve">Současně byli členové </w:t>
      </w:r>
      <w:r>
        <w:rPr>
          <w:color w:val="ED7D31"/>
        </w:rPr>
        <w:t>skupiny SWG</w:t>
      </w:r>
      <w:r>
        <w:rPr>
          <w:color w:val="000000"/>
        </w:rPr>
        <w:t xml:space="preserve"> vyzváni, aby v souladu se strategií pozvání, jejímž cílem je zajistit maximální reprezentativnost italského obyvatelstva, a to nejen z hlediska sociálních charakteristik, ale také z hlediska myšlenek, kulturních směrů a hodnot. </w:t>
      </w:r>
    </w:p>
    <w:p>
      <w:pPr>
        <w:pStyle w:val="P68B1DB1Normal76"/>
        <w:widowControl w:val="false"/>
        <w:spacing w:lineRule="exact" w:line="253" w:before="71" w:after="0"/>
        <w:ind w:left="1" w:right="0" w:hanging="0"/>
        <w:jc w:val="both"/>
        <w:rPr/>
      </w:pPr>
      <w:r>
        <w:rPr/>
        <w:t xml:space="preserve">Žádosti mohly být podány mezi 8. březnem od 8:00 do 10. března 2022 v 16:00. Celkem bylo získáno 420 přístupů k přihlášce a 225 plných přihlášek. </w:t>
      </w:r>
    </w:p>
    <w:p>
      <w:pPr>
        <w:pStyle w:val="P68B1DB1Normal76"/>
        <w:widowControl w:val="false"/>
        <w:spacing w:lineRule="exact" w:line="253" w:before="67" w:after="0"/>
        <w:ind w:left="1" w:right="2" w:hanging="0"/>
        <w:jc w:val="both"/>
        <w:rPr/>
      </w:pPr>
      <w:r>
        <w:rPr/>
        <w:t xml:space="preserve">Celkem </w:t>
      </w:r>
      <w:r>
        <w:rPr>
          <w:b/>
        </w:rPr>
        <w:t>140</w:t>
      </w:r>
      <w:r>
        <w:rPr/>
        <w:t xml:space="preserve"> osob bylo skutečně způsobilých osob, z nichž 70 bylo vybráno na základě kritéria pro zajištění vyvážené přítomnosti z hlediska pohlaví, zeměpisného rozložení, věku a dosaženého vzdělání. </w:t>
      </w:r>
    </w:p>
    <w:p>
      <w:pPr>
        <w:pStyle w:val="P68B1DB1Normal76"/>
        <w:widowControl w:val="false"/>
        <w:spacing w:lineRule="exact" w:line="253" w:before="73" w:after="0"/>
        <w:ind w:left="1" w:right="1" w:hanging="0"/>
        <w:jc w:val="both"/>
        <w:rPr/>
      </w:pPr>
      <w:r>
        <w:rPr/>
        <w:t xml:space="preserve">V rámci výběrového řízení byla zvláštní pozornost věnována zásadě spravedlivé pravděpodobnosti při výběru účastníků spolu s postupy založenými na náhodném kritériu. </w:t>
      </w:r>
    </w:p>
    <w:p>
      <w:pPr>
        <w:pStyle w:val="P68B1DB1Normal76"/>
        <w:widowControl w:val="false"/>
        <w:spacing w:lineRule="exact" w:line="253" w:before="71" w:after="0"/>
        <w:ind w:left="1" w:right="0" w:hanging="0"/>
        <w:jc w:val="both"/>
        <w:rPr/>
      </w:pPr>
      <w:r>
        <w:rPr/>
        <w:t xml:space="preserve">Náhodná povaha výběru byla ústředním prvkem projektu, aby byla zajištěna spravedlnost procesu přístupu. V duchu iniciativy se však zdálo, že je důležité zavést strategii zaměřenou nejen na zapojení co největšího počtu lidí, ale také na zajištění maximální různorodosti vybraných lidí s cílem podpořit maximální inkluzivnost. </w:t>
      </w:r>
    </w:p>
    <w:p>
      <w:pPr>
        <w:pStyle w:val="P68B1DB1Normal34"/>
        <w:widowControl w:val="false"/>
        <w:spacing w:lineRule="exact" w:line="393" w:before="70" w:after="0"/>
        <w:ind w:left="0" w:right="0" w:hanging="0"/>
        <w:jc w:val="left"/>
        <w:rPr>
          <w:rFonts w:ascii="Arial" w:hAnsi="Arial"/>
          <w:color w:val="000000"/>
          <w:sz w:val="24"/>
        </w:rPr>
      </w:pPr>
      <w:r>
        <w:rPr/>
        <w:t xml:space="preserve"> </w:t>
      </w:r>
    </w:p>
    <w:p>
      <w:pPr>
        <w:pStyle w:val="P68B1DB1Normal76"/>
        <w:widowControl w:val="false"/>
        <w:spacing w:lineRule="exact" w:line="362" w:before="69" w:after="0"/>
        <w:ind w:left="0" w:right="0" w:hanging="0"/>
        <w:jc w:val="left"/>
        <w:rPr>
          <w:rFonts w:ascii="Arial" w:hAnsi="Arial"/>
          <w:color w:val="000000"/>
          <w:sz w:val="22"/>
        </w:rPr>
      </w:pPr>
      <w:r>
        <w:rPr/>
        <w:t>Souhrnně lze říci, že rozdělení způsobilých osob bylo následující:</w:t>
      </w:r>
    </w:p>
    <w:p>
      <w:pPr>
        <w:pStyle w:val="P68B1DB1Normal76"/>
        <w:widowControl w:val="false"/>
        <w:spacing w:lineRule="exact" w:line="252" w:before="5945" w:after="0"/>
        <w:ind w:left="0" w:right="3" w:hanging="0"/>
        <w:jc w:val="both"/>
        <w:rPr>
          <w:rFonts w:ascii="Arial" w:hAnsi="Arial"/>
          <w:color w:val="000000"/>
          <w:sz w:val="22"/>
        </w:rPr>
      </w:pPr>
      <w:r>
        <w:rPr>
          <w:color w:val="000000"/>
          <w:sz w:val="22"/>
        </w:rPr>
        <mc:AlternateContent>
          <mc:Choice Requires="wpg">
            <w:drawing>
              <wp:anchor behindDoc="0" distT="0" distB="0" distL="0" distR="0" simplePos="0" locked="0" layoutInCell="1" allowOverlap="1" relativeHeight="54">
                <wp:simplePos x="0" y="0"/>
                <wp:positionH relativeFrom="column">
                  <wp:posOffset>0</wp:posOffset>
                </wp:positionH>
                <wp:positionV relativeFrom="paragraph">
                  <wp:posOffset>132715</wp:posOffset>
                </wp:positionV>
                <wp:extent cx="6059805" cy="3775710"/>
                <wp:effectExtent l="0" t="0" r="0" b="0"/>
                <wp:wrapTopAndBottom/>
                <wp:docPr id="102" name="Formulář4"/>
                <a:graphic xmlns:a="http://schemas.openxmlformats.org/drawingml/2006/main">
                  <a:graphicData uri="http://schemas.microsoft.com/office/word/2010/wordprocessingGroup">
                    <wpg:wgp>
                      <wpg:cNvGrpSpPr/>
                      <wpg:grpSpPr>
                        <a:xfrm>
                          <a:off x="0" y="0"/>
                          <a:ext cx="6059160" cy="3774960"/>
                        </a:xfrm>
                      </wpg:grpSpPr>
                      <pic:pic xmlns:pic="http://schemas.openxmlformats.org/drawingml/2006/picture">
                        <pic:nvPicPr>
                          <pic:cNvPr id="6" name="" descr=""/>
                          <pic:cNvPicPr/>
                        </pic:nvPicPr>
                        <pic:blipFill>
                          <a:blip r:embed="rId105"/>
                          <a:stretch/>
                        </pic:blipFill>
                        <pic:spPr>
                          <a:xfrm>
                            <a:off x="0" y="487080"/>
                            <a:ext cx="6049800" cy="3287880"/>
                          </a:xfrm>
                          <a:prstGeom prst="rect">
                            <a:avLst/>
                          </a:prstGeom>
                          <a:ln>
                            <a:noFill/>
                          </a:ln>
                        </pic:spPr>
                      </pic:pic>
                      <wps:wsp>
                        <wps:cNvSpPr/>
                        <wps:spPr>
                          <a:xfrm>
                            <a:off x="1450440" y="0"/>
                            <a:ext cx="3891960" cy="615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Rozdělení způsobilých uchazečů</w:t>
                              </w:r>
                            </w:p>
                          </w:txbxContent>
                        </wps:txbx>
                        <wps:bodyPr lIns="90000" rIns="90000" tIns="45000" bIns="45000">
                          <a:noAutofit/>
                        </wps:bodyPr>
                      </wps:wsp>
                      <wps:wsp>
                        <wps:cNvSpPr/>
                        <wps:spPr>
                          <a:xfrm>
                            <a:off x="489600" y="1149480"/>
                            <a:ext cx="10782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pohlaví</w:t>
                              </w:r>
                            </w:p>
                          </w:txbxContent>
                        </wps:txbx>
                        <wps:bodyPr lIns="90000" rIns="90000" tIns="45000" bIns="45000">
                          <a:noAutofit/>
                        </wps:bodyPr>
                      </wps:wsp>
                      <wps:wsp>
                        <wps:cNvSpPr/>
                        <wps:spPr>
                          <a:xfrm>
                            <a:off x="329400" y="2034720"/>
                            <a:ext cx="10782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věková skupina</w:t>
                              </w:r>
                            </w:p>
                          </w:txbxContent>
                        </wps:txbx>
                        <wps:bodyPr lIns="90000" rIns="90000" tIns="45000" bIns="45000">
                          <a:noAutofit/>
                        </wps:bodyPr>
                      </wps:wsp>
                      <wps:wsp>
                        <wps:cNvSpPr/>
                        <wps:spPr>
                          <a:xfrm>
                            <a:off x="1020960" y="2357280"/>
                            <a:ext cx="8420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let</w:t>
                              </w:r>
                            </w:p>
                          </w:txbxContent>
                        </wps:txbx>
                        <wps:bodyPr lIns="90000" rIns="90000" tIns="45000" bIns="45000">
                          <a:noAutofit/>
                        </wps:bodyPr>
                      </wps:wsp>
                      <wps:wsp>
                        <wps:cNvSpPr/>
                        <wps:spPr>
                          <a:xfrm>
                            <a:off x="987480" y="2739960"/>
                            <a:ext cx="84204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let</w:t>
                              </w:r>
                            </w:p>
                          </w:txbxContent>
                        </wps:txbx>
                        <wps:bodyPr lIns="90000" rIns="90000" tIns="45000" bIns="45000">
                          <a:noAutofit/>
                        </wps:bodyPr>
                      </wps:wsp>
                      <wps:wsp>
                        <wps:cNvSpPr/>
                        <wps:spPr>
                          <a:xfrm>
                            <a:off x="995760" y="3064680"/>
                            <a:ext cx="8420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let</w:t>
                              </w:r>
                            </w:p>
                          </w:txbxContent>
                        </wps:txbx>
                        <wps:bodyPr lIns="90000" rIns="90000" tIns="45000" bIns="45000">
                          <a:noAutofit/>
                        </wps:bodyPr>
                      </wps:wsp>
                      <wps:wsp>
                        <wps:cNvSpPr/>
                        <wps:spPr>
                          <a:xfrm>
                            <a:off x="2108160" y="1157760"/>
                            <a:ext cx="16668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Úroveň vzdělání</w:t>
                              </w:r>
                            </w:p>
                          </w:txbxContent>
                        </wps:txbx>
                        <wps:bodyPr lIns="90000" rIns="90000" tIns="45000" bIns="45000">
                          <a:noAutofit/>
                        </wps:bodyPr>
                      </wps:wsp>
                      <wps:wsp>
                        <wps:cNvSpPr/>
                        <wps:spPr>
                          <a:xfrm>
                            <a:off x="2748240" y="1480680"/>
                            <a:ext cx="842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Nízká</w:t>
                              </w:r>
                            </w:p>
                          </w:txbxContent>
                        </wps:txbx>
                        <wps:bodyPr lIns="90000" rIns="90000" tIns="45000" bIns="45000">
                          <a:noAutofit/>
                        </wps:bodyPr>
                      </wps:wsp>
                      <wps:wsp>
                        <wps:cNvSpPr/>
                        <wps:spPr>
                          <a:xfrm>
                            <a:off x="5090760" y="1335960"/>
                            <a:ext cx="8413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Severovýchodní</w:t>
                              </w:r>
                            </w:p>
                          </w:txbxContent>
                        </wps:txbx>
                        <wps:bodyPr lIns="90000" rIns="90000" tIns="45000" bIns="45000">
                          <a:noAutofit/>
                        </wps:bodyPr>
                      </wps:wsp>
                      <wps:wsp>
                        <wps:cNvSpPr/>
                        <wps:spPr>
                          <a:xfrm>
                            <a:off x="2024280" y="1735920"/>
                            <a:ext cx="17762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Vysoká škola, odborné vzdělávání</w:t>
                              </w:r>
                            </w:p>
                          </w:txbxContent>
                        </wps:txbx>
                        <wps:bodyPr lIns="90000" rIns="90000" tIns="45000" bIns="45000">
                          <a:noAutofit/>
                        </wps:bodyPr>
                      </wps:wsp>
                      <wps:wsp>
                        <wps:cNvSpPr/>
                        <wps:spPr>
                          <a:xfrm>
                            <a:off x="2799000" y="2161440"/>
                            <a:ext cx="842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Průměr</w:t>
                              </w:r>
                            </w:p>
                          </w:txbxContent>
                        </wps:txbx>
                        <wps:bodyPr lIns="90000" rIns="90000" tIns="45000" bIns="45000">
                          <a:noAutofit/>
                        </wps:bodyPr>
                      </wps:wsp>
                      <wps:wsp>
                        <wps:cNvSpPr/>
                        <wps:spPr>
                          <a:xfrm>
                            <a:off x="2167200" y="2451240"/>
                            <a:ext cx="148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Střední škola</w:t>
                              </w:r>
                            </w:p>
                          </w:txbxContent>
                        </wps:txbx>
                        <wps:bodyPr lIns="90000" rIns="90000" tIns="45000" bIns="45000">
                          <a:noAutofit/>
                        </wps:bodyPr>
                      </wps:wsp>
                      <wps:wsp>
                        <wps:cNvSpPr/>
                        <wps:spPr>
                          <a:xfrm>
                            <a:off x="2816280" y="2945160"/>
                            <a:ext cx="8406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Vychován</w:t>
                              </w:r>
                            </w:p>
                          </w:txbxContent>
                        </wps:txbx>
                        <wps:bodyPr lIns="90000" rIns="90000" tIns="45000" bIns="45000">
                          <a:noAutofit/>
                        </wps:bodyPr>
                      </wps:wsp>
                      <wps:wsp>
                        <wps:cNvSpPr/>
                        <wps:spPr>
                          <a:xfrm>
                            <a:off x="1990080" y="3174840"/>
                            <a:ext cx="1928520" cy="3848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Bakalářský titul, magisterský titul nebo více</w:t>
                              </w:r>
                            </w:p>
                          </w:txbxContent>
                        </wps:txbx>
                        <wps:bodyPr lIns="90000" rIns="90000" tIns="45000" bIns="45000">
                          <a:noAutofit/>
                        </wps:bodyPr>
                      </wps:wsp>
                      <wps:wsp>
                        <wps:cNvSpPr/>
                        <wps:spPr>
                          <a:xfrm>
                            <a:off x="4045680" y="1557720"/>
                            <a:ext cx="84276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Severozápad</w:t>
                              </w:r>
                            </w:p>
                          </w:txbxContent>
                        </wps:txbx>
                        <wps:bodyPr lIns="90000" rIns="90000" tIns="45000" bIns="45000">
                          <a:noAutofit/>
                        </wps:bodyPr>
                      </wps:wsp>
                      <wps:wsp>
                        <wps:cNvSpPr/>
                        <wps:spPr>
                          <a:xfrm>
                            <a:off x="4130640" y="1157760"/>
                            <a:ext cx="16750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Areál pobytu</w:t>
                              </w:r>
                            </w:p>
                          </w:txbxContent>
                        </wps:txbx>
                        <wps:bodyPr lIns="90000" rIns="90000" tIns="45000" bIns="45000">
                          <a:noAutofit/>
                        </wps:bodyPr>
                      </wps:wsp>
                      <wps:wsp>
                        <wps:cNvSpPr/>
                        <wps:spPr>
                          <a:xfrm>
                            <a:off x="5217840" y="1897920"/>
                            <a:ext cx="8413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centrum města</w:t>
                              </w:r>
                            </w:p>
                          </w:txbxContent>
                        </wps:txbx>
                        <wps:bodyPr lIns="90000" rIns="90000" tIns="45000" bIns="45000">
                          <a:noAutofit/>
                        </wps:bodyPr>
                      </wps:wsp>
                      <wps:wsp>
                        <wps:cNvSpPr/>
                        <wps:spPr>
                          <a:xfrm>
                            <a:off x="4038120" y="2842920"/>
                            <a:ext cx="10267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Jih a ostrovy</w:t>
                              </w:r>
                            </w:p>
                          </w:txbxContent>
                        </wps:txbx>
                        <wps:bodyPr lIns="90000" rIns="90000" tIns="45000" bIns="45000">
                          <a:noAutofit/>
                        </wps:bodyPr>
                      </wps:wsp>
                    </wpg:wgp>
                  </a:graphicData>
                </a:graphic>
              </wp:anchor>
            </w:drawing>
          </mc:Choice>
          <mc:Fallback>
            <w:pict>
              <v:group id="shape_0" alt="Formulář4" style="position:absolute;margin-left:0pt;margin-top:10.45pt;width:477.1pt;height:297.25pt" coordorigin="0,209" coordsize="9542,5945">
                <v:shape id="shape_0" stroked="f" style="position:absolute;left:0;top:976;width:9526;height:5177" type="shapetype_75">
                  <v:imagedata r:id="rId105" o:detectmouseclick="t"/>
                  <w10:wrap type="none"/>
                  <v:stroke color="#3465a4" joinstyle="round" endcap="flat"/>
                </v:shape>
                <v:rect id="shape_0" stroked="f" style="position:absolute;left:2284;top:209;width:6128;height:96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Rozdělení způsobilých uchazečů</w:t>
                        </w:r>
                      </w:p>
                    </w:txbxContent>
                  </v:textbox>
                  <w10:wrap type="square"/>
                  <v:fill o:detectmouseclick="t" on="false"/>
                  <v:stroke color="#3465a4" joinstyle="round" endcap="flat"/>
                </v:rect>
                <v:rect id="shape_0" stroked="f" style="position:absolute;left:771;top:2019;width:169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pohlaví</w:t>
                        </w:r>
                      </w:p>
                    </w:txbxContent>
                  </v:textbox>
                  <w10:wrap type="square"/>
                  <v:fill o:detectmouseclick="t" on="false"/>
                  <v:stroke color="#3465a4" joinstyle="round" endcap="flat"/>
                </v:rect>
                <v:rect id="shape_0" stroked="f" style="position:absolute;left:519;top:3413;width:169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věková skupina</w:t>
                        </w:r>
                      </w:p>
                    </w:txbxContent>
                  </v:textbox>
                  <w10:wrap type="square"/>
                  <v:fill o:detectmouseclick="t" on="false"/>
                  <v:stroke color="#3465a4" joinstyle="round" endcap="flat"/>
                </v:rect>
                <v:rect id="shape_0" stroked="f" style="position:absolute;left:1608;top:3921;width:1325;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let</w:t>
                        </w:r>
                      </w:p>
                    </w:txbxContent>
                  </v:textbox>
                  <w10:wrap type="square"/>
                  <v:fill o:detectmouseclick="t" on="false"/>
                  <v:stroke color="#3465a4" joinstyle="round" endcap="flat"/>
                </v:rect>
                <v:rect id="shape_0" stroked="f" style="position:absolute;left:1555;top:4524;width:1325;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let</w:t>
                        </w:r>
                      </w:p>
                    </w:txbxContent>
                  </v:textbox>
                  <w10:wrap type="square"/>
                  <v:fill o:detectmouseclick="t" on="false"/>
                  <v:stroke color="#3465a4" joinstyle="round" endcap="flat"/>
                </v:rect>
                <v:rect id="shape_0" stroked="f" style="position:absolute;left:1568;top:5035;width:1325;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let</w:t>
                        </w:r>
                      </w:p>
                    </w:txbxContent>
                  </v:textbox>
                  <w10:wrap type="square"/>
                  <v:fill o:detectmouseclick="t" on="false"/>
                  <v:stroke color="#3465a4" joinstyle="round" endcap="flat"/>
                </v:rect>
                <v:rect id="shape_0" stroked="f" style="position:absolute;left:3320;top:2032;width:26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Úroveň vzdělání</w:t>
                        </w:r>
                      </w:p>
                    </w:txbxContent>
                  </v:textbox>
                  <w10:wrap type="square"/>
                  <v:fill o:detectmouseclick="t" on="false"/>
                  <v:stroke color="#3465a4" joinstyle="round" endcap="flat"/>
                </v:rect>
                <v:rect id="shape_0" stroked="f" style="position:absolute;left:4328;top:2541;width:1325;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Nízká</w:t>
                        </w:r>
                      </w:p>
                    </w:txbxContent>
                  </v:textbox>
                  <w10:wrap type="square"/>
                  <v:fill o:detectmouseclick="t" on="false"/>
                  <v:stroke color="#3465a4" joinstyle="round" endcap="flat"/>
                </v:rect>
                <v:rect id="shape_0" stroked="f" style="position:absolute;left:8017;top:2313;width:13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Severovýchodní</w:t>
                        </w:r>
                      </w:p>
                    </w:txbxContent>
                  </v:textbox>
                  <w10:wrap type="square"/>
                  <v:fill o:detectmouseclick="t" on="false"/>
                  <v:stroke color="#3465a4" joinstyle="round" endcap="flat"/>
                </v:rect>
                <v:rect id="shape_0" stroked="f" style="position:absolute;left:3188;top:2943;width:2796;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Vysoká škola, odborné vzdělávání</w:t>
                        </w:r>
                      </w:p>
                    </w:txbxContent>
                  </v:textbox>
                  <w10:wrap type="square"/>
                  <v:fill o:detectmouseclick="t" on="false"/>
                  <v:stroke color="#3465a4" joinstyle="round" endcap="flat"/>
                </v:rect>
                <v:rect id="shape_0" stroked="f" style="position:absolute;left:4408;top:3613;width:1325;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Průměr</w:t>
                        </w:r>
                      </w:p>
                    </w:txbxContent>
                  </v:textbox>
                  <w10:wrap type="square"/>
                  <v:fill o:detectmouseclick="t" on="false"/>
                  <v:stroke color="#3465a4" joinstyle="round" endcap="flat"/>
                </v:rect>
                <v:rect id="shape_0" stroked="f" style="position:absolute;left:3413;top:4069;width:2332;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Střední škola</w:t>
                        </w:r>
                      </w:p>
                    </w:txbxContent>
                  </v:textbox>
                  <w10:wrap type="square"/>
                  <v:fill o:detectmouseclick="t" on="false"/>
                  <v:stroke color="#3465a4" joinstyle="round" endcap="flat"/>
                </v:rect>
                <v:rect id="shape_0" stroked="f" style="position:absolute;left:4435;top:4847;width:1323;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Vychován</w:t>
                        </w:r>
                      </w:p>
                    </w:txbxContent>
                  </v:textbox>
                  <w10:wrap type="square"/>
                  <v:fill o:detectmouseclick="t" on="false"/>
                  <v:stroke color="#3465a4" joinstyle="round" endcap="flat"/>
                </v:rect>
                <v:rect id="shape_0" stroked="f" style="position:absolute;left:3134;top:5209;width:3036;height:60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Bakalářský titul, magisterský titul nebo více</w:t>
                        </w:r>
                      </w:p>
                    </w:txbxContent>
                  </v:textbox>
                  <w10:wrap type="square"/>
                  <v:fill o:detectmouseclick="t" on="false"/>
                  <v:stroke color="#3465a4" joinstyle="round" endcap="flat"/>
                </v:rect>
                <v:rect id="shape_0" stroked="f" style="position:absolute;left:6371;top:2662;width:1326;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Severozápad</w:t>
                        </w:r>
                      </w:p>
                    </w:txbxContent>
                  </v:textbox>
                  <w10:wrap type="square"/>
                  <v:fill o:detectmouseclick="t" on="false"/>
                  <v:stroke color="#3465a4" joinstyle="round" endcap="flat"/>
                </v:rect>
                <v:rect id="shape_0" stroked="f" style="position:absolute;left:6505;top:2032;width:263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Areál pobytu</w:t>
                        </w:r>
                      </w:p>
                    </w:txbxContent>
                  </v:textbox>
                  <w10:wrap type="square"/>
                  <v:fill o:detectmouseclick="t" on="false"/>
                  <v:stroke color="#3465a4" joinstyle="round" endcap="flat"/>
                </v:rect>
                <v:rect id="shape_0" stroked="f" style="position:absolute;left:8217;top:3198;width:13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centrum města</w:t>
                        </w:r>
                      </w:p>
                    </w:txbxContent>
                  </v:textbox>
                  <w10:wrap type="square"/>
                  <v:fill o:detectmouseclick="t" on="false"/>
                  <v:stroke color="#3465a4" joinstyle="round" endcap="flat"/>
                </v:rect>
                <v:rect id="shape_0" stroked="f" style="position:absolute;left:6359;top:4686;width:1616;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Jih a ostrovy</w:t>
                        </w:r>
                      </w:p>
                    </w:txbxContent>
                  </v:textbox>
                  <w10:wrap type="square"/>
                  <v:fill o:detectmouseclick="t" on="false"/>
                  <v:stroke color="#3465a4" joinstyle="round" endcap="flat"/>
                </v:rect>
              </v:group>
            </w:pict>
          </mc:Fallback>
        </mc:AlternateContent>
      </w:r>
    </w:p>
    <w:p>
      <w:pPr>
        <w:pStyle w:val="Normal"/>
        <w:widowControl w:val="false"/>
        <w:spacing w:lineRule="auto" w:line="240"/>
        <w:ind w:left="0" w:right="0" w:hanging="0"/>
        <w:jc w:val="left"/>
        <w:rPr/>
      </w:pPr>
      <w:r>
        <w:rPr>
          <w:color w:val="000000"/>
        </w:rPr>
        <w:t xml:space="preserve">Poté, co bylo vybráno 70 kandidátů, obdrželi hned ráno na akci telefonát, aby potvrdili svou účast. Tyto hovory uskutečnilo kontaktní centrum </w:t>
      </w:r>
      <w:r>
        <w:rPr>
          <w:color w:val="ED7D31"/>
        </w:rPr>
        <w:t>SWG</w:t>
      </w:r>
      <w:r>
        <w:rPr>
          <w:color w:val="000000"/>
        </w:rPr>
        <w:t xml:space="preserve"> pomocí metody CATI (Computer Assisted Phone Survey). Na konci této fáze potvrdilo svou účast celkem 59 osob a bylo zaregistrováno. </w:t>
      </w:r>
      <w:r>
        <w:rPr>
          <w:b/>
          <w:color w:val="BD1271"/>
        </w:rPr>
        <w:t>Z toho 55 se aktivně zapojilo do poroty.</w:t>
      </w:r>
      <w:r>
        <w:rPr/>
        <w:t xml:space="preserve"> </w:t>
      </w:r>
      <w:r>
        <w:br w:type="page"/>
      </w:r>
    </w:p>
    <w:p>
      <w:pPr>
        <w:pStyle w:val="Normal"/>
        <w:widowControl w:val="false"/>
        <w:spacing w:lineRule="auto" w:line="240"/>
        <w:ind w:left="0" w:right="0" w:hanging="0"/>
        <w:jc w:val="left"/>
        <w:rPr>
          <w:rFonts w:ascii="Arial" w:hAnsi="Arial"/>
          <w:b/>
          <w:b/>
          <w:color w:val="BD1271"/>
          <w:sz w:val="22"/>
        </w:rPr>
      </w:pPr>
      <w:r>
        <w:rPr>
          <w:b/>
          <w:color w:val="BD1271"/>
          <w:sz w:val="22"/>
        </w:rPr>
      </w:r>
    </w:p>
    <w:p>
      <w:pPr>
        <w:pStyle w:val="P68B1DB1Normal76"/>
        <w:widowControl w:val="false"/>
        <w:spacing w:lineRule="auto" w:line="240" w:before="64" w:after="0"/>
        <w:ind w:left="0" w:right="0" w:hanging="0"/>
        <w:jc w:val="left"/>
        <w:rPr>
          <w:rFonts w:ascii="Arial" w:hAnsi="Arial"/>
          <w:color w:val="000000"/>
          <w:sz w:val="22"/>
        </w:rPr>
      </w:pPr>
      <w:r>
        <w:rPr/>
        <w:t xml:space="preserve">Rozdělení sociálních a věkových skupin členů panelu bylo následující: </w:t>
      </w:r>
    </w:p>
    <w:p>
      <w:pPr>
        <w:pStyle w:val="P68B1DB1Normal76"/>
        <w:widowControl w:val="false"/>
        <w:spacing w:lineRule="auto" w:line="240" w:before="5705" w:after="0"/>
        <w:ind w:left="0" w:right="0" w:hanging="0"/>
        <w:jc w:val="left"/>
        <w:rPr>
          <w:rFonts w:ascii="Arial" w:hAnsi="Arial"/>
          <w:color w:val="000000"/>
          <w:sz w:val="22"/>
        </w:rPr>
      </w:pPr>
      <w:r>
        <w:rPr>
          <w:color w:val="000000"/>
          <w:sz w:val="22"/>
        </w:rPr>
        <mc:AlternateContent>
          <mc:Choice Requires="wpg">
            <w:drawing>
              <wp:anchor behindDoc="0" distT="0" distB="0" distL="0" distR="0" simplePos="0" locked="0" layoutInCell="1" allowOverlap="1" relativeHeight="57">
                <wp:simplePos x="0" y="0"/>
                <wp:positionH relativeFrom="column">
                  <wp:posOffset>635</wp:posOffset>
                </wp:positionH>
                <wp:positionV relativeFrom="paragraph">
                  <wp:posOffset>41275</wp:posOffset>
                </wp:positionV>
                <wp:extent cx="6157595" cy="3623310"/>
                <wp:effectExtent l="0" t="0" r="0" b="0"/>
                <wp:wrapTopAndBottom/>
                <wp:docPr id="103" name="Formulář5"/>
                <a:graphic xmlns:a="http://schemas.openxmlformats.org/drawingml/2006/main">
                  <a:graphicData uri="http://schemas.microsoft.com/office/word/2010/wordprocessingGroup">
                    <wpg:wgp>
                      <wpg:cNvGrpSpPr/>
                      <wpg:grpSpPr>
                        <a:xfrm>
                          <a:off x="0" y="0"/>
                          <a:ext cx="6157080" cy="3622680"/>
                        </a:xfrm>
                      </wpg:grpSpPr>
                      <pic:pic xmlns:pic="http://schemas.openxmlformats.org/drawingml/2006/picture">
                        <pic:nvPicPr>
                          <pic:cNvPr id="7" name="" descr=""/>
                          <pic:cNvPicPr/>
                        </pic:nvPicPr>
                        <pic:blipFill>
                          <a:blip r:embed="rId106"/>
                          <a:stretch/>
                        </pic:blipFill>
                        <pic:spPr>
                          <a:xfrm>
                            <a:off x="0" y="458640"/>
                            <a:ext cx="6061680" cy="3164040"/>
                          </a:xfrm>
                          <a:prstGeom prst="rect">
                            <a:avLst/>
                          </a:prstGeom>
                          <a:ln>
                            <a:noFill/>
                          </a:ln>
                        </pic:spPr>
                      </pic:pic>
                      <wps:wsp>
                        <wps:cNvSpPr/>
                        <wps:spPr>
                          <a:xfrm>
                            <a:off x="1477800" y="0"/>
                            <a:ext cx="3937680" cy="4204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Distribuce aktivních účastníků</w:t>
                              </w:r>
                            </w:p>
                          </w:txbxContent>
                        </wps:txbx>
                        <wps:bodyPr lIns="90000" rIns="90000" tIns="45000" bIns="45000">
                          <a:noAutofit/>
                        </wps:bodyPr>
                      </wps:wsp>
                      <wps:wsp>
                        <wps:cNvSpPr/>
                        <wps:spPr>
                          <a:xfrm>
                            <a:off x="523080" y="1010880"/>
                            <a:ext cx="10908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pohlaví</w:t>
                              </w:r>
                            </w:p>
                          </w:txbxContent>
                        </wps:txbx>
                        <wps:bodyPr lIns="90000" rIns="90000" tIns="45000" bIns="45000">
                          <a:noAutofit/>
                        </wps:bodyPr>
                      </wps:wsp>
                      <wps:wsp>
                        <wps:cNvSpPr/>
                        <wps:spPr>
                          <a:xfrm>
                            <a:off x="361440" y="1887840"/>
                            <a:ext cx="10904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věková skupina</w:t>
                              </w:r>
                            </w:p>
                          </w:txbxContent>
                        </wps:txbx>
                        <wps:bodyPr lIns="90000" rIns="90000" tIns="45000" bIns="45000">
                          <a:noAutofit/>
                        </wps:bodyPr>
                      </wps:wsp>
                      <wps:wsp>
                        <wps:cNvSpPr/>
                        <wps:spPr>
                          <a:xfrm>
                            <a:off x="1059840" y="2207160"/>
                            <a:ext cx="852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let</w:t>
                              </w:r>
                            </w:p>
                          </w:txbxContent>
                        </wps:txbx>
                        <wps:bodyPr lIns="90000" rIns="90000" tIns="45000" bIns="45000">
                          <a:noAutofit/>
                        </wps:bodyPr>
                      </wps:wsp>
                      <wps:wsp>
                        <wps:cNvSpPr/>
                        <wps:spPr>
                          <a:xfrm>
                            <a:off x="1026720" y="2586240"/>
                            <a:ext cx="85140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let</w:t>
                              </w:r>
                            </w:p>
                          </w:txbxContent>
                        </wps:txbx>
                        <wps:bodyPr lIns="90000" rIns="90000" tIns="45000" bIns="45000">
                          <a:noAutofit/>
                        </wps:bodyPr>
                      </wps:wsp>
                      <wps:wsp>
                        <wps:cNvSpPr/>
                        <wps:spPr>
                          <a:xfrm>
                            <a:off x="1035000" y="2907000"/>
                            <a:ext cx="85140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let</w:t>
                              </w:r>
                            </w:p>
                          </w:txbxContent>
                        </wps:txbx>
                        <wps:bodyPr lIns="90000" rIns="90000" tIns="45000" bIns="45000">
                          <a:noAutofit/>
                        </wps:bodyPr>
                      </wps:wsp>
                      <wps:wsp>
                        <wps:cNvSpPr/>
                        <wps:spPr>
                          <a:xfrm>
                            <a:off x="2160360" y="1019160"/>
                            <a:ext cx="16858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Úroveň vzdělání</w:t>
                              </w:r>
                            </w:p>
                          </w:txbxContent>
                        </wps:txbx>
                        <wps:bodyPr lIns="90000" rIns="90000" tIns="45000" bIns="45000">
                          <a:noAutofit/>
                        </wps:bodyPr>
                      </wps:wsp>
                      <wps:wsp>
                        <wps:cNvSpPr/>
                        <wps:spPr>
                          <a:xfrm>
                            <a:off x="2808000" y="133992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Nízká</w:t>
                              </w:r>
                            </w:p>
                          </w:txbxContent>
                        </wps:txbx>
                        <wps:bodyPr lIns="90000" rIns="90000" tIns="45000" bIns="45000">
                          <a:noAutofit/>
                        </wps:bodyPr>
                      </wps:wsp>
                      <wps:wsp>
                        <wps:cNvSpPr/>
                        <wps:spPr>
                          <a:xfrm>
                            <a:off x="5177880" y="119628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Severovýchodní</w:t>
                              </w:r>
                            </w:p>
                          </w:txbxContent>
                        </wps:txbx>
                        <wps:bodyPr lIns="90000" rIns="90000" tIns="45000" bIns="45000">
                          <a:noAutofit/>
                        </wps:bodyPr>
                      </wps:wsp>
                      <wps:wsp>
                        <wps:cNvSpPr/>
                        <wps:spPr>
                          <a:xfrm>
                            <a:off x="2075040" y="1592640"/>
                            <a:ext cx="1797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Vysoká škola, odborné vzdělávání</w:t>
                              </w:r>
                            </w:p>
                          </w:txbxContent>
                        </wps:txbx>
                        <wps:bodyPr lIns="90000" rIns="90000" tIns="45000" bIns="45000">
                          <a:noAutofit/>
                        </wps:bodyPr>
                      </wps:wsp>
                      <wps:wsp>
                        <wps:cNvSpPr/>
                        <wps:spPr>
                          <a:xfrm>
                            <a:off x="2859480" y="2013480"/>
                            <a:ext cx="85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Průměr</w:t>
                              </w:r>
                            </w:p>
                          </w:txbxContent>
                        </wps:txbx>
                        <wps:bodyPr lIns="90000" rIns="90000" tIns="45000" bIns="45000">
                          <a:noAutofit/>
                        </wps:bodyPr>
                      </wps:wsp>
                      <wps:wsp>
                        <wps:cNvSpPr/>
                        <wps:spPr>
                          <a:xfrm>
                            <a:off x="2220120" y="2300040"/>
                            <a:ext cx="14986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Střední škola</w:t>
                              </w:r>
                            </w:p>
                          </w:txbxContent>
                        </wps:txbx>
                        <wps:bodyPr lIns="90000" rIns="90000" tIns="45000" bIns="45000">
                          <a:noAutofit/>
                        </wps:bodyPr>
                      </wps:wsp>
                      <wps:wsp>
                        <wps:cNvSpPr/>
                        <wps:spPr>
                          <a:xfrm>
                            <a:off x="2876400" y="278964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Vychován</w:t>
                              </w:r>
                            </w:p>
                          </w:txbxContent>
                        </wps:txbx>
                        <wps:bodyPr lIns="90000" rIns="90000" tIns="45000" bIns="45000">
                          <a:noAutofit/>
                        </wps:bodyPr>
                      </wps:wsp>
                      <wps:wsp>
                        <wps:cNvSpPr/>
                        <wps:spPr>
                          <a:xfrm>
                            <a:off x="2040840" y="3016800"/>
                            <a:ext cx="1950840" cy="3808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Bakalářský titul, magisterský titul nebo více</w:t>
                              </w:r>
                            </w:p>
                          </w:txbxContent>
                        </wps:txbx>
                        <wps:bodyPr lIns="90000" rIns="90000" tIns="45000" bIns="45000">
                          <a:noAutofit/>
                        </wps:bodyPr>
                      </wps:wsp>
                      <wps:wsp>
                        <wps:cNvSpPr/>
                        <wps:spPr>
                          <a:xfrm>
                            <a:off x="4120560" y="1415520"/>
                            <a:ext cx="852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Severozápad</w:t>
                              </w:r>
                            </w:p>
                          </w:txbxContent>
                        </wps:txbx>
                        <wps:bodyPr lIns="90000" rIns="90000" tIns="45000" bIns="45000">
                          <a:noAutofit/>
                        </wps:bodyPr>
                      </wps:wsp>
                      <wps:wsp>
                        <wps:cNvSpPr/>
                        <wps:spPr>
                          <a:xfrm>
                            <a:off x="4205520" y="1019160"/>
                            <a:ext cx="16956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Areál pobytu</w:t>
                              </w:r>
                            </w:p>
                          </w:txbxContent>
                        </wps:txbx>
                        <wps:bodyPr lIns="90000" rIns="90000" tIns="45000" bIns="45000">
                          <a:noAutofit/>
                        </wps:bodyPr>
                      </wps:wsp>
                      <wps:wsp>
                        <wps:cNvSpPr/>
                        <wps:spPr>
                          <a:xfrm>
                            <a:off x="5305320" y="1752480"/>
                            <a:ext cx="85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centrum města</w:t>
                              </w:r>
                            </w:p>
                          </w:txbxContent>
                        </wps:txbx>
                        <wps:bodyPr lIns="90000" rIns="90000" tIns="45000" bIns="45000">
                          <a:noAutofit/>
                        </wps:bodyPr>
                      </wps:wsp>
                      <wps:wsp>
                        <wps:cNvSpPr/>
                        <wps:spPr>
                          <a:xfrm>
                            <a:off x="4112280" y="2687400"/>
                            <a:ext cx="1038960" cy="2660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Jih a ostrovy</w:t>
                              </w:r>
                            </w:p>
                          </w:txbxContent>
                        </wps:txbx>
                        <wps:bodyPr lIns="90000" rIns="90000" tIns="45000" bIns="45000">
                          <a:noAutofit/>
                        </wps:bodyPr>
                      </wps:wsp>
                    </wpg:wgp>
                  </a:graphicData>
                </a:graphic>
              </wp:anchor>
            </w:drawing>
          </mc:Choice>
          <mc:Fallback>
            <w:pict>
              <v:group id="shape_0" alt="Formulář5" style="position:absolute;margin-left:0.05pt;margin-top:3.25pt;width:484.8pt;height:285.3pt" coordorigin="1,65" coordsize="9696,5706">
                <v:shape id="shape_0" stroked="f" style="position:absolute;left:1;top:787;width:9545;height:4982" type="shapetype_75">
                  <v:imagedata r:id="rId106" o:detectmouseclick="t"/>
                  <w10:wrap type="none"/>
                  <v:stroke color="#3465a4" joinstyle="round" endcap="flat"/>
                </v:shape>
                <v:rect id="shape_0" stroked="f" style="position:absolute;left:2328;top:65;width:6200;height:66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Distribuce aktivních účastníků</w:t>
                        </w:r>
                      </w:p>
                    </w:txbxContent>
                  </v:textbox>
                  <w10:wrap type="square"/>
                  <v:fill o:detectmouseclick="t" on="false"/>
                  <v:stroke color="#3465a4" joinstyle="round" endcap="flat"/>
                </v:rect>
                <v:rect id="shape_0" stroked="f" style="position:absolute;left:825;top:1657;width:171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pohlaví</w:t>
                        </w:r>
                      </w:p>
                    </w:txbxContent>
                  </v:textbox>
                  <w10:wrap type="square"/>
                  <v:fill o:detectmouseclick="t" on="false"/>
                  <v:stroke color="#3465a4" joinstyle="round" endcap="flat"/>
                </v:rect>
                <v:rect id="shape_0" stroked="f" style="position:absolute;left:570;top:3038;width:1716;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věková skupina</w:t>
                        </w:r>
                      </w:p>
                    </w:txbxContent>
                  </v:textbox>
                  <w10:wrap type="square"/>
                  <v:fill o:detectmouseclick="t" on="false"/>
                  <v:stroke color="#3465a4" joinstyle="round" endcap="flat"/>
                </v:rect>
                <v:rect id="shape_0" stroked="f" style="position:absolute;left:1670;top:3541;width:1341;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let</w:t>
                        </w:r>
                      </w:p>
                    </w:txbxContent>
                  </v:textbox>
                  <w10:wrap type="square"/>
                  <v:fill o:detectmouseclick="t" on="false"/>
                  <v:stroke color="#3465a4" joinstyle="round" endcap="flat"/>
                </v:rect>
                <v:rect id="shape_0" stroked="f" style="position:absolute;left:1618;top:4138;width:1340;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let</w:t>
                        </w:r>
                      </w:p>
                    </w:txbxContent>
                  </v:textbox>
                  <w10:wrap type="square"/>
                  <v:fill o:detectmouseclick="t" on="false"/>
                  <v:stroke color="#3465a4" joinstyle="round" endcap="flat"/>
                </v:rect>
                <v:rect id="shape_0" stroked="f" style="position:absolute;left:1631;top:4643;width:1340;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let</w:t>
                        </w:r>
                      </w:p>
                    </w:txbxContent>
                  </v:textbox>
                  <w10:wrap type="square"/>
                  <v:fill o:detectmouseclick="t" on="false"/>
                  <v:stroke color="#3465a4" joinstyle="round" endcap="flat"/>
                </v:rect>
                <v:rect id="shape_0" stroked="f" style="position:absolute;left:3403;top:1670;width:265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Úroveň vzdělání</w:t>
                        </w:r>
                      </w:p>
                    </w:txbxContent>
                  </v:textbox>
                  <w10:wrap type="square"/>
                  <v:fill o:detectmouseclick="t" on="false"/>
                  <v:stroke color="#3465a4" joinstyle="round" endcap="flat"/>
                </v:rect>
                <v:rect id="shape_0" stroked="f" style="position:absolute;left:4423;top:2175;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Nízká</w:t>
                        </w:r>
                      </w:p>
                    </w:txbxContent>
                  </v:textbox>
                  <w10:wrap type="square"/>
                  <v:fill o:detectmouseclick="t" on="false"/>
                  <v:stroke color="#3465a4" joinstyle="round" endcap="flat"/>
                </v:rect>
                <v:rect id="shape_0" stroked="f" style="position:absolute;left:8155;top:1949;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Severovýchodní</w:t>
                        </w:r>
                      </w:p>
                    </w:txbxContent>
                  </v:textbox>
                  <w10:wrap type="square"/>
                  <v:fill o:detectmouseclick="t" on="false"/>
                  <v:stroke color="#3465a4" joinstyle="round" endcap="flat"/>
                </v:rect>
                <v:rect id="shape_0" stroked="f" style="position:absolute;left:3269;top:2573;width:2829;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Vysoká škola, odborné vzdělávání</w:t>
                        </w:r>
                      </w:p>
                    </w:txbxContent>
                  </v:textbox>
                  <w10:wrap type="square"/>
                  <v:fill o:detectmouseclick="t" on="false"/>
                  <v:stroke color="#3465a4" joinstyle="round" endcap="flat"/>
                </v:rect>
                <v:rect id="shape_0" stroked="f" style="position:absolute;left:4504;top:3236;width:1340;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Průměr</w:t>
                        </w:r>
                      </w:p>
                    </w:txbxContent>
                  </v:textbox>
                  <w10:wrap type="square"/>
                  <v:fill o:detectmouseclick="t" on="false"/>
                  <v:stroke color="#3465a4" joinstyle="round" endcap="flat"/>
                </v:rect>
                <v:rect id="shape_0" stroked="f" style="position:absolute;left:3497;top:3687;width:235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Střední škola</w:t>
                        </w:r>
                      </w:p>
                    </w:txbxContent>
                  </v:textbox>
                  <w10:wrap type="square"/>
                  <v:fill o:detectmouseclick="t" on="false"/>
                  <v:stroke color="#3465a4" joinstyle="round" endcap="flat"/>
                </v:rect>
                <v:rect id="shape_0" stroked="f" style="position:absolute;left:4531;top:4458;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Vychován</w:t>
                        </w:r>
                      </w:p>
                    </w:txbxContent>
                  </v:textbox>
                  <w10:wrap type="square"/>
                  <v:fill o:detectmouseclick="t" on="false"/>
                  <v:stroke color="#3465a4" joinstyle="round" endcap="flat"/>
                </v:rect>
                <v:rect id="shape_0" stroked="f" style="position:absolute;left:3215;top:4816;width:3071;height:59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Bakalářský titul, magisterský titul nebo více</w:t>
                        </w:r>
                      </w:p>
                    </w:txbxContent>
                  </v:textbox>
                  <w10:wrap type="square"/>
                  <v:fill o:detectmouseclick="t" on="false"/>
                  <v:stroke color="#3465a4" joinstyle="round" endcap="flat"/>
                </v:rect>
                <v:rect id="shape_0" stroked="f" style="position:absolute;left:6490;top:2294;width:1341;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Severozápad</w:t>
                        </w:r>
                      </w:p>
                    </w:txbxContent>
                  </v:textbox>
                  <w10:wrap type="square"/>
                  <v:fill o:detectmouseclick="t" on="false"/>
                  <v:stroke color="#3465a4" joinstyle="round" endcap="flat"/>
                </v:rect>
                <v:rect id="shape_0" stroked="f" style="position:absolute;left:6624;top:1670;width:266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Areál pobytu</w:t>
                        </w:r>
                      </w:p>
                    </w:txbxContent>
                  </v:textbox>
                  <w10:wrap type="square"/>
                  <v:fill o:detectmouseclick="t" on="false"/>
                  <v:stroke color="#3465a4" joinstyle="round" endcap="flat"/>
                </v:rect>
                <v:rect id="shape_0" stroked="f" style="position:absolute;left:8356;top:2825;width:1340;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centrum města</w:t>
                        </w:r>
                      </w:p>
                    </w:txbxContent>
                  </v:textbox>
                  <w10:wrap type="square"/>
                  <v:fill o:detectmouseclick="t" on="false"/>
                  <v:stroke color="#3465a4" joinstyle="round" endcap="flat"/>
                </v:rect>
                <v:rect id="shape_0" stroked="f" style="position:absolute;left:6477;top:4297;width:1635;height:41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Jih a ostrovy</w:t>
                        </w:r>
                      </w:p>
                    </w:txbxContent>
                  </v:textbox>
                  <w10:wrap type="square"/>
                  <v:fill o:detectmouseclick="t" on="false"/>
                  <v:stroke color="#3465a4" joinstyle="round" endcap="flat"/>
                </v:rect>
              </v:group>
            </w:pict>
          </mc:Fallback>
        </mc:AlternateContent>
      </w:r>
    </w:p>
    <w:p>
      <w:pPr>
        <w:pStyle w:val="P68B1DB1Normal24"/>
        <w:widowControl w:val="false"/>
        <w:spacing w:lineRule="exact" w:line="362" w:before="198" w:after="0"/>
        <w:ind w:left="0" w:right="0" w:hanging="0"/>
        <w:jc w:val="left"/>
        <w:rPr>
          <w:rFonts w:ascii="Times New Roman" w:hAnsi="Times New Roman"/>
          <w:color w:val="000000"/>
          <w:sz w:val="22"/>
        </w:rPr>
      </w:pPr>
      <w:r>
        <w:rPr/>
        <w:t xml:space="preserve">Zde jsou výsledky kroků výběrového řízení: </w:t>
      </w:r>
    </w:p>
    <w:p>
      <w:pPr>
        <w:pStyle w:val="Normal"/>
        <w:widowControl w:val="false"/>
        <w:spacing w:lineRule="exact" w:line="393"/>
        <w:ind w:left="0" w:right="0" w:hanging="0"/>
        <w:jc w:val="left"/>
        <w:rPr>
          <w:rFonts w:ascii="Times New Roman" w:hAnsi="Times New Roman"/>
          <w:color w:val="000000"/>
          <w:sz w:val="24"/>
        </w:rPr>
      </w:pPr>
      <w:r>
        <w:rPr>
          <w:rFonts w:ascii="Times New Roman" w:hAnsi="Times New Roman"/>
          <w:color w:val="000000"/>
          <w:sz w:val="24"/>
        </w:rPr>
        <mc:AlternateContent>
          <mc:Choice Requires="wpg">
            <w:drawing>
              <wp:anchor behindDoc="0" distT="0" distB="0" distL="0" distR="0" simplePos="0" locked="0" layoutInCell="1" allowOverlap="1" relativeHeight="58">
                <wp:simplePos x="0" y="0"/>
                <wp:positionH relativeFrom="column">
                  <wp:posOffset>10160</wp:posOffset>
                </wp:positionH>
                <wp:positionV relativeFrom="paragraph">
                  <wp:posOffset>144780</wp:posOffset>
                </wp:positionV>
                <wp:extent cx="6047740" cy="3640455"/>
                <wp:effectExtent l="0" t="0" r="0" b="0"/>
                <wp:wrapNone/>
                <wp:docPr id="104" name="Formulář6"/>
                <a:graphic xmlns:a="http://schemas.openxmlformats.org/drawingml/2006/main">
                  <a:graphicData uri="http://schemas.microsoft.com/office/word/2010/wordprocessingGroup">
                    <wpg:wgp>
                      <wpg:cNvGrpSpPr/>
                      <wpg:grpSpPr>
                        <a:xfrm>
                          <a:off x="0" y="0"/>
                          <a:ext cx="6047280" cy="3639960"/>
                        </a:xfrm>
                      </wpg:grpSpPr>
                      <pic:pic xmlns:pic="http://schemas.openxmlformats.org/drawingml/2006/picture">
                        <pic:nvPicPr>
                          <pic:cNvPr id="8" name="" descr=""/>
                          <pic:cNvPicPr/>
                        </pic:nvPicPr>
                        <pic:blipFill>
                          <a:blip r:embed="rId107"/>
                          <a:stretch/>
                        </pic:blipFill>
                        <pic:spPr>
                          <a:xfrm>
                            <a:off x="1520280" y="457920"/>
                            <a:ext cx="2903400" cy="3182040"/>
                          </a:xfrm>
                          <a:prstGeom prst="rect">
                            <a:avLst/>
                          </a:prstGeom>
                          <a:ln>
                            <a:noFill/>
                          </a:ln>
                        </pic:spPr>
                      </pic:pic>
                      <wps:wsp>
                        <wps:cNvSpPr/>
                        <wps:spPr>
                          <a:xfrm>
                            <a:off x="693360" y="0"/>
                            <a:ext cx="4645800" cy="4057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Postup přihlášek</w:t>
                              </w:r>
                            </w:p>
                          </w:txbxContent>
                        </wps:txbx>
                        <wps:bodyPr lIns="90000" rIns="90000" tIns="45000" bIns="45000">
                          <a:noAutofit/>
                        </wps:bodyPr>
                      </wps:wsp>
                      <wps:wsp>
                        <wps:cNvSpPr/>
                        <wps:spPr>
                          <a:xfrm>
                            <a:off x="0" y="675720"/>
                            <a:ext cx="159948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Přístup k přihlášce</w:t>
                              </w:r>
                            </w:p>
                          </w:txbxContent>
                        </wps:txbx>
                        <wps:bodyPr lIns="90000" rIns="90000" tIns="45000" bIns="45000">
                          <a:noAutofit/>
                        </wps:bodyPr>
                      </wps:wsp>
                      <wps:wsp>
                        <wps:cNvSpPr/>
                        <wps:spPr>
                          <a:xfrm>
                            <a:off x="0" y="1099080"/>
                            <a:ext cx="159948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Kompletní aplikace</w:t>
                              </w:r>
                            </w:p>
                          </w:txbxContent>
                        </wps:txbx>
                        <wps:bodyPr lIns="90000" rIns="90000" tIns="45000" bIns="45000">
                          <a:noAutofit/>
                        </wps:bodyPr>
                      </wps:wsp>
                      <wps:wsp>
                        <wps:cNvSpPr/>
                        <wps:spPr>
                          <a:xfrm>
                            <a:off x="0" y="1497240"/>
                            <a:ext cx="159948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Způsobilí kandidáti</w:t>
                              </w:r>
                            </w:p>
                          </w:txbxContent>
                        </wps:txbx>
                        <wps:bodyPr lIns="90000" rIns="90000" tIns="45000" bIns="45000">
                          <a:noAutofit/>
                        </wps:bodyPr>
                      </wps:wsp>
                      <wps:wsp>
                        <wps:cNvSpPr/>
                        <wps:spPr>
                          <a:xfrm>
                            <a:off x="0" y="192024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Přijati do panelu</w:t>
                              </w:r>
                            </w:p>
                          </w:txbxContent>
                        </wps:txbx>
                        <wps:bodyPr lIns="90000" rIns="90000" tIns="45000" bIns="45000">
                          <a:noAutofit/>
                        </wps:bodyPr>
                      </wps:wsp>
                      <wps:wsp>
                        <wps:cNvSpPr/>
                        <wps:spPr>
                          <a:xfrm>
                            <a:off x="0" y="234324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Aktivní účastníci</w:t>
                              </w:r>
                            </w:p>
                          </w:txbxContent>
                        </wps:txbx>
                        <wps:bodyPr lIns="90000" rIns="90000" tIns="45000" bIns="45000">
                          <a:noAutofit/>
                        </wps:bodyPr>
                      </wps:wsp>
                      <wps:wsp>
                        <wps:cNvSpPr/>
                        <wps:spPr>
                          <a:xfrm>
                            <a:off x="4430520" y="59436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března 2022</w:t>
                              </w:r>
                            </w:p>
                          </w:txbxContent>
                        </wps:txbx>
                        <wps:bodyPr lIns="90000" rIns="90000" tIns="45000" bIns="45000">
                          <a:noAutofit/>
                        </wps:bodyPr>
                      </wps:wsp>
                      <wps:wsp>
                        <wps:cNvSpPr/>
                        <wps:spPr>
                          <a:xfrm>
                            <a:off x="4447440" y="109980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Března 2022</w:t>
                              </w:r>
                            </w:p>
                          </w:txbxContent>
                        </wps:txbx>
                        <wps:bodyPr lIns="90000" rIns="90000" tIns="45000" bIns="45000">
                          <a:noAutofit/>
                        </wps:bodyPr>
                      </wps:wsp>
                      <wps:wsp>
                        <wps:cNvSpPr/>
                        <wps:spPr>
                          <a:xfrm>
                            <a:off x="4430520" y="59508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března 2022</w:t>
                              </w:r>
                            </w:p>
                          </w:txbxContent>
                        </wps:txbx>
                        <wps:bodyPr lIns="90000" rIns="90000" tIns="45000" bIns="45000">
                          <a:noAutofit/>
                        </wps:bodyPr>
                      </wps:wsp>
                      <wps:wsp>
                        <wps:cNvSpPr/>
                        <wps:spPr>
                          <a:xfrm>
                            <a:off x="4439160" y="1514520"/>
                            <a:ext cx="159876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Března 2022</w:t>
                              </w:r>
                            </w:p>
                          </w:txbxContent>
                        </wps:txbx>
                        <wps:bodyPr lIns="90000" rIns="90000" tIns="45000" bIns="45000">
                          <a:noAutofit/>
                        </wps:bodyPr>
                      </wps:wsp>
                      <wps:wsp>
                        <wps:cNvSpPr/>
                        <wps:spPr>
                          <a:xfrm>
                            <a:off x="4430520" y="191340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Března 2022</w:t>
                              </w:r>
                            </w:p>
                          </w:txbxContent>
                        </wps:txbx>
                        <wps:bodyPr lIns="90000" rIns="90000" tIns="45000" bIns="45000">
                          <a:noAutofit/>
                        </wps:bodyPr>
                      </wps:wsp>
                      <wps:wsp>
                        <wps:cNvSpPr/>
                        <wps:spPr>
                          <a:xfrm>
                            <a:off x="4404240" y="227916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11.–12. března 2022</w:t>
                              </w:r>
                            </w:p>
                          </w:txbxContent>
                        </wps:txbx>
                        <wps:bodyPr lIns="90000" rIns="90000" tIns="45000" bIns="45000">
                          <a:noAutofit/>
                        </wps:bodyPr>
                      </wps:wsp>
                    </wpg:wgp>
                  </a:graphicData>
                </a:graphic>
              </wp:anchor>
            </w:drawing>
          </mc:Choice>
          <mc:Fallback>
            <w:pict>
              <v:group id="shape_0" alt="Formulář6" style="position:absolute;margin-left:0.8pt;margin-top:11.4pt;width:476.1pt;height:286.6pt" coordorigin="16,228" coordsize="9522,5732">
                <v:shape id="shape_0" stroked="f" style="position:absolute;left:2410;top:949;width:4571;height:5010" type="shapetype_75">
                  <v:imagedata r:id="rId107" o:detectmouseclick="t"/>
                  <w10:wrap type="none"/>
                  <v:stroke color="#3465a4" joinstyle="round" endcap="flat"/>
                </v:shape>
                <v:rect id="shape_0" stroked="f" style="position:absolute;left:1108;top:228;width:7315;height:63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Postup přihlášek</w:t>
                        </w:r>
                      </w:p>
                    </w:txbxContent>
                  </v:textbox>
                  <w10:wrap type="square"/>
                  <v:fill o:detectmouseclick="t" on="false"/>
                  <v:stroke color="#3465a4" joinstyle="round" endcap="flat"/>
                </v:rect>
                <v:rect id="shape_0" stroked="f" style="position:absolute;left:16;top:1292;width:2518;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Přístup k přihlášce</w:t>
                        </w:r>
                      </w:p>
                    </w:txbxContent>
                  </v:textbox>
                  <w10:wrap type="square"/>
                  <v:fill o:detectmouseclick="t" on="false"/>
                  <v:stroke color="#3465a4" joinstyle="round" endcap="flat"/>
                </v:rect>
                <v:rect id="shape_0" stroked="f" style="position:absolute;left:16;top:1959;width:2518;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Kompletní aplikace</w:t>
                        </w:r>
                      </w:p>
                    </w:txbxContent>
                  </v:textbox>
                  <w10:wrap type="square"/>
                  <v:fill o:detectmouseclick="t" on="false"/>
                  <v:stroke color="#3465a4" joinstyle="round" endcap="flat"/>
                </v:rect>
                <v:rect id="shape_0" stroked="f" style="position:absolute;left:16;top:2586;width:2518;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Způsobilí kandidáti</w:t>
                        </w:r>
                      </w:p>
                    </w:txbxContent>
                  </v:textbox>
                  <w10:wrap type="square"/>
                  <v:fill o:detectmouseclick="t" on="false"/>
                  <v:stroke color="#3465a4" joinstyle="round" endcap="flat"/>
                </v:rect>
                <v:rect id="shape_0" stroked="f" style="position:absolute;left:16;top:3252;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Přijati do panelu</w:t>
                        </w:r>
                      </w:p>
                    </w:txbxContent>
                  </v:textbox>
                  <w10:wrap type="square"/>
                  <v:fill o:detectmouseclick="t" on="false"/>
                  <v:stroke color="#3465a4" joinstyle="round" endcap="flat"/>
                </v:rect>
                <v:rect id="shape_0" stroked="f" style="position:absolute;left:16;top:3918;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Aktivní účastníci</w:t>
                        </w:r>
                      </w:p>
                    </w:txbxContent>
                  </v:textbox>
                  <w10:wrap type="square"/>
                  <v:fill o:detectmouseclick="t" on="false"/>
                  <v:stroke color="#3465a4" joinstyle="round" endcap="flat"/>
                </v:rect>
                <v:rect id="shape_0" stroked="f" style="position:absolute;left:6993;top:1164;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března 2022</w:t>
                        </w:r>
                      </w:p>
                    </w:txbxContent>
                  </v:textbox>
                  <w10:wrap type="square"/>
                  <v:fill o:detectmouseclick="t" on="false"/>
                  <v:stroke color="#3465a4" joinstyle="round" endcap="flat"/>
                </v:rect>
                <v:rect id="shape_0" stroked="f" style="position:absolute;left:7020;top:1960;width:2518;height:4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Března 2022</w:t>
                        </w:r>
                      </w:p>
                    </w:txbxContent>
                  </v:textbox>
                  <w10:wrap type="square"/>
                  <v:fill o:detectmouseclick="t" on="false"/>
                  <v:stroke color="#3465a4" joinstyle="round" endcap="flat"/>
                </v:rect>
                <v:rect id="shape_0" stroked="f" style="position:absolute;left:6993;top:1165;width:2518;height:4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března 2022</w:t>
                        </w:r>
                      </w:p>
                    </w:txbxContent>
                  </v:textbox>
                  <w10:wrap type="square"/>
                  <v:fill o:detectmouseclick="t" on="false"/>
                  <v:stroke color="#3465a4" joinstyle="round" endcap="flat"/>
                </v:rect>
                <v:rect id="shape_0" stroked="f" style="position:absolute;left:7007;top:2613;width:2517;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Března 2022</w:t>
                        </w:r>
                      </w:p>
                    </w:txbxContent>
                  </v:textbox>
                  <w10:wrap type="square"/>
                  <v:fill o:detectmouseclick="t" on="false"/>
                  <v:stroke color="#3465a4" joinstyle="round" endcap="flat"/>
                </v:rect>
                <v:rect id="shape_0" stroked="f" style="position:absolute;left:6993;top:3241;width:2518;height:4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Března 2022</w:t>
                        </w:r>
                      </w:p>
                    </w:txbxContent>
                  </v:textbox>
                  <w10:wrap type="square"/>
                  <v:fill o:detectmouseclick="t" on="false"/>
                  <v:stroke color="#3465a4" joinstyle="round" endcap="flat"/>
                </v:rect>
                <v:rect id="shape_0" stroked="f" style="position:absolute;left:6952;top:3817;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11.–12. března 2022</w:t>
                        </w:r>
                      </w:p>
                    </w:txbxContent>
                  </v:textbox>
                  <w10:wrap type="square"/>
                  <v:fill o:detectmouseclick="t" on="false"/>
                  <v:stroke color="#3465a4" joinstyle="round" endcap="flat"/>
                </v:rect>
              </v:group>
            </w:pict>
          </mc:Fallback>
        </mc:AlternateContent>
      </w:r>
      <w:r>
        <w:br w:type="page"/>
      </w:r>
    </w:p>
    <w:p>
      <w:pPr>
        <w:pStyle w:val="P68B1DB1Normal74"/>
        <w:widowControl w:val="false"/>
        <w:spacing w:lineRule="exact" w:line="393"/>
        <w:ind w:left="0" w:right="0" w:hanging="0"/>
        <w:jc w:val="left"/>
        <w:rPr>
          <w:rFonts w:ascii="Arial" w:hAnsi="Arial"/>
          <w:color w:val="2E74B5"/>
          <w:sz w:val="22"/>
        </w:rPr>
      </w:pPr>
      <w:r>
        <w:rPr/>
        <w:t xml:space="preserve">Komunikační zařízení </w:t>
      </w:r>
    </w:p>
    <w:p>
      <w:pPr>
        <w:pStyle w:val="P68B1DB1Normal76"/>
        <w:widowControl w:val="false"/>
        <w:spacing w:lineRule="exact" w:line="379" w:before="200" w:after="0"/>
        <w:ind w:left="0" w:right="2" w:hanging="0"/>
        <w:jc w:val="left"/>
        <w:rPr/>
      </w:pPr>
      <w:r>
        <w:rPr/>
        <w:t xml:space="preserve">Aby byla zajištěna vysoká úroveň motivace a účasti od samého počátku, byly všem účastníkům zpřístupněny tyto dokumenty: </w:t>
      </w:r>
    </w:p>
    <w:p>
      <w:pPr>
        <w:pStyle w:val="P68B1DB1Normal76"/>
        <w:widowControl w:val="false"/>
        <w:spacing w:lineRule="exact" w:line="252" w:before="192" w:after="0"/>
        <w:ind w:left="720" w:right="0" w:hanging="0"/>
        <w:jc w:val="left"/>
        <w:rPr/>
      </w:pPr>
      <w:r>
        <w:rPr/>
        <w:t xml:space="preserve">• </w:t>
      </w:r>
      <w:r>
        <w:rPr>
          <w:b/>
        </w:rPr>
        <w:t xml:space="preserve">prezentační listy konference o budoucnosti Evropy a národních panelových diskusí; </w:t>
      </w:r>
    </w:p>
    <w:p>
      <w:pPr>
        <w:pStyle w:val="P68B1DB1Normal76"/>
        <w:widowControl w:val="false"/>
        <w:spacing w:lineRule="exact" w:line="379"/>
        <w:ind w:left="720" w:right="0" w:hanging="0"/>
        <w:jc w:val="left"/>
        <w:rPr/>
      </w:pPr>
      <w:r>
        <w:rPr/>
        <w:t xml:space="preserve">• </w:t>
      </w:r>
      <w:r>
        <w:rPr>
          <w:b/>
        </w:rPr>
        <w:t xml:space="preserve">Charta konference o budoucnosti Evropy; </w:t>
      </w:r>
    </w:p>
    <w:p>
      <w:pPr>
        <w:pStyle w:val="P68B1DB1Normal76"/>
        <w:widowControl w:val="false"/>
        <w:spacing w:lineRule="exact" w:line="379"/>
        <w:ind w:left="720" w:right="0" w:hanging="0"/>
        <w:jc w:val="left"/>
        <w:rPr/>
      </w:pPr>
      <w:r>
        <w:rPr/>
        <w:t xml:space="preserve">• </w:t>
      </w:r>
      <w:r>
        <w:rPr/>
        <w:t>témata</w:t>
      </w:r>
      <w:r>
        <w:rPr>
          <w:b/>
        </w:rPr>
        <w:t xml:space="preserve">, která mají být projednána během panelů; </w:t>
      </w:r>
    </w:p>
    <w:p>
      <w:pPr>
        <w:pStyle w:val="P68B1DB1Normal76"/>
        <w:widowControl w:val="false"/>
        <w:spacing w:lineRule="exact" w:line="379"/>
        <w:ind w:left="721" w:right="0" w:hanging="0"/>
        <w:jc w:val="left"/>
        <w:rPr/>
      </w:pPr>
      <w:r>
        <w:rPr/>
        <w:t xml:space="preserve">• </w:t>
      </w:r>
      <w:r>
        <w:rPr>
          <w:b/>
        </w:rPr>
        <w:t xml:space="preserve">technické a organizační informace nezbytné pro účast. </w:t>
      </w:r>
    </w:p>
    <w:p>
      <w:pPr>
        <w:pStyle w:val="P68B1DB1Titre277"/>
        <w:numPr>
          <w:ilvl w:val="0"/>
          <w:numId w:val="2"/>
        </w:numPr>
        <w:rPr>
          <w:color w:val="BD1271"/>
        </w:rPr>
      </w:pPr>
      <w:bookmarkStart w:id="218" w:name="__RefHeading___Toc300312_1346298689"/>
      <w:bookmarkEnd w:id="218"/>
      <w:r>
        <w:rPr/>
        <w:t xml:space="preserve">3. Organizace panelu </w:t>
      </w:r>
    </w:p>
    <w:p>
      <w:pPr>
        <w:pStyle w:val="P68B1DB1Normal76"/>
        <w:widowControl w:val="false"/>
        <w:spacing w:lineRule="exact" w:line="272" w:before="231" w:after="0"/>
        <w:ind w:left="0" w:right="0" w:hanging="0"/>
        <w:jc w:val="both"/>
        <w:rPr/>
      </w:pPr>
      <w:r>
        <w:rPr/>
        <w:t xml:space="preserve">S cílem umožnit maximální účast, včetně osob s profesními závazky, byla komise uspořádána po dobu dvou po sobě jdoucích půldnů, včetně jednoho o víkendech, podle následujícího harmonogramu: </w:t>
      </w:r>
    </w:p>
    <w:p>
      <w:pPr>
        <w:pStyle w:val="P68B1DB1Normal76"/>
        <w:widowControl w:val="false"/>
        <w:spacing w:lineRule="exact" w:line="288" w:before="101" w:after="0"/>
        <w:ind w:left="359" w:right="0" w:hanging="0"/>
        <w:jc w:val="left"/>
        <w:rPr/>
      </w:pPr>
      <w:r>
        <w:rPr>
          <w:rFonts w:ascii="Symbol" w:hAnsi="Symbol"/>
        </w:rPr>
        <w:t>•</w:t>
      </w:r>
      <w:r>
        <w:rPr/>
        <w:t xml:space="preserve"> </w:t>
      </w:r>
      <w:r>
        <w:rPr>
          <w:b/>
        </w:rPr>
        <w:t xml:space="preserve">Pátek 11. března od 16 do 20:00 </w:t>
      </w:r>
    </w:p>
    <w:p>
      <w:pPr>
        <w:pStyle w:val="P68B1DB1Normal76"/>
        <w:widowControl w:val="false"/>
        <w:spacing w:lineRule="exact" w:line="288" w:before="101" w:after="0"/>
        <w:ind w:left="359" w:right="0" w:hanging="0"/>
        <w:jc w:val="left"/>
        <w:rPr/>
      </w:pPr>
      <w:r>
        <w:rPr>
          <w:rFonts w:ascii="Symbol" w:hAnsi="Symbol"/>
        </w:rPr>
        <w:t>•</w:t>
      </w:r>
      <w:r>
        <w:rPr/>
        <w:t xml:space="preserve"> </w:t>
      </w:r>
      <w:r>
        <w:rPr>
          <w:b/>
        </w:rPr>
        <w:t xml:space="preserve">Sobota 12. března od 10 do 12 hodin </w:t>
      </w:r>
    </w:p>
    <w:p>
      <w:pPr>
        <w:pStyle w:val="Normal"/>
        <w:widowControl w:val="false"/>
        <w:spacing w:lineRule="exact" w:line="286" w:before="83" w:after="0"/>
        <w:ind w:left="0" w:right="1" w:hanging="0"/>
        <w:jc w:val="both"/>
        <w:rPr/>
      </w:pPr>
      <w:r>
        <w:rPr>
          <w:color w:val="000000"/>
        </w:rPr>
        <w:t xml:space="preserve">Tato volba měla na jedné straně usnadnit účast pracovníků na iniciativě a na straně druhé rozdělit dobu docházky, aby se podpořila větší pozornost a účast, jakož i další úvahy o předložených tématech a návrzích. Účastníci panelu, kteří byli zapojeni do dvou pracovních zasedání prostřednictvím platformy GoToMeeting a byli rozděleni do čtyř skupin (dvě pro každou tematickou oblast), vedeni moderátorem </w:t>
      </w:r>
      <w:r>
        <w:rPr>
          <w:color w:val="ED7D31"/>
        </w:rPr>
        <w:t>SWG</w:t>
      </w:r>
      <w:r>
        <w:rPr>
          <w:color w:val="000000"/>
        </w:rPr>
        <w:t xml:space="preserve"> a asistenty osoby odpovědné za psaní jednání. Moderátoři usnadňovali skupinám prostřednictvím dvou různých způsobů diskuse (jeden pro každou tematickou oblast) s cílem co nejvíce zapojit všechny vybrané osoby a zajistit přístup založený na maximální inkluzi a neutralitě. </w:t>
      </w:r>
    </w:p>
    <w:p>
      <w:pPr>
        <w:pStyle w:val="Titre2"/>
        <w:numPr>
          <w:ilvl w:val="1"/>
          <w:numId w:val="2"/>
        </w:numPr>
        <w:rPr/>
      </w:pPr>
      <w:bookmarkStart w:id="219" w:name="__RefHeading___Toc300314_1346298689"/>
      <w:bookmarkEnd w:id="219"/>
      <w:r>
        <w:rPr>
          <w:color w:val="BD1271"/>
        </w:rPr>
        <w:t>4. Pracovní program</w:t>
      </w:r>
      <w:r>
        <w:rPr/>
        <w:t xml:space="preserve"> </w:t>
      </w:r>
    </w:p>
    <w:p>
      <w:pPr>
        <w:pStyle w:val="P68B1DB1Normal80"/>
        <w:widowControl w:val="false"/>
        <w:spacing w:lineRule="exact" w:line="393" w:before="85" w:after="0"/>
        <w:ind w:left="0" w:right="0" w:hanging="0"/>
        <w:jc w:val="left"/>
        <w:rPr>
          <w:rFonts w:ascii="Arial" w:hAnsi="Arial"/>
          <w:color w:val="116E9A"/>
          <w:sz w:val="24"/>
        </w:rPr>
      </w:pPr>
      <w:r>
        <w:rPr/>
        <w:t xml:space="preserve">První zasedání (pátek 11. března 2022) </w:t>
      </w:r>
    </w:p>
    <w:p>
      <w:pPr>
        <w:pStyle w:val="P68B1DB1Normal76"/>
        <w:widowControl w:val="false"/>
        <w:spacing w:lineRule="exact" w:line="362" w:before="208" w:after="0"/>
        <w:ind w:left="360" w:right="0" w:hanging="0"/>
        <w:jc w:val="left"/>
        <w:rPr/>
      </w:pPr>
      <w:r>
        <w:rPr/>
        <w:t xml:space="preserve">• </w:t>
      </w:r>
      <w:r>
        <w:rPr/>
        <w:t xml:space="preserve">00 – Otevření virtuální místnosti a možnost, aby se účastníci připojili k platformě, aby si ověřili správné fungování svých audio a video systémů. </w:t>
      </w:r>
    </w:p>
    <w:p>
      <w:pPr>
        <w:pStyle w:val="P68B1DB1Normal76"/>
        <w:widowControl w:val="false"/>
        <w:spacing w:lineRule="exact" w:line="362"/>
        <w:ind w:left="360" w:right="0" w:hanging="0"/>
        <w:jc w:val="left"/>
        <w:rPr/>
      </w:pPr>
      <w:r>
        <w:rPr/>
        <w:t xml:space="preserve">• </w:t>
      </w:r>
      <w:r>
        <w:rPr/>
        <w:t xml:space="preserve">16:00 – Úvod moderátora: vysvětlení důvodů iniciativy a popis struktury práce. </w:t>
      </w:r>
    </w:p>
    <w:p>
      <w:pPr>
        <w:pStyle w:val="P68B1DB1Normal76"/>
        <w:widowControl w:val="false"/>
        <w:spacing w:lineRule="exact" w:line="362"/>
        <w:ind w:left="360" w:right="0" w:hanging="0"/>
        <w:jc w:val="left"/>
        <w:rPr>
          <w:rFonts w:ascii="Arial" w:hAnsi="Arial"/>
          <w:color w:val="000000"/>
          <w:sz w:val="22"/>
        </w:rPr>
      </w:pPr>
      <w:r>
        <w:rPr/>
        <w:t xml:space="preserve">• </w:t>
      </w:r>
      <w:r>
        <w:rPr/>
        <w:t xml:space="preserve">15:00 – Rozložení účastníků do skupin na základě preferencí uvedených ve fázi podávání žádosti. </w:t>
      </w:r>
    </w:p>
    <w:p>
      <w:pPr>
        <w:pStyle w:val="P68B1DB1Normal76"/>
        <w:widowControl w:val="false"/>
        <w:spacing w:lineRule="exact" w:line="362"/>
        <w:ind w:left="360" w:right="0" w:hanging="0"/>
        <w:jc w:val="left"/>
        <w:rPr>
          <w:rFonts w:ascii="Arial" w:hAnsi="Arial"/>
          <w:color w:val="000000"/>
          <w:sz w:val="22"/>
        </w:rPr>
      </w:pPr>
      <w:r>
        <w:rPr/>
        <w:t xml:space="preserve">• </w:t>
      </w:r>
      <w:r>
        <w:rPr/>
        <w:t xml:space="preserve">16:20 – Zahájení skupinové diskuse. </w:t>
      </w:r>
    </w:p>
    <w:p>
      <w:pPr>
        <w:pStyle w:val="P68B1DB1Normal76"/>
        <w:widowControl w:val="false"/>
        <w:spacing w:lineRule="exact" w:line="362"/>
        <w:ind w:left="360" w:right="0" w:hanging="0"/>
        <w:jc w:val="left"/>
        <w:rPr>
          <w:rFonts w:ascii="Arial" w:hAnsi="Arial"/>
          <w:color w:val="000000"/>
          <w:sz w:val="22"/>
        </w:rPr>
      </w:pPr>
      <w:r>
        <w:rPr/>
        <w:t xml:space="preserve">• </w:t>
      </w:r>
      <w:r>
        <w:rPr/>
        <w:t xml:space="preserve">20:00 – Konec zasedání. </w:t>
      </w:r>
    </w:p>
    <w:p>
      <w:pPr>
        <w:pStyle w:val="P68B1DB1Normal80"/>
        <w:widowControl w:val="false"/>
        <w:spacing w:lineRule="exact" w:line="393" w:before="248" w:after="0"/>
        <w:ind w:left="0" w:right="0" w:hanging="0"/>
        <w:jc w:val="left"/>
        <w:rPr>
          <w:rFonts w:ascii="Arial" w:hAnsi="Arial"/>
          <w:color w:val="116E9A"/>
          <w:sz w:val="24"/>
        </w:rPr>
      </w:pPr>
      <w:r>
        <w:rPr/>
        <w:t xml:space="preserve">Druhé zasedání (sobota 12. března 2022) </w:t>
      </w:r>
    </w:p>
    <w:p>
      <w:pPr>
        <w:pStyle w:val="P68B1DB1Normal76"/>
        <w:widowControl w:val="false"/>
        <w:spacing w:lineRule="exact" w:line="362" w:before="208" w:after="0"/>
        <w:ind w:left="360" w:right="0" w:hanging="0"/>
        <w:jc w:val="left"/>
        <w:rPr>
          <w:rFonts w:ascii="Arial" w:hAnsi="Arial"/>
          <w:color w:val="000000"/>
          <w:sz w:val="22"/>
        </w:rPr>
      </w:pPr>
      <w:r>
        <w:rPr/>
        <w:t xml:space="preserve">• </w:t>
      </w:r>
      <w:r>
        <w:rPr/>
        <w:t xml:space="preserve">10 – Obnovení práce čtením výsledků práce prvního dne. </w:t>
      </w:r>
    </w:p>
    <w:p>
      <w:pPr>
        <w:pStyle w:val="P68B1DB1Normal76"/>
        <w:widowControl w:val="false"/>
        <w:spacing w:lineRule="exact" w:line="254"/>
        <w:ind w:left="360" w:right="140" w:hanging="0"/>
        <w:jc w:val="left"/>
        <w:rPr/>
      </w:pPr>
      <w:r>
        <w:rPr/>
        <w:t xml:space="preserve">• </w:t>
      </w:r>
      <w:r>
        <w:rPr/>
        <w:t xml:space="preserve">10:15 – Pokračující diskuse, podrobné diskuse a připomínky účastníků. </w:t>
      </w:r>
    </w:p>
    <w:p>
      <w:pPr>
        <w:pStyle w:val="Normal"/>
        <w:widowControl w:val="false"/>
        <w:spacing w:lineRule="exact" w:line="362"/>
        <w:ind w:left="360" w:right="0" w:hanging="0"/>
        <w:jc w:val="left"/>
        <w:rPr/>
      </w:pPr>
      <w:r>
        <w:rPr>
          <w:color w:val="000000"/>
        </w:rPr>
        <w:t xml:space="preserve">• </w:t>
      </w:r>
      <w:r>
        <w:rPr>
          <w:color w:val="000000"/>
        </w:rPr>
        <w:t>12.00 – Závěr práce</w:t>
      </w:r>
      <w:r>
        <w:rPr>
          <w:color w:val="FF0000"/>
        </w:rPr>
        <w:t>.</w:t>
      </w:r>
      <w:r>
        <w:rPr>
          <w:color w:val="000000"/>
        </w:rPr>
        <w:t xml:space="preserve"> </w:t>
      </w:r>
    </w:p>
    <w:p>
      <w:pPr>
        <w:pStyle w:val="P68B1DB1Normal34"/>
        <w:widowControl w:val="false"/>
        <w:spacing w:lineRule="exact" w:line="393"/>
        <w:ind w:left="360" w:right="0" w:hanging="0"/>
        <w:jc w:val="left"/>
        <w:rPr>
          <w:rFonts w:ascii="Arial" w:hAnsi="Arial"/>
          <w:color w:val="000000"/>
          <w:sz w:val="24"/>
        </w:rPr>
      </w:pPr>
      <w:r>
        <w:rPr/>
        <w:t xml:space="preserve"> </w:t>
      </w:r>
    </w:p>
    <w:p>
      <w:pPr>
        <w:pStyle w:val="Normal"/>
        <w:spacing w:lineRule="auto" w:line="240" w:before="5420" w:after="57"/>
        <w:rPr/>
      </w:pPr>
      <w:r>
        <w:rPr/>
        <w:drawing>
          <wp:anchor behindDoc="0" distT="0" distB="0" distL="0" distR="0" simplePos="0" locked="0" layoutInCell="1" allowOverlap="1" relativeHeight="61">
            <wp:simplePos x="0" y="0"/>
            <wp:positionH relativeFrom="column">
              <wp:align>center</wp:align>
            </wp:positionH>
            <wp:positionV relativeFrom="paragraph">
              <wp:posOffset>635</wp:posOffset>
            </wp:positionV>
            <wp:extent cx="6120130" cy="3441700"/>
            <wp:effectExtent l="0" t="0" r="0" b="0"/>
            <wp:wrapTopAndBottom/>
            <wp:docPr id="105" name="Obrázek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Obrázek45" descr=""/>
                    <pic:cNvPicPr>
                      <a:picLocks noChangeAspect="1" noChangeArrowheads="1"/>
                    </pic:cNvPicPr>
                  </pic:nvPicPr>
                  <pic:blipFill>
                    <a:blip r:embed="rId108"/>
                    <a:stretch>
                      <a:fillRect/>
                    </a:stretch>
                  </pic:blipFill>
                  <pic:spPr bwMode="auto">
                    <a:xfrm>
                      <a:off x="0" y="0"/>
                      <a:ext cx="6120130" cy="3441700"/>
                    </a:xfrm>
                    <a:prstGeom prst="rect">
                      <a:avLst/>
                    </a:prstGeom>
                  </pic:spPr>
                </pic:pic>
              </a:graphicData>
            </a:graphic>
          </wp:anchor>
        </w:drawing>
      </w:r>
    </w:p>
    <w:p>
      <w:pPr>
        <w:pStyle w:val="Normal"/>
        <w:spacing w:lineRule="auto" w:line="240"/>
        <w:rPr/>
      </w:pPr>
      <w:r>
        <w:rPr/>
      </w:r>
      <w:r>
        <w:br w:type="page"/>
      </w:r>
    </w:p>
    <w:p>
      <w:pPr>
        <w:pStyle w:val="P68B1DB1Titre277"/>
        <w:numPr>
          <w:ilvl w:val="0"/>
          <w:numId w:val="2"/>
        </w:numPr>
        <w:rPr>
          <w:color w:val="BD1271"/>
        </w:rPr>
      </w:pPr>
      <w:bookmarkStart w:id="220" w:name="__RefHeading___Toc300316_1346298689"/>
      <w:bookmarkEnd w:id="220"/>
      <w:r>
        <w:rPr/>
        <w:t xml:space="preserve">5. Doporučení učiněná </w:t>
      </w:r>
    </w:p>
    <w:p>
      <w:pPr>
        <w:pStyle w:val="Titre3"/>
        <w:numPr>
          <w:ilvl w:val="2"/>
          <w:numId w:val="2"/>
        </w:numPr>
        <w:rPr/>
      </w:pPr>
      <w:bookmarkStart w:id="221" w:name="__RefHeading___Toc300318_1346298689"/>
      <w:bookmarkEnd w:id="221"/>
      <w:r>
        <w:rPr>
          <w:color w:val="FFFFFF"/>
          <w:shd w:fill="0066B3" w:val="clear"/>
        </w:rPr>
        <w:t>Silnější ekonomika, sociální spravedlnost a zaměstnanost</w:t>
      </w:r>
      <w:r>
        <w:rPr/>
        <w:t xml:space="preserve"> </w:t>
      </w:r>
    </w:p>
    <w:p>
      <w:pPr>
        <w:pStyle w:val="P68B1DB1Normal19"/>
        <w:widowControl w:val="false"/>
        <w:spacing w:lineRule="auto" w:line="240" w:before="106" w:after="0"/>
        <w:ind w:left="0" w:right="0" w:hanging="0"/>
        <w:jc w:val="left"/>
        <w:rPr>
          <w:rFonts w:ascii="Times New Roman" w:hAnsi="Times New Roman"/>
          <w:color w:val="000000"/>
          <w:sz w:val="24"/>
        </w:rPr>
      </w:pPr>
      <w:r>
        <w:rPr/>
        <w:t xml:space="preserve"> </w:t>
      </w:r>
    </w:p>
    <w:p>
      <w:pPr>
        <w:pStyle w:val="P68B1DB1Titre481"/>
        <w:numPr>
          <w:ilvl w:val="0"/>
          <w:numId w:val="2"/>
        </w:numPr>
        <w:rPr>
          <w:color w:val="0066B3"/>
        </w:rPr>
      </w:pPr>
      <w:bookmarkStart w:id="222" w:name="__RefHeading___Toc300428_1346298689"/>
      <w:bookmarkEnd w:id="222"/>
      <w:r>
        <w:rPr/>
        <w:t xml:space="preserve">1. Překonání výrobního modelu minulého století </w:t>
      </w:r>
    </w:p>
    <w:p>
      <w:pPr>
        <w:pStyle w:val="P68B1DB1Normal76"/>
        <w:widowControl w:val="false"/>
        <w:spacing w:lineRule="auto" w:line="240" w:before="80" w:after="0"/>
        <w:ind w:left="0" w:right="1" w:hanging="0"/>
        <w:jc w:val="both"/>
        <w:rPr/>
      </w:pPr>
      <w:r>
        <w:rPr/>
        <w:t xml:space="preserve">Účastníci panelu se domnívali, že poslední globální události (pandemie COVID-19 a konflikt mezi Ruskem a Ukrajinou) údajně prokázaly omezení stávajícího evropského modelu výroby, a zdůraznili potřebu přehodnotit přístup, který mnozí popisují jako „patřící do minulého století“.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2" w:hanging="0"/>
        <w:jc w:val="both"/>
        <w:rPr/>
      </w:pPr>
      <w:r>
        <w:rPr/>
        <w:t xml:space="preserve">Důkaz závislosti Evropy na dovozu energie a potravin ze zemí mimo Evropskou unii, jakož i zjištění (během pandemie), že sami nejsme schopni vyrobit množství zdravotnických prostředků a očkovacích látek potřebných k boji proti šíření viru, vyvolalo dojem, že náš hospodářský systém trpí strukturální slabostí kvůli nedostatku soběstačnosti.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3" w:hanging="0"/>
        <w:jc w:val="both"/>
        <w:rPr/>
      </w:pPr>
      <w:r>
        <w:rPr/>
        <w:t xml:space="preserve">Účastníci se zároveň jasně domnívají, že silnější ekonomika, schopná vytvářet pracovní místa v kontextu sociální spravedlnosti, musí být schopna získat důležitá technologická aktiva. Za tímto účelem je nezbytné podporovat vzdělávací systém se stále větší pozorností věnovanou předmětům souvisejícím s STEM.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b/>
        </w:rPr>
        <w:t>Technologické inovace, udržitelná energie, ale také cestovní ruch a kultura</w:t>
      </w:r>
      <w:r>
        <w:rPr/>
        <w:t xml:space="preserve"> se zdají být třemi základními osami pro rozvoj evropského hospodářství budoucnosti, se zvláštním důrazem na zachování základní produkce, aby se zabránilo riziku nadměrné závislosti na třetích zemích na dodávkách základních produktů a surovin. </w:t>
      </w:r>
    </w:p>
    <w:p>
      <w:pPr>
        <w:pStyle w:val="P68B1DB1Normal82"/>
        <w:widowControl w:val="false"/>
        <w:spacing w:lineRule="auto" w:line="240"/>
        <w:ind w:left="4819" w:right="0" w:hanging="0"/>
        <w:jc w:val="left"/>
        <w:rPr>
          <w:rFonts w:ascii="Arial" w:hAnsi="Arial"/>
          <w:color w:val="2E74B5"/>
          <w:sz w:val="24"/>
        </w:rPr>
      </w:pPr>
      <w:r>
        <w:rPr/>
        <w:t xml:space="preserve"> </w:t>
      </w:r>
    </w:p>
    <w:p>
      <w:pPr>
        <w:pStyle w:val="P68B1DB1Normal83"/>
        <w:widowControl w:val="false"/>
        <w:spacing w:lineRule="auto" w:line="240" w:before="84" w:after="0"/>
        <w:ind w:left="3000" w:right="0" w:hanging="0"/>
        <w:jc w:val="left"/>
        <w:rPr>
          <w:rFonts w:ascii="Arial" w:hAnsi="Arial"/>
          <w:b/>
          <w:b/>
          <w:color w:val="2E74B5"/>
          <w:sz w:val="24"/>
        </w:rPr>
      </w:pPr>
      <w:r>
        <w:rPr/>
        <w:t xml:space="preserve">DOPORUČENÍ STRUČNĚ </w:t>
      </w:r>
    </w:p>
    <w:p>
      <w:pPr>
        <w:pStyle w:val="P68B1DB1Normal84"/>
        <w:widowControl w:val="false"/>
        <w:spacing w:lineRule="auto" w:line="240" w:before="69" w:after="0"/>
        <w:ind w:left="283" w:right="0" w:hanging="0"/>
        <w:jc w:val="left"/>
        <w:rPr/>
      </w:pPr>
      <w:r>
        <w:rPr>
          <w:color w:val="BD1271"/>
        </w:rPr>
        <w:t xml:space="preserve">1. </w:t>
      </w:r>
      <w:r>
        <w:rPr>
          <w:color w:val="000000"/>
        </w:rPr>
        <w:t>Přijmout účinná opatření v oblasti změny klimatu a alternativní energie.</w:t>
      </w:r>
    </w:p>
    <w:p>
      <w:pPr>
        <w:pStyle w:val="P68B1DB1Normal84"/>
        <w:widowControl w:val="false"/>
        <w:spacing w:lineRule="auto" w:line="240"/>
        <w:ind w:left="283" w:right="0" w:hanging="0"/>
        <w:jc w:val="left"/>
        <w:rPr/>
      </w:pPr>
      <w:r>
        <w:rPr>
          <w:color w:val="BD1271"/>
        </w:rPr>
        <w:t xml:space="preserve">2. </w:t>
      </w:r>
      <w:r>
        <w:rPr>
          <w:color w:val="000000"/>
        </w:rPr>
        <w:t>Investovat do cestovního ruchu a kulturní ekonomiky, také ocenit mnoho malých destinací v Evropě.</w:t>
      </w:r>
    </w:p>
    <w:p>
      <w:pPr>
        <w:pStyle w:val="P68B1DB1Normal84"/>
        <w:widowControl w:val="false"/>
        <w:spacing w:lineRule="auto" w:line="240"/>
        <w:ind w:left="283" w:right="0" w:hanging="0"/>
        <w:jc w:val="left"/>
        <w:rPr/>
      </w:pPr>
      <w:r>
        <w:rPr>
          <w:color w:val="BD1271"/>
        </w:rPr>
        <w:t xml:space="preserve">3. </w:t>
      </w:r>
      <w:r>
        <w:rPr>
          <w:color w:val="000000"/>
        </w:rPr>
        <w:t>Zaměřte se na technologie a inovace jako na hnací sílu růstu.</w:t>
      </w:r>
    </w:p>
    <w:p>
      <w:pPr>
        <w:pStyle w:val="P68B1DB1Normal84"/>
        <w:widowControl w:val="false"/>
        <w:spacing w:lineRule="auto" w:line="240"/>
        <w:ind w:left="283" w:right="0" w:hanging="0"/>
        <w:jc w:val="left"/>
        <w:rPr/>
      </w:pPr>
      <w:r>
        <w:rPr>
          <w:color w:val="BD1271"/>
        </w:rPr>
        <w:t xml:space="preserve">4. </w:t>
      </w:r>
      <w:r>
        <w:rPr>
          <w:color w:val="000000"/>
        </w:rPr>
        <w:t>Snížit závislost na jiných zemích na surovinách, zdrojích energie a zemědělství.</w:t>
      </w:r>
    </w:p>
    <w:p>
      <w:pPr>
        <w:pStyle w:val="P68B1DB1Normal84"/>
        <w:widowControl w:val="false"/>
        <w:spacing w:lineRule="auto" w:line="240"/>
        <w:ind w:left="283" w:right="0" w:hanging="0"/>
        <w:jc w:val="left"/>
        <w:rPr/>
      </w:pPr>
      <w:r>
        <w:rPr>
          <w:color w:val="BD1271"/>
        </w:rPr>
        <w:t xml:space="preserve">5. </w:t>
      </w:r>
      <w:r>
        <w:rPr>
          <w:color w:val="000000"/>
        </w:rPr>
        <w:t>Povzbuzovat mladé lidi ke studiu vědeckých předmětů.</w:t>
      </w:r>
    </w:p>
    <w:p>
      <w:pPr>
        <w:pStyle w:val="P68B1DB1Normal85"/>
        <w:widowControl w:val="false"/>
        <w:spacing w:lineRule="exact" w:line="460"/>
        <w:ind w:left="0" w:right="0" w:hanging="0"/>
        <w:jc w:val="left"/>
        <w:rPr>
          <w:rFonts w:ascii="Arial" w:hAnsi="Arial"/>
          <w:color w:val="FFFFFF"/>
          <w:sz w:val="28"/>
        </w:rPr>
      </w:pPr>
      <w:r>
        <w:rPr/>
        <w:t xml:space="preserve"> </w:t>
      </w:r>
    </w:p>
    <w:p>
      <w:pPr>
        <w:pStyle w:val="P68B1DB1Titre481"/>
        <w:numPr>
          <w:ilvl w:val="0"/>
          <w:numId w:val="2"/>
        </w:numPr>
        <w:rPr>
          <w:color w:val="0066B3"/>
        </w:rPr>
      </w:pPr>
      <w:bookmarkStart w:id="223" w:name="__RefHeading___Toc300430_1346298689"/>
      <w:bookmarkEnd w:id="223"/>
      <w:r>
        <w:rPr/>
        <w:t xml:space="preserve">2. Generativní a inkluzivní výrobní předpisy </w:t>
      </w:r>
    </w:p>
    <w:p>
      <w:pPr>
        <w:pStyle w:val="P68B1DB1Normal76"/>
        <w:widowControl w:val="false"/>
        <w:spacing w:lineRule="auto" w:line="240" w:before="91" w:after="0"/>
        <w:ind w:left="0" w:right="2" w:hanging="0"/>
        <w:jc w:val="both"/>
        <w:rPr/>
      </w:pPr>
      <w:r>
        <w:rPr/>
        <w:t xml:space="preserve">K překonání ekonomické logiky minulého století je také nutné přezkoumat pravidla a postupy, kterými se řídí obchodní činnost. V tomto smyslu existují čtyři doporučení, která všechna reagují na společnou logiku: na jedné straně zjednodušení pravidel a na straně druhé zachování vysoké úrovně bdělosti proti protiprávním jednáním (zejména pokud jde o padělání a nekalou hospodářskou soutěž). </w:t>
      </w:r>
    </w:p>
    <w:p>
      <w:pPr>
        <w:pStyle w:val="P68B1DB1Normal76"/>
        <w:widowControl w:val="false"/>
        <w:spacing w:lineRule="auto" w:line="240" w:before="15" w:after="0"/>
        <w:ind w:left="0" w:right="2" w:hanging="0"/>
        <w:jc w:val="both"/>
        <w:rPr/>
      </w:pPr>
      <w:r>
        <w:rPr/>
        <w:t xml:space="preserve">Velká pozornost je věnována potřebě hospodářských pravidel, která jsou především generativní a co nejvíce omezují volby, které vyžadují standardizaci výrobních procesů (ohrožování specifických místních produkcí s hlubokými kulturními kořeny), ale také ničení zemědělských statků v důsledku potřeby zachovat předem stanovená množství produkce. </w:t>
      </w:r>
    </w:p>
    <w:p>
      <w:pPr>
        <w:pStyle w:val="P68B1DB1Normal83"/>
        <w:widowControl w:val="false"/>
        <w:spacing w:lineRule="auto" w:line="240" w:before="6" w:after="0"/>
        <w:ind w:left="4819" w:right="0" w:hanging="0"/>
        <w:jc w:val="left"/>
        <w:rPr>
          <w:rFonts w:ascii="Arial" w:hAnsi="Arial"/>
          <w:b/>
          <w:b/>
          <w:color w:val="2E74B5"/>
          <w:sz w:val="24"/>
        </w:rPr>
      </w:pPr>
      <w:r>
        <w:rPr/>
        <w:t xml:space="preserve"> </w:t>
      </w:r>
    </w:p>
    <w:p>
      <w:pPr>
        <w:pStyle w:val="P68B1DB1Normal83"/>
        <w:widowControl w:val="false"/>
        <w:spacing w:lineRule="auto" w:line="240" w:before="72" w:after="0"/>
        <w:ind w:left="3000" w:right="0" w:hanging="0"/>
        <w:jc w:val="left"/>
        <w:rPr>
          <w:rFonts w:ascii="Arial" w:hAnsi="Arial"/>
          <w:b/>
          <w:b/>
          <w:color w:val="2E74B5"/>
          <w:sz w:val="24"/>
        </w:rPr>
      </w:pPr>
      <w:r>
        <w:rPr/>
        <w:t xml:space="preserve">DOPORUČENÍ STRUČNĚ </w:t>
      </w:r>
    </w:p>
    <w:p>
      <w:pPr>
        <w:pStyle w:val="P68B1DB1Normal84"/>
        <w:widowControl w:val="false"/>
        <w:spacing w:lineRule="auto" w:line="240" w:before="72" w:after="0"/>
        <w:ind w:left="142" w:right="0" w:hanging="0"/>
        <w:jc w:val="left"/>
        <w:rPr/>
      </w:pPr>
      <w:r>
        <w:rPr>
          <w:color w:val="BD1271"/>
        </w:rPr>
        <w:t xml:space="preserve">1. </w:t>
      </w:r>
      <w:r>
        <w:rPr>
          <w:color w:val="000000"/>
        </w:rPr>
        <w:t>Snížení byrokracie (autorizace, certifikace).</w:t>
      </w:r>
    </w:p>
    <w:p>
      <w:pPr>
        <w:pStyle w:val="P68B1DB1Normal84"/>
        <w:widowControl w:val="false"/>
        <w:spacing w:lineRule="auto" w:line="240"/>
        <w:ind w:left="142" w:right="0" w:hanging="0"/>
        <w:jc w:val="left"/>
        <w:rPr/>
      </w:pPr>
      <w:r>
        <w:rPr>
          <w:color w:val="BD1271"/>
        </w:rPr>
        <w:t xml:space="preserve">2. </w:t>
      </w:r>
      <w:r>
        <w:rPr>
          <w:color w:val="000000"/>
        </w:rPr>
        <w:t>Snížit standardizaci výrobků a uznat místní a regionální specifika z hlediska kultury a výroby (respektování výrobních tradic).</w:t>
      </w:r>
    </w:p>
    <w:p>
      <w:pPr>
        <w:pStyle w:val="P68B1DB1Normal84"/>
        <w:widowControl w:val="false"/>
        <w:spacing w:lineRule="auto" w:line="240"/>
        <w:ind w:left="142" w:right="417" w:hanging="0"/>
        <w:jc w:val="left"/>
        <w:rPr/>
      </w:pPr>
      <w:r>
        <w:rPr>
          <w:color w:val="BD1271"/>
        </w:rPr>
        <w:t xml:space="preserve">3. </w:t>
      </w:r>
      <w:r>
        <w:rPr>
          <w:color w:val="000000"/>
        </w:rPr>
        <w:t>Překračovat logiku kvót v zemědělské produkci a z toho vyplývající zničení nadprodukce.</w:t>
      </w:r>
    </w:p>
    <w:p>
      <w:pPr>
        <w:pStyle w:val="P68B1DB1Normal84"/>
        <w:widowControl w:val="false"/>
        <w:spacing w:lineRule="auto" w:line="240"/>
        <w:ind w:left="142" w:right="0" w:hanging="0"/>
        <w:jc w:val="left"/>
        <w:rPr/>
      </w:pPr>
      <w:r>
        <w:rPr>
          <w:color w:val="BD1271"/>
        </w:rPr>
        <w:t xml:space="preserve">4. </w:t>
      </w:r>
      <w:r>
        <w:rPr>
          <w:color w:val="000000"/>
        </w:rPr>
        <w:t>Boj proti padělání a nekalé hospodářské soutěži.</w:t>
      </w:r>
    </w:p>
    <w:p>
      <w:pPr>
        <w:pStyle w:val="P68B1DB1Normal86"/>
        <w:widowControl w:val="false"/>
        <w:spacing w:lineRule="auto" w:line="240"/>
        <w:ind w:left="0" w:right="0" w:hanging="0"/>
        <w:jc w:val="left"/>
        <w:rPr>
          <w:rFonts w:ascii="Arial" w:hAnsi="Arial"/>
          <w:color w:val="2E74B5"/>
          <w:sz w:val="28"/>
        </w:rPr>
      </w:pPr>
      <w:r>
        <w:rPr/>
        <w:t xml:space="preserve"> </w:t>
      </w:r>
    </w:p>
    <w:p>
      <w:pPr>
        <w:pStyle w:val="P68B1DB1Titre487"/>
        <w:numPr>
          <w:ilvl w:val="0"/>
          <w:numId w:val="2"/>
        </w:numPr>
        <w:rPr>
          <w:sz w:val="24"/>
        </w:rPr>
      </w:pPr>
      <w:bookmarkStart w:id="224" w:name="__RefHeading___Toc300432_1346298689"/>
      <w:bookmarkEnd w:id="224"/>
      <w:r>
        <w:rPr/>
        <w:t xml:space="preserve">3. Měření růstu proti štěstí v populaci spíše než množství produktů </w:t>
      </w:r>
    </w:p>
    <w:p>
      <w:pPr>
        <w:pStyle w:val="P68B1DB1Normal76"/>
        <w:widowControl w:val="false"/>
        <w:spacing w:lineRule="auto" w:line="240" w:before="88" w:after="0"/>
        <w:ind w:left="0" w:right="0" w:hanging="0"/>
        <w:jc w:val="both"/>
        <w:rPr/>
      </w:pPr>
      <w:r>
        <w:rPr/>
        <w:t xml:space="preserve">Jít nad rámec výrobního modelu minulého století neznamená jen změnu výrobních metod, ale také rozvoj nové kultury, v níž se ukazatele růstu zaměřují nejen na množství vyrobeného zboží, ale také na schopnost zaručit občanům cíl štěstí. V této nové ekonomice nemůže být zboží ústředním bodem úvah, pokud jde o dopad a investice, ale toto místo se musí lidem vrátit. To zahrnuje přechod od systému ukazatelů založených na množství vyrobeného zboží (HDP) k systému schopnému měřit blahobyt produkovaný lidem (BIB – hrubé domácí štěstí). </w:t>
      </w:r>
    </w:p>
    <w:p>
      <w:pPr>
        <w:pStyle w:val="P68B1DB1Normal83"/>
        <w:widowControl w:val="false"/>
        <w:spacing w:lineRule="auto" w:line="240" w:before="8" w:after="0"/>
        <w:ind w:left="4819" w:right="0" w:hanging="0"/>
        <w:jc w:val="left"/>
        <w:rPr>
          <w:rFonts w:ascii="Arial" w:hAnsi="Arial"/>
          <w:b/>
          <w:b/>
          <w:color w:val="2E74B5"/>
          <w:sz w:val="24"/>
        </w:rPr>
      </w:pPr>
      <w:r>
        <w:rPr/>
        <w:t xml:space="preserve"> </w:t>
      </w:r>
    </w:p>
    <w:p>
      <w:pPr>
        <w:pStyle w:val="P68B1DB1Normal83"/>
        <w:widowControl w:val="false"/>
        <w:spacing w:lineRule="auto" w:line="240" w:before="69" w:after="0"/>
        <w:ind w:left="3079" w:right="0" w:hanging="0"/>
        <w:jc w:val="left"/>
        <w:rPr>
          <w:rFonts w:ascii="Arial" w:hAnsi="Arial"/>
          <w:b/>
          <w:b/>
          <w:color w:val="2E74B5"/>
          <w:sz w:val="24"/>
        </w:rPr>
      </w:pPr>
      <w:r>
        <w:rPr/>
        <w:t xml:space="preserve">DOPORUČENÍ STRUČNĚ </w:t>
      </w:r>
    </w:p>
    <w:p>
      <w:pPr>
        <w:pStyle w:val="P68B1DB1Normal84"/>
        <w:widowControl w:val="false"/>
        <w:spacing w:lineRule="auto" w:line="240" w:before="69" w:after="0"/>
        <w:ind w:left="142" w:right="0" w:hanging="0"/>
        <w:jc w:val="left"/>
        <w:rPr/>
      </w:pPr>
      <w:r>
        <w:rPr>
          <w:color w:val="BD1271"/>
        </w:rPr>
        <w:t xml:space="preserve">1. </w:t>
      </w:r>
      <w:r>
        <w:rPr>
          <w:color w:val="000000"/>
        </w:rPr>
        <w:t>Rozvíjet ekonomiku více zaměřenou na produkci štěstí (hrubé domácí štěstí) než na zboží (hrubý domácí produkt).</w:t>
      </w:r>
    </w:p>
    <w:p>
      <w:pPr>
        <w:pStyle w:val="Normal"/>
        <w:widowControl w:val="false"/>
        <w:spacing w:lineRule="exact" w:line="460"/>
        <w:ind w:left="0" w:right="0" w:hanging="0"/>
        <w:jc w:val="left"/>
        <w:rPr>
          <w:rFonts w:ascii="Arial" w:hAnsi="Arial"/>
          <w:color w:val="000000"/>
          <w:sz w:val="28"/>
        </w:rPr>
      </w:pPr>
      <w:r>
        <w:rPr>
          <w:color w:val="000000"/>
          <w:sz w:val="28"/>
        </w:rPr>
      </w:r>
      <w:r>
        <w:br w:type="page"/>
      </w:r>
    </w:p>
    <w:p>
      <w:pPr>
        <w:pStyle w:val="P68B1DB1Titre481"/>
        <w:numPr>
          <w:ilvl w:val="0"/>
          <w:numId w:val="2"/>
        </w:numPr>
        <w:rPr>
          <w:color w:val="0066B3"/>
        </w:rPr>
      </w:pPr>
      <w:bookmarkStart w:id="225" w:name="__RefHeading___Toc300434_1346298689"/>
      <w:bookmarkEnd w:id="225"/>
      <w:r>
        <w:rPr/>
        <w:t xml:space="preserve">4. Větší integrace mezi státy </w:t>
      </w:r>
    </w:p>
    <w:p>
      <w:pPr>
        <w:pStyle w:val="P68B1DB1Normal76"/>
        <w:widowControl w:val="false"/>
        <w:spacing w:lineRule="auto" w:line="240" w:before="49" w:after="0"/>
        <w:ind w:left="0" w:right="0" w:hanging="0"/>
        <w:jc w:val="both"/>
        <w:rPr/>
      </w:pPr>
      <w:r>
        <w:rPr/>
        <w:t xml:space="preserve">Všem, i těm, kteří jsou méně spokojeni se současnou organizací a výsledky, jichž Evropská unie dosud dosáhla, je jasné, že měnová unie nestačí a že Evropa musí být schopna vyvíjet se s rostoucí silou jako soudržný politický subjekt schopný vyjednávat jedním hlasem venku a jednat s větší solidaritou uvnitř. Silnější unie je základním aspektem posílení politické, obchodní a produktivní síly Evropské unie: homogenita základních zákonů, jakož i integrovaný a soudržný systém zdanění podniků a občanů, v němž jsou mzdy a služby občanům sladěny. Pouze tímto způsobem budeme mít Evropu, která může snížit sociální rozdíly a podpořit kvalitu života. </w:t>
      </w:r>
    </w:p>
    <w:p>
      <w:pPr>
        <w:pStyle w:val="P68B1DB1Normal76"/>
        <w:widowControl w:val="false"/>
        <w:spacing w:lineRule="auto" w:line="240" w:before="1" w:after="0"/>
        <w:ind w:left="0" w:right="2" w:hanging="0"/>
        <w:jc w:val="both"/>
        <w:rPr/>
      </w:pPr>
      <w:r>
        <w:rPr/>
        <w:t xml:space="preserve">To znamená nevrátit se k úspěchům posledních let a zachovat koncepci sociálního státu, který účastníci panelu označili za nejvyspělejší na světě a nejvíce se obávají zajištění rovnosti příležitostí a sociální spravedlnosti pro své občany. </w:t>
      </w:r>
    </w:p>
    <w:p>
      <w:pPr>
        <w:pStyle w:val="P68B1DB1Normal83"/>
        <w:widowControl w:val="false"/>
        <w:spacing w:lineRule="auto" w:line="240" w:before="72" w:after="0"/>
        <w:ind w:left="3000" w:right="0" w:hanging="0"/>
        <w:jc w:val="left"/>
        <w:rPr>
          <w:rFonts w:ascii="Arial" w:hAnsi="Arial"/>
          <w:b/>
          <w:b/>
          <w:color w:val="2E74B5"/>
          <w:sz w:val="24"/>
        </w:rPr>
      </w:pPr>
      <w:r>
        <w:rPr/>
        <w:t xml:space="preserve">DOPORUČENÍ STRUČNĚ </w:t>
      </w:r>
    </w:p>
    <w:p>
      <w:pPr>
        <w:pStyle w:val="P68B1DB1Normal84"/>
        <w:widowControl w:val="false"/>
        <w:spacing w:lineRule="auto" w:line="240" w:before="69" w:after="0"/>
        <w:ind w:left="283" w:right="0" w:hanging="0"/>
        <w:jc w:val="left"/>
        <w:rPr/>
      </w:pPr>
      <w:r>
        <w:rPr>
          <w:color w:val="BD1271"/>
        </w:rPr>
        <w:t xml:space="preserve">1. </w:t>
      </w:r>
      <w:r>
        <w:rPr>
          <w:color w:val="000000"/>
        </w:rPr>
        <w:t>Nekompromisujte sociální práva (veřejné zdraví, veřejné vzdělávání, politika práce).</w:t>
      </w:r>
    </w:p>
    <w:p>
      <w:pPr>
        <w:pStyle w:val="P68B1DB1Normal84"/>
        <w:widowControl w:val="false"/>
        <w:spacing w:lineRule="auto" w:line="240"/>
        <w:ind w:left="283" w:right="0" w:hanging="0"/>
        <w:jc w:val="left"/>
        <w:rPr/>
      </w:pPr>
      <w:r>
        <w:rPr>
          <w:color w:val="BD1271"/>
        </w:rPr>
        <w:t xml:space="preserve">2. </w:t>
      </w:r>
      <w:r>
        <w:rPr>
          <w:color w:val="000000"/>
        </w:rPr>
        <w:t>Konsolidovat to, co bylo učiněno s ohledem na jednotnou měnu a propojení platebních systémů a telekomunikací.</w:t>
      </w:r>
    </w:p>
    <w:p>
      <w:pPr>
        <w:pStyle w:val="P68B1DB1Normal88"/>
        <w:widowControl w:val="false"/>
        <w:spacing w:lineRule="auto" w:line="240"/>
        <w:ind w:left="0" w:right="0" w:hanging="0"/>
        <w:jc w:val="left"/>
        <w:rPr>
          <w:rFonts w:ascii="Arial" w:hAnsi="Arial"/>
          <w:color w:val="000000"/>
          <w:sz w:val="18"/>
        </w:rPr>
      </w:pPr>
      <w:r>
        <w:rPr/>
        <w:t xml:space="preserve"> </w:t>
      </w:r>
    </w:p>
    <w:p>
      <w:pPr>
        <w:pStyle w:val="P68B1DB1Normal76"/>
        <w:widowControl w:val="false"/>
        <w:spacing w:lineRule="auto" w:line="240" w:before="57" w:after="0"/>
        <w:ind w:left="0" w:right="0" w:hanging="0"/>
        <w:jc w:val="both"/>
        <w:rPr/>
      </w:pPr>
      <w:r>
        <w:rPr/>
        <w:t xml:space="preserve">Dnes se však zdá, že vše, co bylo v minulosti učiněno, již nestačí a Evropa budoucnosti musí učinit rozhodující krok vpřed, pokud jde o integraci mezi členskými státy, podle vnitřní vize, která již není založena na hospodářské soutěži, ale na spolupráci, která zajistí, aby každý evropský občan mohl mít stejné systémy záruk a příležitostí ve všech členských státech Unie. </w:t>
      </w:r>
    </w:p>
    <w:p>
      <w:pPr>
        <w:pStyle w:val="P68B1DB1Normal34"/>
        <w:widowControl w:val="false"/>
        <w:spacing w:lineRule="auto" w:line="240" w:before="3" w:after="0"/>
        <w:ind w:left="0" w:right="0" w:hanging="0"/>
        <w:jc w:val="left"/>
        <w:rPr>
          <w:rFonts w:ascii="Arial" w:hAnsi="Arial"/>
          <w:color w:val="000000"/>
          <w:sz w:val="24"/>
        </w:rPr>
      </w:pPr>
      <w:r>
        <w:rPr/>
        <w:t xml:space="preserve"> </w:t>
      </w:r>
    </w:p>
    <w:p>
      <w:pPr>
        <w:pStyle w:val="P68B1DB1Normal83"/>
        <w:widowControl w:val="false"/>
        <w:spacing w:lineRule="auto" w:line="240" w:before="81" w:after="0"/>
        <w:ind w:left="3000" w:right="0" w:hanging="0"/>
        <w:jc w:val="left"/>
        <w:rPr>
          <w:rFonts w:ascii="Arial" w:hAnsi="Arial"/>
          <w:b/>
          <w:b/>
          <w:color w:val="2E74B5"/>
          <w:sz w:val="24"/>
        </w:rPr>
      </w:pPr>
      <w:r>
        <w:rPr/>
        <w:t xml:space="preserve">DOPORUČENÍ STRUČNĚ </w:t>
      </w:r>
    </w:p>
    <w:p>
      <w:pPr>
        <w:pStyle w:val="P68B1DB1Normal84"/>
        <w:widowControl w:val="false"/>
        <w:spacing w:lineRule="auto" w:line="240" w:before="72" w:after="0"/>
        <w:ind w:left="283" w:right="0" w:hanging="0"/>
        <w:jc w:val="left"/>
        <w:rPr/>
      </w:pPr>
      <w:r>
        <w:rPr>
          <w:color w:val="BD1271"/>
        </w:rPr>
        <w:t xml:space="preserve">1. </w:t>
      </w:r>
      <w:r>
        <w:rPr>
          <w:color w:val="000000"/>
        </w:rPr>
        <w:t>Přesahují sobectví států a tendenci hledat individuální výhody na úkor druhých.</w:t>
      </w:r>
    </w:p>
    <w:p>
      <w:pPr>
        <w:pStyle w:val="P68B1DB1Normal84"/>
        <w:widowControl w:val="false"/>
        <w:spacing w:lineRule="auto" w:line="240"/>
        <w:ind w:left="283" w:right="0" w:hanging="0"/>
        <w:jc w:val="left"/>
        <w:rPr/>
      </w:pPr>
      <w:r>
        <w:rPr>
          <w:color w:val="BD1271"/>
        </w:rPr>
        <w:t xml:space="preserve">2. </w:t>
      </w:r>
      <w:r>
        <w:rPr>
          <w:color w:val="000000"/>
        </w:rPr>
        <w:t>Vytvořit systém se stejnými zákony, daňovými systémy, právy a povinnostmi ve všech zemích.</w:t>
      </w:r>
    </w:p>
    <w:p>
      <w:pPr>
        <w:pStyle w:val="P68B1DB1Normal84"/>
        <w:widowControl w:val="false"/>
        <w:spacing w:lineRule="auto" w:line="240"/>
        <w:ind w:left="283" w:right="0" w:hanging="0"/>
        <w:jc w:val="left"/>
        <w:rPr/>
      </w:pPr>
      <w:r>
        <w:rPr>
          <w:color w:val="BD1271"/>
        </w:rPr>
        <w:t xml:space="preserve">3. </w:t>
      </w:r>
      <w:r>
        <w:rPr>
          <w:color w:val="000000"/>
        </w:rPr>
        <w:t>Koordinované daňové režimy mezi různými státy, zejména pokud jde o podniky (bez svobodných zón nebo nízkých daní).</w:t>
      </w:r>
    </w:p>
    <w:p>
      <w:pPr>
        <w:pStyle w:val="P68B1DB1Normal84"/>
        <w:widowControl w:val="false"/>
        <w:spacing w:lineRule="auto" w:line="240"/>
        <w:ind w:left="283" w:right="416" w:hanging="0"/>
        <w:jc w:val="left"/>
        <w:rPr/>
      </w:pPr>
      <w:r>
        <w:rPr>
          <w:color w:val="BD1271"/>
        </w:rPr>
        <w:t xml:space="preserve">4. </w:t>
      </w:r>
      <w:r>
        <w:rPr>
          <w:color w:val="000000"/>
        </w:rPr>
        <w:t>Konzistentní ceny výrobků a záruka stejné kupní síly mezi různými státy.</w:t>
      </w:r>
    </w:p>
    <w:p>
      <w:pPr>
        <w:pStyle w:val="P68B1DB1Normal84"/>
        <w:widowControl w:val="false"/>
        <w:spacing w:lineRule="auto" w:line="240"/>
        <w:ind w:left="283" w:right="416" w:hanging="0"/>
        <w:jc w:val="left"/>
        <w:rPr/>
      </w:pPr>
      <w:r>
        <w:rPr>
          <w:color w:val="BD1271"/>
        </w:rPr>
        <w:t xml:space="preserve">5. </w:t>
      </w:r>
      <w:r>
        <w:rPr>
          <w:color w:val="000000"/>
        </w:rPr>
        <w:t>Snížit mzdové rozdíly mezi různými státy a zeměpisnými oblastmi v rámci stejné země.</w:t>
      </w:r>
    </w:p>
    <w:p>
      <w:pPr>
        <w:pStyle w:val="P68B1DB1Normal84"/>
        <w:widowControl w:val="false"/>
        <w:spacing w:lineRule="auto" w:line="240"/>
        <w:ind w:left="283" w:right="416" w:hanging="0"/>
        <w:jc w:val="left"/>
        <w:rPr/>
      </w:pPr>
      <w:r>
        <w:rPr>
          <w:color w:val="BD1271"/>
        </w:rPr>
        <w:t xml:space="preserve">6. </w:t>
      </w:r>
      <w:r>
        <w:rPr>
          <w:color w:val="000000"/>
        </w:rPr>
        <w:t>Učinit veřejný dluh několika členských států společnou odpovědností.</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Titre481"/>
        <w:numPr>
          <w:ilvl w:val="0"/>
          <w:numId w:val="2"/>
        </w:numPr>
        <w:rPr>
          <w:color w:val="0066B3"/>
        </w:rPr>
      </w:pPr>
      <w:bookmarkStart w:id="226" w:name="__RefHeading___Toc300436_1346298689"/>
      <w:bookmarkEnd w:id="226"/>
      <w:r>
        <w:rPr/>
        <w:t xml:space="preserve">5. Politika začleňování </w:t>
      </w:r>
    </w:p>
    <w:p>
      <w:pPr>
        <w:pStyle w:val="P68B1DB1Normal76"/>
        <w:widowControl w:val="false"/>
        <w:spacing w:lineRule="auto" w:line="240" w:before="88" w:after="0"/>
        <w:ind w:left="0" w:right="0" w:hanging="0"/>
        <w:jc w:val="both"/>
        <w:rPr/>
      </w:pPr>
      <w:r>
        <w:rPr/>
        <w:t xml:space="preserve">Spravedlivá Evropa, která je schopna nabídnout svým občanům štěstí, je Evropa podporující začlenění, která vždy věnuje velkou pozornost boji proti nerovnosti. Doporučení stanoví cestu k dosažení dlouhodobých cílů (jako je rovnost žen a mužů) a stanoví nové požadavky týkající se kulturních transformací současných společností (digitální nerovnost a právo na život ve zdravém prostředí). </w:t>
      </w:r>
    </w:p>
    <w:p>
      <w:pPr>
        <w:pStyle w:val="P68B1DB1Normal89"/>
        <w:widowControl w:val="false"/>
        <w:spacing w:lineRule="auto" w:line="240" w:before="74" w:after="0"/>
        <w:ind w:left="4819" w:right="0" w:hanging="0"/>
        <w:jc w:val="left"/>
        <w:rPr>
          <w:rFonts w:ascii="Arial" w:hAnsi="Arial"/>
          <w:b/>
          <w:b/>
          <w:color w:val="BD1271"/>
          <w:sz w:val="24"/>
        </w:rPr>
      </w:pPr>
      <w:r>
        <w:rPr/>
        <w:t xml:space="preserve"> </w:t>
      </w:r>
    </w:p>
    <w:p>
      <w:pPr>
        <w:pStyle w:val="P68B1DB1Normal83"/>
        <w:widowControl w:val="false"/>
        <w:spacing w:lineRule="auto" w:line="240" w:before="72" w:after="0"/>
        <w:ind w:left="3000" w:right="0" w:hanging="0"/>
        <w:jc w:val="left"/>
        <w:rPr>
          <w:rFonts w:ascii="Arial" w:hAnsi="Arial"/>
          <w:b/>
          <w:b/>
          <w:color w:val="2E74B5"/>
          <w:sz w:val="24"/>
        </w:rPr>
      </w:pPr>
      <w:r>
        <w:rPr/>
        <w:t xml:space="preserve">DOPORUČENÍ STRUČNĚ </w:t>
      </w:r>
    </w:p>
    <w:p>
      <w:pPr>
        <w:pStyle w:val="P68B1DB1Normal84"/>
        <w:widowControl w:val="false"/>
        <w:spacing w:lineRule="auto" w:line="240" w:before="69" w:after="0"/>
        <w:ind w:left="283" w:right="0" w:hanging="0"/>
        <w:jc w:val="left"/>
        <w:rPr/>
      </w:pPr>
      <w:r>
        <w:rPr>
          <w:color w:val="BD1271"/>
        </w:rPr>
        <w:t xml:space="preserve">1. </w:t>
      </w:r>
      <w:r>
        <w:rPr>
          <w:color w:val="000000"/>
        </w:rPr>
        <w:t>Dosažení plné rovnosti žen a mužů, mimo jiné posílením otcovské rodičovské dovolené a zařízení péče o děti.</w:t>
      </w:r>
    </w:p>
    <w:p>
      <w:pPr>
        <w:pStyle w:val="P68B1DB1Normal84"/>
        <w:widowControl w:val="false"/>
        <w:spacing w:lineRule="auto" w:line="240"/>
        <w:ind w:left="283" w:right="0" w:hanging="0"/>
        <w:jc w:val="left"/>
        <w:rPr/>
      </w:pPr>
      <w:r>
        <w:rPr>
          <w:color w:val="BD1271"/>
        </w:rPr>
        <w:t xml:space="preserve">2. </w:t>
      </w:r>
      <w:r>
        <w:rPr>
          <w:color w:val="000000"/>
        </w:rPr>
        <w:t>Řešení digitálních nerovností.</w:t>
      </w:r>
    </w:p>
    <w:p>
      <w:pPr>
        <w:pStyle w:val="P68B1DB1Normal84"/>
        <w:widowControl w:val="false"/>
        <w:spacing w:lineRule="auto" w:line="240"/>
        <w:ind w:left="283" w:right="0" w:hanging="0"/>
        <w:jc w:val="left"/>
        <w:rPr/>
      </w:pPr>
      <w:r>
        <w:rPr>
          <w:color w:val="BD1271"/>
        </w:rPr>
        <w:t xml:space="preserve">3. </w:t>
      </w:r>
      <w:r>
        <w:rPr>
          <w:color w:val="000000"/>
        </w:rPr>
        <w:t>Zajistit, aby všichni evropští občané mohli žít ve zdravém a udržitelném prostředí.</w:t>
      </w:r>
    </w:p>
    <w:p>
      <w:pPr>
        <w:pStyle w:val="P68B1DB1Normal84"/>
        <w:widowControl w:val="false"/>
        <w:spacing w:lineRule="auto" w:line="240"/>
        <w:ind w:left="283" w:right="0" w:hanging="0"/>
        <w:jc w:val="left"/>
        <w:rPr/>
      </w:pPr>
      <w:r>
        <w:rPr>
          <w:color w:val="BD1271"/>
        </w:rPr>
        <w:t xml:space="preserve">4. </w:t>
      </w:r>
      <w:r>
        <w:rPr>
          <w:color w:val="000000"/>
        </w:rPr>
        <w:t>Zajistit příležitosti pro sociální mobilitu, a proto mít všechny příležitosti k osobnímu rozvoji a sebeurčení</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5. </w:t>
      </w:r>
      <w:r>
        <w:rPr>
          <w:color w:val="000000"/>
        </w:rPr>
        <w:t>Podporovat obnovu generací na všech úrovních</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6. </w:t>
      </w:r>
      <w:r>
        <w:rPr>
          <w:color w:val="000000"/>
        </w:rPr>
        <w:t>Řídit přijímání uprchlíků a migrantů vyváženým způsobem mezi různými státy.</w:t>
      </w:r>
    </w:p>
    <w:p>
      <w:pPr>
        <w:pStyle w:val="P68B1DB1Normal76"/>
        <w:widowControl w:val="false"/>
        <w:spacing w:lineRule="auto" w:line="240" w:before="106" w:after="0"/>
        <w:ind w:left="0" w:right="0" w:hanging="0"/>
        <w:jc w:val="both"/>
        <w:rPr/>
      </w:pPr>
      <w:r>
        <w:rPr/>
        <w:t xml:space="preserve">Opět se zdá, že úloha škol a vzdělávacích politik je klíčová, a to nejen pro mladé lidi s dovednostmi, které potřebují pro vstup na trh práce, ale také pro budování evropské kultury. Po vybudování Evropy institucí je nezbytné vybudovat Evropu národů. V tomto ohledu je kladen důraz na ústřední význam společného jazyka s cílem umožnit dialog mezi občany různých zemí a rovný přístup ke službám. Jak se esperantský sen zhroutil, odchod Spojeného království z Evropské unie vyvolal pochybnosti o možnosti přijetí angličtiny jako společného jazyka, klíčového jazyka mezinárodních vztahů a v rámci vědeckého a ekonomického systému. </w:t>
      </w:r>
    </w:p>
    <w:p>
      <w:pPr>
        <w:pStyle w:val="P68B1DB1Normal90"/>
        <w:widowControl w:val="false"/>
        <w:spacing w:lineRule="auto" w:line="240" w:before="86" w:after="0"/>
        <w:ind w:left="0" w:right="0" w:hanging="0"/>
        <w:jc w:val="left"/>
        <w:rPr>
          <w:rFonts w:ascii="Arial" w:hAnsi="Arial"/>
          <w:color w:val="000000"/>
          <w:sz w:val="16"/>
        </w:rPr>
      </w:pPr>
      <w:r>
        <w:rPr/>
        <w:t xml:space="preserve"> </w:t>
      </w:r>
    </w:p>
    <w:p>
      <w:pPr>
        <w:pStyle w:val="P68B1DB1Normal83"/>
        <w:widowControl w:val="false"/>
        <w:spacing w:lineRule="auto" w:line="240" w:before="45" w:after="0"/>
        <w:ind w:left="3142" w:right="0" w:hanging="0"/>
        <w:jc w:val="left"/>
        <w:rPr>
          <w:rFonts w:ascii="Arial" w:hAnsi="Arial"/>
          <w:b/>
          <w:b/>
          <w:color w:val="2E74B5"/>
          <w:sz w:val="24"/>
        </w:rPr>
      </w:pPr>
      <w:r>
        <w:rPr/>
        <w:t xml:space="preserve">DOPORUČENÍ STRUČNĚ </w:t>
      </w:r>
    </w:p>
    <w:p>
      <w:pPr>
        <w:pStyle w:val="P68B1DB1Normal84"/>
        <w:widowControl w:val="false"/>
        <w:spacing w:lineRule="auto" w:line="240" w:before="72" w:after="0"/>
        <w:ind w:left="283" w:right="0" w:hanging="0"/>
        <w:jc w:val="left"/>
        <w:rPr/>
      </w:pPr>
      <w:r>
        <w:rPr>
          <w:color w:val="BD1271"/>
        </w:rPr>
        <w:t xml:space="preserve">1. </w:t>
      </w:r>
      <w:r>
        <w:rPr>
          <w:color w:val="000000"/>
        </w:rPr>
        <w:t>Podporovat přijetí společného jazyka.</w:t>
      </w:r>
    </w:p>
    <w:p>
      <w:pPr>
        <w:pStyle w:val="P68B1DB1Normal84"/>
        <w:widowControl w:val="false"/>
        <w:spacing w:lineRule="auto" w:line="240"/>
        <w:ind w:left="283" w:right="0" w:hanging="0"/>
        <w:jc w:val="left"/>
        <w:rPr/>
      </w:pPr>
      <w:r>
        <w:rPr>
          <w:color w:val="BD1271"/>
        </w:rPr>
        <w:t xml:space="preserve">2. </w:t>
      </w:r>
      <w:r>
        <w:rPr>
          <w:color w:val="000000"/>
        </w:rPr>
        <w:t>Investovat do škol a výuky evropských dějin spíše než do každého národa, jakož i do výuky politické ekonomie a občanské výchovy.</w:t>
      </w:r>
    </w:p>
    <w:p>
      <w:pPr>
        <w:pStyle w:val="P68B1DB1Normal84"/>
        <w:widowControl w:val="false"/>
        <w:spacing w:lineRule="auto" w:line="240"/>
        <w:ind w:left="283" w:right="417" w:hanging="0"/>
        <w:jc w:val="left"/>
        <w:rPr/>
      </w:pPr>
      <w:r>
        <w:rPr>
          <w:color w:val="BD1271"/>
        </w:rPr>
        <w:t xml:space="preserve">3. </w:t>
      </w:r>
      <w:r>
        <w:rPr>
          <w:color w:val="000000"/>
        </w:rPr>
        <w:t>Přístup ke kultuře, vzdělávání a výměnám mezi studenty a občany různých členských států.</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76"/>
        <w:widowControl w:val="false"/>
        <w:spacing w:lineRule="auto" w:line="240" w:before="109" w:after="0"/>
        <w:ind w:left="0" w:right="0" w:hanging="0"/>
        <w:jc w:val="both"/>
        <w:rPr/>
      </w:pPr>
      <w:r>
        <w:rPr/>
        <w:t xml:space="preserve">Politiky začleňování hrají klíčovou úlohu při zajišťování přístupu občanů k příležitostem. V tomto ohledu účastníci panelu zdůraznili, že Itálie často nebyla schopna využít finanční prostředky EU poskytnuté k tomuto účelu. Začlenění a přístupnost znamenají, že evropské orgány musí být blíže svým občanům a tyto koncepce jdou ruku v ruce s větší informovaností a povědomím o právech, která mají evropští občané jako takové. Z tohoto hlediska se objevil význam přímého vztahu mezi orgány EU a občany, aniž by musel být nutně zprostředkován členskými státy. </w:t>
      </w:r>
    </w:p>
    <w:p>
      <w:pPr>
        <w:pStyle w:val="P68B1DB1Normal34"/>
        <w:widowControl w:val="false"/>
        <w:spacing w:lineRule="auto" w:line="240" w:before="78"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DOPORUČENÍ STRUČNĚ</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Podporovat využívání finančních prostředků EU ke snížení nerovností</w:t>
      </w:r>
      <w:r>
        <w:rPr>
          <w:color w:val="FF0000"/>
        </w:rPr>
        <w:t>.</w:t>
      </w:r>
      <w:r>
        <w:rPr>
          <w:color w:val="000000"/>
        </w:rPr>
        <w:t xml:space="preserve"> </w:t>
      </w:r>
    </w:p>
    <w:p>
      <w:pPr>
        <w:pStyle w:val="P68B1DB1Normal84"/>
        <w:widowControl w:val="false"/>
        <w:spacing w:lineRule="auto" w:line="240"/>
        <w:ind w:left="283" w:right="416" w:hanging="0"/>
        <w:jc w:val="left"/>
        <w:rPr/>
      </w:pPr>
      <w:r>
        <w:rPr>
          <w:color w:val="BD1271"/>
        </w:rPr>
        <w:t xml:space="preserve">2. </w:t>
      </w:r>
      <w:r>
        <w:rPr>
          <w:color w:val="000000"/>
        </w:rPr>
        <w:t>Dostupnost a blízkost evropských orgánů k občanům.</w:t>
      </w:r>
    </w:p>
    <w:p>
      <w:pPr>
        <w:pStyle w:val="P68B1DB1Normal84"/>
        <w:widowControl w:val="false"/>
        <w:spacing w:lineRule="auto" w:line="240"/>
        <w:ind w:left="283" w:right="416" w:hanging="0"/>
        <w:jc w:val="left"/>
        <w:rPr/>
      </w:pPr>
      <w:r>
        <w:rPr>
          <w:color w:val="BD1271"/>
        </w:rPr>
        <w:t xml:space="preserve">3. </w:t>
      </w:r>
      <w:r>
        <w:rPr>
          <w:color w:val="000000"/>
        </w:rPr>
        <w:t>Jasně informovat občany o jejich právech a příležitostech a podporovat přímý přístup občanů k nim.</w:t>
      </w:r>
    </w:p>
    <w:p>
      <w:pPr>
        <w:pStyle w:val="P68B1DB1Normal91"/>
        <w:widowControl w:val="false"/>
        <w:spacing w:lineRule="auto" w:line="240"/>
        <w:ind w:left="0" w:right="0" w:hanging="0"/>
        <w:jc w:val="left"/>
        <w:rPr>
          <w:rFonts w:ascii="Arial" w:hAnsi="Arial"/>
          <w:color w:val="000000"/>
          <w:sz w:val="28"/>
        </w:rPr>
      </w:pPr>
      <w:r>
        <w:rPr/>
        <w:t xml:space="preserve"> </w:t>
      </w:r>
    </w:p>
    <w:p>
      <w:pPr>
        <w:pStyle w:val="P68B1DB1Titre481"/>
        <w:numPr>
          <w:ilvl w:val="0"/>
          <w:numId w:val="2"/>
        </w:numPr>
        <w:rPr>
          <w:color w:val="0066B3"/>
        </w:rPr>
      </w:pPr>
      <w:bookmarkStart w:id="227" w:name="__RefHeading___Toc300438_1346298689"/>
      <w:bookmarkEnd w:id="227"/>
      <w:r>
        <w:rPr/>
        <w:t xml:space="preserve">6. Zaměstnanost </w:t>
      </w:r>
    </w:p>
    <w:p>
      <w:pPr>
        <w:pStyle w:val="Normal"/>
        <w:widowControl w:val="false"/>
        <w:spacing w:lineRule="auto" w:line="240" w:before="97" w:after="0"/>
        <w:ind w:left="0" w:right="1" w:hanging="0"/>
        <w:jc w:val="both"/>
        <w:rPr/>
      </w:pPr>
      <w:r>
        <w:rPr>
          <w:color w:val="000000"/>
        </w:rPr>
        <w:t xml:space="preserve">Otázka zaměstnanosti se neustále objevuje jako průřezový prvek a přímý dopad schopnosti Evropské unie reagovat na její doporučení. Během diskuse </w:t>
      </w:r>
      <w:r>
        <w:rPr>
          <w:color w:val="FF0000"/>
        </w:rPr>
        <w:t>mezi</w:t>
      </w:r>
      <w:r>
        <w:rPr>
          <w:color w:val="000000"/>
        </w:rPr>
        <w:t xml:space="preserve"> účastníky bylo zřejmé, že otázka zaměstnanosti je jádrem života občanů, ale že jde ruku v ruce s posilováním otázek hospodářské a sociální spravedlnosti. Evropská unie, v níž jsou aktivní politiky práce i nadále ústřední a stále koordinovanější, se velmi očekává. </w:t>
      </w:r>
    </w:p>
    <w:p>
      <w:pPr>
        <w:pStyle w:val="P68B1DB1Normal34"/>
        <w:widowControl w:val="false"/>
        <w:spacing w:lineRule="auto" w:line="240" w:before="77"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DOPORUČENÍ STRUČNĚ</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Podporovat obchod mezi pracovníky v Evropě prostřednictvím Evropského střediska pro zaměstnanost.</w:t>
      </w:r>
    </w:p>
    <w:p>
      <w:pPr>
        <w:pStyle w:val="P68B1DB1Normal84"/>
        <w:widowControl w:val="false"/>
        <w:spacing w:lineRule="auto" w:line="240"/>
        <w:ind w:left="283" w:right="0" w:hanging="0"/>
        <w:jc w:val="left"/>
        <w:rPr/>
      </w:pPr>
      <w:r>
        <w:rPr>
          <w:color w:val="BD1271"/>
        </w:rPr>
        <w:t xml:space="preserve">2. </w:t>
      </w:r>
      <w:r>
        <w:rPr>
          <w:color w:val="000000"/>
        </w:rPr>
        <w:t>Integrovaly politiky zaměstnanosti na úrovni EU.</w:t>
      </w:r>
    </w:p>
    <w:p>
      <w:pPr>
        <w:pStyle w:val="P68B1DB1Normal84"/>
        <w:widowControl w:val="false"/>
        <w:spacing w:lineRule="auto" w:line="240"/>
        <w:ind w:left="283" w:right="0" w:hanging="0"/>
        <w:jc w:val="left"/>
        <w:rPr/>
      </w:pPr>
      <w:r>
        <w:rPr>
          <w:color w:val="BD1271"/>
        </w:rPr>
        <w:t xml:space="preserve">3. </w:t>
      </w:r>
      <w:r>
        <w:rPr>
          <w:color w:val="000000"/>
        </w:rPr>
        <w:t>Poskytovat pobídky firmám, které nabízejí pracovní místa.</w:t>
      </w:r>
    </w:p>
    <w:p>
      <w:pPr>
        <w:pStyle w:val="Normal"/>
        <w:widowControl w:val="false"/>
        <w:spacing w:lineRule="auto" w:line="240"/>
        <w:ind w:left="994" w:right="0" w:hanging="0"/>
        <w:jc w:val="left"/>
        <w:rPr>
          <w:rFonts w:ascii="Arial" w:hAnsi="Arial"/>
          <w:color w:val="000000"/>
          <w:sz w:val="28"/>
        </w:rPr>
      </w:pPr>
      <w:r>
        <w:rPr>
          <w:color w:val="000000"/>
          <w:sz w:val="28"/>
        </w:rPr>
      </w:r>
      <w:r>
        <w:br w:type="page"/>
      </w:r>
    </w:p>
    <w:p>
      <w:pPr>
        <w:pStyle w:val="P68B1DB1Titre392"/>
        <w:numPr>
          <w:ilvl w:val="0"/>
          <w:numId w:val="2"/>
        </w:numPr>
        <w:rPr>
          <w:color w:val="FFFFFF"/>
          <w:highlight w:val="darkCyan"/>
        </w:rPr>
      </w:pPr>
      <w:bookmarkStart w:id="228" w:name="__RefHeading___Toc300320_1346298689"/>
      <w:bookmarkEnd w:id="228"/>
      <w:r>
        <w:rPr/>
        <w:t xml:space="preserve"> </w:t>
      </w:r>
      <w:r>
        <w:rPr/>
        <w:t xml:space="preserve">Evropa ve světě </w:t>
      </w:r>
    </w:p>
    <w:p>
      <w:pPr>
        <w:pStyle w:val="P68B1DB1Normal76"/>
        <w:widowControl w:val="false"/>
        <w:spacing w:lineRule="exact" w:line="380" w:before="143" w:after="0"/>
        <w:ind w:left="74" w:right="0" w:hanging="0"/>
        <w:jc w:val="both"/>
        <w:rPr/>
      </w:pPr>
      <w:r>
        <w:rPr/>
        <w:t xml:space="preserve">Nedávné mezinárodní události, a zejména válka mezi Ruskem a Ukrajinou, měly zásadní vliv na vnímání úlohy, kterou bude muset Evropa hrát na mezinárodní úrovni. Shromážděná doporučení se zaměřila především na posílení EU (jak z hlediska identity, tak z hlediska hospodářské síly) a její postavení jako referenčního modelu a modelu oživení ve vztazích s ostatními zeměmi. </w:t>
      </w:r>
    </w:p>
    <w:p>
      <w:pPr>
        <w:pStyle w:val="P68B1DB1Normal34"/>
        <w:widowControl w:val="false"/>
        <w:spacing w:lineRule="exact" w:line="393" w:before="1424" w:after="0"/>
        <w:ind w:left="74" w:right="0" w:hanging="0"/>
        <w:jc w:val="left"/>
        <w:rPr>
          <w:rFonts w:ascii="Arial" w:hAnsi="Arial"/>
          <w:color w:val="000000"/>
          <w:sz w:val="24"/>
        </w:rPr>
      </w:pPr>
      <w:r>
        <w:rPr>
          <w:color w:val="000000"/>
          <w:sz w:val="24"/>
        </w:rPr>
        <mc:AlternateContent>
          <mc:Choice Requires="wpg">
            <w:drawing>
              <wp:anchor behindDoc="0" distT="0" distB="0" distL="0" distR="0" simplePos="0" locked="0" layoutInCell="1" allowOverlap="1" relativeHeight="59">
                <wp:simplePos x="0" y="0"/>
                <wp:positionH relativeFrom="column">
                  <wp:posOffset>-166370</wp:posOffset>
                </wp:positionH>
                <wp:positionV relativeFrom="paragraph">
                  <wp:posOffset>67945</wp:posOffset>
                </wp:positionV>
                <wp:extent cx="6453505" cy="904875"/>
                <wp:effectExtent l="0" t="0" r="0" b="0"/>
                <wp:wrapTopAndBottom/>
                <wp:docPr id="106" name="Formulář7"/>
                <a:graphic xmlns:a="http://schemas.openxmlformats.org/drawingml/2006/main">
                  <a:graphicData uri="http://schemas.microsoft.com/office/word/2010/wordprocessingGroup">
                    <wpg:wgp>
                      <wpg:cNvGrpSpPr/>
                      <wpg:grpSpPr>
                        <a:xfrm>
                          <a:off x="0" y="0"/>
                          <a:ext cx="6453000" cy="904320"/>
                        </a:xfrm>
                      </wpg:grpSpPr>
                      <pic:pic xmlns:pic="http://schemas.openxmlformats.org/drawingml/2006/picture">
                        <pic:nvPicPr>
                          <pic:cNvPr id="9" name="" descr=""/>
                          <pic:cNvPicPr/>
                        </pic:nvPicPr>
                        <pic:blipFill>
                          <a:blip r:embed="rId109"/>
                          <a:stretch/>
                        </pic:blipFill>
                        <pic:spPr>
                          <a:xfrm rot="10800000">
                            <a:off x="444600" y="207000"/>
                            <a:ext cx="5524560" cy="348480"/>
                          </a:xfrm>
                          <a:prstGeom prst="rect">
                            <a:avLst/>
                          </a:prstGeom>
                          <a:ln>
                            <a:noFill/>
                          </a:ln>
                        </pic:spPr>
                      </pic:pic>
                      <wps:wsp>
                        <wps:cNvSpPr/>
                        <wps:spPr>
                          <a:xfrm>
                            <a:off x="0" y="118080"/>
                            <a:ext cx="153360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Posílení evropské identity</w:t>
                              </w:r>
                            </w:p>
                          </w:txbxContent>
                        </wps:txbx>
                        <wps:bodyPr lIns="90000" rIns="90000" tIns="45000" bIns="45000">
                          <a:noAutofit/>
                        </wps:bodyPr>
                      </wps:wsp>
                      <wps:wsp>
                        <wps:cNvSpPr/>
                        <wps:spPr>
                          <a:xfrm>
                            <a:off x="1477800" y="84600"/>
                            <a:ext cx="163656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Posílení hospodářství a institucí</w:t>
                              </w:r>
                            </w:p>
                          </w:txbxContent>
                        </wps:txbx>
                        <wps:bodyPr lIns="90000" rIns="90000" tIns="45000" bIns="45000">
                          <a:noAutofit/>
                        </wps:bodyPr>
                      </wps:wsp>
                      <wps:wsp>
                        <wps:cNvSpPr/>
                        <wps:spPr>
                          <a:xfrm>
                            <a:off x="3385080" y="0"/>
                            <a:ext cx="158940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Spolupráce a partnerství</w:t>
                              </w:r>
                            </w:p>
                          </w:txbxContent>
                        </wps:txbx>
                        <wps:bodyPr lIns="90000" rIns="90000" tIns="45000" bIns="45000">
                          <a:noAutofit/>
                        </wps:bodyPr>
                      </wps:wsp>
                      <wps:wsp>
                        <wps:cNvSpPr/>
                        <wps:spPr>
                          <a:xfrm>
                            <a:off x="4845600" y="8280"/>
                            <a:ext cx="1607040" cy="59184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Politický a kulturní referenční bod</w:t>
                              </w:r>
                            </w:p>
                          </w:txbxContent>
                        </wps:txbx>
                        <wps:bodyPr lIns="90000" rIns="90000" tIns="45000" bIns="45000">
                          <a:noAutofit/>
                        </wps:bodyPr>
                      </wps:wsp>
                    </wpg:wgp>
                  </a:graphicData>
                </a:graphic>
              </wp:anchor>
            </w:drawing>
          </mc:Choice>
          <mc:Fallback>
            <w:pict>
              <v:group id="shape_0" alt="Formulář7" style="position:absolute;margin-left:-13.1pt;margin-top:5.35pt;width:508.1pt;height:71.15pt" coordorigin="-262,107" coordsize="10162,1423">
                <v:shape id="shape_0" stroked="f" style="position:absolute;left:438;top:982;width:8699;height:548;rotation:180" type="shapetype_75">
                  <v:imagedata r:id="rId110" o:detectmouseclick="t"/>
                  <w10:wrap type="none"/>
                  <v:stroke color="#3465a4" joinstyle="round" endcap="flat"/>
                </v:shape>
                <v:rect id="shape_0" stroked="f" style="position:absolute;left:-262;top:293;width:2414;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Posílení evropské identity</w:t>
                        </w:r>
                      </w:p>
                    </w:txbxContent>
                  </v:textbox>
                  <w10:wrap type="square"/>
                  <v:fill o:detectmouseclick="t" on="false"/>
                  <v:stroke color="#3465a4" joinstyle="round" endcap="flat"/>
                </v:rect>
                <v:rect id="shape_0" stroked="f" style="position:absolute;left:2065;top:240;width:2576;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Posílení hospodářství a institucí</w:t>
                        </w:r>
                      </w:p>
                    </w:txbxContent>
                  </v:textbox>
                  <w10:wrap type="square"/>
                  <v:fill o:detectmouseclick="t" on="false"/>
                  <v:stroke color="#3465a4" joinstyle="round" endcap="flat"/>
                </v:rect>
                <v:rect id="shape_0" stroked="f" style="position:absolute;left:5069;top:107;width:2502;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Spolupráce a partnerství</w:t>
                        </w:r>
                      </w:p>
                    </w:txbxContent>
                  </v:textbox>
                  <w10:wrap type="square"/>
                  <v:fill o:detectmouseclick="t" on="false"/>
                  <v:stroke color="#3465a4" joinstyle="round" endcap="flat"/>
                </v:rect>
                <v:rect id="shape_0" stroked="f" style="position:absolute;left:7369;top:120;width:2530;height:931">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Politický a kulturní referenční bod</w:t>
                        </w:r>
                      </w:p>
                    </w:txbxContent>
                  </v:textbox>
                  <w10:wrap type="square"/>
                  <v:fill o:detectmouseclick="t" on="false"/>
                  <v:stroke color="#3465a4" joinstyle="round" endcap="flat"/>
                </v:rect>
              </v:group>
            </w:pict>
          </mc:Fallback>
        </mc:AlternateContent>
      </w:r>
    </w:p>
    <w:p>
      <w:pPr>
        <w:pStyle w:val="P68B1DB1Titre481"/>
        <w:numPr>
          <w:ilvl w:val="0"/>
          <w:numId w:val="2"/>
        </w:numPr>
        <w:rPr>
          <w:color w:val="0066B3"/>
        </w:rPr>
      </w:pPr>
      <w:bookmarkStart w:id="229" w:name="__RefHeading___Toc300440_1346298689"/>
      <w:bookmarkEnd w:id="229"/>
      <w:r>
        <w:rPr/>
        <w:t>1. Posílení evropské identity</w:t>
      </w:r>
    </w:p>
    <w:p>
      <w:pPr>
        <w:pStyle w:val="P68B1DB1Normal76"/>
        <w:widowControl w:val="false"/>
        <w:spacing w:lineRule="auto" w:line="240" w:before="106" w:after="0"/>
        <w:ind w:left="74" w:right="0" w:hanging="0"/>
        <w:jc w:val="both"/>
        <w:rPr/>
      </w:pPr>
      <w:r>
        <w:rPr/>
        <w:t xml:space="preserve">Má-li být Evropská unie uznána za svými hranicemi, musí nejprve prokázat soudržnost interně, a to nejen ekonomicky a finančně, ale také z hlediska identity a hodnot. Identita, která není vytvořena schválením, ale zhodnocením místních specifik v rámci sdílených základních hodnot. </w:t>
      </w:r>
    </w:p>
    <w:p>
      <w:pPr>
        <w:pStyle w:val="P68B1DB1Normal76"/>
        <w:widowControl w:val="false"/>
        <w:spacing w:lineRule="auto" w:line="240" w:before="78" w:after="0"/>
        <w:ind w:left="74" w:right="1" w:hanging="0"/>
        <w:jc w:val="both"/>
        <w:rPr/>
      </w:pPr>
      <w:r>
        <w:rPr/>
        <w:t xml:space="preserve">Úvahy o možném rozšíření oblasti působnosti Unie byly rovněž provedeny s ohledem na tyto skutečnosti: podle některých účastníků panelu by se nemělo konat nediferencovaným způsobem, ale spíše se zaměřit na vzájemné uznávání kultury a hodnot než na ekonomické standardy. </w:t>
      </w:r>
    </w:p>
    <w:p>
      <w:pPr>
        <w:pStyle w:val="P68B1DB1Normal83"/>
        <w:widowControl w:val="false"/>
        <w:spacing w:lineRule="auto" w:line="240" w:before="74" w:after="0"/>
        <w:ind w:left="4894" w:right="0" w:hanging="0"/>
        <w:jc w:val="left"/>
        <w:rPr>
          <w:rFonts w:ascii="Arial" w:hAnsi="Arial"/>
          <w:b/>
          <w:b/>
          <w:color w:val="2E74B5"/>
          <w:sz w:val="24"/>
        </w:rPr>
      </w:pPr>
      <w:r>
        <w:rPr/>
        <w:t xml:space="preserve"> </w:t>
      </w:r>
    </w:p>
    <w:p>
      <w:pPr>
        <w:pStyle w:val="P68B1DB1Normal74"/>
        <w:widowControl w:val="false"/>
        <w:spacing w:lineRule="auto" w:line="240" w:before="33" w:after="0"/>
        <w:ind w:left="3074" w:right="0" w:hanging="0"/>
        <w:jc w:val="left"/>
        <w:rPr/>
      </w:pPr>
      <w:r>
        <w:rPr>
          <w:b/>
          <w:sz w:val="24"/>
        </w:rPr>
        <w:t>DOPORUČENÍ STRUČNĚ</w:t>
      </w:r>
      <w:r>
        <w:rPr>
          <w:sz w:val="28"/>
        </w:rPr>
        <w:t xml:space="preserve"> </w:t>
      </w:r>
    </w:p>
    <w:p>
      <w:pPr>
        <w:pStyle w:val="P68B1DB1Normal84"/>
        <w:widowControl w:val="false"/>
        <w:spacing w:lineRule="auto" w:line="240" w:before="147" w:after="0"/>
        <w:ind w:left="358" w:right="0" w:hanging="0"/>
        <w:jc w:val="left"/>
        <w:rPr/>
      </w:pPr>
      <w:r>
        <w:rPr>
          <w:color w:val="BD1271"/>
        </w:rPr>
        <w:t xml:space="preserve">1. </w:t>
      </w:r>
      <w:r>
        <w:rPr>
          <w:color w:val="000000"/>
        </w:rPr>
        <w:t>Posílení evropských kulturních hodnot a charakteristik, jakož i regionálních specifik.</w:t>
      </w:r>
    </w:p>
    <w:p>
      <w:pPr>
        <w:pStyle w:val="P68B1DB1Normal84"/>
        <w:widowControl w:val="false"/>
        <w:spacing w:lineRule="auto" w:line="240"/>
        <w:ind w:left="358" w:right="0" w:hanging="0"/>
        <w:jc w:val="left"/>
        <w:rPr/>
      </w:pPr>
      <w:r>
        <w:rPr>
          <w:color w:val="BD1271"/>
        </w:rPr>
        <w:t xml:space="preserve">2. </w:t>
      </w:r>
      <w:r>
        <w:rPr>
          <w:color w:val="000000"/>
        </w:rPr>
        <w:t>Vytvoření institutu evropské kultury na podporu kultury respektu a vzájemného obohacení mezi občany různých států.</w:t>
      </w:r>
    </w:p>
    <w:p>
      <w:pPr>
        <w:pStyle w:val="P68B1DB1Normal84"/>
        <w:widowControl w:val="false"/>
        <w:spacing w:lineRule="auto" w:line="240"/>
        <w:ind w:left="418" w:right="418" w:hanging="0"/>
        <w:jc w:val="both"/>
        <w:rPr/>
      </w:pPr>
      <w:r>
        <w:rPr>
          <w:color w:val="BD1271"/>
        </w:rPr>
        <w:t xml:space="preserve">3. </w:t>
      </w:r>
      <w:r>
        <w:rPr>
          <w:color w:val="000000"/>
        </w:rPr>
        <w:t>Nové vymezení zásad příslušnosti k novým kandidátským zemím s posílením faktorů, jako je kulturní identita a hodnoty.</w:t>
      </w:r>
    </w:p>
    <w:p>
      <w:pPr>
        <w:pStyle w:val="P68B1DB1Normal34"/>
        <w:widowControl w:val="false"/>
        <w:spacing w:lineRule="auto" w:line="240"/>
        <w:ind w:left="74" w:right="0" w:hanging="0"/>
        <w:jc w:val="left"/>
        <w:rPr>
          <w:rFonts w:ascii="Arial" w:hAnsi="Arial"/>
          <w:color w:val="000000"/>
          <w:sz w:val="24"/>
        </w:rPr>
      </w:pPr>
      <w:r>
        <w:rPr/>
        <w:t xml:space="preserve"> </w:t>
      </w:r>
    </w:p>
    <w:p>
      <w:pPr>
        <w:pStyle w:val="P68B1DB1Titre481"/>
        <w:numPr>
          <w:ilvl w:val="0"/>
          <w:numId w:val="2"/>
        </w:numPr>
        <w:rPr>
          <w:color w:val="0066B3"/>
        </w:rPr>
      </w:pPr>
      <w:bookmarkStart w:id="230" w:name="__RefHeading___Toc300442_1346298689"/>
      <w:bookmarkEnd w:id="230"/>
      <w:r>
        <w:rPr/>
        <w:t xml:space="preserve">2. Posílení hospodářství a institucí </w:t>
      </w:r>
    </w:p>
    <w:p>
      <w:pPr>
        <w:pStyle w:val="P68B1DB1Normal76"/>
        <w:widowControl w:val="false"/>
        <w:spacing w:lineRule="auto" w:line="240" w:before="109" w:after="0"/>
        <w:ind w:left="0" w:right="0" w:hanging="0"/>
        <w:jc w:val="both"/>
        <w:rPr/>
      </w:pPr>
      <w:r>
        <w:rPr/>
        <w:t xml:space="preserve">Očekává se, že zítřejší Evropa bude hrát vedoucí úlohu na mezinárodní úrovni, kterou lze převzít pouze se silnou a nezávislou Unií z jiných zemí. Je všeobecně uznáváno, že země EU mají chudé suroviny, ale zdá se, že je nezbytné, aby EU byla schopna zajistit větší nezávislost, pokud jde o dodávky energie, zemědělství a technologické produkty. </w:t>
      </w:r>
    </w:p>
    <w:p>
      <w:pPr>
        <w:pStyle w:val="P68B1DB1Normal76"/>
        <w:widowControl w:val="false"/>
        <w:spacing w:lineRule="auto" w:line="240" w:before="78" w:after="0"/>
        <w:ind w:left="0" w:right="1" w:hanging="0"/>
        <w:jc w:val="both"/>
        <w:rPr/>
      </w:pPr>
      <w:r>
        <w:rPr/>
        <w:t xml:space="preserve">To vyžaduje, aby se konkrétní investice dohnaly do oblastí, jako jsou technologie (kde Evropská unie v současné době zřejmě nehraje vedoucí úlohu), ale také v potravinářském a energetickém odvětví. </w:t>
      </w:r>
    </w:p>
    <w:p>
      <w:pPr>
        <w:pStyle w:val="P68B1DB1Normal76"/>
        <w:widowControl w:val="false"/>
        <w:spacing w:lineRule="auto" w:line="240" w:before="78" w:after="0"/>
        <w:ind w:left="0" w:right="2" w:hanging="0"/>
        <w:jc w:val="both"/>
        <w:rPr/>
      </w:pPr>
      <w:r>
        <w:rPr/>
        <w:t xml:space="preserve">Válka mezi Ruskem a Ukrajinou také postavila do středu debaty význam integrované evropské obranné politiky se specifickou identitou a větší autonomií vůči NATO, aniž by zpochybňovala její členství. </w:t>
      </w:r>
    </w:p>
    <w:p>
      <w:pPr>
        <w:pStyle w:val="P68B1DB1Normal76"/>
        <w:widowControl w:val="false"/>
        <w:spacing w:lineRule="auto" w:line="240" w:before="78" w:after="0"/>
        <w:ind w:left="0" w:right="1" w:hanging="0"/>
        <w:jc w:val="left"/>
        <w:rPr/>
      </w:pPr>
      <w:r>
        <w:rPr/>
        <w:t xml:space="preserve">V neposlední řadě to znamená jasná rozhodnutí do budoucna doprovázená významnými investicemi do vědy a výzkumu s cílem zvýšit dovednosti mladých Evropanů. </w:t>
      </w:r>
    </w:p>
    <w:p>
      <w:pPr>
        <w:pStyle w:val="P68B1DB1Normal34"/>
        <w:widowControl w:val="false"/>
        <w:spacing w:lineRule="auto" w:line="240" w:before="78"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DOPORUČENÍ STRUČNĚ</w:t>
      </w:r>
      <w:r>
        <w:rPr>
          <w:sz w:val="28"/>
        </w:rPr>
        <w:t xml:space="preserve"> </w:t>
      </w:r>
    </w:p>
    <w:p>
      <w:pPr>
        <w:pStyle w:val="P68B1DB1Normal84"/>
        <w:widowControl w:val="false"/>
        <w:spacing w:lineRule="auto" w:line="240" w:before="70" w:after="0"/>
        <w:ind w:left="283" w:right="0" w:hanging="0"/>
        <w:jc w:val="left"/>
        <w:rPr/>
      </w:pPr>
      <w:r>
        <w:rPr>
          <w:color w:val="BD1271"/>
        </w:rPr>
        <w:t xml:space="preserve">1. </w:t>
      </w:r>
      <w:r>
        <w:rPr>
          <w:color w:val="000000"/>
        </w:rPr>
        <w:t xml:space="preserve">Posílení vnitřní výrobní kapacity: potravinový řetězec (zejména pšenice) a technologie (mikroprocesory). </w:t>
      </w:r>
    </w:p>
    <w:p>
      <w:pPr>
        <w:pStyle w:val="P68B1DB1Normal84"/>
        <w:widowControl w:val="false"/>
        <w:spacing w:lineRule="auto" w:line="240"/>
        <w:ind w:left="283" w:right="0" w:hanging="0"/>
        <w:jc w:val="left"/>
        <w:rPr/>
      </w:pPr>
      <w:r>
        <w:rPr>
          <w:color w:val="BD1271"/>
        </w:rPr>
        <w:t xml:space="preserve">2. </w:t>
      </w:r>
      <w:r>
        <w:rPr>
          <w:color w:val="000000"/>
        </w:rPr>
        <w:t>Podporovat typické regionální a evropské produkce.</w:t>
      </w:r>
    </w:p>
    <w:p>
      <w:pPr>
        <w:pStyle w:val="P68B1DB1Normal84"/>
        <w:widowControl w:val="false"/>
        <w:spacing w:lineRule="auto" w:line="240"/>
        <w:ind w:left="283" w:right="0" w:hanging="0"/>
        <w:jc w:val="left"/>
        <w:rPr/>
      </w:pPr>
      <w:r>
        <w:rPr>
          <w:color w:val="BD1271"/>
        </w:rPr>
        <w:t xml:space="preserve">3. </w:t>
      </w:r>
      <w:r>
        <w:rPr>
          <w:color w:val="000000"/>
        </w:rPr>
        <w:t>Posílit evropské průmyslové klastry (např. ocel).</w:t>
      </w:r>
    </w:p>
    <w:p>
      <w:pPr>
        <w:pStyle w:val="P68B1DB1Normal84"/>
        <w:widowControl w:val="false"/>
        <w:spacing w:lineRule="auto" w:line="240"/>
        <w:ind w:left="283" w:right="0" w:hanging="0"/>
        <w:jc w:val="left"/>
        <w:rPr/>
      </w:pPr>
      <w:r>
        <w:rPr>
          <w:color w:val="BD1271"/>
        </w:rPr>
        <w:t xml:space="preserve">4. </w:t>
      </w:r>
      <w:r>
        <w:rPr>
          <w:color w:val="000000"/>
        </w:rPr>
        <w:t>Posílit místní výrobu energie z ekologického hlediska (plyn, solární energie, vítr).</w:t>
      </w:r>
    </w:p>
    <w:p>
      <w:pPr>
        <w:pStyle w:val="P68B1DB1Normal84"/>
        <w:widowControl w:val="false"/>
        <w:spacing w:lineRule="auto" w:line="240"/>
        <w:ind w:left="283" w:right="0" w:hanging="0"/>
        <w:jc w:val="left"/>
        <w:rPr/>
      </w:pPr>
      <w:r>
        <w:rPr>
          <w:color w:val="BD1271"/>
        </w:rPr>
        <w:t xml:space="preserve">5. </w:t>
      </w:r>
      <w:r>
        <w:rPr>
          <w:color w:val="000000"/>
        </w:rPr>
        <w:t>Vývoj leteckých technologií.</w:t>
      </w:r>
    </w:p>
    <w:p>
      <w:pPr>
        <w:pStyle w:val="P68B1DB1Normal84"/>
        <w:widowControl w:val="false"/>
        <w:spacing w:lineRule="auto" w:line="240"/>
        <w:ind w:left="283" w:right="417" w:hanging="0"/>
        <w:jc w:val="left"/>
        <w:rPr/>
      </w:pPr>
      <w:r>
        <w:rPr>
          <w:color w:val="BD1271"/>
        </w:rPr>
        <w:t xml:space="preserve">6. </w:t>
      </w:r>
      <w:r>
        <w:rPr>
          <w:color w:val="000000"/>
        </w:rPr>
        <w:t>Zřízení evropských vědeckých laboratoří (Evropská virová banka).</w:t>
      </w:r>
    </w:p>
    <w:p>
      <w:pPr>
        <w:pStyle w:val="P68B1DB1Normal84"/>
        <w:widowControl w:val="false"/>
        <w:spacing w:lineRule="auto" w:line="240"/>
        <w:ind w:left="283" w:right="417" w:hanging="0"/>
        <w:jc w:val="left"/>
        <w:rPr/>
      </w:pPr>
      <w:r>
        <w:rPr>
          <w:color w:val="BD1271"/>
        </w:rPr>
        <w:t xml:space="preserve">7. </w:t>
      </w:r>
      <w:r>
        <w:rPr>
          <w:color w:val="000000"/>
        </w:rPr>
        <w:t>Vytvořit společnou evropskou armádu působící v rámci NATO, ale také pomáhat jít dál.</w:t>
      </w:r>
    </w:p>
    <w:p>
      <w:pPr>
        <w:pStyle w:val="P68B1DB1Normal84"/>
        <w:widowControl w:val="false"/>
        <w:spacing w:lineRule="auto" w:line="240"/>
        <w:ind w:left="283" w:right="417" w:hanging="0"/>
        <w:jc w:val="left"/>
        <w:rPr/>
      </w:pPr>
      <w:r>
        <w:rPr>
          <w:color w:val="BD1271"/>
        </w:rPr>
        <w:t xml:space="preserve">8. </w:t>
      </w:r>
      <w:r>
        <w:rPr>
          <w:color w:val="000000"/>
        </w:rPr>
        <w:t>Investovat do odborné přípravy školitelů (evropské výměny učitelů, Erasmus pro učitele).</w:t>
      </w:r>
    </w:p>
    <w:p>
      <w:pPr>
        <w:pStyle w:val="P68B1DB1Normal84"/>
        <w:widowControl w:val="false"/>
        <w:spacing w:lineRule="auto" w:line="240"/>
        <w:ind w:left="283" w:right="416" w:hanging="0"/>
        <w:jc w:val="left"/>
        <w:rPr/>
      </w:pPr>
      <w:r>
        <w:rPr>
          <w:color w:val="BD1271"/>
        </w:rPr>
        <w:t xml:space="preserve">9. </w:t>
      </w:r>
      <w:r>
        <w:rPr>
          <w:color w:val="000000"/>
        </w:rPr>
        <w:t>Zvýšit mobilitu evropských výzkumných pracovníků vytvořením nových evropských vědeckých institucí</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10. </w:t>
      </w:r>
      <w:r>
        <w:rPr>
          <w:color w:val="000000"/>
        </w:rPr>
        <w:t>Podporovat vznik inovativních začínajících podniků.</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Titre481"/>
        <w:numPr>
          <w:ilvl w:val="0"/>
          <w:numId w:val="2"/>
        </w:numPr>
        <w:rPr>
          <w:color w:val="0066B3"/>
        </w:rPr>
      </w:pPr>
      <w:bookmarkStart w:id="231" w:name="__RefHeading___Toc300444_1346298689"/>
      <w:bookmarkEnd w:id="231"/>
      <w:r>
        <w:rPr/>
        <w:t xml:space="preserve">3. Spolupráce a partnerství </w:t>
      </w:r>
    </w:p>
    <w:p>
      <w:pPr>
        <w:pStyle w:val="P68B1DB1Normal76"/>
        <w:widowControl w:val="false"/>
        <w:spacing w:lineRule="auto" w:line="240" w:before="109" w:after="0"/>
        <w:ind w:left="0" w:right="2" w:hanging="0"/>
        <w:jc w:val="both"/>
        <w:rPr/>
      </w:pPr>
      <w:r>
        <w:rPr/>
        <w:t xml:space="preserve">Vizí Evropy zítřka není pevnost hájící její bohatství, ale protagonista na mezinárodní scéně schopného dialogu se všemi zeměmi světa. Dialog, který začíná obchodní velmocí a jehož cílem by mělo být vedení hospodářství a který lze upevnit vytvořením rozsáhlých mezinárodních partnerství a projektů. </w:t>
      </w:r>
    </w:p>
    <w:p>
      <w:pPr>
        <w:pStyle w:val="P68B1DB1Normal76"/>
        <w:widowControl w:val="false"/>
        <w:spacing w:lineRule="auto" w:line="240" w:before="78" w:after="0"/>
        <w:ind w:left="0" w:right="0" w:hanging="0"/>
        <w:jc w:val="both"/>
        <w:rPr/>
      </w:pPr>
      <w:r>
        <w:rPr/>
        <w:t xml:space="preserve">To vše s ohledem na spolupráci a pozornost nejzranitelnějších regionů světa s projekty ad hoc zaměřenými na zdůraznění nejchudších zemí, jakož i na kulturní a hospodářské výměny s východními zeměmi. </w:t>
      </w:r>
    </w:p>
    <w:p>
      <w:pPr>
        <w:pStyle w:val="P68B1DB1Normal76"/>
        <w:widowControl w:val="false"/>
        <w:spacing w:lineRule="auto" w:line="240" w:before="78" w:after="0"/>
        <w:ind w:left="0" w:right="3" w:hanging="0"/>
        <w:jc w:val="both"/>
        <w:rPr/>
      </w:pPr>
      <w:r>
        <w:rPr/>
        <w:t xml:space="preserve">Zvláštní pozornost je rovněž věnována tématu migrace, s lepší koordinací mezi zeměmi a používáním společných postupů pro správu žádostí a jednotlivců. </w:t>
      </w:r>
    </w:p>
    <w:p>
      <w:pPr>
        <w:pStyle w:val="P68B1DB1Normal34"/>
        <w:widowControl w:val="false"/>
        <w:spacing w:lineRule="auto" w:line="240" w:before="78"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DOPORUČENÍ STRUČNĚ</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Podpora exportu.</w:t>
      </w:r>
    </w:p>
    <w:p>
      <w:pPr>
        <w:pStyle w:val="P68B1DB1Normal84"/>
        <w:widowControl w:val="false"/>
        <w:spacing w:lineRule="auto" w:line="240"/>
        <w:ind w:left="283" w:right="0" w:hanging="0"/>
        <w:jc w:val="left"/>
        <w:rPr/>
      </w:pPr>
      <w:r>
        <w:rPr>
          <w:color w:val="BD1271"/>
        </w:rPr>
        <w:t xml:space="preserve">2. </w:t>
      </w:r>
      <w:r>
        <w:rPr>
          <w:color w:val="000000"/>
        </w:rPr>
        <w:t>Podporovat nadnárodní evropské turistické trasy.</w:t>
      </w:r>
    </w:p>
    <w:p>
      <w:pPr>
        <w:pStyle w:val="P68B1DB1Normal84"/>
        <w:widowControl w:val="false"/>
        <w:spacing w:lineRule="auto" w:line="240"/>
        <w:ind w:left="283" w:right="0" w:hanging="0"/>
        <w:jc w:val="left"/>
        <w:rPr/>
      </w:pPr>
      <w:r>
        <w:rPr>
          <w:color w:val="BD1271"/>
        </w:rPr>
        <w:t xml:space="preserve">3. </w:t>
      </w:r>
      <w:r>
        <w:rPr>
          <w:color w:val="000000"/>
        </w:rPr>
        <w:t>Vytvořit obchodní systém jednání na evropské úrovni (ne jednotlivě jako státy nebo společnosti, ale jako Unie), aby měl větší vyjednávací sílu, ale s omezeními souvisejícími s dodržováním lidských práv.</w:t>
      </w:r>
    </w:p>
    <w:p>
      <w:pPr>
        <w:pStyle w:val="P68B1DB1Normal84"/>
        <w:widowControl w:val="false"/>
        <w:spacing w:lineRule="auto" w:line="240"/>
        <w:ind w:left="283" w:right="417" w:hanging="0"/>
        <w:jc w:val="left"/>
        <w:rPr/>
      </w:pPr>
      <w:r>
        <w:rPr>
          <w:color w:val="BD1271"/>
        </w:rPr>
        <w:t xml:space="preserve">4. </w:t>
      </w:r>
      <w:r>
        <w:rPr>
          <w:color w:val="000000"/>
        </w:rPr>
        <w:t>Vedení velkých mezinárodních projektů, jako je Mezinárodní kosmická stanice.</w:t>
      </w:r>
    </w:p>
    <w:p>
      <w:pPr>
        <w:pStyle w:val="P68B1DB1Normal84"/>
        <w:widowControl w:val="false"/>
        <w:spacing w:lineRule="auto" w:line="240"/>
        <w:ind w:left="283" w:right="417" w:hanging="0"/>
        <w:jc w:val="left"/>
        <w:rPr/>
      </w:pPr>
      <w:r>
        <w:rPr>
          <w:color w:val="BD1271"/>
        </w:rPr>
        <w:t xml:space="preserve">5. </w:t>
      </w:r>
      <w:r>
        <w:rPr>
          <w:color w:val="000000"/>
        </w:rPr>
        <w:t>Financovat projekty v Africe zaměřené na budování škol a nemocnic, aniž by zaujaly postoj koloniálního stylu, ale zaměřené na dodržování evropských hodnot a práv.</w:t>
      </w:r>
    </w:p>
    <w:p>
      <w:pPr>
        <w:pStyle w:val="P68B1DB1Normal84"/>
        <w:widowControl w:val="false"/>
        <w:spacing w:lineRule="auto" w:line="240"/>
        <w:ind w:left="283" w:right="417" w:hanging="0"/>
        <w:jc w:val="left"/>
        <w:rPr/>
      </w:pPr>
      <w:r>
        <w:rPr>
          <w:color w:val="BD1271"/>
        </w:rPr>
        <w:t xml:space="preserve">6. </w:t>
      </w:r>
      <w:r>
        <w:rPr>
          <w:color w:val="000000"/>
        </w:rPr>
        <w:t>Investovat do odborné přípravy na místě (zejména pro ženy) v nejchudších zemích.</w:t>
      </w:r>
    </w:p>
    <w:p>
      <w:pPr>
        <w:pStyle w:val="P68B1DB1Normal84"/>
        <w:widowControl w:val="false"/>
        <w:spacing w:lineRule="auto" w:line="240"/>
        <w:ind w:left="283" w:right="0" w:hanging="0"/>
        <w:jc w:val="left"/>
        <w:rPr/>
      </w:pPr>
      <w:r>
        <w:rPr>
          <w:color w:val="BD1271"/>
        </w:rPr>
        <w:t xml:space="preserve">7. </w:t>
      </w:r>
      <w:r>
        <w:rPr>
          <w:color w:val="000000"/>
        </w:rPr>
        <w:t>Podporovat výměny techniků a školitelů.</w:t>
      </w:r>
    </w:p>
    <w:p>
      <w:pPr>
        <w:pStyle w:val="P68B1DB1Normal84"/>
        <w:widowControl w:val="false"/>
        <w:spacing w:lineRule="auto" w:line="240"/>
        <w:ind w:left="283" w:right="0" w:hanging="0"/>
        <w:jc w:val="left"/>
        <w:rPr/>
      </w:pPr>
      <w:r>
        <w:rPr>
          <w:color w:val="BD1271"/>
        </w:rPr>
        <w:t xml:space="preserve">8. </w:t>
      </w:r>
      <w:r>
        <w:rPr>
          <w:color w:val="000000"/>
        </w:rPr>
        <w:t>Vytvořit systém společných pravidel pro přístup migrantů, s různými procesy mezi humanitární a ekonomickou migrací a se spravedlivým rozdělením mezi jednotlivé státy, ale se společnými pravidly (census a kontrola chování a zaměstnanosti).</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Titre481"/>
        <w:numPr>
          <w:ilvl w:val="0"/>
          <w:numId w:val="2"/>
        </w:numPr>
        <w:rPr>
          <w:color w:val="0066B3"/>
        </w:rPr>
      </w:pPr>
      <w:bookmarkStart w:id="232" w:name="__RefHeading___Toc300446_1346298689"/>
      <w:bookmarkEnd w:id="232"/>
      <w:r>
        <w:rPr/>
        <w:t xml:space="preserve">4. Politické a kulturní reference </w:t>
      </w:r>
    </w:p>
    <w:p>
      <w:pPr>
        <w:pStyle w:val="P68B1DB1Normal76"/>
        <w:widowControl w:val="false"/>
        <w:spacing w:lineRule="auto" w:line="240" w:before="106" w:after="0"/>
        <w:ind w:left="0" w:right="145" w:hanging="0"/>
        <w:jc w:val="both"/>
        <w:rPr/>
      </w:pPr>
      <w:r>
        <w:rPr/>
        <w:t xml:space="preserve">Ve výše popsaném scénáři se očekává, že Evropa poskytne jasnou politickou a kulturní referenci na celosvětové úrovni z hlediska práv a etiky a půjde příkladem prostřednictvím rozhodování o zajištění zdravého životního prostředí, dodržování lidských práv a dialogu mezi Východem a Západem. </w:t>
      </w:r>
    </w:p>
    <w:p>
      <w:pPr>
        <w:pStyle w:val="P68B1DB1Normal83"/>
        <w:widowControl w:val="false"/>
        <w:spacing w:lineRule="auto" w:line="240" w:before="73" w:after="0"/>
        <w:ind w:left="4819" w:right="0" w:hanging="0"/>
        <w:jc w:val="left"/>
        <w:rPr>
          <w:rFonts w:ascii="Arial" w:hAnsi="Arial"/>
          <w:b/>
          <w:b/>
          <w:color w:val="2E74B5"/>
          <w:sz w:val="24"/>
        </w:rPr>
      </w:pPr>
      <w:r>
        <w:rPr/>
        <w:t xml:space="preserve"> </w:t>
      </w:r>
    </w:p>
    <w:p>
      <w:pPr>
        <w:pStyle w:val="P68B1DB1Normal75"/>
        <w:widowControl w:val="false"/>
        <w:spacing w:lineRule="auto" w:line="240" w:before="72" w:after="0"/>
        <w:ind w:left="3000" w:right="0" w:hanging="0"/>
        <w:jc w:val="left"/>
        <w:rPr/>
      </w:pPr>
      <w:r>
        <w:rPr>
          <w:b/>
          <w:color w:val="2E74B5"/>
        </w:rPr>
        <w:t>DOPORUČENÍ STRUČNĚ</w:t>
      </w:r>
      <w:r>
        <w:rPr>
          <w:color w:val="000000"/>
        </w:rPr>
        <w:t xml:space="preserve"> </w:t>
      </w:r>
    </w:p>
    <w:p>
      <w:pPr>
        <w:pStyle w:val="P68B1DB1Normal84"/>
        <w:widowControl w:val="false"/>
        <w:spacing w:lineRule="auto" w:line="240" w:before="69" w:after="0"/>
        <w:ind w:left="283" w:right="0" w:hanging="0"/>
        <w:jc w:val="left"/>
        <w:rPr/>
      </w:pPr>
      <w:r>
        <w:rPr>
          <w:color w:val="BD1271"/>
        </w:rPr>
        <w:t xml:space="preserve">1. </w:t>
      </w:r>
      <w:r>
        <w:rPr>
          <w:color w:val="000000"/>
        </w:rPr>
        <w:t>Vést cestu jako zelený kontinent, dosáhnout nulových emisí před ostatními a zvýšit výrobu čisté energie (větrnou a solární).</w:t>
      </w:r>
    </w:p>
    <w:p>
      <w:pPr>
        <w:pStyle w:val="P68B1DB1Normal84"/>
        <w:widowControl w:val="false"/>
        <w:spacing w:lineRule="auto" w:line="240"/>
        <w:ind w:left="283" w:right="0" w:hanging="0"/>
        <w:jc w:val="left"/>
        <w:rPr/>
      </w:pPr>
      <w:r>
        <w:rPr>
          <w:color w:val="BD1271"/>
        </w:rPr>
        <w:t xml:space="preserve">2. </w:t>
      </w:r>
      <w:r>
        <w:rPr>
          <w:color w:val="000000"/>
        </w:rPr>
        <w:t>Export technologií pro výrobu zboží s nulovým dopadem.</w:t>
      </w:r>
    </w:p>
    <w:p>
      <w:pPr>
        <w:pStyle w:val="P68B1DB1Normal84"/>
        <w:widowControl w:val="false"/>
        <w:spacing w:lineRule="auto" w:line="240"/>
        <w:ind w:left="283" w:right="0" w:hanging="0"/>
        <w:jc w:val="left"/>
        <w:rPr/>
      </w:pPr>
      <w:r>
        <w:rPr>
          <w:color w:val="BD1271"/>
        </w:rPr>
        <w:t xml:space="preserve">3. </w:t>
      </w:r>
      <w:r>
        <w:rPr>
          <w:color w:val="000000"/>
        </w:rPr>
        <w:t>Sloužit jako soutok (veřejné místo, agora) mezi Východem a Západem, podporovat kulturní výměny a společné kulturní iniciativy (jako jsou Světové dny umění, které mají být organizovány postupně v různých evropských hlavních městech, s uměleckým programem včetně západních a východních umělců).</w:t>
      </w:r>
    </w:p>
    <w:p>
      <w:pPr>
        <w:pStyle w:val="P68B1DB1Normal84"/>
        <w:widowControl w:val="false"/>
        <w:spacing w:lineRule="auto" w:line="240"/>
        <w:ind w:left="283" w:right="560" w:hanging="0"/>
        <w:jc w:val="left"/>
        <w:rPr/>
      </w:pPr>
      <w:r>
        <w:rPr>
          <w:color w:val="BD1271"/>
        </w:rPr>
        <w:t xml:space="preserve">4. </w:t>
      </w:r>
      <w:r>
        <w:rPr>
          <w:color w:val="000000"/>
        </w:rPr>
        <w:t>Vytvořit evropský etický model řízení migračních procesů, který lze sdílet na mezinárodní úrovni.</w:t>
      </w:r>
    </w:p>
    <w:p>
      <w:pPr>
        <w:pStyle w:val="P68B1DB1Normal32"/>
        <w:widowControl w:val="false"/>
        <w:spacing w:lineRule="auto" w:line="240"/>
        <w:ind w:left="283" w:right="0" w:hanging="0"/>
        <w:jc w:val="left"/>
        <w:rPr>
          <w:rFonts w:ascii="Arial" w:hAnsi="Arial"/>
          <w:b/>
          <w:b/>
          <w:color w:val="000000"/>
          <w:sz w:val="24"/>
        </w:rPr>
      </w:pPr>
      <w:r>
        <w:rPr/>
        <w:t xml:space="preserve"> </w:t>
      </w:r>
    </w:p>
    <w:p>
      <w:pPr>
        <w:pStyle w:val="Titre2"/>
        <w:numPr>
          <w:ilvl w:val="1"/>
          <w:numId w:val="2"/>
        </w:numPr>
        <w:rPr/>
      </w:pPr>
      <w:bookmarkStart w:id="233" w:name="__RefHeading___Toc300322_1346298689"/>
      <w:bookmarkEnd w:id="233"/>
      <w:r>
        <w:rPr/>
        <w:t xml:space="preserve">6. Závěrečné hodnocení účastníků </w:t>
      </w:r>
    </w:p>
    <w:p>
      <w:pPr>
        <w:pStyle w:val="P68B1DB1Normal76"/>
        <w:widowControl w:val="false"/>
        <w:spacing w:lineRule="auto" w:line="240" w:before="106" w:after="0"/>
        <w:ind w:left="0" w:right="0" w:hanging="0"/>
        <w:jc w:val="both"/>
        <w:rPr/>
      </w:pPr>
      <w:r>
        <w:rPr/>
        <w:t xml:space="preserve">Na konci těchto dvou pracovních dnů byli všichni účastníci požádáni, aby vyplnili krátký dotazník k posouzení jejich zkušeností. Hodnotící dotazník byl zaslán dva dny po skončení panelu s cílem poskytnout všem účastníkům čas na krok zpět ze zkušeností a na to, aby mohli reagovat objektivněji. </w:t>
      </w:r>
    </w:p>
    <w:p>
      <w:pPr>
        <w:pStyle w:val="Normal"/>
        <w:widowControl w:val="false"/>
        <w:spacing w:lineRule="auto" w:line="240" w:before="78" w:after="0"/>
        <w:ind w:left="0" w:right="2" w:hanging="0"/>
        <w:jc w:val="left"/>
        <w:rPr/>
      </w:pPr>
      <w:r>
        <w:rPr>
          <w:color w:val="000000"/>
        </w:rPr>
        <w:t xml:space="preserve">Shromážděné výsledky ukazují obzvláště vysokou míru spokojenosti, a to jak z hlediska zájmu, tak z hlediska snadné účasti a pocitu naslouchání a inkluze. </w:t>
      </w:r>
      <w:r>
        <w:br w:type="page"/>
      </w:r>
    </w:p>
    <w:p>
      <w:pPr>
        <w:pStyle w:val="Normal"/>
        <w:widowControl w:val="false"/>
        <w:spacing w:lineRule="auto" w:line="240" w:before="4764" w:after="0"/>
        <w:ind w:left="0" w:right="2" w:hanging="0"/>
        <w:jc w:val="left"/>
        <w:rPr>
          <w:rFonts w:ascii="Arial" w:hAnsi="Arial"/>
          <w:color w:val="000000"/>
          <w:sz w:val="24"/>
        </w:rPr>
      </w:pPr>
      <w:r>
        <w:rPr>
          <w:color w:val="000000"/>
          <w:sz w:val="24"/>
        </w:rPr>
        <mc:AlternateContent>
          <mc:Choice Requires="wpg">
            <w:drawing>
              <wp:anchor behindDoc="0" distT="0" distB="0" distL="0" distR="0" simplePos="0" locked="0" layoutInCell="1" allowOverlap="1" relativeHeight="60">
                <wp:simplePos x="0" y="0"/>
                <wp:positionH relativeFrom="column">
                  <wp:posOffset>635</wp:posOffset>
                </wp:positionH>
                <wp:positionV relativeFrom="paragraph">
                  <wp:posOffset>50165</wp:posOffset>
                </wp:positionV>
                <wp:extent cx="5996305" cy="3025775"/>
                <wp:effectExtent l="0" t="0" r="0" b="0"/>
                <wp:wrapTopAndBottom/>
                <wp:docPr id="107" name="Formulář8"/>
                <a:graphic xmlns:a="http://schemas.openxmlformats.org/drawingml/2006/main">
                  <a:graphicData uri="http://schemas.microsoft.com/office/word/2010/wordprocessingGroup">
                    <wpg:wgp>
                      <wpg:cNvGrpSpPr/>
                      <wpg:grpSpPr>
                        <a:xfrm>
                          <a:off x="0" y="0"/>
                          <a:ext cx="5995800" cy="3025080"/>
                        </a:xfrm>
                      </wpg:grpSpPr>
                      <pic:pic xmlns:pic="http://schemas.openxmlformats.org/drawingml/2006/picture">
                        <pic:nvPicPr>
                          <pic:cNvPr id="10" name="" descr=""/>
                          <pic:cNvPicPr/>
                        </pic:nvPicPr>
                        <pic:blipFill>
                          <a:blip r:embed="rId111"/>
                          <a:stretch/>
                        </pic:blipFill>
                        <pic:spPr>
                          <a:xfrm>
                            <a:off x="2533680" y="487080"/>
                            <a:ext cx="3379320" cy="2538000"/>
                          </a:xfrm>
                          <a:prstGeom prst="rect">
                            <a:avLst/>
                          </a:prstGeom>
                          <a:ln>
                            <a:noFill/>
                          </a:ln>
                        </pic:spPr>
                      </pic:pic>
                      <wps:wsp>
                        <wps:cNvSpPr/>
                        <wps:spPr>
                          <a:xfrm>
                            <a:off x="210240" y="0"/>
                            <a:ext cx="578556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Spokojenost s účastí v panelu </w:t>
                              </w:r>
                            </w:p>
                          </w:txbxContent>
                        </wps:txbx>
                        <wps:bodyPr lIns="90000" rIns="90000" tIns="45000" bIns="45000">
                          <a:noAutofit/>
                        </wps:bodyPr>
                      </wps:wsp>
                      <wps:wsp>
                        <wps:cNvSpPr/>
                        <wps:spPr>
                          <a:xfrm>
                            <a:off x="60480" y="640800"/>
                            <a:ext cx="2477880" cy="3751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Celková spokojenost se zkušenostmi</w:t>
                              </w:r>
                            </w:p>
                          </w:txbxContent>
                        </wps:txbx>
                        <wps:bodyPr lIns="90000" rIns="90000" tIns="45000" bIns="45000">
                          <a:noAutofit/>
                        </wps:bodyPr>
                      </wps:wsp>
                      <wps:wsp>
                        <wps:cNvSpPr/>
                        <wps:spPr>
                          <a:xfrm>
                            <a:off x="69120" y="1184400"/>
                            <a:ext cx="2478240" cy="382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Kvalita příspěvků účastníků</w:t>
                              </w:r>
                            </w:p>
                          </w:txbxContent>
                        </wps:txbx>
                        <wps:bodyPr lIns="90000" rIns="90000" tIns="45000" bIns="45000">
                          <a:noAutofit/>
                        </wps:bodyPr>
                      </wps:wsp>
                      <wps:wsp>
                        <wps:cNvSpPr/>
                        <wps:spPr>
                          <a:xfrm>
                            <a:off x="60840" y="1469520"/>
                            <a:ext cx="2478240" cy="382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Soudržnost mezi učiněnými doporučeními a rozpravou</w:t>
                              </w:r>
                            </w:p>
                          </w:txbxContent>
                        </wps:txbx>
                        <wps:bodyPr lIns="90000" rIns="90000" tIns="45000" bIns="45000">
                          <a:noAutofit/>
                        </wps:bodyPr>
                      </wps:wsp>
                      <wps:wsp>
                        <wps:cNvSpPr/>
                        <wps:spPr>
                          <a:xfrm>
                            <a:off x="61560" y="1861200"/>
                            <a:ext cx="2478240" cy="236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Snadné používání platformy</w:t>
                              </w:r>
                            </w:p>
                          </w:txbxContent>
                        </wps:txbx>
                        <wps:bodyPr lIns="90000" rIns="90000" tIns="45000" bIns="45000">
                          <a:noAutofit/>
                        </wps:bodyPr>
                      </wps:wsp>
                      <wps:wsp>
                        <wps:cNvSpPr/>
                        <wps:spPr>
                          <a:xfrm>
                            <a:off x="0" y="2128680"/>
                            <a:ext cx="2478240" cy="2368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Respekt k rozmanitosti názorů</w:t>
                              </w:r>
                            </w:p>
                          </w:txbxContent>
                        </wps:txbx>
                        <wps:bodyPr lIns="90000" rIns="90000" tIns="45000" bIns="45000">
                          <a:noAutofit/>
                        </wps:bodyPr>
                      </wps:wsp>
                      <wps:wsp>
                        <wps:cNvSpPr/>
                        <wps:spPr>
                          <a:xfrm>
                            <a:off x="44280" y="2343240"/>
                            <a:ext cx="2477880" cy="5284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Schopnost moderátorů dát účastníkům hlas a poslouchat jejich zásahy</w:t>
                              </w:r>
                            </w:p>
                          </w:txbxContent>
                        </wps:txbx>
                        <wps:bodyPr lIns="90000" rIns="90000" tIns="45000" bIns="45000">
                          <a:noAutofit/>
                        </wps:bodyPr>
                      </wps:wsp>
                      <wps:wsp>
                        <wps:cNvSpPr/>
                        <wps:spPr>
                          <a:xfrm>
                            <a:off x="27360" y="2788200"/>
                            <a:ext cx="2477880" cy="236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Zájem o projednávaná témata</w:t>
                              </w:r>
                            </w:p>
                          </w:txbxContent>
                        </wps:txbx>
                        <wps:bodyPr lIns="90000" rIns="90000" tIns="45000" bIns="45000">
                          <a:noAutofit/>
                        </wps:bodyPr>
                      </wps:wsp>
                    </wpg:wgp>
                  </a:graphicData>
                </a:graphic>
              </wp:anchor>
            </w:drawing>
          </mc:Choice>
          <mc:Fallback>
            <w:pict>
              <v:group id="shape_0" alt="Formulář8" style="position:absolute;margin-left:0.05pt;margin-top:3.95pt;width:472.1pt;height:238.2pt" coordorigin="1,79" coordsize="9442,4764">
                <v:shape id="shape_0" stroked="f" style="position:absolute;left:3991;top:846;width:5321;height:3996" type="shapetype_75">
                  <v:imagedata r:id="rId111" o:detectmouseclick="t"/>
                  <w10:wrap type="none"/>
                  <v:stroke color="#3465a4" joinstyle="round" endcap="flat"/>
                </v:shape>
                <v:rect id="shape_0" stroked="f" style="position:absolute;left:332;top:79;width:9110;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Spokojenost s účastí v panelu </w:t>
                        </w:r>
                      </w:p>
                    </w:txbxContent>
                  </v:textbox>
                  <w10:wrap type="square"/>
                  <v:fill o:detectmouseclick="t" on="false"/>
                  <v:stroke color="#3465a4" joinstyle="round" endcap="flat"/>
                </v:rect>
                <v:rect id="shape_0" stroked="f" style="position:absolute;left:96;top:1088;width:3901;height:590">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Celková spokojenost se zkušenostmi</w:t>
                        </w:r>
                      </w:p>
                    </w:txbxContent>
                  </v:textbox>
                  <w10:wrap type="square"/>
                  <v:fill o:detectmouseclick="t" on="false"/>
                  <v:stroke color="#3465a4" joinstyle="round" endcap="flat"/>
                </v:rect>
                <v:rect id="shape_0" stroked="f" style="position:absolute;left:110;top:1944;width:3902;height:60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Kvalita příspěvků účastníků</w:t>
                        </w:r>
                      </w:p>
                    </w:txbxContent>
                  </v:textbox>
                  <w10:wrap type="square"/>
                  <v:fill o:detectmouseclick="t" on="false"/>
                  <v:stroke color="#3465a4" joinstyle="round" endcap="flat"/>
                </v:rect>
                <v:rect id="shape_0" stroked="f" style="position:absolute;left:97;top:2393;width:3902;height:60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Soudržnost mezi učiněnými doporučeními a rozpravou</w:t>
                        </w:r>
                      </w:p>
                    </w:txbxContent>
                  </v:textbox>
                  <w10:wrap type="square"/>
                  <v:fill o:detectmouseclick="t" on="false"/>
                  <v:stroke color="#3465a4" joinstyle="round" endcap="flat"/>
                </v:rect>
                <v:rect id="shape_0" stroked="f" style="position:absolute;left:98;top:3010;width:3902;height:37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Snadné používání platformy</w:t>
                        </w:r>
                      </w:p>
                    </w:txbxContent>
                  </v:textbox>
                  <w10:wrap type="square"/>
                  <v:fill o:detectmouseclick="t" on="false"/>
                  <v:stroke color="#3465a4" joinstyle="round" endcap="flat"/>
                </v:rect>
                <v:rect id="shape_0" stroked="f" style="position:absolute;left:1;top:3431;width:3902;height:372">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Respekt k rozmanitosti názorů</w:t>
                        </w:r>
                      </w:p>
                    </w:txbxContent>
                  </v:textbox>
                  <w10:wrap type="square"/>
                  <v:fill o:detectmouseclick="t" on="false"/>
                  <v:stroke color="#3465a4" joinstyle="round" endcap="flat"/>
                </v:rect>
                <v:rect id="shape_0" stroked="f" style="position:absolute;left:71;top:3769;width:3901;height:83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Schopnost moderátorů dát účastníkům hlas a poslouchat jejich zásahy</w:t>
                        </w:r>
                      </w:p>
                    </w:txbxContent>
                  </v:textbox>
                  <w10:wrap type="square"/>
                  <v:fill o:detectmouseclick="t" on="false"/>
                  <v:stroke color="#3465a4" joinstyle="round" endcap="flat"/>
                </v:rect>
                <v:rect id="shape_0" stroked="f" style="position:absolute;left:44;top:4470;width:3901;height:37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Zájem o projednávaná témata</w:t>
                        </w:r>
                      </w:p>
                    </w:txbxContent>
                  </v:textbox>
                  <w10:wrap type="square"/>
                  <v:fill o:detectmouseclick="t" on="false"/>
                  <v:stroke color="#3465a4" joinstyle="round" endcap="flat"/>
                </v:rect>
              </v:group>
            </w:pict>
          </mc:Fallback>
        </mc:AlternateContent>
      </w:r>
    </w:p>
    <w:p>
      <w:pPr>
        <w:pStyle w:val="P68B1DB1Normal76"/>
        <w:widowControl w:val="false"/>
        <w:spacing w:lineRule="auto" w:line="240" w:before="48" w:after="0"/>
        <w:ind w:left="0" w:right="1" w:hanging="0"/>
        <w:jc w:val="both"/>
        <w:rPr/>
      </w:pPr>
      <w:r>
        <w:rPr/>
        <w:t xml:space="preserve">Ačkoli zpočátku měli různé zkušenosti, dovednosti a motivaci, účastníci se cítili silně zapojeni: 98 % respondentů hodnotícího dotazníku vyjádřilo názor, že se aktivně zúčastnili a přispěli k diskusi kladně.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Obecně vzato byla velmi silně pociťována užitečnost této zkušenosti, která byla vnímána především jako příležitost k aktivní účasti a která dala pocit větší blízkosti evropským institucím. To vedlo téměř všechny respondenty k tomu, aby se tento typ iniciativy v průběhu času opakoval. </w:t>
      </w:r>
    </w:p>
    <w:p>
      <w:pPr>
        <w:pStyle w:val="Normal"/>
        <w:widowControl w:val="false"/>
        <w:spacing w:lineRule="exact" w:line="202" w:before="4966" w:after="0"/>
        <w:ind w:left="0" w:right="0" w:hanging="0"/>
        <w:jc w:val="both"/>
        <w:rPr/>
      </w:pPr>
      <w:r>
        <mc:AlternateContent>
          <mc:Choice Requires="wpg">
            <w:drawing>
              <wp:anchor behindDoc="0" distT="0" distB="0" distL="0" distR="0" simplePos="0" locked="0" layoutInCell="1" allowOverlap="1" relativeHeight="62">
                <wp:simplePos x="0" y="0"/>
                <wp:positionH relativeFrom="column">
                  <wp:posOffset>0</wp:posOffset>
                </wp:positionH>
                <wp:positionV relativeFrom="paragraph">
                  <wp:posOffset>71120</wp:posOffset>
                </wp:positionV>
                <wp:extent cx="6047740" cy="3154045"/>
                <wp:effectExtent l="0" t="0" r="0" b="0"/>
                <wp:wrapTopAndBottom/>
                <wp:docPr id="108" name="Formulář9"/>
                <a:graphic xmlns:a="http://schemas.openxmlformats.org/drawingml/2006/main">
                  <a:graphicData uri="http://schemas.microsoft.com/office/word/2010/wordprocessingGroup">
                    <wpg:wgp>
                      <wpg:cNvGrpSpPr/>
                      <wpg:grpSpPr>
                        <a:xfrm>
                          <a:off x="0" y="0"/>
                          <a:ext cx="6047280" cy="3153240"/>
                        </a:xfrm>
                      </wpg:grpSpPr>
                      <pic:pic xmlns:pic="http://schemas.openxmlformats.org/drawingml/2006/picture">
                        <pic:nvPicPr>
                          <pic:cNvPr id="11" name="" descr=""/>
                          <pic:cNvPicPr/>
                        </pic:nvPicPr>
                        <pic:blipFill>
                          <a:blip r:embed="rId112"/>
                          <a:stretch/>
                        </pic:blipFill>
                        <pic:spPr>
                          <a:xfrm>
                            <a:off x="272880" y="357480"/>
                            <a:ext cx="5774040" cy="2601000"/>
                          </a:xfrm>
                          <a:prstGeom prst="rect">
                            <a:avLst/>
                          </a:prstGeom>
                          <a:ln>
                            <a:noFill/>
                          </a:ln>
                        </pic:spPr>
                      </pic:pic>
                      <wps:wsp>
                        <wps:cNvSpPr/>
                        <wps:spPr>
                          <a:xfrm>
                            <a:off x="404640" y="0"/>
                            <a:ext cx="5614560" cy="80064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HODNOCENÍ ZÁJMU „ITALSKÉHO PANELU PRO KONFERENCI O BUDOUCNOSTI EVROPY“</w:t>
                              </w:r>
                            </w:p>
                          </w:txbxContent>
                        </wps:txbx>
                        <wps:bodyPr lIns="90000" rIns="90000" tIns="45000" bIns="45000">
                          <a:noAutofit/>
                        </wps:bodyPr>
                      </wps:wsp>
                      <wps:wsp>
                        <wps:cNvSpPr/>
                        <wps:spPr>
                          <a:xfrm>
                            <a:off x="47160" y="497160"/>
                            <a:ext cx="2207880" cy="27504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Mělo by se odehrávat častěji</w:t>
                              </w:r>
                            </w:p>
                          </w:txbxContent>
                        </wps:txbx>
                        <wps:bodyPr lIns="90000" rIns="90000" tIns="45000" bIns="45000">
                          <a:noAutofit/>
                        </wps:bodyPr>
                      </wps:wsp>
                      <wps:wsp>
                        <wps:cNvSpPr/>
                        <wps:spPr>
                          <a:xfrm>
                            <a:off x="47160" y="986760"/>
                            <a:ext cx="2207880" cy="4845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Je užitečný pro to, aby byl hlas občanů vyslyšen v evropských orgánech</w:t>
                              </w:r>
                            </w:p>
                          </w:txbxContent>
                        </wps:txbx>
                        <wps:bodyPr lIns="90000" rIns="90000" tIns="45000" bIns="45000">
                          <a:noAutofit/>
                        </wps:bodyPr>
                      </wps:wsp>
                      <wps:wsp>
                        <wps:cNvSpPr/>
                        <wps:spPr>
                          <a:xfrm>
                            <a:off x="47160" y="1492920"/>
                            <a:ext cx="2207880" cy="3531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Může pozitivně přispět ke zlepšení budoucnosti Evropy</w:t>
                              </w:r>
                            </w:p>
                          </w:txbxContent>
                        </wps:txbx>
                        <wps:bodyPr lIns="90000" rIns="90000" tIns="45000" bIns="45000">
                          <a:noAutofit/>
                        </wps:bodyPr>
                      </wps:wsp>
                      <wps:wsp>
                        <wps:cNvSpPr/>
                        <wps:spPr>
                          <a:xfrm>
                            <a:off x="0" y="1972800"/>
                            <a:ext cx="2208600" cy="3531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Přiblížení evropských institucí občanům</w:t>
                              </w:r>
                            </w:p>
                          </w:txbxContent>
                        </wps:txbx>
                        <wps:bodyPr lIns="90000" rIns="90000" tIns="45000" bIns="45000">
                          <a:noAutofit/>
                        </wps:bodyPr>
                      </wps:wsp>
                      <wps:wsp>
                        <wps:cNvSpPr/>
                        <wps:spPr>
                          <a:xfrm>
                            <a:off x="0" y="2409120"/>
                            <a:ext cx="2208600" cy="7365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Byla to ztráta času</w:t>
                              </w:r>
                            </w:p>
                          </w:txbxContent>
                        </wps:txbx>
                        <wps:bodyPr lIns="90000" rIns="90000" tIns="45000" bIns="45000">
                          <a:noAutofit/>
                        </wps:bodyPr>
                      </wps:wsp>
                      <wps:wsp>
                        <wps:cNvSpPr/>
                        <wps:spPr>
                          <a:xfrm>
                            <a:off x="527760" y="273816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Zcela souhlasím</w:t>
                              </w:r>
                            </w:p>
                          </w:txbxContent>
                        </wps:txbx>
                        <wps:bodyPr lIns="90000" rIns="90000" tIns="45000" bIns="45000">
                          <a:noAutofit/>
                        </wps:bodyPr>
                      </wps:wsp>
                      <wps:wsp>
                        <wps:cNvSpPr/>
                        <wps:spPr>
                          <a:xfrm>
                            <a:off x="1548000" y="2711520"/>
                            <a:ext cx="778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Raději bych souhlasil.</w:t>
                              </w:r>
                            </w:p>
                          </w:txbxContent>
                        </wps:txbx>
                        <wps:bodyPr lIns="90000" rIns="90000" tIns="45000" bIns="45000">
                          <a:noAutofit/>
                        </wps:bodyPr>
                      </wps:wsp>
                      <wps:wsp>
                        <wps:cNvSpPr/>
                        <wps:spPr>
                          <a:xfrm>
                            <a:off x="2504520" y="2755800"/>
                            <a:ext cx="128844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Žádná dohoda a žádná dohoda</w:t>
                              </w:r>
                            </w:p>
                          </w:txbxContent>
                        </wps:txbx>
                        <wps:bodyPr lIns="90000" rIns="90000" tIns="45000" bIns="45000">
                          <a:noAutofit/>
                        </wps:bodyPr>
                      </wps:wsp>
                      <wps:wsp>
                        <wps:cNvSpPr/>
                        <wps:spPr>
                          <a:xfrm>
                            <a:off x="3935160" y="272988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Já s tím nesouhlasím.</w:t>
                              </w:r>
                            </w:p>
                          </w:txbxContent>
                        </wps:txbx>
                        <wps:bodyPr lIns="90000" rIns="90000" tIns="45000" bIns="45000">
                          <a:noAutofit/>
                        </wps:bodyPr>
                      </wps:wsp>
                      <wps:wsp>
                        <wps:cNvSpPr/>
                        <wps:spPr>
                          <a:xfrm>
                            <a:off x="5044320" y="280044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Vůbec s tím nesouhlasím.</w:t>
                              </w:r>
                            </w:p>
                          </w:txbxContent>
                        </wps:txbx>
                        <wps:bodyPr lIns="90000" rIns="90000" tIns="45000" bIns="45000">
                          <a:noAutofit/>
                        </wps:bodyPr>
                      </wps:wsp>
                    </wpg:wgp>
                  </a:graphicData>
                </a:graphic>
              </wp:anchor>
            </w:drawing>
          </mc:Choice>
          <mc:Fallback>
            <w:pict>
              <v:group id="shape_0" alt="Formulář9" style="position:absolute;margin-left:0pt;margin-top:5.6pt;width:476.15pt;height:248.3pt" coordorigin="0,112" coordsize="9523,4966">
                <v:shape id="shape_0" stroked="f" style="position:absolute;left:430;top:675;width:9092;height:4095" type="shapetype_75">
                  <v:imagedata r:id="rId112" o:detectmouseclick="t"/>
                  <w10:wrap type="none"/>
                  <v:stroke color="#3465a4" joinstyle="round" endcap="flat"/>
                </v:shape>
                <v:rect id="shape_0" stroked="f" style="position:absolute;left:637;top:112;width:8841;height:126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HODNOCENÍ ZÁJMU „ITALSKÉHO PANELU PRO KONFERENCI O BUDOUCNOSTI EVROPY“</w:t>
                        </w:r>
                      </w:p>
                    </w:txbxContent>
                  </v:textbox>
                  <w10:wrap type="square"/>
                  <v:fill o:detectmouseclick="t" on="false"/>
                  <v:stroke color="#3465a4" joinstyle="round" endcap="flat"/>
                </v:rect>
                <v:rect id="shape_0" stroked="f" style="position:absolute;left:74;top:895;width:3476;height:432">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Mělo by se odehrávat častěji</w:t>
                        </w:r>
                      </w:p>
                    </w:txbxContent>
                  </v:textbox>
                  <w10:wrap type="square"/>
                  <v:fill o:detectmouseclick="t" on="false"/>
                  <v:stroke color="#3465a4" joinstyle="round" endcap="flat"/>
                </v:rect>
                <v:rect id="shape_0" stroked="f" style="position:absolute;left:74;top:1666;width:3476;height:762">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Je užitečný pro to, aby byl hlas občanů vyslyšen v evropských orgánech</w:t>
                        </w:r>
                      </w:p>
                    </w:txbxContent>
                  </v:textbox>
                  <w10:wrap type="square"/>
                  <v:fill o:detectmouseclick="t" on="false"/>
                  <v:stroke color="#3465a4" joinstyle="round" endcap="flat"/>
                </v:rect>
                <v:rect id="shape_0" stroked="f" style="position:absolute;left:74;top:2463;width:3476;height:555">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Může pozitivně přispět ke zlepšení budoucnosti Evropy</w:t>
                        </w:r>
                      </w:p>
                    </w:txbxContent>
                  </v:textbox>
                  <w10:wrap type="square"/>
                  <v:fill o:detectmouseclick="t" on="false"/>
                  <v:stroke color="#3465a4" joinstyle="round" endcap="flat"/>
                </v:rect>
                <v:rect id="shape_0" stroked="f" style="position:absolute;left:0;top:3219;width:3477;height:555">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Přiblížení evropských institucí občanům</w:t>
                        </w:r>
                      </w:p>
                    </w:txbxContent>
                  </v:textbox>
                  <w10:wrap type="square"/>
                  <v:fill o:detectmouseclick="t" on="false"/>
                  <v:stroke color="#3465a4" joinstyle="round" endcap="flat"/>
                </v:rect>
                <v:rect id="shape_0" stroked="f" style="position:absolute;left:0;top:3906;width:3477;height:1159">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Byla to ztráta času</w:t>
                        </w:r>
                      </w:p>
                    </w:txbxContent>
                  </v:textbox>
                  <w10:wrap type="square"/>
                  <v:fill o:detectmouseclick="t" on="false"/>
                  <v:stroke color="#3465a4" joinstyle="round" endcap="flat"/>
                </v:rect>
                <v:rect id="shape_0" stroked="f" style="position:absolute;left:831;top:4424;width:1353;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Zcela souhlasím</w:t>
                        </w:r>
                      </w:p>
                    </w:txbxContent>
                  </v:textbox>
                  <w10:wrap type="square"/>
                  <v:fill o:detectmouseclick="t" on="false"/>
                  <v:stroke color="#3465a4" joinstyle="round" endcap="flat"/>
                </v:rect>
                <v:rect id="shape_0" stroked="f" style="position:absolute;left:2438;top:4382;width:1225;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Raději bych souhlasil.</w:t>
                        </w:r>
                      </w:p>
                    </w:txbxContent>
                  </v:textbox>
                  <w10:wrap type="square"/>
                  <v:fill o:detectmouseclick="t" on="false"/>
                  <v:stroke color="#3465a4" joinstyle="round" endcap="flat"/>
                </v:rect>
                <v:rect id="shape_0" stroked="f" style="position:absolute;left:3944;top:4452;width:2028;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Žádná dohoda a žádná dohoda</w:t>
                        </w:r>
                      </w:p>
                    </w:txbxContent>
                  </v:textbox>
                  <w10:wrap type="square"/>
                  <v:fill o:detectmouseclick="t" on="false"/>
                  <v:stroke color="#3465a4" joinstyle="round" endcap="flat"/>
                </v:rect>
                <v:rect id="shape_0" stroked="f" style="position:absolute;left:6197;top:4411;width:1353;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Já s tím nesouhlasím.</w:t>
                        </w:r>
                      </w:p>
                    </w:txbxContent>
                  </v:textbox>
                  <w10:wrap type="square"/>
                  <v:fill o:detectmouseclick="t" on="false"/>
                  <v:stroke color="#3465a4" joinstyle="round" endcap="flat"/>
                </v:rect>
                <v:rect id="shape_0" stroked="f" style="position:absolute;left:7944;top:4522;width:1353;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Vůbec s tím nesouhlasím.</w:t>
                        </w:r>
                      </w:p>
                    </w:txbxContent>
                  </v:textbox>
                  <w10:wrap type="square"/>
                  <v:fill o:detectmouseclick="t" on="false"/>
                  <v:stroke color="#3465a4" joinstyle="round" endcap="flat"/>
                </v:rect>
              </v:group>
            </w:pict>
          </mc:Fallback>
        </mc:AlternateContent>
      </w:r>
      <w:r>
        <w:rPr>
          <w:color w:val="000000"/>
        </w:rPr>
        <w:t>Všichni účastníci uvedli, že pokud by taková iniciativa byla znovu organizována, byli by nejen ochotni se zúčastnit, ale doporučili by také svým přátelům, aby se zúčastnili.</w:t>
      </w:r>
    </w:p>
    <w:p>
      <w:pPr>
        <w:pStyle w:val="Normal"/>
        <w:widowControl w:val="false"/>
        <w:spacing w:lineRule="exact" w:line="393"/>
        <w:ind w:left="0" w:right="0" w:hanging="0"/>
        <w:jc w:val="left"/>
        <w:rPr>
          <w:rFonts w:ascii="Arial" w:hAnsi="Arial"/>
          <w:color w:val="000000"/>
          <w:sz w:val="24"/>
        </w:rPr>
      </w:pPr>
      <w:r>
        <w:rPr>
          <w:color w:val="000000"/>
          <w:sz w:val="24"/>
        </w:rPr>
      </w:r>
      <w:r>
        <w:br w:type="page"/>
      </w:r>
    </w:p>
    <w:p>
      <w:pPr>
        <w:pStyle w:val="Titre1"/>
        <w:numPr>
          <w:ilvl w:val="0"/>
          <w:numId w:val="2"/>
        </w:numPr>
        <w:rPr/>
      </w:pPr>
      <w:bookmarkStart w:id="234" w:name="__RefHeading___Toc298382_1346298689"/>
      <w:bookmarkEnd w:id="234"/>
      <w:r>
        <w:rPr/>
        <w:t>II E Národní panely: Litva</w:t>
      </w:r>
    </w:p>
    <w:p>
      <w:pPr>
        <w:pStyle w:val="P68B1DB1Normal95"/>
        <w:widowControl w:val="false"/>
        <w:spacing w:lineRule="exact" w:line="393"/>
        <w:ind w:left="0" w:right="0" w:hanging="0"/>
        <w:jc w:val="left"/>
        <w:rPr>
          <w:rFonts w:ascii="Arial" w:hAnsi="Arial"/>
          <w:color w:val="5A5A5A"/>
          <w:sz w:val="28"/>
        </w:rPr>
      </w:pPr>
      <w:r>
        <w:rPr/>
        <w:t xml:space="preserve">Litevský panel občanů o budoucnosti Evropy </w:t>
      </w:r>
    </w:p>
    <w:p>
      <w:pPr>
        <w:pStyle w:val="P68B1DB1Normal95"/>
        <w:widowControl w:val="false"/>
        <w:spacing w:lineRule="exact" w:line="460"/>
        <w:ind w:left="4320" w:right="0" w:hanging="0"/>
        <w:jc w:val="left"/>
        <w:rPr>
          <w:rFonts w:ascii="Arial" w:hAnsi="Arial"/>
          <w:color w:val="5A5A5A"/>
          <w:sz w:val="28"/>
        </w:rPr>
      </w:pPr>
      <w:r>
        <w:rPr/>
        <w:t xml:space="preserve">Hlášení </w:t>
      </w:r>
    </w:p>
    <w:p>
      <w:pPr>
        <w:pStyle w:val="P68B1DB1Normal76"/>
        <w:widowControl w:val="false"/>
        <w:spacing w:lineRule="exact" w:line="227" w:before="87" w:after="0"/>
        <w:ind w:left="0" w:right="2" w:hanging="0"/>
        <w:jc w:val="both"/>
        <w:rPr/>
      </w:pPr>
      <w:r>
        <w:rPr/>
        <w:t xml:space="preserve">Tato zpráva se skládá ze čtyř částí. První stručně popisuje průběh akce. Druhý návrh nastiňuje doporučení účastníků panelu občanů pro politiku EU a Litevské politiky. Třetí poskytuje stručnou analýzu diskusí ve skupinách a hlavních výsledků fóra. Čtvrtý srovnává výsledky panelu občanů s výsledky průzkumů litevských občanů o stavu a budoucnosti Evropy. </w:t>
      </w:r>
    </w:p>
    <w:p>
      <w:pPr>
        <w:pStyle w:val="P68B1DB1Normal96"/>
        <w:widowControl w:val="false"/>
        <w:spacing w:lineRule="exact" w:line="517" w:before="188" w:after="0"/>
        <w:ind w:left="0" w:right="0" w:hanging="0"/>
        <w:jc w:val="left"/>
        <w:rPr/>
      </w:pPr>
      <w:r>
        <w:rPr>
          <w:rFonts w:ascii="Calibri" w:hAnsi="Calibri"/>
        </w:rPr>
        <w:t>1.</w:t>
      </w:r>
      <w:r>
        <w:rPr/>
        <w:t xml:space="preserve"> </w:t>
      </w:r>
      <w:r>
        <w:rPr>
          <w:rFonts w:ascii="Calibri" w:hAnsi="Calibri"/>
        </w:rPr>
        <w:t>Vedení Národního panelu občanů</w:t>
      </w:r>
    </w:p>
    <w:p>
      <w:pPr>
        <w:pStyle w:val="Normal"/>
        <w:widowControl w:val="false"/>
        <w:spacing w:lineRule="exact" w:line="253" w:before="95" w:after="0"/>
        <w:ind w:left="0" w:right="0" w:hanging="0"/>
        <w:jc w:val="both"/>
        <w:rPr/>
      </w:pPr>
      <w:r>
        <w:rPr>
          <w:color w:val="000000"/>
        </w:rPr>
        <w:t>V souladu s pokyny pro organizaci národních občanských panelů v rámci konference o budoucnosti Evropy vypracoval Kantar TNS LT v prosinci 2021 na žádost ministerstva zahraničních věcí stratizovanou metodiku náhodného výběru reprezentativního vzorku litevské populace, na jejímž základě vybral Kantar TNS 25 litevských občanů ve věku 18 až 65 let zastupujících různé socioekonomické skupiny a všechny zeměpisné regiony Litvy</w:t>
      </w:r>
      <w:r>
        <w:rPr>
          <w:rStyle w:val="Ancredenotedebasdepage"/>
          <w:rStyle w:val="Ancredenotedebasdepage"/>
          <w:color w:val="000000"/>
          <w:sz w:val="14"/>
        </w:rPr>
        <w:footnoteReference w:id="16"/>
      </w:r>
      <w:r>
        <w:rPr>
          <w:color w:val="000000"/>
        </w:rPr>
        <w:t xml:space="preserve">. </w:t>
      </w:r>
    </w:p>
    <w:p>
      <w:pPr>
        <w:pStyle w:val="P68B1DB1Normal76"/>
        <w:widowControl w:val="false"/>
        <w:spacing w:lineRule="exact" w:line="253"/>
        <w:ind w:left="0" w:right="1" w:hanging="0"/>
        <w:jc w:val="both"/>
        <w:rPr/>
      </w:pPr>
      <w:r>
        <w:rPr/>
        <w:t xml:space="preserve">Dne 4. ledna byli vybraní občané pozváni na virtuální úvodní zasedání, během něhož byla představena myšlenka národního panelu občanů a proběhla výměna názorů na témata, která jsou pro budoucnost Evropy nejdůležitější. Na konci akce účastníci obdrželi podkladový dokument s podrobným popisem diskutovaných témat a zdrojů informací. </w:t>
      </w:r>
    </w:p>
    <w:p>
      <w:pPr>
        <w:pStyle w:val="P68B1DB1Normal76"/>
        <w:widowControl w:val="false"/>
        <w:spacing w:lineRule="exact" w:line="253"/>
        <w:ind w:left="0" w:right="2" w:hanging="0"/>
        <w:jc w:val="both"/>
        <w:rPr/>
      </w:pPr>
      <w:r>
        <w:rPr/>
        <w:t xml:space="preserve">Dne 15. ledna se v EZR uskutečnil panel složený z občanů členských států o budoucnosti Evropy, který uspořádaly Studijní středisko pro východní Evropu EZR (RESC) a volební ústav Kantar TNS LT, kterého se přímo zúčastnilo 25 vybraných občanů. </w:t>
      </w:r>
    </w:p>
    <w:p>
      <w:pPr>
        <w:pStyle w:val="P68B1DB1Normal76"/>
        <w:widowControl w:val="false"/>
        <w:spacing w:lineRule="exact" w:line="362"/>
        <w:ind w:left="0" w:right="0" w:hanging="0"/>
        <w:jc w:val="left"/>
        <w:rPr>
          <w:rFonts w:ascii="Arial" w:hAnsi="Arial"/>
          <w:color w:val="000000"/>
          <w:sz w:val="22"/>
        </w:rPr>
      </w:pPr>
      <w:r>
        <w:rPr/>
        <w:t xml:space="preserve"> </w:t>
      </w:r>
    </w:p>
    <w:p>
      <w:pPr>
        <w:pStyle w:val="P68B1DB1Normal76"/>
        <w:widowControl w:val="false"/>
        <w:spacing w:lineRule="exact" w:line="253"/>
        <w:ind w:left="0" w:right="0" w:hanging="0"/>
        <w:jc w:val="both"/>
        <w:rPr/>
      </w:pPr>
      <w:r>
        <w:rPr/>
        <w:t xml:space="preserve">Účastníci diskutovali o dvou otázkách týkajících se politik EU: </w:t>
      </w:r>
      <w:r>
        <w:rPr>
          <w:b/>
        </w:rPr>
        <w:t>úloha a pravomoci, které by EU mohla mít v zahraniční politice</w:t>
      </w:r>
      <w:r>
        <w:rPr/>
        <w:t xml:space="preserve">, jakož i </w:t>
      </w:r>
      <w:r>
        <w:rPr>
          <w:b/>
        </w:rPr>
        <w:t>hospodářskou úlohu EU</w:t>
      </w:r>
      <w:r>
        <w:rPr/>
        <w:t>.</w:t>
      </w:r>
      <w:r>
        <w:rPr>
          <w:b/>
        </w:rPr>
        <w:t xml:space="preserve"> </w:t>
      </w:r>
      <w:r>
        <w:rPr/>
        <w:t xml:space="preserve">Na této akci byla každá z těchto otázek předmětem samostatného zasedání, na kterém odborníci na politiku EU Linas Kojala (RESC) a Ramūnas Vilpišauskas (profesor na univerzitě ve Vilniusu) stručně představili občanům aktuálnost a otázky tématu zasedání. Během diskuse byli občané schopni klást otázky a sdílet své názory. Po odborných prezentacích byli účastníci rozděleni do tří menších reprezentativních skupin, z nichž každá se zabývala jinou problematikou související s tématem zasedání. Diskutované zahraničněpolitické otázky byly následující: </w:t>
      </w:r>
    </w:p>
    <w:p>
      <w:pPr>
        <w:pStyle w:val="P68B1DB1Normal76"/>
        <w:widowControl w:val="false"/>
        <w:spacing w:lineRule="exact" w:line="253"/>
        <w:ind w:left="720" w:right="1" w:hanging="0"/>
        <w:jc w:val="left"/>
        <w:rPr/>
      </w:pPr>
      <w:r>
        <w:rPr>
          <w:b/>
        </w:rPr>
        <w:t>1.1.</w:t>
      </w:r>
      <w:r>
        <w:rPr/>
        <w:t xml:space="preserve"> Je potřeba autonomní obranná a zahraniční politika EU?</w:t>
      </w:r>
    </w:p>
    <w:p>
      <w:pPr>
        <w:pStyle w:val="P68B1DB1Normal76"/>
        <w:widowControl w:val="false"/>
        <w:spacing w:lineRule="exact" w:line="253"/>
        <w:ind w:left="720" w:right="1" w:hanging="0"/>
        <w:jc w:val="left"/>
        <w:rPr/>
      </w:pPr>
      <w:r>
        <w:rPr>
          <w:b/>
        </w:rPr>
        <w:t>1.2.</w:t>
      </w:r>
      <w:r>
        <w:rPr/>
        <w:t xml:space="preserve"> Jaké by měly být vztahy EU s jejími východoevropskými sousedy, severní Afrikou a Tureckem? </w:t>
      </w:r>
    </w:p>
    <w:p>
      <w:pPr>
        <w:pStyle w:val="P68B1DB1Normal76"/>
        <w:widowControl w:val="false"/>
        <w:spacing w:lineRule="exact" w:line="379"/>
        <w:ind w:left="720" w:right="0" w:hanging="0"/>
        <w:jc w:val="left"/>
        <w:rPr/>
      </w:pPr>
      <w:r>
        <w:rPr>
          <w:b/>
        </w:rPr>
        <w:t>1.3.</w:t>
      </w:r>
      <w:r>
        <w:rPr/>
        <w:t xml:space="preserve"> Jaká by měla být migrační politika EU? </w:t>
      </w:r>
    </w:p>
    <w:p>
      <w:pPr>
        <w:pStyle w:val="P68B1DB1Normal76"/>
        <w:widowControl w:val="false"/>
        <w:spacing w:lineRule="exact" w:line="254"/>
        <w:ind w:left="0" w:right="0" w:hanging="0"/>
        <w:jc w:val="left"/>
        <w:rPr/>
      </w:pPr>
      <w:r>
        <w:rPr/>
        <w:t xml:space="preserve">Zasedání o hospodářské úloze EU vedlo k úvahám o těchto otázkách: </w:t>
      </w:r>
    </w:p>
    <w:p>
      <w:pPr>
        <w:pStyle w:val="P68B1DB1Normal76"/>
        <w:widowControl w:val="false"/>
        <w:spacing w:lineRule="exact" w:line="254"/>
        <w:ind w:left="720" w:right="0" w:hanging="0"/>
        <w:jc w:val="left"/>
        <w:rPr/>
      </w:pPr>
      <w:r>
        <w:rPr>
          <w:b/>
        </w:rPr>
        <w:t xml:space="preserve">2.1. </w:t>
      </w:r>
      <w:r>
        <w:rPr/>
        <w:t xml:space="preserve">Je zapotřebí většího přerozdělení finančních prostředků z rozpočtu EU, ze společného dluhu EU? </w:t>
      </w:r>
    </w:p>
    <w:p>
      <w:pPr>
        <w:pStyle w:val="P68B1DB1Normal76"/>
        <w:widowControl w:val="false"/>
        <w:spacing w:lineRule="exact" w:line="379"/>
        <w:ind w:left="720" w:right="0" w:hanging="0"/>
        <w:jc w:val="left"/>
        <w:rPr/>
      </w:pPr>
      <w:r>
        <w:rPr>
          <w:b/>
        </w:rPr>
        <w:t xml:space="preserve">2.2. </w:t>
      </w:r>
      <w:r>
        <w:rPr/>
        <w:t>Měly by být sociální normy regulovány na úrovni EU?</w:t>
      </w:r>
      <w:r>
        <w:rPr>
          <w:b/>
        </w:rPr>
        <w:t xml:space="preserve"> </w:t>
      </w:r>
    </w:p>
    <w:p>
      <w:pPr>
        <w:pStyle w:val="P68B1DB1Normal76"/>
        <w:widowControl w:val="false"/>
        <w:spacing w:lineRule="exact" w:line="379"/>
        <w:ind w:left="720" w:right="0" w:hanging="0"/>
        <w:jc w:val="left"/>
        <w:rPr/>
      </w:pPr>
      <w:r>
        <w:rPr>
          <w:b/>
        </w:rPr>
        <w:t>2.3.</w:t>
      </w:r>
      <w:r>
        <w:rPr/>
        <w:t xml:space="preserve"> Jak posílit hospodářství EU? </w:t>
      </w:r>
    </w:p>
    <w:p>
      <w:pPr>
        <w:pStyle w:val="P68B1DB1Normal76"/>
        <w:widowControl w:val="false"/>
        <w:spacing w:lineRule="auto" w:line="240"/>
        <w:ind w:left="0" w:right="0" w:hanging="0"/>
        <w:jc w:val="both"/>
        <w:rPr/>
      </w:pPr>
      <w:r>
        <w:rPr/>
        <w:t xml:space="preserve">Na konci zasedání musela každá skupina formulovat hlavní závěry diskuse, učinit zásadní prohlášení nebo konkrétní návrhy týkající se politických otázek EU. Během diskuse s celým panelem představil zástupce každé skupiny tato zjištění ostatním účastníkům. Ti, kteří byli v jiných skupinách, byli schopni klást otázky a doplňovat návrhy svými myšlenkami. Po prezentacích a rozpravách občané hlasovali o dvou z těchto závěrů, přičemž hlasovali pro nejdůležitější návrh nebo prohlášení o úloze Litvy při posilování EU a úspěchu EU i v celé Evropě; a další hlasování o prohlášení nebo návrhu se zdají být nejdůležitější z hlediska své osobnosti, v jejich zájmu jako obyvatel EU. Po tomto hlasování se v panelu uskutečnila rozprava a diskutovalo se o hlavních myšlenkách, které z diskusí vyplynuly. </w:t>
      </w:r>
    </w:p>
    <w:p>
      <w:pPr>
        <w:pStyle w:val="P68B1DB1Normal76"/>
        <w:widowControl w:val="false"/>
        <w:spacing w:lineRule="auto" w:line="240"/>
        <w:ind w:left="0" w:right="0" w:hanging="0"/>
        <w:jc w:val="both"/>
        <w:rPr/>
      </w:pPr>
      <w:r>
        <w:rPr/>
        <w:t xml:space="preserve">V týdnu následujícím po akci odborníci zkoumali obsah diskusí a odhalili podstatu myšlenek navržených občany. Dne 25. ledna se uskutečnilo virtuální souhrnné zasedání a s občany byla sdílena doporučení z obsahu jejich diskusí. Občané dostali příležitost říci, zda doporučení schválili, doplnit je o věcnou látku a vyhodnotit je. Všichni účastníci měli tuto příležitost opět týden po souhrnném zasedání a zaslali své názory a připomínky organizátorům panelu písemně. </w:t>
      </w:r>
    </w:p>
    <w:p>
      <w:pPr>
        <w:pStyle w:val="P68B1DB1Normal97"/>
        <w:widowControl w:val="false"/>
        <w:spacing w:lineRule="auto" w:line="240"/>
        <w:ind w:left="0" w:right="0" w:hanging="0"/>
        <w:jc w:val="left"/>
        <w:rPr>
          <w:rFonts w:ascii="Garamond" w:hAnsi="Garamond"/>
          <w:color w:val="000000"/>
          <w:sz w:val="22"/>
        </w:rPr>
      </w:pPr>
      <w:r>
        <w:rPr/>
        <w:t xml:space="preserve"> </w:t>
      </w:r>
    </w:p>
    <w:p>
      <w:pPr>
        <w:pStyle w:val="P68B1DB1Normal98"/>
        <w:widowControl w:val="false"/>
        <w:spacing w:lineRule="auto" w:line="240" w:before="82" w:after="0"/>
        <w:ind w:left="0" w:right="0" w:hanging="0"/>
        <w:jc w:val="left"/>
        <w:rPr/>
      </w:pPr>
      <w:r>
        <w:rPr/>
        <w:t xml:space="preserve">2. </w:t>
      </w:r>
      <w:r>
        <w:rPr>
          <w:i/>
        </w:rPr>
        <w:t>Výsledky Národního panelu občanů</w:t>
      </w:r>
      <w:r>
        <w:rPr/>
        <w:t xml:space="preserve"> </w:t>
      </w:r>
    </w:p>
    <w:p>
      <w:pPr>
        <w:pStyle w:val="P68B1DB1Normal76"/>
        <w:widowControl w:val="false"/>
        <w:spacing w:lineRule="auto" w:line="240" w:before="70" w:after="0"/>
        <w:ind w:left="0" w:right="1" w:hanging="0"/>
        <w:jc w:val="both"/>
        <w:rPr/>
      </w:pPr>
      <w:r>
        <w:rPr/>
        <w:t xml:space="preserve">Tato část zprávy ukazuje výsledky panelu občanů s doporučeními účastníků pracovních skupin a jejich postoji k úloze EU v zahraniční politice a hospodářství.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left"/>
        <w:rPr/>
      </w:pPr>
      <w:r>
        <w:rPr>
          <w:b/>
        </w:rPr>
        <w:t>První sezení:</w:t>
      </w:r>
      <w:r>
        <w:rPr/>
        <w:t xml:space="preserve"> </w:t>
      </w:r>
      <w:r>
        <w:rPr>
          <w:b/>
        </w:rPr>
        <w:t>úloha a pravomoci EU v zahraniční politice</w:t>
      </w:r>
    </w:p>
    <w:p>
      <w:pPr>
        <w:pStyle w:val="P68B1DB1Normal99"/>
        <w:widowControl w:val="false"/>
        <w:spacing w:lineRule="auto" w:line="240" w:before="39" w:after="0"/>
        <w:ind w:left="468" w:right="0" w:hanging="0"/>
        <w:jc w:val="left"/>
        <w:rPr/>
      </w:pPr>
      <w:r>
        <w:rPr/>
        <w:t xml:space="preserve">1. Vyzýváme EU, aby vypracovala účinnější politiku vůči Číně. Litva musí být rozhodněji podporována, ale měla by také lépe sladit své postoje s postojem partnerů EU. Abychom zajistili lepší vyváženost zájmů v rámci EU a aby existovala pouze jedna politika vůči Číně a dalším otázkám zahraniční politiky, doporučujeme zvážit možnost zřízení ministra zahraničí EU. </w:t>
      </w:r>
    </w:p>
    <w:p>
      <w:pPr>
        <w:pStyle w:val="P68B1DB1Normal99"/>
        <w:widowControl w:val="false"/>
        <w:spacing w:lineRule="auto" w:line="240" w:before="78" w:after="0"/>
        <w:ind w:left="468" w:right="341" w:hanging="0"/>
        <w:jc w:val="left"/>
        <w:rPr/>
      </w:pPr>
      <w:r>
        <w:rPr/>
        <w:t xml:space="preserve">2. Doporučujeme zařadit na pořad jednání otázku kvót pro migranty na úrovni EU. </w:t>
      </w:r>
    </w:p>
    <w:p>
      <w:pPr>
        <w:pStyle w:val="P68B1DB1Normal99"/>
        <w:widowControl w:val="false"/>
        <w:spacing w:lineRule="auto" w:line="240" w:before="78" w:after="0"/>
        <w:ind w:left="468" w:right="0" w:hanging="0"/>
        <w:jc w:val="left"/>
        <w:rPr/>
      </w:pPr>
      <w:r>
        <w:rPr/>
        <w:t>3. Doporučujeme zřídit na úrovni EU specializovaný výbor pro řešení otázek migrace, který by zajistil rychlejší reakci na migrační krize a právo členských států vysvětlovat a hájit své vnitrostátní zájmy a vypracovat a provádět společné pokyny pro řízení migrace.</w:t>
      </w:r>
    </w:p>
    <w:p>
      <w:pPr>
        <w:pStyle w:val="P68B1DB1Normal99"/>
        <w:widowControl w:val="false"/>
        <w:spacing w:lineRule="auto" w:line="240" w:before="78" w:after="0"/>
        <w:ind w:left="468" w:right="0" w:hanging="0"/>
        <w:jc w:val="left"/>
        <w:rPr/>
      </w:pPr>
      <w:r>
        <w:rPr/>
        <w:t xml:space="preserve">4. Doporučujeme posílit hospodářské a humanitární vazby se zeměmi severní Afriky, aniž bychom ztratili ze zřetele politickou realitu, zejména s cílem snížit vliv Číny, Ruska a dalších států v regionu. </w:t>
      </w:r>
    </w:p>
    <w:p>
      <w:pPr>
        <w:pStyle w:val="P68B1DB1Normal99"/>
        <w:widowControl w:val="false"/>
        <w:spacing w:lineRule="auto" w:line="240" w:before="78" w:after="0"/>
        <w:ind w:left="468" w:right="466" w:hanging="0"/>
        <w:jc w:val="left"/>
        <w:rPr/>
      </w:pPr>
      <w:r>
        <w:rPr/>
        <w:t xml:space="preserve">5. Doporučujeme posílit vazby s východní Evropou a podpořit hospodářská opatření na osobní úrovni. </w:t>
      </w:r>
    </w:p>
    <w:p>
      <w:pPr>
        <w:pStyle w:val="P68B1DB1Normal99"/>
        <w:widowControl w:val="false"/>
        <w:spacing w:lineRule="auto" w:line="240" w:before="78" w:after="0"/>
        <w:ind w:left="468" w:right="286" w:hanging="0"/>
        <w:jc w:val="left"/>
        <w:rPr/>
      </w:pPr>
      <w:r>
        <w:rPr/>
        <w:t xml:space="preserve">6. Trváme na tom, aby sankce uložené EU zahraničním aktérům byly přísnější, cílenější a týkaly se důležitých osobností sankcionovaného státu (např. politických vůdců). </w:t>
      </w:r>
    </w:p>
    <w:p>
      <w:pPr>
        <w:pStyle w:val="P68B1DB1Normal99"/>
        <w:widowControl w:val="false"/>
        <w:spacing w:lineRule="auto" w:line="240" w:before="78" w:after="0"/>
        <w:ind w:left="466" w:right="295" w:hanging="0"/>
        <w:jc w:val="left"/>
        <w:rPr/>
      </w:pPr>
      <w:r>
        <w:rPr/>
        <w:t>7. Trváme na tom, že společná zahraniční a bezpečnostní politika EU je založena na základní zásadě solidarity mezi různými členskými státy EU a různými evropskými regiony a společnostmi.</w:t>
      </w:r>
    </w:p>
    <w:p>
      <w:pPr>
        <w:pStyle w:val="P68B1DB1Normal99"/>
        <w:widowControl w:val="false"/>
        <w:spacing w:lineRule="auto" w:line="240" w:before="78" w:after="0"/>
        <w:ind w:left="466" w:right="295" w:hanging="0"/>
        <w:jc w:val="left"/>
        <w:rPr/>
      </w:pPr>
      <w:r>
        <w:rPr/>
        <w:t xml:space="preserve">8. Doporučujeme, aby EU dosud přezkoumala politiku otevřenosti v oblasti migrace, která způsobuje bezpečnostní problémy, nárůst kriminality a zakládání společenství ve společnosti. </w:t>
      </w:r>
    </w:p>
    <w:p>
      <w:pPr>
        <w:pStyle w:val="P68B1DB1Normal99"/>
        <w:widowControl w:val="false"/>
        <w:spacing w:lineRule="auto" w:line="240" w:before="78" w:after="0"/>
        <w:ind w:left="468" w:right="0" w:hanging="0"/>
        <w:jc w:val="left"/>
        <w:rPr/>
      </w:pPr>
      <w:r>
        <w:rPr/>
        <w:t xml:space="preserve">9. Vyzýváme Litvu, aby aktivněji hovořila o otázkách migrační politiky a zahájila diskuse o otázkách souvisejících s migrací. </w:t>
      </w:r>
    </w:p>
    <w:p>
      <w:pPr>
        <w:pStyle w:val="P68B1DB1Normal99"/>
        <w:widowControl w:val="false"/>
        <w:spacing w:lineRule="auto" w:line="240" w:before="78" w:after="0"/>
        <w:ind w:left="468" w:right="0" w:hanging="0"/>
        <w:jc w:val="left"/>
        <w:rPr>
          <w:rFonts w:ascii="Arial" w:hAnsi="Arial"/>
          <w:color w:val="000000"/>
          <w:sz w:val="20"/>
        </w:rPr>
      </w:pPr>
      <w:r>
        <w:rPr/>
        <w:t xml:space="preserve">10. Doporučujeme, aby EU uplatňovala aktivní a přísnou politiku vůči státům, které používají migrační toky jako zbraň při hybridních útocích: na jedné straně uplatňováním přísnějších sankcí a na straně druhé dialogem s nimi za účelem zmírnění napětí. </w:t>
      </w:r>
    </w:p>
    <w:p>
      <w:pPr>
        <w:pStyle w:val="P68B1DB1Normal100"/>
        <w:widowControl w:val="false"/>
        <w:spacing w:lineRule="auto" w:line="240" w:before="111" w:after="0"/>
        <w:ind w:left="0" w:right="0" w:hanging="0"/>
        <w:jc w:val="left"/>
        <w:rPr>
          <w:rFonts w:ascii="Arial" w:hAnsi="Arial"/>
          <w:b/>
          <w:b/>
          <w:i/>
          <w:i/>
          <w:color w:val="000000"/>
          <w:sz w:val="22"/>
        </w:rPr>
      </w:pPr>
      <w:r>
        <w:rPr/>
        <w:t xml:space="preserve"> </w:t>
      </w:r>
    </w:p>
    <w:p>
      <w:pPr>
        <w:pStyle w:val="P68B1DB1Normal100"/>
        <w:widowControl w:val="false"/>
        <w:spacing w:lineRule="auto" w:line="240"/>
        <w:ind w:left="0" w:right="0" w:hanging="0"/>
        <w:jc w:val="left"/>
        <w:rPr>
          <w:rFonts w:ascii="Arial" w:hAnsi="Arial"/>
          <w:b/>
          <w:b/>
          <w:i/>
          <w:i/>
          <w:color w:val="000000"/>
          <w:sz w:val="22"/>
        </w:rPr>
      </w:pPr>
      <w:r>
        <w:rPr/>
        <w:t xml:space="preserve">Druhé zasedání: hospodářská úloha EU </w:t>
      </w:r>
    </w:p>
    <w:p>
      <w:pPr>
        <w:pStyle w:val="P68B1DB1Normal99"/>
        <w:widowControl w:val="false"/>
        <w:spacing w:lineRule="auto" w:line="240"/>
        <w:ind w:left="828" w:right="142" w:hanging="359"/>
        <w:jc w:val="both"/>
        <w:rPr/>
      </w:pPr>
      <w:r>
        <w:rPr/>
        <w:t xml:space="preserve">1. Doporučujeme, aby EU posílila bezpečnost dodávek základního zboží různými prostředky: upřednostňovat vnitřní obchod EU, podporovat výrobu vyspělých technologií a dále diverzifikovat zdroje dovozu. Doporučujeme také prozkoumat nové exportní trhy. </w:t>
      </w:r>
    </w:p>
    <w:p>
      <w:pPr>
        <w:pStyle w:val="P68B1DB1Normal99"/>
        <w:widowControl w:val="false"/>
        <w:spacing w:lineRule="auto" w:line="240" w:before="83" w:after="0"/>
        <w:ind w:left="828" w:right="143" w:hanging="359"/>
        <w:jc w:val="both"/>
        <w:rPr/>
      </w:pPr>
      <w:r>
        <w:rPr/>
        <w:t xml:space="preserve">2. Doporučujeme přezkoumat postupy vyjednávání smluv na zemní plyn s ohledem na krátkodobé i dlouhodobé smlouvy. Doporučujeme další diverzifikaci zdrojů dodávek energie. </w:t>
      </w:r>
    </w:p>
    <w:p>
      <w:pPr>
        <w:pStyle w:val="P68B1DB1Normal99"/>
        <w:widowControl w:val="false"/>
        <w:spacing w:lineRule="auto" w:line="240" w:before="83" w:after="0"/>
        <w:ind w:left="828" w:right="143" w:hanging="359"/>
        <w:jc w:val="both"/>
        <w:rPr/>
      </w:pPr>
      <w:r>
        <w:rPr/>
        <w:t xml:space="preserve">3. Doporučujeme posoudit opatření Zelené dohody a jejich provádění s přihlédnutím k potenciálním negativním socioekonomickým dopadům. Za účelem realizace cílů Zelené dohody doporučujeme, aby se kromě využívání obnovitelných zdrojů energie využívala jaderná energie a zemní plyn. </w:t>
      </w:r>
    </w:p>
    <w:p>
      <w:pPr>
        <w:pStyle w:val="P68B1DB1Normal99"/>
        <w:widowControl w:val="false"/>
        <w:spacing w:lineRule="auto" w:line="240" w:before="83" w:after="0"/>
        <w:ind w:left="828" w:right="143" w:hanging="359"/>
        <w:jc w:val="both"/>
        <w:rPr/>
      </w:pPr>
      <w:r>
        <w:rPr/>
        <w:t xml:space="preserve">4. Zdůrazňujeme, že je obzvláště důležité, aby všechny členské státy dodržovaly zásadu přednosti práva EU. Žádáme například, aby Litva k této otázce zaujala jasný principiální postoj. </w:t>
      </w:r>
    </w:p>
    <w:p>
      <w:pPr>
        <w:pStyle w:val="P68B1DB1Normal99"/>
        <w:widowControl w:val="false"/>
        <w:spacing w:lineRule="auto" w:line="240" w:before="83" w:after="0"/>
        <w:ind w:left="828" w:right="142" w:hanging="359"/>
        <w:jc w:val="both"/>
        <w:rPr/>
      </w:pPr>
      <w:r>
        <w:rPr/>
        <w:t>5. Doporučujeme, aby Litva aktivněji využívala osvědčené postupy ze zemí EU s cílem dosáhnout vyšších sociálních standardů, hospodářského rozvoje a vyváženého a udržitelného rozvoje.</w:t>
      </w:r>
    </w:p>
    <w:p>
      <w:pPr>
        <w:pStyle w:val="P68B1DB1Normal99"/>
        <w:widowControl w:val="false"/>
        <w:spacing w:lineRule="auto" w:line="240" w:before="83" w:after="0"/>
        <w:ind w:left="828" w:right="142" w:hanging="359"/>
        <w:jc w:val="both"/>
        <w:rPr/>
      </w:pPr>
      <w:r>
        <w:rPr/>
        <w:t xml:space="preserve">6. Doporučujeme věnovat větší pozornost posílení kybernetické bezpečnosti, jakož i ochraně údajů a infrastruktury. </w:t>
      </w:r>
    </w:p>
    <w:p>
      <w:pPr>
        <w:pStyle w:val="P68B1DB1Normal99"/>
        <w:widowControl w:val="false"/>
        <w:spacing w:lineRule="auto" w:line="240" w:before="83" w:after="0"/>
        <w:ind w:left="821" w:right="143" w:hanging="354"/>
        <w:jc w:val="both"/>
        <w:rPr/>
      </w:pPr>
      <w:r>
        <w:rPr/>
        <w:t xml:space="preserve">7. Doporučujeme, aby EU a členské státy upřednostňovaly rozvoj základních ekonomických znalostí mezi občany, vzdělávání a šíření informací. </w:t>
      </w:r>
    </w:p>
    <w:p>
      <w:pPr>
        <w:pStyle w:val="P68B1DB1Normal99"/>
        <w:widowControl w:val="false"/>
        <w:spacing w:lineRule="auto" w:line="240" w:before="45" w:after="0"/>
        <w:ind w:left="821" w:right="143" w:hanging="354"/>
        <w:jc w:val="both"/>
        <w:rPr/>
      </w:pPr>
      <w:r>
        <w:rPr/>
        <w:t xml:space="preserve">8. Doporučujeme, aby nové obchodní dohody EU obsahovaly ambiciózní sociální, pracovní a zdravotní normy. Na úrovni EU doporučujeme vytvořit na úrovni EU pokyny týkající se toho, co dělat a nemají právo dělat platformy sociálních médií, které spravují osobní údaje spotřebitelů a informace o nich. </w:t>
      </w:r>
    </w:p>
    <w:p>
      <w:pPr>
        <w:pStyle w:val="P68B1DB1Normal99"/>
        <w:widowControl w:val="false"/>
        <w:spacing w:lineRule="auto" w:line="240" w:before="42" w:after="0"/>
        <w:ind w:left="821" w:right="143" w:hanging="354"/>
        <w:jc w:val="both"/>
        <w:rPr/>
      </w:pPr>
      <w:r>
        <w:rPr/>
        <w:t>9. Doporučujeme se dále zamyslet nad možností společných půjček na úrovni EU s cílem získat co nejlepší výpůjční podmínky. Rovněž doporučujeme vypracovat finančně spolehlivou a odpovědnou politiku s cílem snížit potřebu zadluženosti členských států.</w:t>
      </w:r>
    </w:p>
    <w:p>
      <w:pPr>
        <w:pStyle w:val="P68B1DB1Normal99"/>
        <w:widowControl w:val="false"/>
        <w:spacing w:lineRule="auto" w:line="240" w:before="42" w:after="0"/>
        <w:ind w:left="821" w:right="143" w:hanging="354"/>
        <w:jc w:val="both"/>
        <w:rPr/>
      </w:pPr>
      <w:r>
        <w:rPr/>
        <w:t>10. Doporučujeme posílit monitorování čerpání a využívání finančních prostředků EU a pomoci místním orgánům zavést skutečnou praxi úpravy využívání finančních prostředků. Vzhledem k tomu, že se může změnit objektivní situace příjemců finančních prostředků EU, je obzvláště důležité skloubit požadavky na transparentnost a flexibilitu.</w:t>
      </w:r>
    </w:p>
    <w:p>
      <w:pPr>
        <w:pStyle w:val="P68B1DB1Normal99"/>
        <w:widowControl w:val="false"/>
        <w:spacing w:lineRule="auto" w:line="240" w:before="42" w:after="0"/>
        <w:ind w:left="821" w:right="143" w:hanging="354"/>
        <w:jc w:val="both"/>
        <w:rPr/>
      </w:pPr>
      <w:r>
        <w:rPr/>
        <w:t xml:space="preserve">11. Doporučujeme Litvě i nadále aktivně podporovat hospodářský rozvoj a investice v regionech země. </w:t>
      </w:r>
    </w:p>
    <w:p>
      <w:pPr>
        <w:pStyle w:val="P68B1DB1Normal35"/>
        <w:widowControl w:val="false"/>
        <w:spacing w:lineRule="auto" w:line="240" w:before="62" w:after="0"/>
        <w:ind w:left="0" w:right="0" w:hanging="0"/>
        <w:jc w:val="left"/>
        <w:rPr>
          <w:rFonts w:ascii="Arial" w:hAnsi="Arial"/>
          <w:b/>
          <w:b/>
          <w:color w:val="000000"/>
          <w:sz w:val="22"/>
        </w:rPr>
      </w:pPr>
      <w:r>
        <w:rPr/>
        <w:t xml:space="preserve"> </w:t>
      </w:r>
    </w:p>
    <w:p>
      <w:pPr>
        <w:pStyle w:val="P68B1DB1Normal96"/>
        <w:widowControl w:val="false"/>
        <w:spacing w:lineRule="auto" w:line="240" w:before="16" w:after="0"/>
        <w:ind w:left="720" w:right="0" w:hanging="0"/>
        <w:jc w:val="left"/>
        <w:rPr/>
      </w:pPr>
      <w:r>
        <w:rPr/>
        <w:t xml:space="preserve">3. Diskuse v rámci Národního panelu občanů a analýza výsledků </w:t>
      </w:r>
    </w:p>
    <w:p>
      <w:pPr>
        <w:pStyle w:val="P68B1DB1Normal76"/>
        <w:widowControl w:val="false"/>
        <w:spacing w:lineRule="auto" w:line="240" w:before="46" w:after="0"/>
        <w:ind w:left="0" w:right="29" w:hanging="0"/>
        <w:jc w:val="both"/>
        <w:rPr/>
      </w:pPr>
      <w:r>
        <w:rPr/>
        <w:t xml:space="preserve">Účastníci Národního panelu občanů diskutovali o nejdůležitějších aktuálních otázkách týkajících se Litvy (většinou diskutovaných na vnitrostátní úrovni na politické a mediální aréně) a o tom, jak je řešit. Obecné hlasování o hlavních závěrech panelu ukázalo, že téměř 45 % všech odevzdaných hlasů během těchto dvou zasedání bylo věnováno návrhům na dvě témata: vztahy s Čínou a kontrola migračních toků (viz tabulka níže). Téma energetické politiky si také získalo velkou pozornost. Byl předmětem pouze jednoho návrhu, ale získal hlasy téměř 10 % účastníků. Výsledek těchto hlasování naznačuje, že vnímání budoucnosti Evropy ze strany občanů by mohlo být rozhodující pro dnešní politické otázky a zprávy (na vnitrostátní úrovni). </w:t>
      </w:r>
    </w:p>
    <w:p>
      <w:pPr>
        <w:pStyle w:val="P68B1DB1Normal76"/>
        <w:widowControl w:val="false"/>
        <w:spacing w:lineRule="auto" w:line="240"/>
        <w:ind w:left="0" w:right="0" w:hanging="0"/>
        <w:jc w:val="left"/>
        <w:rPr>
          <w:rFonts w:ascii="Arial" w:hAnsi="Arial"/>
          <w:color w:val="000000"/>
          <w:sz w:val="22"/>
        </w:rPr>
      </w:pPr>
      <w:r>
        <w:rPr/>
        <w:t xml:space="preserve">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75"/>
        <w:gridCol w:w="7779"/>
        <w:gridCol w:w="374"/>
        <w:gridCol w:w="1310"/>
      </w:tblGrid>
      <w:tr>
        <w:trPr>
          <w:trHeight w:val="23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1"/>
              <w:spacing w:before="57" w:after="57"/>
              <w:jc w:val="left"/>
              <w:rPr>
                <w:rFonts w:ascii="Garamond" w:hAnsi="Garamond"/>
                <w:b/>
                <w:b/>
                <w:color w:val="000000"/>
              </w:rPr>
            </w:pPr>
            <w:r>
              <w:rPr/>
              <w:t>Doporučení</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1"/>
              <w:spacing w:before="57" w:after="57"/>
              <w:jc w:val="left"/>
              <w:rPr>
                <w:rFonts w:ascii="Garamond" w:hAnsi="Garamond"/>
                <w:b/>
                <w:b/>
                <w:color w:val="000000"/>
              </w:rPr>
            </w:pPr>
            <w:r>
              <w:rPr/>
              <w:t>Hlasujte</w:t>
            </w:r>
          </w:p>
        </w:tc>
      </w:tr>
      <w:tr>
        <w:trPr>
          <w:trHeight w:val="251" w:hRule="atLeast"/>
        </w:trPr>
        <w:tc>
          <w:tcPr>
            <w:tcW w:w="175" w:type="dxa"/>
            <w:tcBorders>
              <w:top w:val="single" w:sz="2" w:space="0" w:color="000001"/>
              <w:left w:val="single" w:sz="2" w:space="0" w:color="000001"/>
              <w:bottom w:val="single" w:sz="2" w:space="0" w:color="000001"/>
              <w:insideH w:val="single" w:sz="2" w:space="0" w:color="000001"/>
            </w:tcBorders>
            <w:shd w:fill="C0C0C0" w:val="clear"/>
            <w:tcMar>
              <w:right w:w="0" w:type="dxa"/>
            </w:tcMar>
            <w:vAlign w:val="center"/>
          </w:tcPr>
          <w:p>
            <w:pPr>
              <w:pStyle w:val="Contenudetableau"/>
              <w:spacing w:before="57" w:after="57"/>
              <w:rPr>
                <w:color w:val="000000"/>
              </w:rPr>
            </w:pPr>
            <w:r>
              <w:rPr>
                <w:color w:val="000000"/>
              </w:rPr>
            </w:r>
          </w:p>
        </w:tc>
        <w:tc>
          <w:tcPr>
            <w:tcW w:w="8153" w:type="dxa"/>
            <w:gridSpan w:val="2"/>
            <w:tcBorders>
              <w:top w:val="single" w:sz="2" w:space="0" w:color="000001"/>
              <w:bottom w:val="single" w:sz="2" w:space="0" w:color="000001"/>
              <w:insideH w:val="single" w:sz="2" w:space="0" w:color="000001"/>
            </w:tcBorders>
            <w:shd w:fill="C0C0C0" w:val="clear"/>
            <w:tcMar>
              <w:left w:w="0" w:type="dxa"/>
              <w:right w:w="0" w:type="dxa"/>
            </w:tcMar>
            <w:vAlign w:val="center"/>
          </w:tcPr>
          <w:p>
            <w:pPr>
              <w:pStyle w:val="P68B1DB1Contenudetableau101"/>
              <w:spacing w:before="57" w:after="57"/>
              <w:jc w:val="left"/>
              <w:rPr>
                <w:rFonts w:ascii="Garamond" w:hAnsi="Garamond"/>
                <w:b/>
                <w:b/>
                <w:color w:val="000000"/>
              </w:rPr>
            </w:pPr>
            <w:r>
              <w:rPr/>
              <w:t>První sezení: úloha a pravomoci EU v zahraniční politice</w:t>
            </w:r>
          </w:p>
        </w:tc>
        <w:tc>
          <w:tcPr>
            <w:tcW w:w="1310" w:type="dxa"/>
            <w:tcBorders>
              <w:top w:val="single" w:sz="2" w:space="0" w:color="000001"/>
              <w:bottom w:val="single" w:sz="2" w:space="0" w:color="000001"/>
              <w:right w:val="single" w:sz="2" w:space="0" w:color="000001"/>
              <w:insideH w:val="single" w:sz="2" w:space="0" w:color="000001"/>
              <w:insideV w:val="single" w:sz="2" w:space="0" w:color="000001"/>
            </w:tcBorders>
            <w:shd w:fill="C0C0C0" w:val="clear"/>
            <w:tcMar>
              <w:left w:w="0" w:type="dxa"/>
            </w:tcMar>
            <w:vAlign w:val="center"/>
          </w:tcPr>
          <w:p>
            <w:pPr>
              <w:pStyle w:val="Contenudetableau"/>
              <w:spacing w:before="57" w:after="57"/>
              <w:rPr>
                <w:color w:val="000000"/>
              </w:rPr>
            </w:pPr>
            <w:r>
              <w:rPr>
                <w:color w:val="000000"/>
              </w:rPr>
            </w:r>
          </w:p>
        </w:tc>
      </w:tr>
      <w:tr>
        <w:trPr>
          <w:trHeight w:val="154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1. Vyzýváme EU, aby vypracovala účinnější politiku vůči Číně. Současná podpora Litvy není dostatečná, ale Litva rovněž dostatečně nereagovala svůj postoj s postojem partnerů EU. Abychom zajistili lepší vyváženost zájmů v rámci EU a aby existovala pouze jedna politika vůči Číně a dalším otázkám zahraniční politiky, doporučujeme zvážit možnost zřízení ministra zahraničí EU.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11 (22,9 %) důležité pro celou Evropu: 8; v osobním postavení: 3</w:t>
            </w:r>
          </w:p>
        </w:tc>
      </w:tr>
      <w:tr>
        <w:trPr>
          <w:trHeight w:val="79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2. Doporučujeme zařadit na pořad jednání otázku kvót pro migranty na úrovni EU.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9 (18,8 %) důležitých pro celou Evropu: 9 </w:t>
            </w:r>
          </w:p>
        </w:tc>
      </w:tr>
      <w:tr>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right w:w="0" w:type="dxa"/>
            </w:tcMar>
            <w:vAlign w:val="center"/>
          </w:tcPr>
          <w:p>
            <w:pPr>
              <w:pStyle w:val="P68B1DB1Contenudetableau102"/>
              <w:spacing w:before="57" w:after="57"/>
              <w:jc w:val="left"/>
              <w:rPr>
                <w:rFonts w:ascii="Garamond" w:hAnsi="Garamond"/>
                <w:color w:val="000000"/>
              </w:rPr>
            </w:pPr>
            <w:r>
              <w:rPr/>
              <w:t xml:space="preserve">3. Doporučujeme zřídit na úrovni EU specializovaný výbor pro řešení otázek migrace, který by zajistil rychlejší reakci na migrační krize a právo členských států vysvětlovat a hájit své vnitrostátní zájmy a vypracovat a provádět společné pokyny pro řízení migrace.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7 (14,6 %) důležité pro celou Evropu: 3; v osobním postavení: 4 </w:t>
            </w:r>
          </w:p>
        </w:tc>
      </w:tr>
      <w:tr>
        <w:trPr>
          <w:trHeight w:val="80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4. Doporučujeme posílit hospodářské a humanitární vazby se zeměmi severní Afriky, aniž bychom ztratili ze zřetele politickou realitu, zejména s cílem snížit vliv Číny, Ruska a dalších států v regionu.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6 (12,5 %) důležité z hlediska osobní způsobilosti: 6</w:t>
            </w:r>
          </w:p>
        </w:tc>
      </w:tr>
      <w:tr>
        <w:trPr>
          <w:trHeight w:val="79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5. Doporučujeme posílit vazby s východní Evropou a uplatňovat ekonomická opatření na úrovni lidí.</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5 (10,4 %) osobně důležité: 5</w:t>
            </w:r>
          </w:p>
        </w:tc>
      </w:tr>
      <w:tr>
        <w:trPr>
          <w:trHeight w:val="251" w:hRule="atLeast"/>
        </w:trPr>
        <w:tc>
          <w:tcPr>
            <w:tcW w:w="175" w:type="dxa"/>
            <w:tcBorders>
              <w:top w:val="single" w:sz="2" w:space="0" w:color="000001"/>
              <w:left w:val="single" w:sz="2" w:space="0" w:color="000001"/>
              <w:bottom w:val="single" w:sz="2" w:space="0" w:color="000001"/>
              <w:insideH w:val="single" w:sz="2" w:space="0" w:color="000001"/>
            </w:tcBorders>
            <w:shd w:fill="C0C0C0" w:val="clear"/>
            <w:tcMar>
              <w:right w:w="0" w:type="dxa"/>
            </w:tcMar>
            <w:vAlign w:val="center"/>
          </w:tcPr>
          <w:p>
            <w:pPr>
              <w:pStyle w:val="Contenudetableau"/>
              <w:spacing w:before="57" w:after="57"/>
              <w:rPr>
                <w:color w:val="000000"/>
              </w:rPr>
            </w:pPr>
            <w:r>
              <w:rPr>
                <w:color w:val="000000"/>
              </w:rPr>
            </w:r>
          </w:p>
        </w:tc>
        <w:tc>
          <w:tcPr>
            <w:tcW w:w="8153" w:type="dxa"/>
            <w:gridSpan w:val="2"/>
            <w:tcBorders>
              <w:top w:val="single" w:sz="2" w:space="0" w:color="000001"/>
              <w:bottom w:val="single" w:sz="2" w:space="0" w:color="000001"/>
              <w:insideH w:val="single" w:sz="2" w:space="0" w:color="000001"/>
            </w:tcBorders>
            <w:shd w:fill="C0C0C0" w:val="clear"/>
            <w:tcMar>
              <w:left w:w="0" w:type="dxa"/>
              <w:right w:w="0" w:type="dxa"/>
            </w:tcMar>
            <w:vAlign w:val="center"/>
          </w:tcPr>
          <w:p>
            <w:pPr>
              <w:pStyle w:val="P68B1DB1Contenudetableau101"/>
              <w:spacing w:before="57" w:after="57"/>
              <w:jc w:val="left"/>
              <w:rPr>
                <w:rFonts w:ascii="Garamond" w:hAnsi="Garamond"/>
                <w:b/>
                <w:b/>
                <w:color w:val="000000"/>
              </w:rPr>
            </w:pPr>
            <w:r>
              <w:rPr/>
              <w:t xml:space="preserve">Druhé zasedání: hospodářská úloha EU </w:t>
            </w:r>
          </w:p>
        </w:tc>
        <w:tc>
          <w:tcPr>
            <w:tcW w:w="1310" w:type="dxa"/>
            <w:tcBorders>
              <w:top w:val="single" w:sz="2" w:space="0" w:color="000001"/>
              <w:bottom w:val="single" w:sz="2" w:space="0" w:color="000001"/>
              <w:right w:val="single" w:sz="2" w:space="0" w:color="000001"/>
              <w:insideH w:val="single" w:sz="2" w:space="0" w:color="000001"/>
              <w:insideV w:val="single" w:sz="2" w:space="0" w:color="000001"/>
            </w:tcBorders>
            <w:shd w:fill="C0C0C0" w:val="clear"/>
            <w:tcMar>
              <w:left w:w="0" w:type="dxa"/>
            </w:tcMar>
            <w:vAlign w:val="center"/>
          </w:tcPr>
          <w:p>
            <w:pPr>
              <w:pStyle w:val="Contenudetableau"/>
              <w:spacing w:before="57" w:after="57"/>
              <w:rPr>
                <w:color w:val="000000"/>
              </w:rPr>
            </w:pPr>
            <w:r>
              <w:rPr>
                <w:color w:val="000000"/>
              </w:rPr>
            </w:r>
          </w:p>
        </w:tc>
      </w:tr>
      <w:tr>
        <w:trPr>
          <w:trHeight w:val="127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1. Doporučujeme, aby EU podnikla různé kroky ke zvýšení bezpečnosti dodávek základního zboží: upřednostňování obchodu uvnitř EU, podpora výroby pokročilých technologií v rámci EU a další diverzifikace zdrojů dovozu. Doporučujeme také prozkoumat nové exportní trhy.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9 (19,6 %) důležitých pro celou Evropu: 3; osobně: 6 </w:t>
            </w:r>
          </w:p>
        </w:tc>
      </w:tr>
      <w:tr>
        <w:trPr>
          <w:trHeight w:val="91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2. Doporučujeme přezkoumat postupy vyjednávání smluv na zemní plyn s ohledem na krátkodobé i dlouhodobé smlouvy. Doporučujeme další diverzifikaci zdrojů dodávek energie.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9 (19,6 %) důležitých pro celou Evropu: 9</w:t>
            </w:r>
          </w:p>
        </w:tc>
      </w:tr>
      <w:tr>
        <w:trPr>
          <w:trHeight w:val="112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3. Doporučujeme posoudit opatření Zelené dohody a jejich provádění s přihlédnutím k potenciálním negativním socioekonomickým dopadům. Za účelem realizace cílů Zelené dohody doporučujeme, aby se kromě využívání obnovitelných zdrojů energie využívala jaderná energie a zemní plyn.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6 (13 %) důležitých z hlediska osobní způsobilosti: 6</w:t>
            </w:r>
          </w:p>
        </w:tc>
      </w:tr>
      <w:tr>
        <w:trPr>
          <w:trHeight w:val="101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4. Zdůrazňujeme, že je důležité, aby všechny členské státy dodržovaly zásadu přednosti práva EU. Žádáme například, aby Litva k této otázce zaujala jasný principiální postoj.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4 (8,7 %) důležité pro celou Evropu: 2; v osobním postavení: 2</w:t>
            </w:r>
          </w:p>
        </w:tc>
      </w:tr>
    </w:tbl>
    <w:p>
      <w:pPr>
        <w:pStyle w:val="P68B1DB1Normal97"/>
        <w:spacing w:lineRule="auto" w:line="240"/>
        <w:rPr>
          <w:rFonts w:ascii="Garamond" w:hAnsi="Garamond"/>
          <w:color w:val="000000"/>
          <w:sz w:val="22"/>
        </w:rPr>
      </w:pPr>
      <w:r>
        <w:rPr/>
        <w:t xml:space="preserve"> </w:t>
      </w:r>
    </w:p>
    <w:p>
      <w:pPr>
        <w:pStyle w:val="P68B1DB1Normal76"/>
        <w:widowControl w:val="false"/>
        <w:spacing w:lineRule="auto" w:line="240" w:before="48" w:after="0"/>
        <w:ind w:left="0" w:right="0" w:hanging="0"/>
        <w:jc w:val="both"/>
        <w:rPr/>
      </w:pPr>
      <w:r>
        <w:rPr/>
        <w:t xml:space="preserve">Kromě toho jsou nejdůležitější otázky pro občany, konkrétně vztahy s Čínou, migrace nebo energetika, dočasné: jejich usnesení bude mít zásadní dopad na dlouhodobou budoucnost Evropy. Proto pravděpodobnost, že občané uvažují o budoucnosti, bude upřednostňovat to, co je v současné době důležité, není problematická. Vzhledem k tomu, že budování budoucnosti dnes začíná množstvím malých kroků, je vnímání očekávání občanů v krátkodobém horizontu nezbytnou podmínkou pro zajištění silné dlouhodobé kontroly procesů a řešení problémů. Níže uvedená analýza hlavních výsledků panelu občanů členských států vychází z tohoto pozorování.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spacing w:lineRule="auto" w:line="240"/>
        <w:rPr/>
      </w:pPr>
      <w:r>
        <w:rPr/>
        <w:t>Usnesení, které obdrželo nejvyšší počet hlasů (11 nebo téměř 12 %), je</w:t>
      </w:r>
      <w:r>
        <w:rPr>
          <w:b/>
        </w:rPr>
        <w:t>, že EU potřebuje účinnější politiku vůči Číně</w:t>
      </w:r>
      <w:r>
        <w:rPr/>
        <w:t xml:space="preserve">. Tento obecný závěr se týká několika konkrétnějších prohlášení. Za prvé účastníci zdůraznili, že v této fázi nebyla podpora EU Litvě tváří v tvář hospodářskému tlaku Číny dostatečná. Za druhé, zástupci skupiny, kteří sdělili závěr, zdůraznili, že samotná Litva by měla vyvinout větší úsilí o harmonizaci své politiky vůči Číně s politikou partnerů EU, zejména proto, že je důležité, aby EU jako celek pokračovala v obchodu s Čínou. Zatřetí občané vznesli myšlenku, že koordinace postojů a rozvoj společné politiky týkající se zejména Číny by mohly být účinnější, pokud by byl zřízen ministr zahraničních věcí EU. Osm účastníků uvedlo, že tento závěr je obzvláště důležitý pro celou Evropu, a tři další prohlásili, že je pro ně důležitý z hlediska jejich osobního postavení.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Otázka vztahů s Čínou úzce souvisí se dvěma dalšími návrhy s velkým počtem hlasů občanů. Devět účastníků hlasovalo pro závěr, k němuž dospělo na druhém zasedání, že </w:t>
      </w:r>
      <w:r>
        <w:rPr>
          <w:b/>
        </w:rPr>
        <w:t>EU musí posílit bezpečnost dodávek</w:t>
      </w:r>
      <w:r>
        <w:rPr/>
        <w:t xml:space="preserve"> (tři účastníci uvedli, že to je obzvláště důležité pro celou Evropu, a šest dalších, že je to pro ně osobně). Tento závěr zahrnoval také několik aspektů. Za prvé, občané zdůraznili, že je třeba upřednostnit trhy EU, které se vyznačují spolehlivými dodavateli a výrobky, které splňují náročné normy. Za druhé účastníci zdůraznili, že je třeba podporovat výrobní kapacitu vyspělých technologií v samotné Evropě. Za třetí, občané vyjádřili podporu větší diverzifikaci zdrojů dovozu. Při formulaci těchto doporučení účastníci diskuse důsledně odkazovali na čínský faktor: bezpečnostní hrozby spojené s čínským zbožím, spoléhání se na čínské suroviny potřebné pro výrobu pokročilých technologií, stejně jako čínské postupy kopírování a krádeže technologií od západních společností působících na jejím trhu. Návrh</w:t>
      </w:r>
      <w:r>
        <w:rPr>
          <w:b/>
        </w:rPr>
        <w:t xml:space="preserve"> na rozvoj hospodářské a humanitární spolupráce EU se zeměmi severní Afriky</w:t>
      </w:r>
      <w:r>
        <w:rPr/>
        <w:t xml:space="preserve"> rovněž obdržel šest hlasů (důležitých z osobního hlediska) s odůvodněním, že v tomto regionu je důležité omezit vliv Číny, Ruska a dalších spřátelených států.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Výsledky hlasování rovněž odrážely obavy občanů ohledně otázek migrace. Dvě ze tří nejhlasitějších zjištění v zahraniční politice byly věnovány migraci. Devět účastníků hlasovalo pro návrh, </w:t>
      </w:r>
      <w:r>
        <w:rPr>
          <w:b/>
        </w:rPr>
        <w:t>aby se EU vrátila k vytvoření systému povinných kvót pro přijímání migrantů pro členské státy</w:t>
      </w:r>
      <w:r>
        <w:rPr/>
        <w:t xml:space="preserve"> (všichni zdůraznili, že tento návrh má zvláštní význam pro celou Evropu). Účastníci, kteří tento závěr učinili, vyjádřili podporu tomu, aby vnitrostátní kvóty byly stanoveny podle počtu obyvatel a aby spolufinancování ze strany EU odpovídalo potřebám migrantů v souladu s těmito kvótami. Sedm účastníků stále hlasovalo pro návrh na </w:t>
      </w:r>
      <w:r>
        <w:rPr>
          <w:b/>
        </w:rPr>
        <w:t>zřízení stálé technické komise na úrovni EU, která by se zabývala otázkami migrace, do níž by byli vysláni zástupci členských států</w:t>
      </w:r>
      <w:r>
        <w:rPr/>
        <w:t xml:space="preserve"> (tři účastníci považují tento návrh za zvlášť důležitý pro Evropu jako celek, čtyři z nich považují za důležité, pokud jde o jejich osobní funkci). Účastníci zdůraznili, že takový orgán by mohl EU umožnit rychleji reagovat na migrační krize a zároveň zajistit rovnováhu mezi náležitým dodržováním obecných zásad EU a právem členských států hájit své vnitrostátní zájmy a bezpečnost.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Během diskuse o migrační politice účastníci diskutovali o dvou odlišných krizích v řízení migračních toků: v roce 2016 migrační krize ve Středozemním moři a v roce 2012 Bělorusko hybridní útok na Litvu, Lotyšsko a Polsko, během kterého Minsk používal migranty z toků ze Středního východu a Afriky. Řada účastníků panelu uvedla, že krize v roce 2016 se zdá být vzdálená a irelevantní, a to jak pro Litvu jako celek, tak pro ně osobně, a že návrh na zavedení systému kvót pro migranty se jim nezdá být vhodný. Podle účastníků se díky zkušenostem s hybridním útokem otázka migrace ve východní Evropě přiblížila a přinutila ke kvótám přistupovat jako k přizpůsobenému, účinnému a solidárnímu nástroji migrační politiky. Někteří účastníci poukázali na to, že uprostřed krize v roce 2021 bylo obtížné rozlišovat mezi osobami na území země, uprchlíky, migranty a těmi, kteří představují hrozbu. Všichni účastníci diskuse se shodli na tom, že současná „otevřená“ migrační politika EU dostatečně nezohledňuje hrozby, které představuje migrace, národní zájmy členských států, jejich schopnost integrovat migranty atd. Občané EU rovněž kritizovali za její pomalost nebo nereagování na potřeby Litvy, jakož i její odmítnutí financovat výstavbu zdi na vnějších hranicích.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spacing w:lineRule="auto" w:line="240"/>
        <w:jc w:val="both"/>
        <w:rPr/>
      </w:pPr>
      <w:r>
        <w:rPr/>
        <w:t xml:space="preserve">Stručně řečeno lze říci, že dva prvky nejžhavějších zpráv Litvy v roce 2021 – vztahy s Čínou a řízení migračních toků – povzbuzují litevské občany k tomu, aby požadovali, aby EU více zasahovala a uplatňovala účinnější společnou politiku. Občané jsou znepokojeni čínskou politikou a jejím rostoucím vlivem v Evropě a v sousedství EU. Je třeba uznat, že ekonomický vliv Číny nutí Evropu k hledání vhodných a vyvážených politických opatření. Podle názoru občanů je hlavním řešením posílení nástrojů společné zahraniční politiky EU, průmyslové politiky a spolupráce se sousedy. Podobně se občané domnívali, že jedno opatření na úrovni EU a možný nový systém migračních kvót jsou pravděpodobně nejvhodnějším způsobem, jak se vyhnout bezpečnostním hrozbám, které představuje migrace, jakož i rychlé a účinné kontrole migračních toků do Evropy. Podle názoru panelu by nejlepší reakcí na rostoucí tlaky Číny a na hybridní útok Běloruska by byla důkladná a posílená společná politika EU.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76"/>
        <w:widowControl w:val="false"/>
        <w:spacing w:lineRule="auto" w:line="240"/>
        <w:ind w:left="0" w:right="0" w:hanging="0"/>
        <w:jc w:val="both"/>
        <w:rPr/>
      </w:pPr>
      <w:r>
        <w:rPr/>
        <w:t>Toto stanovisko k projednávaným krizím lze porovnat s návrhy účastníků panelu k otázkám energetiky a klimatu. Na konci roku 2021 se mnoho litevských občanů muselo vypořádat přímo s rostoucími cenami tepla a krize cen energií se rychle ukázala být pro Litvu jednou z nejdůležitějších zpráv. Obavy z cen energií se odrážejí i v hlasování účastníků: devět občanů dokonce hlasovalo pro závěr, že tato otázka je pro celou Evropu nejdůležitější. Hlavním doporučením účastníků bylo</w:t>
      </w:r>
      <w:r>
        <w:rPr>
          <w:b/>
        </w:rPr>
        <w:t xml:space="preserve"> přezkoumat stávající praxi členských států uzavřením smluv o dodávkách energie s různými dodavateli a úsilím o jejich uzavření v krátkodobém i dlouhodobém horizontu.</w:t>
      </w:r>
      <w:r>
        <w:rPr/>
        <w:t xml:space="preserve"> Jinými slovy občané podpořili politiku diverzifikace zdrojů dodávek energie, nepředložili však žádná doporučení týkající se obecných politik EU a nedoporučovali další integraci energetických politik.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Pokud </w:t>
      </w:r>
      <w:r>
        <w:rPr>
          <w:b/>
        </w:rPr>
        <w:t>jde o politiku v oblasti klimatu, občané doporučili posoudit opatření Zelené dohody s přihlédnutím k očekávanému socioekonomickému dopadu a ambicím.</w:t>
      </w:r>
      <w:r>
        <w:rPr/>
        <w:t xml:space="preserve"> Tento návrh získal hlas šesti účastníků, z nichž každý jej považoval za důležité z osobního hlediska. Někteří účastníci vyjádřili znepokojení nad příliš rychlým tempem tzv. „zelené transformace“ a uvedli, že Litva by měla pečlivěji posoudit, zda by taková politika ohrozila zájmy země a jejích občanů. Někteří účastníci také oživili potřebu využívat nejen energii z obnovitelných zdrojů, ale také jadernou energii a zemní plyn. Na podporu této pozice poukázali na rozhodnutí Německa pokračovat v používání zemního plynu, jakož i na potenciál nové generace „modulárních“ jaderných reaktorů. Pokud jde o politiku v oblasti klimatu, panel proto upřednostnil politiky členských států v souladu s vnitrostátními potřebami, nikoli ambiciózní společnou politiku EU v oblasti správy v oblasti klimatu.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76"/>
        <w:widowControl w:val="false"/>
        <w:spacing w:lineRule="auto" w:line="240"/>
        <w:ind w:left="0" w:right="2" w:hanging="0"/>
        <w:jc w:val="both"/>
        <w:rPr/>
      </w:pPr>
      <w:r>
        <w:rPr/>
        <w:t xml:space="preserve">Vzhledem k poměrně malému počtu účastníků poroty a rozdílům v reakcích občanů (více jednoty či větší pružnosti) na různé krize by bylo chybné zvažovat zde souhrnná a široce použitelná opatření. Tato dynamika vyjadřování názorů však může vést k návrhu témat zájmu pro budoucí studie litevských občanů o otázkách integrace EU, v nichž je třeba vzít v úvahu to, co říkají občané o autonomních politikách EU, změnách v institucionálních uspořádáních a rozdílech.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96"/>
        <w:spacing w:lineRule="auto" w:line="240"/>
        <w:jc w:val="both"/>
        <w:rPr>
          <w:rFonts w:ascii="Arial" w:hAnsi="Arial"/>
          <w:i/>
          <w:i/>
          <w:color w:val="404040"/>
          <w:sz w:val="32"/>
        </w:rPr>
      </w:pPr>
      <w:r>
        <w:rPr/>
        <w:t xml:space="preserve">4. Výsledky panelu občanů v širším kontextu veřejného mínění v Litvě </w:t>
      </w:r>
    </w:p>
    <w:p>
      <w:pPr>
        <w:pStyle w:val="Normal"/>
        <w:widowControl w:val="false"/>
        <w:spacing w:lineRule="auto" w:line="240"/>
        <w:ind w:left="0" w:right="1" w:hanging="0"/>
        <w:jc w:val="both"/>
        <w:rPr/>
      </w:pPr>
      <w:r>
        <w:rPr>
          <w:color w:val="000000"/>
        </w:rPr>
        <w:t xml:space="preserve">Za účelem kontextualizace výsledků národního panelu občanů jsou tyto výsledky v poslední části stručně porovnány s výsledky dvou současných průzkumů veřejného mínění, jakož i s průběžnými výsledky dalších přípravných prací na konferenci o budoucnosti Evropy. První část této zprávy se týká průzkumu </w:t>
      </w:r>
      <w:hyperlink r:id="rId113">
        <w:r>
          <w:rPr>
            <w:rStyle w:val="LienInternet"/>
            <w:color w:val="0563C1"/>
          </w:rPr>
          <w:t>Eu</w:t>
        </w:r>
      </w:hyperlink>
      <w:hyperlink r:id="rId114">
        <w:r>
          <w:rPr>
            <w:color w:val="000000"/>
          </w:rPr>
          <w:t xml:space="preserve"> </w:t>
        </w:r>
      </w:hyperlink>
      <w:hyperlink r:id="rId115">
        <w:r>
          <w:rPr>
            <w:rStyle w:val="LienInternet"/>
            <w:color w:val="0563C1"/>
          </w:rPr>
          <w:t>r obarometru</w:t>
        </w:r>
      </w:hyperlink>
      <w:r>
        <w:rPr>
          <w:color w:val="000000"/>
        </w:rPr>
        <w:t xml:space="preserve">, který byl proveden v říjnu a listopadu 2020 na konferenci o budoucnosti Evropy; druhý z nejnovějšího </w:t>
      </w:r>
      <w:hyperlink r:id="rId116">
        <w:r>
          <w:rPr>
            <w:rStyle w:val="LienInternet"/>
            <w:color w:val="0563C1"/>
          </w:rPr>
          <w:t>standardního průzkumu Eurobarometr</w:t>
        </w:r>
      </w:hyperlink>
      <w:r>
        <w:rPr>
          <w:color w:val="000000"/>
        </w:rPr>
        <w:t xml:space="preserve">, který byl proveden v létě 2021. Vzhledem k tomu, že se některé otázky v těchto studiích zaměřily na jiná politická témata a očekávání občanů ohledně samotné konference, níže je provedeno srovnání s otázkami, které byly v panelu skutečně řešeny. Posouzení výsledků přípravných prací na konferenci o budoucnosti Evropy vycházelo z předběžné zprávy této práce vypracované výborem RESC, která obsahovala prohlášení občanů, kteří se podíleli na práci na různých politických otázkách EU.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Výsledky průzkumů Eurobarometru naznačují, že diskuse a hlasování účastníků panelu občanů poměrně dobře odrážejí převládající názory litevské společnosti. Doporučení účastníků panelu posílit společnou zahraniční a migrační politiku účastí na rozhodnutích na úrovni EU odpovídají závěrům širších průzkumů veřejného mínění: </w:t>
      </w:r>
    </w:p>
    <w:p>
      <w:pPr>
        <w:pStyle w:val="P68B1DB1Normal76"/>
        <w:widowControl w:val="false"/>
        <w:spacing w:lineRule="auto" w:line="240"/>
        <w:ind w:left="361" w:right="1" w:hanging="0"/>
        <w:jc w:val="left"/>
        <w:rPr/>
      </w:pPr>
      <w:r>
        <w:rPr>
          <w:rFonts w:ascii="Garamond" w:hAnsi="Garamond"/>
        </w:rPr>
        <w:t>—</w:t>
      </w:r>
      <w:r>
        <w:rPr/>
        <w:t xml:space="preserve"> </w:t>
      </w:r>
      <w:r>
        <w:rPr/>
        <w:t xml:space="preserve">Litevští občané podporují společnou obrannou politiku EU více než průměr EU (90 % oproti 78 %); </w:t>
      </w:r>
    </w:p>
    <w:p>
      <w:pPr>
        <w:pStyle w:val="P68B1DB1Normal76"/>
        <w:widowControl w:val="false"/>
        <w:spacing w:lineRule="auto" w:line="240"/>
        <w:ind w:left="361" w:right="3" w:hanging="0"/>
        <w:jc w:val="left"/>
        <w:rPr/>
      </w:pPr>
      <w:r>
        <w:rPr>
          <w:rFonts w:ascii="Garamond" w:hAnsi="Garamond"/>
        </w:rPr>
        <w:t>—</w:t>
      </w:r>
      <w:r>
        <w:rPr/>
        <w:t xml:space="preserve"> </w:t>
      </w:r>
      <w:r>
        <w:rPr/>
        <w:t xml:space="preserve">Litevští občané podporují společnou migrační politiku EU více než průměr EU (76 % oproti 71 %; tento rozdíl je v rozpětí chyb); </w:t>
      </w:r>
    </w:p>
    <w:p>
      <w:pPr>
        <w:pStyle w:val="P68B1DB1Normal76"/>
        <w:widowControl w:val="false"/>
        <w:spacing w:lineRule="auto" w:line="240"/>
        <w:ind w:left="360" w:right="2" w:hanging="0"/>
        <w:jc w:val="left"/>
        <w:rPr/>
      </w:pPr>
      <w:r>
        <w:rPr>
          <w:rFonts w:ascii="Garamond" w:hAnsi="Garamond"/>
        </w:rPr>
        <w:t>Litevští</w:t>
      </w:r>
      <w:r>
        <w:rPr/>
        <w:t xml:space="preserve"> občané považují migraci za jeden ze dvou hlavních problémů EU; </w:t>
      </w:r>
    </w:p>
    <w:p>
      <w:pPr>
        <w:pStyle w:val="P68B1DB1Normal76"/>
        <w:widowControl w:val="false"/>
        <w:spacing w:lineRule="auto" w:line="240"/>
        <w:ind w:left="360" w:right="3" w:hanging="0"/>
        <w:jc w:val="left"/>
        <w:rPr/>
      </w:pPr>
      <w:r>
        <w:rPr>
          <w:rFonts w:ascii="Garamond" w:hAnsi="Garamond"/>
        </w:rPr>
        <w:t>—</w:t>
      </w:r>
      <w:r>
        <w:rPr/>
        <w:t xml:space="preserve"> </w:t>
      </w:r>
      <w:r>
        <w:rPr/>
        <w:t xml:space="preserve">Litevští občané chtějí vyřešit více problémů na úrovni EU (49 % oproti 42 %). </w:t>
      </w:r>
    </w:p>
    <w:p>
      <w:pPr>
        <w:pStyle w:val="P68B1DB1Normal76"/>
        <w:widowControl w:val="false"/>
        <w:spacing w:lineRule="auto" w:line="240" w:before="83" w:after="0"/>
        <w:ind w:left="0" w:right="3" w:hanging="0"/>
        <w:jc w:val="both"/>
        <w:rPr/>
      </w:pPr>
      <w:r>
        <w:rPr/>
        <w:t xml:space="preserve">Litevští občané, kteří se zúčastnili přípravných akcí na konferenci o budoucnosti Evropy, rovněž zdůraznili význam spolupráce v oblasti obrany a že společná migrační politika EU a zahraniční politika EU jsou oblasti, v nichž by Litva těžila ze silnějšího zásahu EU.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1" w:hanging="0"/>
        <w:jc w:val="both"/>
        <w:rPr/>
      </w:pPr>
      <w:r>
        <w:rPr/>
        <w:t xml:space="preserve">Údaje Eurobarometru by mohly osvětlit názory účastníků panelu na vztahy s Čínou a ceny energií: Litevci se více než průměr EU obávají rozpadu vztahů mezi zeměmi po celém světě a z toho plynoucího rostoucího geopolitického napětí (33 % oproti 18 %). Závěry panelu o potřebě ambicióznější politiky vůči Číně se rovněž překrývají s těmito údaji, jakož i výše uvedený postoj ve prospěch rozhodování na úrovni EU a společné obranné politiky EU. Na druhé straně obavy účastníků panelu ohledně různých rozhodnutí o snížení cen energií mohou souviset se skutečností, že Litevci jsou mnohem více znepokojeni, než je průměr EU, pokud jde o rostoucí inflaci a rostoucí ceny (53 % oproti 23 %). Citlivost na rostoucí inflaci je způsobena tím, že kontrola růstu cen se zdá být důležitější než obecná tvorba politik EU nebo jiné politické cíle.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1" w:hanging="0"/>
        <w:jc w:val="both"/>
        <w:rPr/>
      </w:pPr>
      <w:r>
        <w:rPr/>
        <w:t xml:space="preserve">Údaje Eurobarometru rovněž naznačují zajímavý vývoj toho, jak Litevci vnímají problematiku migrace z politického hlediska. V průzkumu z roku 2020 Litevci uvedli migraci jako důležitou výzvu pro budoucnost EU (16 % oproti 27 %), než je průměr EU; V průzkumu z roku 2021 považovalo 32 % litevských respondentů migraci za jeden z hlavních problémů v EU (ve srovnání s průměrem 25 % v EU jako celku). I když tato změna pohledu může být způsobena rozdíly ve formulaci problému, překrývá se s tím, co účastníci panelu uvedli v diskusích o vývoji jejich názorů na otázky migrace.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before="220" w:after="0"/>
        <w:ind w:left="0" w:right="0" w:hanging="0"/>
        <w:jc w:val="both"/>
        <w:rPr/>
      </w:pPr>
      <w:r>
        <w:rPr/>
        <w:t xml:space="preserve">Srovnání výsledků panelu občanů s údaji Eurobarometru navíc ukazuje rozdíl mezi relativně opatrným pohledem účastníků panelu na politiku EU na jedné straně a obavami litevských občanů ohledně otázek změny klimatu na straně druhé. Ačkoli účastníci panelu vyzvali, aby posoudili, zda Zelená dohoda není příliš ambiciózní a nepoškozuje zájmy Litvy, Litevci podle studií Eurobarometru důsledně označili změnu klimatu za jednu z hlavních výzev EU. V průzkumu z roku 2020 považovalo 47 % litevských respondentů klima za jednu z nejdůležitějších výzev pro budoucnost Evropy (ve srovnání s průměrem 45 % v EU jako celku); V průzkumu z roku 2021 tomu tak bylo u 28 % litevských respondentů (v průměru o 25 % v EU jako celku). Je třeba poznamenat, že občané, kteří se zúčastnili dalších přípravných akcí konference o budoucnosti Evropy, rovněž odkazovali na politiku v oblasti klimatu jako na jednu z oblastí, v nichž by Litva měla největší zájem na silnějším zásahu EU. Tento rozpor lze pravděpodobně vysvětlit motivací účastníků panelu: všichni, kdo hlasovali pro doporučení přehodnotit opatření Zelené dohody pro Evropu, to označili za důležité z osobního hlediska. Jinými slovy, osobní opozice by nebyla v rozporu se zjištěním, že změna klimatu je jednou z nejdůležitějších výzev politiky EU. </w:t>
      </w:r>
    </w:p>
    <w:p>
      <w:pPr>
        <w:pStyle w:val="P68B1DB1Normal97"/>
        <w:widowControl w:val="false"/>
        <w:spacing w:lineRule="auto" w:line="240"/>
        <w:ind w:left="0" w:right="0" w:hanging="0"/>
        <w:jc w:val="left"/>
        <w:rPr>
          <w:rFonts w:ascii="Garamond" w:hAnsi="Garamond"/>
          <w:color w:val="000000"/>
          <w:sz w:val="22"/>
        </w:rPr>
      </w:pPr>
      <w:r>
        <w:rPr/>
        <w:t xml:space="preserve"> </w:t>
      </w:r>
    </w:p>
    <w:p>
      <w:pPr>
        <w:pStyle w:val="Normal"/>
        <w:widowControl w:val="false"/>
        <w:spacing w:lineRule="auto" w:line="240" w:before="89" w:after="0"/>
        <w:ind w:left="0" w:right="0" w:hanging="0"/>
        <w:jc w:val="left"/>
        <w:rPr>
          <w:rFonts w:ascii="Garamond" w:hAnsi="Garamond"/>
          <w:color w:val="000000"/>
          <w:sz w:val="22"/>
        </w:rPr>
      </w:pPr>
      <w:r>
        <w:rPr>
          <w:rFonts w:ascii="Garamond" w:hAnsi="Garamond"/>
          <w:color w:val="000000"/>
          <w:sz w:val="22"/>
        </w:rPr>
      </w:r>
      <w:r>
        <w:br w:type="page"/>
      </w:r>
    </w:p>
    <w:p>
      <w:pPr>
        <w:pStyle w:val="Titre1"/>
        <w:numPr>
          <w:ilvl w:val="0"/>
          <w:numId w:val="2"/>
        </w:numPr>
        <w:rPr/>
      </w:pPr>
      <w:bookmarkStart w:id="235" w:name="__RefHeading___Toc297357_1346298689"/>
      <w:bookmarkEnd w:id="235"/>
      <w:r>
        <w:rPr/>
        <w:t>II F Národní panely: Nizozemsko</w:t>
      </w:r>
    </w:p>
    <w:p>
      <w:pPr>
        <w:pStyle w:val="Normal"/>
        <w:widowControl w:val="false"/>
        <w:spacing w:lineRule="auto" w:line="240" w:before="0" w:after="0"/>
        <w:ind w:left="0" w:right="0" w:hanging="0"/>
        <w:jc w:val="left"/>
        <w:rPr>
          <w:rFonts w:ascii="Calibri" w:hAnsi="Calibri"/>
          <w:b/>
          <w:b/>
          <w:i/>
          <w:i/>
          <w:color w:val="000000"/>
          <w:sz w:val="48"/>
        </w:rPr>
      </w:pPr>
      <w:r>
        <w:drawing>
          <wp:anchor behindDoc="0" distT="0" distB="0" distL="0" distR="0" simplePos="0" locked="0" layoutInCell="1" allowOverlap="1" relativeHeight="55">
            <wp:simplePos x="0" y="0"/>
            <wp:positionH relativeFrom="column">
              <wp:align>center</wp:align>
            </wp:positionH>
            <wp:positionV relativeFrom="paragraph">
              <wp:posOffset>635</wp:posOffset>
            </wp:positionV>
            <wp:extent cx="3098800" cy="3129280"/>
            <wp:effectExtent l="0" t="0" r="0" b="0"/>
            <wp:wrapTopAndBottom/>
            <wp:docPr id="109" name="Foto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Foto46" descr=""/>
                    <pic:cNvPicPr>
                      <a:picLocks noChangeAspect="1" noChangeArrowheads="1"/>
                    </pic:cNvPicPr>
                  </pic:nvPicPr>
                  <pic:blipFill>
                    <a:blip r:embed="rId117"/>
                    <a:stretch>
                      <a:fillRect/>
                    </a:stretch>
                  </pic:blipFill>
                  <pic:spPr bwMode="auto">
                    <a:xfrm>
                      <a:off x="0" y="0"/>
                      <a:ext cx="3098800" cy="3129280"/>
                    </a:xfrm>
                    <a:prstGeom prst="rect">
                      <a:avLst/>
                    </a:prstGeom>
                  </pic:spPr>
                </pic:pic>
              </a:graphicData>
            </a:graphic>
          </wp:anchor>
        </w:drawing>
      </w:r>
      <w:r>
        <w:rPr>
          <w:rFonts w:ascii="Calibri" w:hAnsi="Calibri"/>
          <w:b/>
          <w:i/>
          <w:color w:val="000000"/>
          <w:sz w:val="48"/>
        </w:rPr>
        <w:t>N</w:t>
      </w:r>
      <w:r>
        <w:rPr>
          <w:rFonts w:ascii="Calibri" w:hAnsi="Calibri"/>
          <w:b/>
          <w:i/>
          <w:color w:val="000000"/>
          <w:sz w:val="48"/>
        </w:rPr>
        <w:t>aše vize Evropy</w:t>
      </w:r>
    </w:p>
    <w:p>
      <w:pPr>
        <w:pStyle w:val="P68B1DB1Normal103"/>
        <w:widowControl w:val="false"/>
        <w:spacing w:lineRule="exact" w:line="499" w:before="100" w:after="0"/>
        <w:ind w:left="0" w:right="0" w:hanging="0"/>
        <w:jc w:val="left"/>
        <w:rPr>
          <w:rFonts w:ascii="Calibri" w:hAnsi="Calibri"/>
          <w:i/>
          <w:i/>
          <w:color w:val="000000"/>
          <w:sz w:val="32"/>
        </w:rPr>
      </w:pPr>
      <w:r>
        <w:rPr/>
        <w:t xml:space="preserve">Názory, nápady a doporučení </w:t>
      </w:r>
    </w:p>
    <w:p>
      <w:pPr>
        <w:pStyle w:val="P68B1DB1Normal104"/>
        <w:widowControl w:val="false"/>
        <w:spacing w:lineRule="exact" w:line="339" w:before="101" w:after="0"/>
        <w:ind w:left="0" w:right="0" w:hanging="0"/>
        <w:jc w:val="left"/>
        <w:rPr>
          <w:rFonts w:ascii="Calibri" w:hAnsi="Calibri"/>
          <w:color w:val="000000"/>
          <w:sz w:val="21"/>
        </w:rPr>
      </w:pPr>
      <w:r>
        <w:rPr/>
        <w:t xml:space="preserve">Témata </w:t>
      </w:r>
    </w:p>
    <w:p>
      <w:pPr>
        <w:pStyle w:val="P68B1DB1Normal105"/>
        <w:widowControl w:val="false"/>
        <w:spacing w:lineRule="exact" w:line="349" w:before="7" w:after="0"/>
        <w:ind w:left="0" w:right="0" w:hanging="0"/>
        <w:jc w:val="left"/>
        <w:rPr/>
      </w:pPr>
      <w:r>
        <w:rPr>
          <w:rFonts w:ascii="Verdana" w:hAnsi="Verdana"/>
        </w:rPr>
        <w:t>•</w:t>
      </w:r>
      <w:r>
        <w:rPr/>
        <w:t xml:space="preserve"> </w:t>
      </w:r>
      <w:r>
        <w:rPr>
          <w:rFonts w:ascii="Calibri" w:hAnsi="Calibri"/>
        </w:rPr>
        <w:t xml:space="preserve">Hodnoty a práva, právní stát a bezpečnost </w:t>
      </w:r>
    </w:p>
    <w:p>
      <w:pPr>
        <w:pStyle w:val="P68B1DB1Normal105"/>
        <w:widowControl w:val="false"/>
        <w:spacing w:lineRule="exact" w:line="293" w:before="2" w:after="0"/>
        <w:ind w:left="0" w:right="5110" w:hanging="0"/>
        <w:jc w:val="left"/>
        <w:rPr/>
      </w:pPr>
      <w:r>
        <w:rPr>
          <w:rFonts w:ascii="Verdana" w:hAnsi="Verdana"/>
        </w:rPr>
        <w:t>•</w:t>
      </w:r>
      <w:r>
        <w:rPr/>
        <w:t xml:space="preserve"> </w:t>
      </w:r>
      <w:r>
        <w:rPr>
          <w:rFonts w:ascii="Calibri" w:hAnsi="Calibri"/>
        </w:rPr>
        <w:t xml:space="preserve">Silnější hospodářství, sociální spravedlnost a zaměstnanost </w:t>
      </w:r>
    </w:p>
    <w:p>
      <w:pPr>
        <w:pStyle w:val="P68B1DB1Normal105"/>
        <w:widowControl w:val="false"/>
        <w:spacing w:lineRule="exact" w:line="293" w:before="2" w:after="0"/>
        <w:ind w:left="0" w:right="5110" w:hanging="0"/>
        <w:jc w:val="left"/>
        <w:rPr/>
      </w:pPr>
      <w:r>
        <w:rPr>
          <w:rFonts w:ascii="Verdana" w:hAnsi="Verdana"/>
        </w:rPr>
        <w:t>•</w:t>
      </w:r>
      <w:r>
        <w:rPr/>
        <w:t xml:space="preserve"> </w:t>
      </w:r>
      <w:r>
        <w:rPr>
          <w:rFonts w:ascii="Calibri" w:hAnsi="Calibri"/>
        </w:rPr>
        <w:t xml:space="preserve">Evropská demokracie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Digitální transformace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Vzdělávání, kultura, mládež a sport </w:t>
      </w:r>
    </w:p>
    <w:p>
      <w:pPr>
        <w:pStyle w:val="P68B1DB1Normal104"/>
        <w:widowControl w:val="false"/>
        <w:spacing w:lineRule="exact" w:line="339"/>
        <w:ind w:left="0" w:right="0" w:hanging="0"/>
        <w:jc w:val="left"/>
        <w:rPr>
          <w:rFonts w:ascii="Calibri" w:hAnsi="Calibri"/>
          <w:color w:val="000000"/>
          <w:sz w:val="21"/>
        </w:rPr>
      </w:pPr>
      <w:r>
        <w:rPr/>
        <w:t xml:space="preserve"> </w:t>
      </w:r>
    </w:p>
    <w:p>
      <w:pPr>
        <w:pStyle w:val="Titre4"/>
        <w:numPr>
          <w:ilvl w:val="3"/>
          <w:numId w:val="2"/>
        </w:numPr>
        <w:rPr/>
      </w:pPr>
      <w:bookmarkStart w:id="236" w:name="__RefHeading___Toc298384_1346298689"/>
      <w:bookmarkEnd w:id="236"/>
      <w:r>
        <w:rPr/>
        <w:t xml:space="preserve">Prosince 2021 </w:t>
      </w:r>
    </w:p>
    <w:p>
      <w:pPr>
        <w:pStyle w:val="Normal"/>
        <w:widowControl w:val="false"/>
        <w:spacing w:lineRule="exact" w:line="282" w:before="1" w:after="0"/>
        <w:ind w:left="0" w:right="37" w:hanging="0"/>
        <w:jc w:val="left"/>
        <w:rPr/>
      </w:pPr>
      <w:r>
        <w:rPr>
          <w:rFonts w:ascii="Calibri" w:hAnsi="Calibri"/>
          <w:color w:val="000000"/>
          <w:sz w:val="21"/>
        </w:rPr>
        <w:t xml:space="preserve">Tento dokument je překladem zprávy nazvané „Eleven kijk op Europa; Meningen, ideeën en Aanbevelingen"(„Naše vize Evropy: stanoviska, nápady a doporučení“, která byla zveřejněna v nizozemštině dne 3. prosince 2021 na adrese www.kijkopeuropa.nl. Tento překlad je zjednodušenou verzí zprávy, ve které byla původní prezentace (ilustrace a další grafické prvky) upravena pro účely překladu. </w:t>
      </w:r>
      <w:r>
        <w:rPr>
          <w:rFonts w:ascii="Times New Roman" w:hAnsi="Times New Roman"/>
          <w:color w:val="000000"/>
          <w:sz w:val="24"/>
        </w:rPr>
        <w:t xml:space="preserve"> </w:t>
      </w:r>
      <w:r>
        <w:br w:type="page"/>
      </w:r>
    </w:p>
    <w:p>
      <w:pPr>
        <w:pStyle w:val="P68B1DB1Normal106"/>
        <w:rPr>
          <w:rFonts w:ascii="Calibri" w:hAnsi="Calibri"/>
          <w:b/>
          <w:b/>
          <w:i/>
          <w:i/>
          <w:color w:val="000000"/>
          <w:sz w:val="36"/>
        </w:rPr>
      </w:pPr>
      <w:r>
        <w:rPr/>
        <w:t xml:space="preserve">Naše vize... </w:t>
      </w:r>
    </w:p>
    <w:p>
      <w:pPr>
        <w:pStyle w:val="P68B1DB1Normal107"/>
        <w:widowControl w:val="false"/>
        <w:spacing w:lineRule="exact" w:line="375" w:before="248" w:after="0"/>
        <w:ind w:left="0" w:right="0" w:hanging="0"/>
        <w:jc w:val="left"/>
        <w:rPr>
          <w:rFonts w:ascii="Calibri" w:hAnsi="Calibri"/>
          <w:i/>
          <w:i/>
          <w:color w:val="000000"/>
          <w:sz w:val="24"/>
        </w:rPr>
      </w:pPr>
      <w:r>
        <w:rPr/>
        <w:t xml:space="preserve">Shrnutí zprávy: všechna doporučení stručně </w:t>
      </w:r>
    </w:p>
    <w:p>
      <w:pPr>
        <w:pStyle w:val="P68B1DB1Normal104"/>
        <w:widowControl w:val="false"/>
        <w:spacing w:lineRule="exact" w:line="282" w:before="185" w:after="0"/>
        <w:ind w:left="0" w:right="25" w:hanging="0"/>
        <w:jc w:val="left"/>
        <w:rPr/>
      </w:pPr>
      <w:r>
        <w:rPr/>
        <w:t xml:space="preserve">Prostřednictvím dialogu s občany organizovaného na téma „Vision of Europe“ jsme shromáždili názory a názory nizozemských občanů na budoucnost Evropy. To vedlo k následujícím doporučením Evropské unii pro prvních pět témat. </w:t>
      </w:r>
    </w:p>
    <w:p>
      <w:pPr>
        <w:pStyle w:val="P68B1DB1Normal108"/>
        <w:widowControl w:val="false"/>
        <w:spacing w:lineRule="exact" w:line="387" w:before="59" w:after="0"/>
        <w:ind w:left="0" w:right="0" w:hanging="0"/>
        <w:jc w:val="left"/>
        <w:rPr>
          <w:rFonts w:ascii="Calibri" w:hAnsi="Calibri"/>
          <w:b/>
          <w:b/>
          <w:i/>
          <w:i/>
          <w:color w:val="000000"/>
          <w:sz w:val="24"/>
        </w:rPr>
      </w:pPr>
      <w:r>
        <w:rPr/>
        <w:t xml:space="preserve">Hodnoty a práva, právní stát a bezpečnost </w:t>
      </w:r>
    </w:p>
    <w:p>
      <w:pPr>
        <w:pStyle w:val="P68B1DB1Normal104"/>
        <w:widowControl w:val="false"/>
        <w:spacing w:lineRule="exact" w:line="282" w:before="178" w:after="0"/>
        <w:ind w:left="0" w:right="105" w:hanging="0"/>
        <w:jc w:val="left"/>
        <w:rPr/>
      </w:pPr>
      <w:r>
        <w:rPr/>
        <w:t xml:space="preserve">Je důležité, aby EU chránila právní stát. Nizozemci se zároveň domnívají, že je třeba věnovat pozornost rozmanitosti tradic a kultur, které v Evropě existují. Spolupráce v rámci EU může mít mnoho výhod v různých formách, ale musí přinést přidanou hodnotu pro všechny zúčastněné strany. To platí i pro sdílení bezpečnostních informací. Sdílení všech informací rychle činí spolupráci neúčinnou. </w:t>
      </w:r>
    </w:p>
    <w:p>
      <w:pPr>
        <w:pStyle w:val="P68B1DB1Normal19"/>
        <w:widowControl w:val="false"/>
        <w:spacing w:lineRule="exact" w:line="388" w:before="47" w:after="0"/>
        <w:ind w:left="0" w:right="0" w:hanging="0"/>
        <w:jc w:val="left"/>
        <w:rPr>
          <w:rFonts w:ascii="Times New Roman" w:hAnsi="Times New Roman"/>
          <w:color w:val="000000"/>
          <w:sz w:val="24"/>
        </w:rPr>
      </w:pPr>
      <w:r>
        <w:rPr/>
        <w:t xml:space="preserve"> </w:t>
      </w:r>
    </w:p>
    <w:p>
      <w:pPr>
        <w:pStyle w:val="P68B1DB1Normal105"/>
        <w:widowControl w:val="false"/>
        <w:spacing w:lineRule="exact" w:line="346" w:before="50" w:after="0"/>
        <w:ind w:left="0" w:right="0" w:hanging="0"/>
        <w:jc w:val="left"/>
        <w:rPr/>
      </w:pPr>
      <w:r>
        <w:rPr>
          <w:rFonts w:ascii="Calibri" w:hAnsi="Calibri"/>
        </w:rPr>
        <w:t>1.</w:t>
      </w:r>
      <w:r>
        <w:rPr/>
        <w:t xml:space="preserve"> </w:t>
      </w:r>
      <w:r>
        <w:rPr>
          <w:rFonts w:ascii="Calibri" w:hAnsi="Calibri"/>
        </w:rPr>
        <w:t>Zajistěte, aby se každý mohl cítit svobodně a bezpečně</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Rozšíření EU pouze v případě, že přinese přidanou hodnotu</w:t>
      </w:r>
    </w:p>
    <w:p>
      <w:pPr>
        <w:pStyle w:val="P68B1DB1Normal105"/>
        <w:widowControl w:val="false"/>
        <w:spacing w:lineRule="exact" w:line="346"/>
        <w:ind w:left="0" w:right="0" w:hanging="0"/>
        <w:jc w:val="left"/>
        <w:rPr/>
      </w:pPr>
      <w:r>
        <w:rPr>
          <w:rFonts w:ascii="Calibri" w:hAnsi="Calibri"/>
        </w:rPr>
        <w:t>3.</w:t>
      </w:r>
      <w:r>
        <w:rPr/>
        <w:t xml:space="preserve"> </w:t>
      </w:r>
      <w:r>
        <w:rPr>
          <w:rFonts w:ascii="Calibri" w:hAnsi="Calibri"/>
        </w:rPr>
        <w:t>Spolupráce zejména v boji proti mezinárodní trestné činnosti a terorismu</w:t>
      </w:r>
    </w:p>
    <w:p>
      <w:pPr>
        <w:pStyle w:val="P68B1DB1Normal104"/>
        <w:widowControl w:val="false"/>
        <w:spacing w:lineRule="exact" w:line="339"/>
        <w:ind w:left="283" w:right="0" w:hanging="0"/>
        <w:jc w:val="left"/>
        <w:rPr>
          <w:rFonts w:ascii="Calibri" w:hAnsi="Calibri"/>
          <w:color w:val="000000"/>
          <w:sz w:val="21"/>
        </w:rPr>
      </w:pPr>
      <w:r>
        <w:rPr/>
        <w:t xml:space="preserve"> </w:t>
      </w:r>
    </w:p>
    <w:p>
      <w:pPr>
        <w:pStyle w:val="P68B1DB1Normal108"/>
        <w:widowControl w:val="false"/>
        <w:spacing w:lineRule="exact" w:line="387" w:before="59" w:after="0"/>
        <w:ind w:left="0" w:right="0" w:hanging="0"/>
        <w:jc w:val="left"/>
        <w:rPr>
          <w:rFonts w:ascii="Calibri" w:hAnsi="Calibri"/>
          <w:b/>
          <w:b/>
          <w:i/>
          <w:i/>
          <w:color w:val="000000"/>
          <w:sz w:val="24"/>
        </w:rPr>
      </w:pPr>
      <w:r>
        <w:rPr/>
        <w:t xml:space="preserve">Silnější ekonomika, sociální spravedlnost a zaměstnanost </w:t>
      </w:r>
    </w:p>
    <w:p>
      <w:pPr>
        <w:pStyle w:val="P68B1DB1Normal104"/>
        <w:widowControl w:val="false"/>
        <w:spacing w:lineRule="exact" w:line="282" w:before="178" w:after="0"/>
        <w:ind w:left="0" w:right="18" w:hanging="0"/>
        <w:jc w:val="left"/>
        <w:rPr/>
      </w:pPr>
      <w:r>
        <w:rPr/>
        <w:t xml:space="preserve">Nizozemci se domnívají, že existuje mnoho příležitostí k posílení evropského hospodářství. Země však nemohou být vždy vzájemně porovnávány. Zejména daňový systém by měl být spravedlivější a jasnější. A v Evropě bychom se měli více zaměřit na naše silné stránky, jako je kvalita a rozmanitost. Kromě toho mohou země EU spolupracovat na zajištění rovných příležitostí na evropském trhu práce. </w:t>
      </w:r>
    </w:p>
    <w:p>
      <w:pPr>
        <w:pStyle w:val="P68B1DB1Normal104"/>
        <w:widowControl w:val="false"/>
        <w:spacing w:lineRule="exact" w:line="339" w:before="58" w:after="0"/>
        <w:ind w:left="0" w:right="0" w:hanging="0"/>
        <w:jc w:val="left"/>
        <w:rPr>
          <w:rFonts w:ascii="Calibri" w:hAnsi="Calibri"/>
          <w:color w:val="000000"/>
          <w:sz w:val="21"/>
        </w:rPr>
      </w:pPr>
      <w:r>
        <w:rPr/>
        <w:t xml:space="preserve"> </w:t>
      </w:r>
    </w:p>
    <w:p>
      <w:pPr>
        <w:pStyle w:val="P68B1DB1Normal105"/>
        <w:widowControl w:val="false"/>
        <w:spacing w:lineRule="exact" w:line="281" w:before="58" w:after="0"/>
        <w:ind w:left="0" w:right="4851" w:hanging="0"/>
        <w:jc w:val="left"/>
        <w:rPr/>
      </w:pPr>
      <w:r>
        <w:rPr>
          <w:rFonts w:ascii="Calibri" w:hAnsi="Calibri"/>
        </w:rPr>
        <w:t>4.</w:t>
      </w:r>
      <w:r>
        <w:rPr/>
        <w:t xml:space="preserve"> </w:t>
      </w:r>
      <w:r>
        <w:rPr>
          <w:rFonts w:ascii="Calibri" w:hAnsi="Calibri"/>
        </w:rPr>
        <w:t>Vzít v úvahu společné rysy a rozdíly</w:t>
      </w:r>
    </w:p>
    <w:p>
      <w:pPr>
        <w:pStyle w:val="P68B1DB1Normal105"/>
        <w:widowControl w:val="false"/>
        <w:spacing w:lineRule="exact" w:line="281" w:before="58" w:after="0"/>
        <w:ind w:left="0" w:right="4851" w:hanging="0"/>
        <w:jc w:val="left"/>
        <w:rPr/>
      </w:pPr>
      <w:r>
        <w:rPr>
          <w:rFonts w:ascii="Calibri" w:hAnsi="Calibri"/>
        </w:rPr>
        <w:t>5.</w:t>
      </w:r>
      <w:r>
        <w:rPr/>
        <w:t xml:space="preserve"> </w:t>
      </w:r>
      <w:r>
        <w:rPr>
          <w:rFonts w:ascii="Calibri" w:hAnsi="Calibri"/>
        </w:rPr>
        <w:t>Větší využívání silných stránek Evropy</w:t>
      </w:r>
    </w:p>
    <w:p>
      <w:pPr>
        <w:pStyle w:val="P68B1DB1Normal105"/>
        <w:widowControl w:val="false"/>
        <w:spacing w:lineRule="exact" w:line="346"/>
        <w:ind w:left="0" w:right="0" w:hanging="0"/>
        <w:jc w:val="left"/>
        <w:rPr/>
      </w:pPr>
      <w:r>
        <w:rPr>
          <w:rFonts w:ascii="Calibri" w:hAnsi="Calibri"/>
        </w:rPr>
        <w:t>6.</w:t>
      </w:r>
      <w:r>
        <w:rPr/>
        <w:t xml:space="preserve"> </w:t>
      </w:r>
      <w:r>
        <w:rPr>
          <w:rFonts w:ascii="Calibri" w:hAnsi="Calibri"/>
        </w:rPr>
        <w:t>Vytvoření spravedlivého a jasného daňového systému</w:t>
      </w:r>
    </w:p>
    <w:p>
      <w:pPr>
        <w:pStyle w:val="P68B1DB1Normal76"/>
        <w:widowControl w:val="false"/>
        <w:spacing w:lineRule="exact" w:line="374"/>
        <w:ind w:left="0" w:right="5338" w:hanging="0"/>
        <w:jc w:val="left"/>
        <w:rPr/>
      </w:pPr>
      <w:r>
        <w:rPr>
          <w:rFonts w:ascii="Calibri" w:hAnsi="Calibri"/>
          <w:sz w:val="21"/>
        </w:rPr>
        <w:t>7.</w:t>
      </w:r>
      <w:r>
        <w:rPr>
          <w:sz w:val="21"/>
        </w:rPr>
        <w:t xml:space="preserve"> </w:t>
      </w:r>
      <w:r>
        <w:rPr>
          <w:rFonts w:ascii="Calibri" w:hAnsi="Calibri"/>
          <w:sz w:val="21"/>
        </w:rPr>
        <w:t xml:space="preserve">Zajištění toho, aby se mohl účastnit </w:t>
      </w:r>
      <w:r>
        <w:rPr>
          <w:rFonts w:ascii="Calibri" w:hAnsi="Calibri"/>
          <w:b/>
          <w:i/>
          <w:sz w:val="24"/>
        </w:rPr>
        <w:t xml:space="preserve">evropské demokracie </w:t>
      </w:r>
      <w:r>
        <w:rPr>
          <w:sz w:val="21"/>
        </w:rPr>
        <w:t>každý</w:t>
      </w:r>
    </w:p>
    <w:p>
      <w:pPr>
        <w:pStyle w:val="P68B1DB1Normal104"/>
        <w:widowControl w:val="false"/>
        <w:spacing w:lineRule="exact" w:line="282" w:before="178" w:after="0"/>
        <w:ind w:left="0" w:right="323" w:hanging="0"/>
        <w:jc w:val="both"/>
        <w:rPr/>
      </w:pPr>
      <w:r>
        <w:rPr/>
        <w:t xml:space="preserve">Nizozemci nepotřebují vědět všechno o Evropské unii, ale chtějí větší transparentnost a více informací. Například znalost názorů jiných zemí EU může přispět k lepšímu přehledu. Nizozemci se navíc domnívají, že EU by se měla častěji a nejlépe trvale zapojovat s občany. V tomto ohledu je důležité nejen zohlednit různé zájmy, ale také přijímat rozhodnutí rychleji, než je tomu v současnosti. </w:t>
      </w:r>
    </w:p>
    <w:p>
      <w:pPr>
        <w:pStyle w:val="P68B1DB1Normal105"/>
        <w:widowControl w:val="false"/>
        <w:spacing w:lineRule="exact" w:line="346" w:before="58" w:after="0"/>
        <w:ind w:left="0" w:right="0" w:hanging="0"/>
        <w:jc w:val="left"/>
        <w:rPr/>
      </w:pPr>
      <w:r>
        <w:rPr>
          <w:rFonts w:ascii="Calibri" w:hAnsi="Calibri"/>
        </w:rPr>
        <w:t>1.</w:t>
      </w:r>
      <w:r>
        <w:rPr/>
        <w:t xml:space="preserve"> </w:t>
      </w:r>
      <w:r>
        <w:rPr>
          <w:rFonts w:ascii="Calibri" w:hAnsi="Calibri"/>
        </w:rPr>
        <w:t>Lepší přehled o Evropě</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Najděte nové způsoby, jak neustále naslouchat občanům</w:t>
      </w:r>
    </w:p>
    <w:p>
      <w:pPr>
        <w:pStyle w:val="P68B1DB1Normal105"/>
        <w:widowControl w:val="false"/>
        <w:spacing w:lineRule="exact" w:line="281"/>
        <w:ind w:left="0" w:right="1902" w:hanging="0"/>
        <w:jc w:val="left"/>
        <w:rPr/>
      </w:pPr>
      <w:r>
        <w:rPr>
          <w:rFonts w:ascii="Calibri" w:hAnsi="Calibri"/>
        </w:rPr>
        <w:t>3.</w:t>
      </w:r>
      <w:r>
        <w:rPr/>
        <w:t xml:space="preserve"> </w:t>
      </w:r>
      <w:r>
        <w:rPr>
          <w:rFonts w:ascii="Calibri" w:hAnsi="Calibri"/>
        </w:rPr>
        <w:t>Větší transparentnost a srozumitelnost přijatých rozhodnutí</w:t>
      </w:r>
    </w:p>
    <w:p>
      <w:pPr>
        <w:pStyle w:val="P68B1DB1Normal105"/>
        <w:widowControl w:val="false"/>
        <w:spacing w:lineRule="exact" w:line="281"/>
        <w:ind w:left="0" w:right="1902" w:hanging="0"/>
        <w:jc w:val="left"/>
        <w:rPr/>
      </w:pPr>
      <w:r>
        <w:rPr>
          <w:rFonts w:ascii="Calibri" w:hAnsi="Calibri"/>
        </w:rPr>
        <w:t>4.</w:t>
      </w:r>
      <w:r>
        <w:rPr/>
        <w:t xml:space="preserve"> </w:t>
      </w:r>
      <w:r>
        <w:rPr>
          <w:rFonts w:ascii="Calibri" w:hAnsi="Calibri"/>
        </w:rPr>
        <w:t>Zajistit, aby trnité problémy mohly být vyřešeny rychleji</w:t>
      </w:r>
    </w:p>
    <w:p>
      <w:pPr>
        <w:pStyle w:val="P68B1DB1Normal104"/>
        <w:widowControl w:val="false"/>
        <w:spacing w:lineRule="exact" w:line="339" w:before="60" w:after="0"/>
        <w:ind w:left="0" w:right="0" w:hanging="0"/>
        <w:jc w:val="left"/>
        <w:rPr>
          <w:rFonts w:ascii="Calibri" w:hAnsi="Calibri"/>
          <w:color w:val="000000"/>
          <w:sz w:val="21"/>
        </w:rPr>
      </w:pPr>
      <w:r>
        <w:rPr/>
        <w:t xml:space="preserve"> </w:t>
      </w:r>
    </w:p>
    <w:p>
      <w:pPr>
        <w:pStyle w:val="P68B1DB1Normal108"/>
        <w:widowControl w:val="false"/>
        <w:spacing w:lineRule="exact" w:line="387" w:before="59" w:after="0"/>
        <w:ind w:left="0" w:right="0" w:hanging="0"/>
        <w:jc w:val="left"/>
        <w:rPr>
          <w:rFonts w:ascii="Calibri" w:hAnsi="Calibri"/>
          <w:b/>
          <w:b/>
          <w:i/>
          <w:i/>
          <w:color w:val="000000"/>
          <w:sz w:val="24"/>
        </w:rPr>
      </w:pPr>
      <w:r>
        <w:rPr/>
        <w:t xml:space="preserve">Digitální transformace </w:t>
      </w:r>
    </w:p>
    <w:p>
      <w:pPr>
        <w:pStyle w:val="P68B1DB1Normal104"/>
        <w:widowControl w:val="false"/>
        <w:spacing w:lineRule="exact" w:line="282" w:before="178" w:after="0"/>
        <w:ind w:left="0" w:right="54" w:hanging="0"/>
        <w:jc w:val="left"/>
        <w:rPr/>
      </w:pPr>
      <w:r>
        <w:rPr/>
        <w:t xml:space="preserve">Společnost je stále více závislá na internetu a velké technologické společnosti jsou stále silnější. To někdy trápí Holanďany. Je proto užitečné, aby EU vypracovala evropská pravidla a normy pro ochranu soukromí. Je však důležité, aby všichni těmto pravidlům a normám rozuměli a uplatňovali je. Nizozemština upřednostňuje podporu a informace od vnitrostátních orgánů v jejich vlastním jazyce. </w:t>
      </w:r>
    </w:p>
    <w:p>
      <w:pPr>
        <w:pStyle w:val="P68B1DB1Normal104"/>
        <w:widowControl w:val="false"/>
        <w:spacing w:lineRule="exact" w:line="339" w:before="61" w:after="0"/>
        <w:ind w:left="0" w:right="0" w:hanging="0"/>
        <w:jc w:val="left"/>
        <w:rPr>
          <w:rFonts w:ascii="Calibri" w:hAnsi="Calibri"/>
          <w:color w:val="000000"/>
          <w:sz w:val="21"/>
        </w:rPr>
      </w:pPr>
      <w:r>
        <w:rPr/>
        <w:t xml:space="preserve"> </w:t>
      </w:r>
    </w:p>
    <w:p>
      <w:pPr>
        <w:pStyle w:val="P68B1DB1Normal105"/>
        <w:widowControl w:val="false"/>
        <w:spacing w:lineRule="exact" w:line="346"/>
        <w:ind w:left="0" w:right="0" w:hanging="0"/>
        <w:jc w:val="left"/>
        <w:rPr/>
      </w:pPr>
      <w:r>
        <w:rPr>
          <w:rFonts w:ascii="Calibri" w:hAnsi="Calibri"/>
        </w:rPr>
        <w:t>1.</w:t>
      </w:r>
      <w:r>
        <w:rPr/>
        <w:t xml:space="preserve"> </w:t>
      </w:r>
      <w:r>
        <w:rPr>
          <w:rFonts w:ascii="Calibri" w:hAnsi="Calibri"/>
        </w:rPr>
        <w:t>Zajištění rychlého, bezpečného a stabilního internetu všude</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Stanovení jasných pravidel a norem pro internetové společnosti</w:t>
      </w:r>
    </w:p>
    <w:p>
      <w:pPr>
        <w:pStyle w:val="P68B1DB1Normal105"/>
        <w:widowControl w:val="false"/>
        <w:spacing w:lineRule="exact" w:line="346"/>
        <w:ind w:left="0" w:right="0" w:hanging="0"/>
        <w:jc w:val="left"/>
        <w:rPr/>
      </w:pPr>
      <w:r>
        <w:rPr>
          <w:rFonts w:ascii="Calibri" w:hAnsi="Calibri"/>
        </w:rPr>
        <w:t>3.</w:t>
      </w:r>
      <w:r>
        <w:rPr/>
        <w:t xml:space="preserve"> </w:t>
      </w:r>
      <w:r>
        <w:rPr>
          <w:rFonts w:ascii="Calibri" w:hAnsi="Calibri"/>
        </w:rPr>
        <w:t>Doplnění implementace a praktických vysvětlení k pravidlům ochrany soukromí</w:t>
      </w:r>
    </w:p>
    <w:p>
      <w:pPr>
        <w:pStyle w:val="P68B1DB1Normal19"/>
        <w:widowControl w:val="false"/>
        <w:spacing w:lineRule="exact" w:line="388"/>
        <w:ind w:left="284" w:right="0" w:hanging="0"/>
        <w:jc w:val="left"/>
        <w:rPr>
          <w:rFonts w:ascii="Times New Roman" w:hAnsi="Times New Roman"/>
          <w:color w:val="000000"/>
          <w:sz w:val="24"/>
        </w:rPr>
      </w:pPr>
      <w:r>
        <w:rPr/>
        <w:t xml:space="preserve"> </w:t>
      </w:r>
    </w:p>
    <w:p>
      <w:pPr>
        <w:pStyle w:val="P68B1DB1Normal108"/>
        <w:widowControl w:val="false"/>
        <w:spacing w:lineRule="exact" w:line="387" w:before="30" w:after="0"/>
        <w:ind w:left="0" w:right="0" w:hanging="0"/>
        <w:jc w:val="left"/>
        <w:rPr>
          <w:rFonts w:ascii="Calibri" w:hAnsi="Calibri"/>
          <w:b/>
          <w:b/>
          <w:i/>
          <w:i/>
          <w:color w:val="000000"/>
          <w:sz w:val="24"/>
        </w:rPr>
      </w:pPr>
      <w:r>
        <w:rPr/>
        <w:t xml:space="preserve">Vzdělávání, kultura, mládež a sport </w:t>
      </w:r>
    </w:p>
    <w:p>
      <w:pPr>
        <w:pStyle w:val="P68B1DB1Normal104"/>
        <w:widowControl w:val="false"/>
        <w:spacing w:lineRule="exact" w:line="282" w:before="178" w:after="0"/>
        <w:ind w:left="0" w:right="166" w:hanging="0"/>
        <w:jc w:val="left"/>
        <w:rPr/>
      </w:pPr>
      <w:r>
        <w:rPr/>
        <w:t>Mladí lidé, kteří studují v zahraničí, by měli mít možnost učit se od hostitelské země více než</w:t>
      </w:r>
      <w:r>
        <w:rPr/>
        <w:commentReference w:id="21"/>
      </w:r>
      <w:r>
        <w:rPr/>
        <w:t xml:space="preserve"> dnes. A země s nižší úrovní znalostí by neměly ztratit všechny své talenty, které jdou do zahraničí. Nizozemci se domnívají, že témata, jako je kultura a zneužívání ve sportu, jsou otázky, za které by měly odpovídat samy členské státy. A považují za velmi důležité mít vlastní národní jazyk. Obecně platí, že v Evropě musí být každý člověk především svobodný a schopný být sám sebou. </w:t>
      </w:r>
    </w:p>
    <w:p>
      <w:pPr>
        <w:pStyle w:val="P68B1DB1Normal104"/>
        <w:widowControl w:val="false"/>
        <w:spacing w:lineRule="exact" w:line="339" w:before="61" w:after="0"/>
        <w:ind w:left="0" w:right="0" w:hanging="0"/>
        <w:jc w:val="left"/>
        <w:rPr>
          <w:rFonts w:ascii="Calibri" w:hAnsi="Calibri"/>
          <w:color w:val="000000"/>
          <w:sz w:val="21"/>
        </w:rPr>
      </w:pPr>
      <w:r>
        <w:rPr/>
        <w:t xml:space="preserve"> </w:t>
      </w:r>
    </w:p>
    <w:p>
      <w:pPr>
        <w:pStyle w:val="P68B1DB1Normal105"/>
        <w:widowControl w:val="false"/>
        <w:spacing w:lineRule="exact" w:line="346" w:before="55" w:after="0"/>
        <w:ind w:left="0" w:right="0" w:hanging="0"/>
        <w:jc w:val="left"/>
        <w:rPr/>
      </w:pPr>
      <w:r>
        <w:rPr>
          <w:rFonts w:ascii="Calibri" w:hAnsi="Calibri"/>
        </w:rPr>
        <w:t>1.</w:t>
      </w:r>
      <w:r>
        <w:rPr/>
        <w:t xml:space="preserve"> </w:t>
      </w:r>
      <w:r>
        <w:rPr>
          <w:rFonts w:ascii="Calibri" w:hAnsi="Calibri"/>
        </w:rPr>
        <w:t>Povzbuzovat studenty ke studiu v zahraničí inteligentně</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Umožnit členským státům zaměřit se na témata, jako je kultura a sport</w:t>
      </w:r>
    </w:p>
    <w:p>
      <w:pPr>
        <w:pStyle w:val="Normal"/>
        <w:widowControl w:val="false"/>
        <w:spacing w:lineRule="exact" w:line="346"/>
        <w:ind w:left="1" w:right="0" w:hanging="0"/>
        <w:jc w:val="left"/>
        <w:rPr/>
      </w:pPr>
      <w:r>
        <w:rPr>
          <w:rFonts w:ascii="Calibri" w:hAnsi="Calibri"/>
          <w:color w:val="000000"/>
          <w:sz w:val="21"/>
        </w:rPr>
        <w:t>3.</w:t>
      </w:r>
      <w:r>
        <w:rPr>
          <w:color w:val="000000"/>
          <w:sz w:val="21"/>
        </w:rPr>
        <w:t xml:space="preserve"> </w:t>
      </w:r>
      <w:r>
        <w:rPr>
          <w:rFonts w:ascii="Calibri" w:hAnsi="Calibri"/>
          <w:color w:val="000000"/>
          <w:sz w:val="21"/>
        </w:rPr>
        <w:t>Zajistit, aby se Evropané lépe poznali a vzájemně se respektovali</w:t>
      </w:r>
      <w:r>
        <w:rPr>
          <w:color w:val="000000"/>
          <w:sz w:val="21"/>
        </w:rPr>
        <w:t xml:space="preserve"> </w:t>
      </w:r>
      <w:r>
        <w:br w:type="page"/>
      </w:r>
    </w:p>
    <w:p>
      <w:pPr>
        <w:pStyle w:val="P68B1DB1Normal109"/>
        <w:rPr>
          <w:rFonts w:ascii="Calibri" w:hAnsi="Calibri"/>
          <w:b/>
          <w:b/>
          <w:i/>
          <w:i/>
          <w:color w:val="000000"/>
          <w:sz w:val="32"/>
        </w:rPr>
      </w:pPr>
      <w:r>
        <w:rPr/>
        <w:t xml:space="preserve">Úvod </w:t>
      </w:r>
    </w:p>
    <w:p>
      <w:pPr>
        <w:pStyle w:val="P68B1DB1Normal110"/>
        <w:widowControl w:val="false"/>
        <w:spacing w:lineRule="exact" w:line="274" w:before="31" w:after="0"/>
        <w:ind w:left="0" w:right="113" w:hanging="0"/>
        <w:jc w:val="left"/>
        <w:rPr/>
      </w:pPr>
      <w:r>
        <w:rPr>
          <w:sz w:val="21"/>
        </w:rPr>
        <w:t xml:space="preserve">Dialog s občany „Vision of Europe“, který se konal od 1. září do poloviny listopadu, umožnil všem Holanďanům vyjádřit své názory a názory na budoucnost Evropy. Nizozemsko předloží Evropské unii (EU) doporučení, k nimž dialog vedl, jakož i vyjádřené myšlenky a názory. V této zprávě se zaměřujeme na prvních pět témat. Zbývající čtyři témata budou projednána v nadcházející zprávě na začátku roku 2022. </w:t>
      </w:r>
      <w:r>
        <w:rPr>
          <w:b/>
          <w:i/>
          <w:sz w:val="24"/>
        </w:rPr>
        <w:t>O vizi Evropy</w:t>
      </w:r>
    </w:p>
    <w:p>
      <w:pPr>
        <w:pStyle w:val="P68B1DB1Normal104"/>
        <w:widowControl w:val="false"/>
        <w:spacing w:lineRule="exact" w:line="257" w:before="34" w:after="0"/>
        <w:ind w:left="0" w:right="200" w:hanging="0"/>
        <w:jc w:val="left"/>
        <w:rPr/>
      </w:pPr>
      <w:r>
        <w:rPr/>
        <w:t xml:space="preserve">Evropská unie chce, aby se její občané podělili o to, co si myslí o Evropě. Proto EU organizuje konferenci o budoucnosti Evropy. Názory a myšlenky občanů v celé Evropské unii se pak stanou podkladem pro plány pro budoucnost Evropy. V rámci konference uspořádalo Nizozemsko dialog s občany „Vision of Europe“ na vnitrostátní úrovni. </w:t>
      </w:r>
    </w:p>
    <w:p>
      <w:pPr>
        <w:pStyle w:val="P68B1DB1Normal104"/>
        <w:widowControl w:val="false"/>
        <w:spacing w:lineRule="exact" w:line="339" w:before="34" w:after="0"/>
        <w:ind w:left="0" w:right="0" w:hanging="0"/>
        <w:jc w:val="left"/>
        <w:rPr>
          <w:rFonts w:ascii="Calibri" w:hAnsi="Calibri"/>
          <w:color w:val="000000"/>
          <w:sz w:val="21"/>
        </w:rPr>
      </w:pPr>
      <w:r>
        <w:rPr/>
        <w:t xml:space="preserve"> </w:t>
      </w:r>
    </w:p>
    <w:p>
      <w:pPr>
        <w:pStyle w:val="P68B1DB1Normal104"/>
        <w:widowControl w:val="false"/>
        <w:spacing w:lineRule="exact" w:line="257" w:before="32" w:after="0"/>
        <w:ind w:left="0" w:right="109" w:hanging="0"/>
        <w:jc w:val="left"/>
        <w:rPr/>
      </w:pPr>
      <w:r>
        <w:rPr/>
        <w:t xml:space="preserve">Dialog o vizi Evropy byl zahájen 1. září prostřednictvím on-line sběru názorů a nápadů prostřednictvím průzkumu reprezentativního panelu. Abychom prohloubili počáteční výsledky panelového průzkumu a předložili konkrétní doporučení, uspořádali jsme tematické on-line dialogy. Každý, kdo se chtěl zúčastnit, se mohl zúčastnit. Cestovali jsme také po zemi, abychom vedli diskuse s mladými lidmi a dalšími skupinami (obtížné oslovení). </w:t>
      </w:r>
    </w:p>
    <w:p>
      <w:pPr>
        <w:pStyle w:val="P68B1DB1Normal111"/>
        <w:widowControl w:val="false"/>
        <w:spacing w:lineRule="exact" w:line="269" w:before="28" w:after="0"/>
        <w:ind w:left="0" w:right="113" w:hanging="0"/>
        <w:jc w:val="left"/>
        <w:rPr/>
      </w:pPr>
      <w:r>
        <w:rPr/>
        <w:t xml:space="preserve">Od školáků, žáků středních odborných škol a studentů až po ministra, zemědělce a migranty </w:t>
      </w:r>
    </w:p>
    <w:p>
      <w:pPr>
        <w:pStyle w:val="P68B1DB1Normal104"/>
        <w:widowControl w:val="false"/>
        <w:spacing w:lineRule="exact" w:line="257" w:before="26" w:after="0"/>
        <w:ind w:left="0" w:right="44" w:hanging="0"/>
        <w:jc w:val="left"/>
        <w:rPr/>
      </w:pPr>
      <w:r>
        <w:rPr/>
        <w:t xml:space="preserve">V říjnu a listopadu se uskutečnilo celkem osm on-line tematických dialogů s průměrem 30 účastníků na schůzi. Rovněž jsme uspořádali on-line tematický dialog a sedm tematických dialogů na místě s různými skupinami nizozemských občanů. Mluvili jsme s tureckou komunitou v Schiedamu a byli jsme pozváni dobrovolníky nadace Piëzo do Zoetermeeru. Při této příležitosti byl na konci dialogu přítomen i ministr zahraničí Ben Knapen. Ministr diskutoval s účastníky o dialogu a názorech na budoucnost Evropy. Nakonec jsme uspořádali šest setkání s různými skupinami mladých lidí. Například jsme byli vítáni na střední škole v Helmondu, střední odborné škole v Doetinchem a na univerzitě v Leidenu. </w:t>
      </w:r>
    </w:p>
    <w:p>
      <w:pPr>
        <w:pStyle w:val="P68B1DB1Normal112"/>
        <w:widowControl w:val="false"/>
        <w:spacing w:lineRule="exact" w:line="260" w:before="31" w:after="0"/>
        <w:ind w:left="0" w:right="0" w:hanging="0"/>
        <w:jc w:val="left"/>
        <w:rPr>
          <w:rFonts w:ascii="Times New Roman" w:hAnsi="Times New Roman"/>
          <w:color w:val="000000"/>
          <w:sz w:val="16"/>
        </w:rPr>
      </w:pPr>
      <w:r>
        <w:rPr/>
        <w:t xml:space="preserve"> </w:t>
      </w:r>
    </w:p>
    <w:p>
      <w:pPr>
        <w:pStyle w:val="P68B1DB1Normal113"/>
        <w:widowControl w:val="false"/>
        <w:spacing w:lineRule="exact" w:line="319" w:before="28" w:after="0"/>
        <w:ind w:left="883" w:right="888" w:hanging="0"/>
        <w:jc w:val="center"/>
        <w:rPr/>
      </w:pPr>
      <w:r>
        <w:rPr/>
        <w:t xml:space="preserve">Vždy rád před kávovarem vyjadřuji svůj názor. Proto jsem si myslel, že se musím zúčastnit. </w:t>
      </w:r>
    </w:p>
    <w:p>
      <w:pPr>
        <w:pStyle w:val="P68B1DB1Normal110"/>
        <w:widowControl w:val="false"/>
        <w:spacing w:lineRule="exact" w:line="346" w:before="41" w:after="0"/>
        <w:ind w:left="0" w:right="6639" w:hanging="0"/>
        <w:jc w:val="left"/>
        <w:rPr/>
      </w:pPr>
      <w:r>
        <w:rPr>
          <w:sz w:val="21"/>
        </w:rPr>
        <w:t xml:space="preserve">Účastník tematického </w:t>
      </w:r>
      <w:r>
        <w:rPr>
          <w:b/>
          <w:i/>
          <w:sz w:val="24"/>
        </w:rPr>
        <w:t xml:space="preserve">dialogu o této zprávě </w:t>
      </w:r>
    </w:p>
    <w:p>
      <w:pPr>
        <w:pStyle w:val="P68B1DB1Normal104"/>
        <w:widowControl w:val="false"/>
        <w:spacing w:lineRule="exact" w:line="257" w:before="178" w:after="0"/>
        <w:ind w:left="0" w:right="56" w:hanging="0"/>
        <w:jc w:val="left"/>
        <w:rPr/>
      </w:pPr>
      <w:r>
        <w:rPr/>
        <w:t xml:space="preserve">Na základě myšlenek a stanovisek, které jsme shromáždili v posledních měsících, jsme vypracovali řadu doporučení, která nizozemští občané předkládají Evropské unii. Během diskusí mezi nizozemskými občany proběhla zajímavá výměna názorů a byly předloženy inovativní nápady. Návrhy byly rovněž předloženy prostřednictvím panelu a veřejného šetření. Některé z těchto myšlenek byly začleněny do této zprávy. Obsah této zprávy je proto hlasem Nizozemska: naše vize Evropy. </w:t>
      </w:r>
    </w:p>
    <w:p>
      <w:pPr>
        <w:pStyle w:val="P68B1DB1Normal104"/>
        <w:widowControl w:val="false"/>
        <w:spacing w:lineRule="exact" w:line="339" w:before="34" w:after="0"/>
        <w:ind w:left="0" w:right="0" w:hanging="0"/>
        <w:jc w:val="left"/>
        <w:rPr>
          <w:rFonts w:ascii="Calibri" w:hAnsi="Calibri"/>
          <w:color w:val="000000"/>
          <w:sz w:val="21"/>
        </w:rPr>
      </w:pPr>
      <w:r>
        <w:rPr/>
        <w:t xml:space="preserve"> </w:t>
      </w:r>
    </w:p>
    <w:p>
      <w:pPr>
        <w:pStyle w:val="Normal"/>
        <w:widowControl w:val="false"/>
        <w:spacing w:lineRule="exact" w:line="256" w:before="32" w:after="0"/>
        <w:ind w:left="0" w:right="16" w:hanging="0"/>
        <w:jc w:val="left"/>
        <w:rPr/>
      </w:pPr>
      <w:r>
        <w:rPr>
          <w:rFonts w:ascii="Calibri" w:hAnsi="Calibri"/>
          <w:color w:val="000000"/>
          <w:sz w:val="21"/>
        </w:rPr>
        <w:t xml:space="preserve">Stejně jako existují rozdíly v názorech mezi zeměmi a evropskými občany, také ne vždy mezi sebou v Nizozemsku souhlasíme. Právě tyto rozdíly v názorech jsou cenné: jsou důležitým rysem demokracie. Doporučení vycházejí z nejčastěji vyjádřených myšlenek a názorů účastníků průzkumu Vision of Europe. Popisujeme také obavy, myšlenky a pocity, které mohou být méně rozšířené, ale které upoutaly naši pozornost během dialogů a on-line průzkumu. </w:t>
      </w:r>
      <w:r>
        <w:br w:type="page"/>
      </w:r>
    </w:p>
    <w:p>
      <w:pPr>
        <w:pStyle w:val="P68B1DB1Normal113"/>
        <w:spacing w:lineRule="auto" w:line="240"/>
        <w:rPr/>
      </w:pPr>
      <w:r>
        <w:rPr/>
        <w:t xml:space="preserve">Bylo hezké mluvit v malých skupinách s příznivci a odpůrci. Je to velmi odlišné od toho, jak se diskuse obvykle konají na sociálních sítích. </w:t>
      </w:r>
    </w:p>
    <w:p>
      <w:pPr>
        <w:pStyle w:val="P68B1DB1Normal76"/>
        <w:widowControl w:val="false"/>
        <w:spacing w:lineRule="auto" w:line="240" w:before="267" w:after="0"/>
        <w:ind w:left="0" w:right="0" w:hanging="0"/>
        <w:jc w:val="left"/>
        <w:rPr/>
      </w:pPr>
      <w:r>
        <w:rPr>
          <w:rFonts w:ascii="Calibri" w:hAnsi="Calibri"/>
          <w:sz w:val="21"/>
        </w:rPr>
        <w:t>Účast na tematickém dialogu</w:t>
      </w:r>
      <w:r>
        <w:rPr>
          <w:rFonts w:ascii="Times New Roman" w:hAnsi="Times New Roman"/>
          <w:sz w:val="24"/>
        </w:rPr>
        <w:t xml:space="preserve">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4"/>
        <w:widowControl w:val="false"/>
        <w:spacing w:lineRule="auto" w:line="240"/>
        <w:ind w:left="0" w:right="54" w:hanging="0"/>
        <w:jc w:val="left"/>
        <w:rPr/>
      </w:pPr>
      <w:r>
        <w:rPr/>
        <w:t xml:space="preserve">Pro konferenci o budoucnosti Evropy bylo určeno devět témat. Tato témata jsou rovněž jádrem dialogu o vizi Evropy s nizozemskými občany. V říjnu jsme zveřejnili průběžnou zprávu s úvodním přehledem výsledků a doplňujícími otázkami na základě panelového průzkumu. V této druhé zprávě uvádíme stanoviska, nápady a doporučení k prvním pěti tématům pro plenární zasedání Konference o budoucnosti Evropy v prosinci. Následující zpráva, která se bude zabývat zbývajícími čtyřmi tématy, bude zveřejněna v polovině ledna. </w:t>
      </w:r>
    </w:p>
    <w:p>
      <w:pPr>
        <w:pStyle w:val="Normal"/>
        <w:rPr/>
      </w:pPr>
      <w:r>
        <w:rPr/>
        <w:t xml:space="preserve">Aktuální zpráva – prosinec 2021 </w:t>
      </w:r>
    </w:p>
    <w:p>
      <w:pPr>
        <w:pStyle w:val="P68B1DB1Normal105"/>
        <w:widowControl w:val="false"/>
        <w:spacing w:lineRule="auto" w:line="240" w:before="125" w:after="0"/>
        <w:ind w:left="0" w:right="0" w:hanging="0"/>
        <w:jc w:val="left"/>
        <w:rPr/>
      </w:pPr>
      <w:r>
        <w:rPr>
          <w:rFonts w:ascii="Verdana" w:hAnsi="Verdana"/>
        </w:rPr>
        <w:t>•</w:t>
      </w:r>
      <w:r>
        <w:rPr/>
        <w:t xml:space="preserve"> </w:t>
      </w:r>
      <w:r>
        <w:rPr>
          <w:rFonts w:ascii="Calibri" w:hAnsi="Calibri"/>
        </w:rPr>
        <w:t xml:space="preserve">Hodnoty a práva, právní stát a bezpečnost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Silnější hospodářství, sociální spravedlnost a zaměstnanost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Evropská demokracie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Digitální transformace </w:t>
      </w:r>
    </w:p>
    <w:p>
      <w:pPr>
        <w:pStyle w:val="P68B1DB1Normal105"/>
        <w:widowControl w:val="false"/>
        <w:spacing w:lineRule="auto" w:line="240" w:before="5" w:after="0"/>
        <w:ind w:left="0" w:right="0" w:hanging="0"/>
        <w:jc w:val="left"/>
        <w:rPr/>
      </w:pPr>
      <w:r>
        <w:rPr>
          <w:rFonts w:ascii="Verdana" w:hAnsi="Verdana"/>
        </w:rPr>
        <w:t>•</w:t>
      </w:r>
      <w:r>
        <w:rPr/>
        <w:t xml:space="preserve"> </w:t>
      </w:r>
      <w:r>
        <w:rPr>
          <w:rFonts w:ascii="Calibri" w:hAnsi="Calibri"/>
        </w:rPr>
        <w:t xml:space="preserve">Vzdělávání, kultura, mládež a sport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69"/>
        <w:widowControl w:val="false"/>
        <w:spacing w:lineRule="auto" w:line="240"/>
        <w:ind w:left="0" w:right="0" w:hanging="0"/>
        <w:jc w:val="left"/>
        <w:rPr>
          <w:rFonts w:ascii="Calibri" w:hAnsi="Calibri"/>
          <w:b/>
          <w:b/>
          <w:color w:val="000000"/>
          <w:sz w:val="20"/>
        </w:rPr>
      </w:pPr>
      <w:r>
        <w:rPr/>
        <w:t xml:space="preserve">Příští zpráva – leden 2022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Změna klimatu a životní prostředí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Migrace </w:t>
      </w:r>
    </w:p>
    <w:p>
      <w:pPr>
        <w:pStyle w:val="P68B1DB1Normal105"/>
        <w:widowControl w:val="false"/>
        <w:spacing w:lineRule="auto" w:line="240" w:before="5" w:after="0"/>
        <w:ind w:left="0" w:right="0" w:hanging="0"/>
        <w:jc w:val="left"/>
        <w:rPr/>
      </w:pPr>
      <w:r>
        <w:rPr>
          <w:rFonts w:ascii="Verdana" w:hAnsi="Verdana"/>
        </w:rPr>
        <w:t>•</w:t>
      </w:r>
      <w:r>
        <w:rPr/>
        <w:t xml:space="preserve"> </w:t>
      </w:r>
      <w:r>
        <w:rPr>
          <w:rFonts w:ascii="Calibri" w:hAnsi="Calibri"/>
        </w:rPr>
        <w:t xml:space="preserve">Zdraví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EU ve světě </w:t>
      </w:r>
    </w:p>
    <w:p>
      <w:pPr>
        <w:pStyle w:val="P68B1DB1Normal108"/>
        <w:widowControl w:val="false"/>
        <w:spacing w:lineRule="auto" w:line="240" w:before="35" w:after="0"/>
        <w:ind w:left="0" w:right="0" w:hanging="0"/>
        <w:jc w:val="left"/>
        <w:rPr>
          <w:rFonts w:ascii="Calibri" w:hAnsi="Calibri"/>
          <w:b/>
          <w:b/>
          <w:i/>
          <w:i/>
          <w:color w:val="000000"/>
          <w:sz w:val="24"/>
        </w:rPr>
      </w:pPr>
      <w:r>
        <w:rPr/>
        <w:t xml:space="preserve">Další kroky </w:t>
      </w:r>
    </w:p>
    <w:p>
      <w:pPr>
        <w:pStyle w:val="P68B1DB1Normal105"/>
        <w:widowControl w:val="false"/>
        <w:spacing w:lineRule="auto" w:line="240" w:before="125" w:after="0"/>
        <w:ind w:left="0" w:right="0" w:hanging="0"/>
        <w:jc w:val="left"/>
        <w:rPr/>
      </w:pPr>
      <w:r>
        <w:rPr>
          <w:rFonts w:ascii="Verdana" w:hAnsi="Verdana"/>
        </w:rPr>
        <w:t>•</w:t>
      </w:r>
      <w:r>
        <w:rPr/>
        <w:t xml:space="preserve"> </w:t>
      </w:r>
      <w:r>
        <w:rPr>
          <w:rFonts w:ascii="Calibri" w:hAnsi="Calibri"/>
        </w:rPr>
        <w:t xml:space="preserve">Konference o budoucnosti Evropy sdružuje myšlenky, stanoviska a doporučení všech občanů EU. Setkání budou věnována nejen výsledkům všech dialogů s občany na vnitrostátní úrovni, ale také výsledkům dalších iniciativ zahájených v souvislosti s konferencí. Existují například panely evropských občanů a všichni občané EU (včetně nizozemských občanů) mají přístup k evropské digitální platformě. </w:t>
      </w:r>
    </w:p>
    <w:p>
      <w:pPr>
        <w:pStyle w:val="P68B1DB1Normal113"/>
        <w:widowControl w:val="false"/>
        <w:spacing w:lineRule="auto" w:line="240" w:before="203" w:after="0"/>
        <w:ind w:left="1080" w:right="1083" w:hanging="0"/>
        <w:jc w:val="center"/>
        <w:rPr/>
      </w:pPr>
      <w:r>
        <w:rPr/>
        <w:t>„</w:t>
      </w:r>
      <w:r>
        <w:rPr/>
        <w:t xml:space="preserve">Je dobře, že EU tuto iniciativu přijímá. Doufám, že výsledky budou skutečně zohledněny. </w:t>
      </w:r>
    </w:p>
    <w:p>
      <w:pPr>
        <w:pStyle w:val="P68B1DB1Normal104"/>
        <w:widowControl w:val="false"/>
        <w:spacing w:lineRule="auto" w:line="240" w:before="307" w:after="0"/>
        <w:ind w:left="0" w:right="0" w:hanging="0"/>
        <w:jc w:val="left"/>
        <w:rPr>
          <w:rFonts w:ascii="Calibri" w:hAnsi="Calibri"/>
          <w:color w:val="000000"/>
          <w:sz w:val="21"/>
        </w:rPr>
      </w:pPr>
      <w:r>
        <w:rPr/>
        <w:t xml:space="preserve">Účast na tematickém dialogu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Konference skončí na jaře 2022. Nizozemsko poté vypracuje závěrečnou zprávu o dialogu s občany: shrnutí této zprávy a následující zprávy (včetně dalších témat). V návaznosti na konferenci budou předsedovi konference předložena doporučení: předsedové Evropského parlamentu, Rady ministrů a Evropské komise. Zavázali se prozkoumat způsoby a způsoby provádění doporučení. Pro nizozemskou vládu jsou výsledky rovněž cenným příspěvkem k rozvoji evropské politiky Nizozemska. </w:t>
      </w:r>
    </w:p>
    <w:p>
      <w:pPr>
        <w:pStyle w:val="Normal"/>
        <w:widowControl w:val="false"/>
        <w:spacing w:lineRule="auto" w:line="240"/>
        <w:ind w:left="0" w:right="0" w:hanging="0"/>
        <w:jc w:val="left"/>
        <w:rPr/>
      </w:pPr>
      <w:r>
        <w:rPr>
          <w:rFonts w:ascii="Verdana" w:hAnsi="Verdana"/>
          <w:color w:val="000000"/>
          <w:sz w:val="21"/>
        </w:rPr>
        <w:t>•</w:t>
      </w:r>
      <w:r>
        <w:rPr>
          <w:color w:val="000000"/>
          <w:sz w:val="21"/>
        </w:rPr>
        <w:t xml:space="preserve"> </w:t>
      </w:r>
      <w:r>
        <w:rPr>
          <w:rFonts w:ascii="Calibri" w:hAnsi="Calibri"/>
          <w:color w:val="000000"/>
          <w:sz w:val="21"/>
        </w:rPr>
        <w:t xml:space="preserve">Stručně řečeno, proces do jara 2022 bude uspořádán takto: </w:t>
      </w:r>
      <w:r>
        <w:br w:type="page"/>
      </w:r>
    </w:p>
    <w:p>
      <w:pPr>
        <w:pStyle w:val="P68B1DB1Normal107"/>
        <w:spacing w:lineRule="auto" w:line="240"/>
        <w:rPr/>
      </w:pPr>
      <w:r>
        <w:rPr/>
        <w:t xml:space="preserve">Chronologie </w:t>
      </w:r>
    </w:p>
    <w:p>
      <w:pPr>
        <w:pStyle w:val="P68B1DB1Normal114"/>
        <w:spacing w:lineRule="auto" w:line="240"/>
        <w:rPr/>
      </w:pPr>
      <w:r>
        <w:rPr/>
        <w:t xml:space="preserve">Vize Evropy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75"/>
        <w:gridCol w:w="1633"/>
        <w:gridCol w:w="39"/>
        <w:gridCol w:w="840"/>
        <w:gridCol w:w="719"/>
        <w:gridCol w:w="1480"/>
        <w:gridCol w:w="411"/>
        <w:gridCol w:w="410"/>
        <w:gridCol w:w="1286"/>
        <w:gridCol w:w="564"/>
        <w:gridCol w:w="1580"/>
      </w:tblGrid>
      <w:tr>
        <w:trPr>
          <w:trHeight w:val="851"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První sedmé.</w:t>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12. října</w:t>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22./23. října</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15. listopadu.</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17. a 18. prosince</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21./22. ledna</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22./24. dubna</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81" w:hRule="atLeast"/>
        </w:trPr>
        <w:tc>
          <w:tcPr>
            <w:tcW w:w="3906" w:type="dxa"/>
            <w:gridSpan w:val="5"/>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Sbírání nápadů online</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3231"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Tematické dialogy</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167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Průběžné výsledky (průběžná zpráva)</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Průběžná zpráva o „ekonomice“ a „demokracii“</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Průběžná zpráva „Klima“ a „EU ve světě“</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Závěrečná zpráva „Naše vize pro Evropu“</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209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Zasedání konference</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Zasedání konference</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Zasedání konference</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Ukončení konference</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JAK TO VYPADÁ? </w:t>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 xml:space="preserve">Doporučení pro předsedy </w:t>
              <w:br/>
              <w:t xml:space="preserve">• Evropský parlament </w:t>
              <w:br/>
              <w:t xml:space="preserve">• Evropská komise </w:t>
              <w:br/>
              <w:t>• Rada ministrů</w:t>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962" w:type="dxa"/>
            <w:gridSpan w:val="10"/>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Více názorů a myšlenek o budoucnosti Evropy:</w:t>
            </w:r>
          </w:p>
        </w:tc>
      </w:tr>
      <w:tr>
        <w:trPr>
          <w:trHeight w:val="851" w:hRule="atLeast"/>
        </w:trPr>
        <w:tc>
          <w:tcPr>
            <w:tcW w:w="234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Dialogy s občany</w:t>
            </w:r>
          </w:p>
        </w:tc>
        <w:tc>
          <w:tcPr>
            <w:tcW w:w="8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2610"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Evropské panelové diskuse občanů</w:t>
            </w:r>
          </w:p>
        </w:tc>
        <w:tc>
          <w:tcPr>
            <w:tcW w:w="3840"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Evropská digitální platforma (rovněž pro nizozemské občany)</w:t>
            </w:r>
          </w:p>
        </w:tc>
      </w:tr>
    </w:tbl>
    <w:p>
      <w:pPr>
        <w:pStyle w:val="Normal"/>
        <w:spacing w:lineRule="auto" w:line="240"/>
        <w:rPr/>
      </w:pPr>
      <w:r>
        <w:rPr/>
      </w:r>
    </w:p>
    <w:p>
      <w:pPr>
        <w:pStyle w:val="P68B1DB1Normal107"/>
        <w:spacing w:lineRule="auto" w:line="240"/>
        <w:ind w:left="0" w:right="0" w:hanging="0"/>
        <w:rPr>
          <w:rFonts w:ascii="Calibri" w:hAnsi="Calibri"/>
          <w:i/>
          <w:i/>
          <w:color w:val="000000"/>
          <w:sz w:val="24"/>
        </w:rPr>
      </w:pPr>
      <w:r>
        <w:rPr/>
        <w:t xml:space="preserve">Vysvětlení pro usnadnění čtení </w:t>
      </w:r>
    </w:p>
    <w:p>
      <w:pPr>
        <w:pStyle w:val="P68B1DB1Normal104"/>
        <w:widowControl w:val="false"/>
        <w:spacing w:lineRule="auto" w:line="240" w:before="125" w:after="0"/>
        <w:ind w:left="0" w:right="0" w:hanging="0"/>
        <w:jc w:val="left"/>
        <w:rPr/>
      </w:pPr>
      <w:r>
        <w:rPr/>
        <w:t xml:space="preserve">V této zprávě jsme diskutovali o pěti tématech. Pro každé téma jsme postupně zahrnuli: </w:t>
      </w:r>
    </w:p>
    <w:p>
      <w:pPr>
        <w:pStyle w:val="P68B1DB1Normal104"/>
        <w:widowControl w:val="false"/>
        <w:spacing w:lineRule="auto" w:line="240"/>
        <w:ind w:left="0" w:right="0" w:hanging="0"/>
        <w:jc w:val="left"/>
        <w:rPr>
          <w:rFonts w:ascii="Calibri" w:hAnsi="Calibri"/>
          <w:color w:val="000000"/>
          <w:sz w:val="21"/>
        </w:rPr>
      </w:pPr>
      <w:r>
        <w:rPr/>
        <w:t xml:space="preserve">doporučení založená na všech aspektech dialogu s občany; </w:t>
      </w:r>
    </w:p>
    <w:p>
      <w:pPr>
        <w:pStyle w:val="P68B1DB1Normal104"/>
        <w:widowControl w:val="false"/>
        <w:spacing w:lineRule="auto" w:line="240" w:before="1" w:after="0"/>
        <w:ind w:left="0" w:right="0" w:hanging="0"/>
        <w:jc w:val="left"/>
        <w:rPr/>
      </w:pPr>
      <w:r>
        <w:rPr/>
        <w:t xml:space="preserve">přehled názorů, myšlenek a názorů (online a s fyzickou přítomností) během tematických dialogů a návrhů z on-line průzkumu, a to slovy a obrázky.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rFonts w:ascii="Calibri" w:hAnsi="Calibri"/>
          <w:color w:val="000000"/>
          <w:sz w:val="21"/>
        </w:rPr>
      </w:pPr>
      <w:r>
        <w:rPr/>
        <w:t xml:space="preserve">Popis metodiky použité v průzkumu lze nalézt na konci této zprávy. </w:t>
      </w:r>
    </w:p>
    <w:p>
      <w:pPr>
        <w:pStyle w:val="P68B1DB1Normal19"/>
        <w:widowControl w:val="false"/>
        <w:spacing w:lineRule="exact" w:line="388"/>
        <w:ind w:left="0" w:right="0" w:hanging="0"/>
        <w:jc w:val="left"/>
        <w:rPr>
          <w:rFonts w:ascii="Times New Roman" w:hAnsi="Times New Roman"/>
          <w:color w:val="000000"/>
          <w:sz w:val="24"/>
        </w:rPr>
      </w:pPr>
      <w:r>
        <w:rPr/>
        <w:t xml:space="preserve"> </w:t>
      </w:r>
    </w:p>
    <w:p>
      <w:pPr>
        <w:pStyle w:val="Normal"/>
        <w:spacing w:lineRule="auto" w:line="240"/>
        <w:rPr/>
      </w:pPr>
      <w:r>
        <w:rPr/>
      </w:r>
      <w:r>
        <w:br w:type="page"/>
      </w:r>
    </w:p>
    <w:p>
      <w:pPr>
        <w:pStyle w:val="P68B1DB1Normal117"/>
        <w:spacing w:lineRule="auto" w:line="240"/>
        <w:ind w:left="0" w:right="0" w:hanging="0"/>
        <w:rPr>
          <w:rFonts w:ascii="Calibri" w:hAnsi="Calibri"/>
          <w:b/>
          <w:b/>
          <w:i/>
          <w:i/>
          <w:color w:val="000000"/>
          <w:sz w:val="28"/>
        </w:rPr>
      </w:pPr>
      <w:r>
        <w:rPr/>
        <w:t xml:space="preserve">Hodnoty a práva, právní stát a bezpečnost </w:t>
      </w:r>
    </w:p>
    <w:p>
      <w:pPr>
        <w:pStyle w:val="P68B1DB1Normal104"/>
        <w:widowControl w:val="false"/>
        <w:spacing w:lineRule="auto" w:line="240" w:before="36" w:after="0"/>
        <w:ind w:left="0" w:right="0" w:hanging="0"/>
        <w:jc w:val="both"/>
        <w:rPr/>
      </w:pPr>
      <w:r>
        <w:rPr/>
        <w:t xml:space="preserve">EU monitoruje právní stát ve všech zemích EU a snaží se snížit nerovnosti v rámci EU. EU chce také chránit všechny Evropany před terorismem a zločinem. Za tímto účelem EU zavádí opatření a pravidla a země EU intenzivně spolupracují. </w:t>
      </w:r>
    </w:p>
    <w:p>
      <w:pPr>
        <w:pStyle w:val="P68B1DB1Normal104"/>
        <w:widowControl w:val="false"/>
        <w:spacing w:lineRule="auto" w:line="240" w:before="32" w:after="0"/>
        <w:ind w:left="0" w:right="0" w:hanging="0"/>
        <w:jc w:val="left"/>
        <w:rPr>
          <w:rFonts w:ascii="Calibri" w:hAnsi="Calibri"/>
          <w:color w:val="000000"/>
          <w:sz w:val="21"/>
        </w:rPr>
      </w:pPr>
      <w:r>
        <w:rPr/>
        <w:t xml:space="preserve"> </w:t>
      </w:r>
      <w:r>
        <w:rPr/>
        <w:t xml:space="preserve">Jaká je představa Nizozemska o tom? </w:t>
      </w:r>
    </w:p>
    <w:p>
      <w:pPr>
        <w:pStyle w:val="P68B1DB1Normal19"/>
        <w:widowControl w:val="false"/>
        <w:spacing w:lineRule="auto" w:line="240" w:before="23" w:after="0"/>
        <w:ind w:left="0" w:right="0" w:hanging="0"/>
        <w:jc w:val="left"/>
        <w:rPr>
          <w:rFonts w:ascii="Times New Roman" w:hAnsi="Times New Roman"/>
          <w:color w:val="000000"/>
          <w:sz w:val="24"/>
        </w:rPr>
      </w:pPr>
      <w:r>
        <w:rPr/>
        <w:t xml:space="preserve"> </w:t>
      </w:r>
    </w:p>
    <w:p>
      <w:pPr>
        <w:pStyle w:val="P68B1DB1Normal108"/>
        <w:widowControl w:val="false"/>
        <w:spacing w:lineRule="auto" w:line="240" w:before="18" w:after="0"/>
        <w:ind w:left="0" w:right="0" w:hanging="0"/>
        <w:jc w:val="left"/>
        <w:rPr>
          <w:rFonts w:ascii="Calibri" w:hAnsi="Calibri"/>
          <w:b/>
          <w:b/>
          <w:i/>
          <w:i/>
          <w:color w:val="000000"/>
          <w:sz w:val="24"/>
        </w:rPr>
      </w:pPr>
      <w:r>
        <w:rPr/>
        <w:t xml:space="preserve">Doporučení – Naše vize bezpečnosti a právního státu </w:t>
      </w:r>
    </w:p>
    <w:p>
      <w:pPr>
        <w:pStyle w:val="P68B1DB1Normal69"/>
        <w:widowControl w:val="false"/>
        <w:spacing w:lineRule="auto" w:line="240" w:before="41" w:after="0"/>
        <w:ind w:left="0" w:right="0" w:hanging="0"/>
        <w:jc w:val="left"/>
        <w:rPr/>
      </w:pPr>
      <w:r>
        <w:rPr/>
        <w:t xml:space="preserve">68 % Nizozemců se domnívá, že bezpečnost a právní stát jsou důležitou otázkou a že EU musí v této oblasti zasáhnout. </w:t>
      </w:r>
    </w:p>
    <w:p>
      <w:pPr>
        <w:pStyle w:val="P68B1DB1Normal111"/>
        <w:widowControl w:val="false"/>
        <w:spacing w:lineRule="auto" w:line="240" w:before="16" w:after="0"/>
        <w:ind w:left="0" w:right="0" w:hanging="0"/>
        <w:jc w:val="left"/>
        <w:rPr>
          <w:rFonts w:ascii="Calibri" w:hAnsi="Calibri"/>
          <w:b/>
          <w:b/>
          <w:color w:val="000000"/>
          <w:sz w:val="22"/>
        </w:rPr>
      </w:pPr>
      <w:r>
        <w:rPr/>
        <w:t xml:space="preserve">1. Zajistěte, aby se každý mohl cítit svobodně a bezpečně </w:t>
      </w:r>
    </w:p>
    <w:p>
      <w:pPr>
        <w:pStyle w:val="P68B1DB1Normal104"/>
        <w:widowControl w:val="false"/>
        <w:spacing w:lineRule="auto" w:line="240" w:before="25" w:after="0"/>
        <w:ind w:left="0" w:right="0" w:hanging="0"/>
        <w:jc w:val="left"/>
        <w:rPr/>
      </w:pPr>
      <w:r>
        <w:rPr/>
        <w:t xml:space="preserve">78 % Nizozemců se domnívá, že je důležité, aby EU chránila právní stát a naše základní práva a svobody. A také klademe důraz na ochranu práv spotřebitelů: převážná většina občanů se domnívá, že je dobře, že EU vyžaduje, aby výrobci uváděli stejné informace na etiketách ve všech zemích. Velký počet Holanďanů se však domnívá, že EU musí věnovat pozornost rozdílům v (správních) tradicích a kulturách v Evropě. A to mimo jiné proto, že v opačném případě by bylo obtížné účinně spolupracovat. Domníváme se, že je obzvláště důležité, aby se všichni v Evropě cítili svobodně a bezpečně. To zahrnuje střechu nad hlavou, ale také vzdělání a péči. A to se také týká skutečnosti, že produkty nalezené v evropských obchodech jsou </w:t>
      </w:r>
    </w:p>
    <w:p>
      <w:pPr>
        <w:pStyle w:val="P68B1DB1Normal104"/>
        <w:widowControl w:val="false"/>
        <w:spacing w:lineRule="auto" w:line="240"/>
        <w:ind w:left="0" w:right="0" w:hanging="0"/>
        <w:jc w:val="left"/>
        <w:rPr>
          <w:rFonts w:ascii="Calibri" w:hAnsi="Calibri"/>
          <w:color w:val="000000"/>
          <w:sz w:val="21"/>
        </w:rPr>
      </w:pPr>
      <w:r>
        <w:rPr/>
        <w:t xml:space="preserve">vždycky jsem si byla jistá. </w:t>
      </w:r>
    </w:p>
    <w:p>
      <w:pPr>
        <w:pStyle w:val="P68B1DB1Normal111"/>
        <w:widowControl w:val="false"/>
        <w:spacing w:lineRule="auto" w:line="240" w:before="29" w:after="0"/>
        <w:ind w:left="0" w:right="0" w:hanging="0"/>
        <w:jc w:val="left"/>
        <w:rPr>
          <w:rFonts w:ascii="Calibri" w:hAnsi="Calibri"/>
          <w:b/>
          <w:b/>
          <w:color w:val="000000"/>
          <w:sz w:val="22"/>
        </w:rPr>
      </w:pPr>
      <w:r>
        <w:rPr/>
        <w:t xml:space="preserve">2. Rozšíření EU pouze v případě, že přinese přidanou hodnotu </w:t>
      </w:r>
    </w:p>
    <w:p>
      <w:pPr>
        <w:pStyle w:val="P68B1DB1Normal104"/>
        <w:widowControl w:val="false"/>
        <w:spacing w:lineRule="auto" w:line="240" w:before="25" w:after="0"/>
        <w:ind w:left="0" w:right="0" w:hanging="0"/>
        <w:jc w:val="left"/>
        <w:rPr/>
      </w:pPr>
      <w:r>
        <w:rPr/>
        <w:t xml:space="preserve">44 % Nizozemců si nemyslí, že by EU měla expandovat do více zemí. 25 % je naopak pro rozšíření. Bereme na vědomí, že mezi stávajícími členskými státy již probíhá velká diskuse. Mnoho Holanďanů si myslí, že se musíme nejprve zaměřit na tuto otázku. A pokud se k Unii připojí nové země, musí být skutečně schopny splnit naše podmínky. Dnes i v budoucnu. Mnoho Nizozemců se domnívá, že stávající členské státy musí rovněž vnímat přidanou hodnotu rozšíření. Domníváme se také, že existují i jiné příležitosti, jak spolupracovat jako země pro bezpečnost a stabilitu. Někdy nás například znepokojuje vliv Ruska na země na východní hranici EU. Je důležité, aby EU věnovala pozornost. </w:t>
      </w:r>
    </w:p>
    <w:p>
      <w:pPr>
        <w:pStyle w:val="P68B1DB1Normal19"/>
        <w:widowControl w:val="false"/>
        <w:spacing w:lineRule="auto" w:line="240" w:before="21" w:after="0"/>
        <w:ind w:left="0" w:right="0" w:hanging="0"/>
        <w:jc w:val="left"/>
        <w:rPr>
          <w:rFonts w:ascii="Times New Roman" w:hAnsi="Times New Roman"/>
          <w:color w:val="000000"/>
          <w:sz w:val="24"/>
        </w:rPr>
      </w:pPr>
      <w:r>
        <w:rPr/>
        <w:t xml:space="preserve"> </w:t>
      </w:r>
    </w:p>
    <w:p>
      <w:pPr>
        <w:pStyle w:val="P68B1DB1Normal113"/>
        <w:widowControl w:val="false"/>
        <w:spacing w:lineRule="auto" w:line="240" w:before="28" w:after="0"/>
        <w:ind w:left="0" w:right="0" w:hanging="0"/>
        <w:jc w:val="center"/>
        <w:rPr/>
      </w:pPr>
      <w:r>
        <w:rPr/>
        <w:t>„</w:t>
      </w:r>
      <w:r>
        <w:rPr/>
        <w:t xml:space="preserve">Rozšíření by se nemělo zaměřovat na náklady a přínosy, ale na vizi stability.“ </w:t>
      </w:r>
    </w:p>
    <w:p>
      <w:pPr>
        <w:pStyle w:val="P68B1DB1Normal111"/>
        <w:widowControl w:val="false"/>
        <w:spacing w:lineRule="auto" w:line="240" w:before="40" w:after="0"/>
        <w:ind w:left="0" w:right="0" w:hanging="0"/>
        <w:jc w:val="left"/>
        <w:rPr/>
      </w:pPr>
      <w:r>
        <w:rPr/>
        <w:t xml:space="preserve">3. Spolupráce zejména v boji proti mezinárodní trestné činnosti a terorismu </w:t>
      </w:r>
    </w:p>
    <w:p>
      <w:pPr>
        <w:pStyle w:val="P68B1DB1Normal104"/>
        <w:widowControl w:val="false"/>
        <w:spacing w:lineRule="auto" w:line="240" w:before="26" w:after="0"/>
        <w:ind w:left="0" w:right="0" w:hanging="0"/>
        <w:jc w:val="left"/>
        <w:rPr/>
      </w:pPr>
      <w:r>
        <w:rPr/>
        <w:t xml:space="preserve">68 % nizozemských občanů se domnívá, že bezpečnostní služby EU by měly sdílet své informace. Domníváme se však, že je důležité, aby se země mohly i nadále rozhodovat o tom, jaké informace chtějí poskytnout nebo ne. Sdílení všech informací rychle činí spolupráci neúčinnou. A EU je dnes tak velká, že musíme i nadále kriticky zkoumat, kam citlivé informace přicházejí nebo se pravděpodobně stanou. Chceme nadále věřit, že naše soukromí je chráněno. Domníváme se, že má smysl především spolupracovat v boji proti závažné mezinárodní trestné činnosti, jako je kyberkriminalita, obchod s drogami a terorismus. </w:t>
      </w:r>
    </w:p>
    <w:p>
      <w:pPr>
        <w:pStyle w:val="P68B1DB1Normal113"/>
        <w:widowControl w:val="false"/>
        <w:spacing w:lineRule="auto" w:line="240" w:before="28" w:after="0"/>
        <w:ind w:left="0" w:right="0" w:hanging="0"/>
        <w:jc w:val="center"/>
        <w:rPr/>
      </w:pPr>
      <w:r>
        <w:rPr/>
        <w:t xml:space="preserve">Pokud jednou spálíte červené světlo v Nizozemsku, není opravdu žádný důvod, aby to bylo ve Španělsku známo. </w:t>
      </w:r>
    </w:p>
    <w:p>
      <w:pPr>
        <w:pStyle w:val="P68B1DB1Normal19"/>
        <w:widowControl w:val="false"/>
        <w:spacing w:lineRule="auto" w:line="240" w:before="44" w:after="0"/>
        <w:ind w:left="0" w:right="0" w:hanging="0"/>
        <w:jc w:val="left"/>
        <w:rPr>
          <w:rFonts w:ascii="Times New Roman" w:hAnsi="Times New Roman"/>
          <w:color w:val="000000"/>
          <w:sz w:val="24"/>
        </w:rPr>
      </w:pPr>
      <w:r>
        <w:rPr/>
        <w:t xml:space="preserve"> </w:t>
      </w:r>
    </w:p>
    <w:p>
      <w:pPr>
        <w:pStyle w:val="P68B1DB1Normal108"/>
        <w:spacing w:lineRule="auto" w:line="240"/>
        <w:ind w:left="0" w:right="0" w:hanging="0"/>
        <w:rPr>
          <w:rFonts w:ascii="Calibri" w:hAnsi="Calibri"/>
          <w:b/>
          <w:b/>
          <w:i/>
          <w:i/>
          <w:color w:val="000000"/>
          <w:sz w:val="24"/>
        </w:rPr>
      </w:pPr>
      <w:r>
        <w:rPr/>
        <w:t xml:space="preserve">On-line a on-line diskuse a nápady </w:t>
      </w:r>
    </w:p>
    <w:p>
      <w:pPr>
        <w:pStyle w:val="P68B1DB1Normal118"/>
        <w:widowControl w:val="false"/>
        <w:spacing w:lineRule="auto" w:line="240" w:before="118" w:after="0"/>
        <w:ind w:left="0" w:right="0" w:hanging="0"/>
        <w:jc w:val="left"/>
        <w:rPr>
          <w:rFonts w:ascii="Calibri" w:hAnsi="Calibri"/>
          <w:i/>
          <w:i/>
          <w:color w:val="000000"/>
          <w:sz w:val="21"/>
        </w:rPr>
      </w:pPr>
      <w:r>
        <w:rPr/>
        <w:t xml:space="preserve">Pokud sankcionujete zemi, která nerespektuje pravidla, jsou to nejchudší obyvatelé této země, kteří jsou prvními oběťmi. Proto si myslím, že je lepší mluvit než sankcionovat. </w:t>
      </w:r>
    </w:p>
    <w:p>
      <w:pPr>
        <w:pStyle w:val="P68B1DB1Normal118"/>
        <w:widowControl w:val="false"/>
        <w:spacing w:lineRule="auto" w:line="240" w:before="87" w:after="0"/>
        <w:ind w:left="0" w:right="0" w:hanging="0"/>
        <w:jc w:val="left"/>
        <w:rPr>
          <w:rFonts w:ascii="Calibri" w:hAnsi="Calibri"/>
          <w:i/>
          <w:i/>
          <w:color w:val="000000"/>
          <w:sz w:val="21"/>
        </w:rPr>
      </w:pPr>
      <w:r>
        <w:rPr/>
        <w:t xml:space="preserve">Nejprve musíme zajistit stabilitu ve stávajícím klubu. A pak pomyslete jen na rozšíření. </w:t>
      </w:r>
    </w:p>
    <w:p>
      <w:pPr>
        <w:pStyle w:val="P68B1DB1Normal118"/>
        <w:widowControl w:val="false"/>
        <w:spacing w:lineRule="auto" w:line="240" w:before="85" w:after="0"/>
        <w:ind w:left="0" w:right="392" w:hanging="0"/>
        <w:jc w:val="left"/>
        <w:rPr/>
      </w:pPr>
      <w:r>
        <w:rPr/>
        <w:t xml:space="preserve">Musíme také kriticky zkoumat vlastní právní stát. Určitě existuje jedna nebo druhá porucha. </w:t>
      </w:r>
    </w:p>
    <w:p>
      <w:pPr>
        <w:pStyle w:val="P68B1DB1Normal118"/>
        <w:widowControl w:val="false"/>
        <w:spacing w:lineRule="auto" w:line="240" w:before="85" w:after="0"/>
        <w:ind w:left="0" w:right="244" w:hanging="0"/>
        <w:jc w:val="left"/>
        <w:rPr/>
      </w:pPr>
      <w:r>
        <w:rPr/>
        <w:t xml:space="preserve">NÁPAD: „Stanovit přísná pravidla integrity pro politiky v celé Evropě, aby se zabránilo jejich příliš snadnému ovlivňování.“ </w:t>
      </w:r>
    </w:p>
    <w:p>
      <w:pPr>
        <w:pStyle w:val="P68B1DB1Normal118"/>
        <w:widowControl w:val="false"/>
        <w:spacing w:lineRule="auto" w:line="240" w:before="85" w:after="0"/>
        <w:ind w:left="0" w:right="0" w:hanging="0"/>
        <w:jc w:val="left"/>
        <w:rPr>
          <w:rFonts w:ascii="Calibri" w:hAnsi="Calibri"/>
          <w:i/>
          <w:i/>
          <w:color w:val="000000"/>
          <w:sz w:val="21"/>
        </w:rPr>
      </w:pPr>
      <w:r>
        <w:rPr/>
        <w:t xml:space="preserve">NÁPAD: „Posílit spolupráci mezi policií a soudnictvím v zemích EU.“ </w:t>
      </w:r>
    </w:p>
    <w:p>
      <w:pPr>
        <w:pStyle w:val="P68B1DB1Normal111"/>
        <w:widowControl w:val="false"/>
        <w:spacing w:lineRule="auto" w:line="240" w:before="84" w:after="0"/>
        <w:ind w:left="0" w:right="67" w:hanging="0"/>
        <w:jc w:val="left"/>
        <w:rPr/>
      </w:pPr>
      <w:r>
        <w:rPr/>
        <w:t xml:space="preserve">Doetinchem Studenti středních škol: Ti, kteří chtějí být součástí EU, musí dodržovat pravidla. </w:t>
      </w:r>
    </w:p>
    <w:p>
      <w:pPr>
        <w:pStyle w:val="P68B1DB1Normal104"/>
        <w:widowControl w:val="false"/>
        <w:spacing w:lineRule="auto" w:line="240" w:before="100" w:after="0"/>
        <w:ind w:left="0" w:right="0" w:hanging="0"/>
        <w:jc w:val="left"/>
        <w:rPr/>
      </w:pPr>
      <w:r>
        <w:rPr/>
        <w:t xml:space="preserve">Na Graafschap College v Doetinchem diskutovalo asi 20 studentů ošetřovatelství o otázce, jaké jsou podle jejich názoru největší přínosy EU: volný trh, euro jako společná měna a skutečnost, že jako Evropan se může snadno usadit a pracovat v jiných zemích EU. A skutečnost, že se země EU mohou vzájemně podporovat. Unie je silná," řekl jeden z přítomných studentů. Diskutovalo se také o důležitosti pravidel. Pokud je země nerespektují, je často obtížné je tvrdě potrestat. Podle studentů by mohlo být užitečné, aby se to stalo trochu jednodušším. Jeden z nich také zmínil odstrašující účinek. Pokud uvalíte přísné sankce, ostatní země vidí, co se může stát, když nebudete dodržovat pravidla. </w:t>
      </w:r>
    </w:p>
    <w:p>
      <w:pPr>
        <w:pStyle w:val="P68B1DB1Normal111"/>
        <w:widowControl w:val="false"/>
        <w:spacing w:lineRule="auto" w:line="240" w:before="88" w:after="0"/>
        <w:ind w:left="0" w:right="0" w:hanging="0"/>
        <w:jc w:val="left"/>
        <w:rPr>
          <w:rFonts w:ascii="Calibri" w:hAnsi="Calibri"/>
          <w:b/>
          <w:b/>
          <w:color w:val="000000"/>
          <w:sz w:val="22"/>
        </w:rPr>
      </w:pPr>
      <w:r>
        <w:rPr/>
        <w:t xml:space="preserve">Hindutanis ze Surinamu do Utrechtu: Důvěra v právní stát někdy chybí </w:t>
      </w:r>
    </w:p>
    <w:p>
      <w:pPr>
        <w:pStyle w:val="Normal"/>
        <w:widowControl w:val="false"/>
        <w:spacing w:lineRule="auto" w:line="240" w:before="97" w:after="0"/>
        <w:ind w:left="0" w:right="34" w:hanging="0"/>
        <w:jc w:val="left"/>
        <w:rPr/>
      </w:pPr>
      <w:r>
        <w:rPr>
          <w:rFonts w:ascii="Calibri" w:hAnsi="Calibri"/>
          <w:color w:val="000000"/>
          <w:sz w:val="21"/>
        </w:rPr>
        <w:t xml:space="preserve">Asha Foundation je organizace Hindustanis dobrovolníků ze Surinamu v obci Utrecht. Účastníci tematického dialogu diskutovali zejména o významu práv občanů: právo mít střechu nad hlavou, ale také například právo na nediskriminaci. Podle přítomných dobrovolníků musí existovat pravidla, která tato práva chrání pro všechny evropské občany. Není vždy známo, co je v současné době regulováno v Nizozemsku a co je v současné době regulováno na evropské úrovni. V důsledku toho je někdy obtížné mít důvěru ve veřejné orgány. Zejména proto, že v rámci orgánů veřejné správy někdy dochází k určitým poruchám. „Můžete říci, že úřady mě musí bránit, ale někdy se jim podaří zasít pádlo, jak tomu bylo v případě příplatků,“ řekl jeden z účastníků. „EU by měla zajistit, aby pravidla byla skutečně dodržována,“ uvedl další účastník. </w:t>
      </w:r>
      <w:r>
        <w:br w:type="page"/>
      </w:r>
    </w:p>
    <w:p>
      <w:pPr>
        <w:pStyle w:val="P68B1DB1Normal117"/>
        <w:spacing w:lineRule="auto" w:line="240"/>
        <w:ind w:left="0" w:right="0" w:hanging="0"/>
        <w:rPr>
          <w:rFonts w:ascii="Calibri" w:hAnsi="Calibri"/>
          <w:b/>
          <w:b/>
          <w:i/>
          <w:i/>
          <w:color w:val="000000"/>
          <w:sz w:val="28"/>
        </w:rPr>
      </w:pPr>
      <w:r>
        <w:rPr/>
        <w:t xml:space="preserve">Silnější ekonomika, sociální spravedlnost a zaměstnanost </w:t>
      </w:r>
    </w:p>
    <w:p>
      <w:pPr>
        <w:pStyle w:val="P68B1DB1Normal104"/>
        <w:widowControl w:val="false"/>
        <w:spacing w:lineRule="auto" w:line="240" w:before="139" w:after="0"/>
        <w:ind w:left="0" w:right="0" w:hanging="0"/>
        <w:jc w:val="left"/>
        <w:rPr/>
      </w:pPr>
      <w:r>
        <w:rPr/>
        <w:t xml:space="preserve">Malé a střední podniky jsou páteří evropského hospodářství. EU proto chce, aby země EU spolupracovaly na plánech obnovy tak, aby se z krize COVID-19 vynořily ekonomicky silnější. Z dlouhodobého hlediska je cílem EU učinit evropské hospodářství zdravější, ekologičtější a digitální. Jaká je představa Nizozemska o tom?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8"/>
        <w:widowControl w:val="false"/>
        <w:spacing w:lineRule="auto" w:line="240" w:before="18" w:after="0"/>
        <w:ind w:left="0" w:right="0" w:hanging="0"/>
        <w:jc w:val="left"/>
        <w:rPr>
          <w:rFonts w:ascii="Calibri" w:hAnsi="Calibri"/>
          <w:b/>
          <w:b/>
          <w:i/>
          <w:i/>
          <w:color w:val="000000"/>
          <w:sz w:val="24"/>
        </w:rPr>
      </w:pPr>
      <w:r>
        <w:rPr/>
        <w:t xml:space="preserve">Doporučení – Naše vize hospodářství a zaměstnanosti </w:t>
      </w:r>
    </w:p>
    <w:p>
      <w:pPr>
        <w:pStyle w:val="P68B1DB1Normal35"/>
        <w:widowControl w:val="false"/>
        <w:spacing w:lineRule="auto" w:line="240" w:before="123" w:after="0"/>
        <w:ind w:left="0" w:right="0" w:hanging="0"/>
        <w:jc w:val="left"/>
        <w:rPr/>
      </w:pPr>
      <w:r>
        <w:rPr>
          <w:rFonts w:ascii="Calibri" w:hAnsi="Calibri"/>
          <w:sz w:val="20"/>
        </w:rPr>
        <w:t>61 % Nizozemců se domnívá, že hospodářství a zaměstnanost jsou důležitým tématem a že EU musí v této oblasti zasáhnout.</w:t>
      </w:r>
      <w:r>
        <w:rPr>
          <w:rFonts w:ascii="Times New Roman" w:hAnsi="Times New Roman"/>
          <w:sz w:val="24"/>
        </w:rPr>
        <w:t xml:space="preserve"> </w:t>
      </w:r>
    </w:p>
    <w:p>
      <w:pPr>
        <w:pStyle w:val="P68B1DB1Normal111"/>
        <w:widowControl w:val="false"/>
        <w:spacing w:lineRule="auto" w:line="240" w:before="6" w:after="0"/>
        <w:ind w:left="0" w:right="0" w:hanging="0"/>
        <w:jc w:val="left"/>
        <w:rPr>
          <w:rFonts w:ascii="Calibri" w:hAnsi="Calibri"/>
          <w:b/>
          <w:b/>
          <w:color w:val="000000"/>
          <w:sz w:val="22"/>
        </w:rPr>
      </w:pPr>
      <w:r>
        <w:rPr/>
        <w:t xml:space="preserve">1. Vzít v úvahu společné rysy a rozdíly </w:t>
      </w:r>
    </w:p>
    <w:p>
      <w:pPr>
        <w:pStyle w:val="P68B1DB1Normal104"/>
        <w:widowControl w:val="false"/>
        <w:spacing w:lineRule="auto" w:line="240" w:before="97" w:after="0"/>
        <w:ind w:left="0" w:right="0" w:hanging="0"/>
        <w:jc w:val="left"/>
        <w:rPr/>
      </w:pPr>
      <w:r>
        <w:rPr/>
        <w:t xml:space="preserve">71 % Nizozemců se domnívá, že EU by měla zajistit větší spolupráci podniků, a posílit tak evropské hospodářství. Z těchto lidí si však jen malá část myslí, že EU musí podnikům platit více peněz. Především se domníváme, že spolupráce může být efektivnější. Dnes vidíme, že různé společnosti investují do stejné nové technologie, někdy i z veřejných prostředků. Kdybychom měli evropskou vizi ekonomiky, mohli bychom tyto peníze využívat efektivněji. Při tom je však třeba věnovat zvláštní pozornost rozdílům mezi jednotlivými zeměmi. </w:t>
      </w:r>
    </w:p>
    <w:p>
      <w:pPr>
        <w:pStyle w:val="P68B1DB1Normal113"/>
        <w:widowControl w:val="false"/>
        <w:spacing w:lineRule="auto" w:line="240" w:before="306" w:after="0"/>
        <w:ind w:left="0" w:right="0" w:hanging="0"/>
        <w:jc w:val="center"/>
        <w:rPr/>
      </w:pPr>
      <w:r>
        <w:rPr/>
        <w:t xml:space="preserve">Zemědělství v Nizozemsku je tak moderní. Ne vždy je možné ji srovnávat s ostatními zeměmi. </w:t>
      </w:r>
    </w:p>
    <w:p>
      <w:pPr>
        <w:pStyle w:val="P68B1DB1Normal111"/>
        <w:widowControl w:val="false"/>
        <w:spacing w:lineRule="auto" w:line="240" w:before="297" w:after="0"/>
        <w:ind w:left="0" w:right="0" w:hanging="0"/>
        <w:jc w:val="left"/>
        <w:rPr>
          <w:rFonts w:ascii="Calibri" w:hAnsi="Calibri"/>
          <w:b/>
          <w:b/>
          <w:color w:val="000000"/>
          <w:sz w:val="22"/>
        </w:rPr>
      </w:pPr>
      <w:r>
        <w:rPr/>
        <w:t xml:space="preserve">2. Větší využívání silných stránek Evropy </w:t>
      </w:r>
    </w:p>
    <w:p>
      <w:pPr>
        <w:pStyle w:val="P68B1DB1Normal104"/>
        <w:widowControl w:val="false"/>
        <w:spacing w:lineRule="auto" w:line="240" w:before="97" w:after="0"/>
        <w:ind w:left="0" w:right="0" w:hanging="0"/>
        <w:jc w:val="left"/>
        <w:rPr/>
      </w:pPr>
      <w:r>
        <w:rPr/>
        <w:t>Nizozemci se domnívají, že existuje mnoho příležitostí k posílení evropského hospodářství, ale že je třeba učinit rozhodnutí. Proto se domníváme, že EU by se měla zaměřit především na své silné stránky. Například se domníváme, že Evropa je dobrá v</w:t>
      </w:r>
    </w:p>
    <w:p>
      <w:pPr>
        <w:pStyle w:val="P68B1DB1Normal104"/>
        <w:widowControl w:val="false"/>
        <w:spacing w:lineRule="auto" w:line="240"/>
        <w:ind w:left="0" w:right="0" w:hanging="0"/>
        <w:jc w:val="left"/>
        <w:rPr/>
      </w:pPr>
      <w:r>
        <w:rPr/>
        <w:t xml:space="preserve"> </w:t>
      </w:r>
      <w:r>
        <w:rPr/>
        <w:t xml:space="preserve">oblasti, jako je digitální transformace, udržitelnost a infrastruktura. A co je možná důležitější: chráníme kvalitu a rozmanitost. Právě rozmanitost našeho kontinentu, s různými názory a myšlenkami, musíme mnohem více využívat jako ekonomickou výhodu. To může Evropě umožnit odlišit se například od čínské ekonomiky. </w:t>
      </w:r>
    </w:p>
    <w:p>
      <w:pPr>
        <w:pStyle w:val="P68B1DB1Normal111"/>
        <w:widowControl w:val="false"/>
        <w:spacing w:lineRule="auto" w:line="240" w:before="40" w:after="0"/>
        <w:ind w:left="0" w:right="0" w:hanging="0"/>
        <w:jc w:val="left"/>
        <w:rPr>
          <w:rFonts w:ascii="Calibri" w:hAnsi="Calibri"/>
          <w:b/>
          <w:b/>
          <w:color w:val="000000"/>
          <w:sz w:val="22"/>
        </w:rPr>
      </w:pPr>
      <w:r>
        <w:rPr/>
        <w:t xml:space="preserve">3. Vytvoření spravedlivého a jasného daňového systému </w:t>
      </w:r>
    </w:p>
    <w:p>
      <w:pPr>
        <w:pStyle w:val="P68B1DB1Normal104"/>
        <w:widowControl w:val="false"/>
        <w:spacing w:lineRule="auto" w:line="240" w:before="95" w:after="0"/>
        <w:ind w:left="0" w:right="0" w:hanging="0"/>
        <w:jc w:val="left"/>
        <w:rPr/>
      </w:pPr>
      <w:r>
        <w:rPr/>
        <w:t xml:space="preserve">82 % nizozemských občanů se domnívá, že země EU musí společně zajistit, aby všechny společnosti v EU platily spravedlivé daně. To zahrnuje velmi velké společnosti. Dnes se někdy usadí v jiných zemích z prostého důvodu, že platí méně daní. EU by měla tento jev bojovat, například stanovením minimální sazby pro všechny země. Na druhé straně jsme přesvědčeni, že zdanění je pravomoc, která patří zemím, které mají své vlastní cíle a kontext. Domníváme se, že zdanění je obecně složitá záležitost. Právě z tohoto důvodu bychom chtěli lepší daňový systém, který bude spravedlivý a jasný pro všechny v Evropě. </w:t>
      </w:r>
    </w:p>
    <w:p>
      <w:pPr>
        <w:pStyle w:val="P68B1DB1Normal113"/>
        <w:widowControl w:val="false"/>
        <w:spacing w:lineRule="auto" w:line="240" w:before="256" w:after="0"/>
        <w:ind w:left="0" w:right="0" w:hanging="0"/>
        <w:jc w:val="center"/>
        <w:rPr/>
      </w:pPr>
      <w:r>
        <w:rPr/>
        <w:t xml:space="preserve">Okurky musí mít všude stejný tvar, ale daňová pravidla jsou jiná. Je to šílené, že? </w:t>
      </w:r>
    </w:p>
    <w:p>
      <w:pPr>
        <w:pStyle w:val="P68B1DB1Normal111"/>
        <w:widowControl w:val="false"/>
        <w:spacing w:lineRule="auto" w:line="240" w:before="297" w:after="0"/>
        <w:ind w:left="0" w:right="0" w:hanging="0"/>
        <w:jc w:val="left"/>
        <w:rPr>
          <w:rFonts w:ascii="Calibri" w:hAnsi="Calibri"/>
          <w:b/>
          <w:b/>
          <w:color w:val="000000"/>
          <w:sz w:val="22"/>
        </w:rPr>
      </w:pPr>
      <w:r>
        <w:rPr/>
        <w:t xml:space="preserve">4. Zajistit, aby se mohl zúčastnit každý </w:t>
      </w:r>
    </w:p>
    <w:p>
      <w:pPr>
        <w:pStyle w:val="P68B1DB1Normal104"/>
        <w:widowControl w:val="false"/>
        <w:spacing w:lineRule="auto" w:line="240" w:before="97" w:after="0"/>
        <w:ind w:left="0" w:right="0" w:hanging="0"/>
        <w:jc w:val="left"/>
        <w:rPr/>
      </w:pPr>
      <w:r>
        <w:rPr/>
        <w:t xml:space="preserve">71 % Nizozemců se domnívá, že EU by měla přispět ke zvýšení zaměstnanosti. V tomto ohledu se domníváme, že zvláštní pozornost by měla být věnována určitým skupinám, jako jsou mladí lidé a lidé mimo trh práce. Toho lze dosáhnout prostřednictvím pravidel nebo dotací pro podniky, ale také poskytováním zvláštní podpory zaměstnavatelům a pracovníkům. Uvažujeme například o osvětových aktivitách nebo o velmi praktických otázkách. Je možné, že v některých případech může být tato podpora organizována efektivněji na úrovni EU a v jiných případech může být spíše úkolem než samotnými členskými státy. Země EU by měly v konečném důsledku spolupracovat, aby zajistily rovné příležitosti na evropském trhu práce. </w:t>
      </w:r>
    </w:p>
    <w:p>
      <w:pPr>
        <w:pStyle w:val="P68B1DB1Normal108"/>
        <w:widowControl w:val="false"/>
        <w:spacing w:lineRule="auto" w:line="240" w:before="40" w:after="0"/>
        <w:ind w:left="0" w:right="0" w:hanging="0"/>
        <w:jc w:val="left"/>
        <w:rPr>
          <w:rFonts w:ascii="Calibri" w:hAnsi="Calibri"/>
          <w:b/>
          <w:b/>
          <w:i/>
          <w:i/>
          <w:color w:val="000000"/>
          <w:sz w:val="24"/>
        </w:rPr>
      </w:pPr>
      <w:r>
        <w:rPr/>
        <w:t xml:space="preserve">On-line a on-line diskuse a nápady </w:t>
      </w:r>
    </w:p>
    <w:p>
      <w:pPr>
        <w:pStyle w:val="P68B1DB1Normal118"/>
        <w:widowControl w:val="false"/>
        <w:spacing w:lineRule="auto" w:line="240" w:before="115" w:after="0"/>
        <w:ind w:left="0" w:right="0" w:hanging="0"/>
        <w:jc w:val="left"/>
        <w:rPr>
          <w:rFonts w:ascii="Calibri" w:hAnsi="Calibri"/>
          <w:i/>
          <w:i/>
          <w:color w:val="000000"/>
          <w:sz w:val="21"/>
        </w:rPr>
      </w:pPr>
      <w:r>
        <w:rPr/>
        <w:t xml:space="preserve">Zrychlit automatizaci v Evropě tak, aby zboží, které v současné době pochází z Číny, bylo opět vyrobeno zde. </w:t>
      </w:r>
    </w:p>
    <w:p>
      <w:pPr>
        <w:pStyle w:val="P68B1DB1Normal118"/>
        <w:widowControl w:val="false"/>
        <w:spacing w:lineRule="auto" w:line="240" w:before="85" w:after="0"/>
        <w:ind w:left="0" w:right="0" w:hanging="0"/>
        <w:jc w:val="left"/>
        <w:rPr/>
      </w:pPr>
      <w:r>
        <w:rPr/>
        <w:t xml:space="preserve">Berte revoluci bitcoinů a dalších kryptoměn vážně. Lidé, kteří se o to zajímají, jsou považováni za daňové podvodníky, zatímco tento typ technologie blockchain je budoucností. </w:t>
      </w:r>
    </w:p>
    <w:p>
      <w:pPr>
        <w:pStyle w:val="P68B1DB1Normal118"/>
        <w:widowControl w:val="false"/>
        <w:spacing w:lineRule="auto" w:line="240" w:before="87" w:after="0"/>
        <w:ind w:left="0" w:right="0" w:hanging="0"/>
        <w:jc w:val="left"/>
        <w:rPr/>
      </w:pPr>
      <w:r>
        <w:rPr/>
        <w:t xml:space="preserve">Akcionáři nejsou jedinými hráči v evropské ekonomice. Bez zaměstnanců není nic možné.„“Evropa musí udělat více pro osoby se zdravotním postižením. Dnes je pro ně příliš obtížné najít si vhodnou práci. </w:t>
      </w:r>
    </w:p>
    <w:p>
      <w:pPr>
        <w:pStyle w:val="P68B1DB1Normal118"/>
        <w:widowControl w:val="false"/>
        <w:spacing w:lineRule="auto" w:line="240" w:before="85" w:after="0"/>
        <w:ind w:left="0" w:right="0" w:hanging="0"/>
        <w:jc w:val="left"/>
        <w:rPr/>
      </w:pPr>
      <w:r>
        <w:rPr/>
        <w:t xml:space="preserve">Řada evropských pravidel je složitá a pravidelně se mění. Pro firmy je proto obtížné inovovat. </w:t>
      </w:r>
    </w:p>
    <w:p>
      <w:pPr>
        <w:pStyle w:val="P68B1DB1Normal118"/>
        <w:widowControl w:val="false"/>
        <w:spacing w:lineRule="auto" w:line="240" w:before="85" w:after="0"/>
        <w:ind w:left="0" w:right="0" w:hanging="0"/>
        <w:jc w:val="both"/>
        <w:rPr/>
      </w:pPr>
      <w:r>
        <w:rPr/>
        <w:t xml:space="preserve">V případě transformačních prací v mé firmě mohl můj místní dodavatel začít už dávno. Ale nejdřív jsem musel vyhlásit evropské výběrové řízení. Je to škoda. </w:t>
      </w:r>
    </w:p>
    <w:p>
      <w:pPr>
        <w:pStyle w:val="P68B1DB1Normal111"/>
        <w:widowControl w:val="false"/>
        <w:spacing w:lineRule="auto" w:line="240" w:before="85" w:after="0"/>
        <w:ind w:left="0" w:right="0" w:hanging="0"/>
        <w:jc w:val="both"/>
        <w:rPr>
          <w:rFonts w:ascii="Calibri" w:hAnsi="Calibri"/>
          <w:b/>
          <w:b/>
          <w:color w:val="000000"/>
          <w:sz w:val="22"/>
        </w:rPr>
      </w:pPr>
      <w:r>
        <w:rPr/>
        <w:t xml:space="preserve">Účastníci on-line dialogu: „Společné uvažování o otázce velkých společností“ </w:t>
      </w:r>
    </w:p>
    <w:p>
      <w:pPr>
        <w:pStyle w:val="P68B1DB1Normal104"/>
        <w:widowControl w:val="false"/>
        <w:spacing w:lineRule="auto" w:line="240" w:before="97" w:after="0"/>
        <w:ind w:left="0" w:right="0" w:hanging="0"/>
        <w:jc w:val="left"/>
        <w:rPr/>
      </w:pPr>
      <w:r>
        <w:rPr/>
        <w:t>Během jednoho z on-line tematických dialogů vznikla debata o rostoucí síle velkých společností. Někteří účastníci by si přáli,</w:t>
      </w:r>
      <w:r>
        <w:rPr/>
        <w:commentReference w:id="22"/>
      </w:r>
      <w:r>
        <w:rPr/>
        <w:t xml:space="preserve"> aby EU v tomto ohledu podnikla důraznější kroky. Ve skutečnosti některé společnosti někdy dosahují značných zisků, z nichž díky sofistikovaným uspořádáním platí malé daně. Další účastníci vyzvali k tomu, aby se na věci dívali jako na celek: tyto společnosti vytvářejí vysokou úroveň zaměstnanosti a prospívají národnímu hospodářství. „Neměli byste je pronásledovat,“ řekl někdo. Další účastník se domníval, že je v každém případě důležité, aby se země EU nad touto otázkou společně zamyslely. Velké firmy si v současné době mohou konkurovat mezi zeměmi. Proto musíme jako EU předložit jednotnější frontu. </w:t>
      </w:r>
    </w:p>
    <w:p>
      <w:pPr>
        <w:pStyle w:val="P68B1DB1Normal111"/>
        <w:widowControl w:val="false"/>
        <w:spacing w:lineRule="auto" w:line="240" w:before="97" w:after="0"/>
        <w:ind w:left="0" w:right="0" w:hanging="0"/>
        <w:jc w:val="left"/>
        <w:rPr>
          <w:rFonts w:ascii="Calibri" w:hAnsi="Calibri"/>
          <w:b/>
          <w:b/>
          <w:color w:val="000000"/>
          <w:sz w:val="22"/>
        </w:rPr>
      </w:pPr>
      <w:r>
        <w:rPr/>
        <w:t xml:space="preserve">Zemědělci, kteří berou v úvahu přírodu: „Stanovit cíle spíše než kvóty“ </w:t>
      </w:r>
    </w:p>
    <w:p>
      <w:pPr>
        <w:pStyle w:val="P68B1DB1Normal104"/>
        <w:widowControl w:val="false"/>
        <w:spacing w:lineRule="auto" w:line="240" w:before="95" w:after="0"/>
        <w:ind w:left="0" w:right="0" w:hanging="0"/>
        <w:jc w:val="left"/>
        <w:rPr/>
      </w:pPr>
      <w:r>
        <w:rPr/>
        <w:t xml:space="preserve">BoerenNatuur je sdružení zemědělských skupin. Malá skupina členů diskutovala mimo jiné o pravidlech EU pro zemědělce. Na jedné straně se domnívají, že EU přináší mnoho pozitivních věcí, jako je snadnost vývozu do jiných zemí. Na druhou stranu si myslí, že politiky mohou být často ještě explicitnější. „Ale každý už pracuje stále více stejným směrem,“ řekl o tom někdo. Zejména je možné zlepšit postupy: často jsou velmi administrativní a časově náročné. Podle názoru jednoho účastníka by pravidla neměla být příliš podrobná. Dává přednost jasným cílům, jako je čistá voda. Pak se můžeme sami rozhodnout v důsledku šířky příkopu.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17"/>
        <w:widowControl w:val="false"/>
        <w:spacing w:lineRule="auto" w:line="240"/>
        <w:ind w:left="0" w:right="0" w:hanging="0"/>
        <w:jc w:val="left"/>
        <w:rPr>
          <w:rFonts w:ascii="Calibri" w:hAnsi="Calibri"/>
          <w:b/>
          <w:b/>
          <w:i/>
          <w:i/>
          <w:color w:val="000000"/>
          <w:sz w:val="28"/>
        </w:rPr>
      </w:pPr>
      <w:r>
        <w:rPr/>
        <w:t xml:space="preserve">Evropská demokracie </w:t>
      </w:r>
    </w:p>
    <w:p>
      <w:pPr>
        <w:pStyle w:val="P68B1DB1Normal104"/>
        <w:widowControl w:val="false"/>
        <w:spacing w:lineRule="auto" w:line="240"/>
        <w:ind w:left="0" w:right="0" w:hanging="0"/>
        <w:jc w:val="left"/>
        <w:rPr/>
      </w:pPr>
      <w:r>
        <w:rPr/>
        <w:t xml:space="preserve">EU vybízí Evropany, aby hlasovali, a také je chce zapojit do evropského rozhodování a politik mimo volební období. EU rovněž přijímá iniciativy na posílení demokracie, například vypracováním akčního plánu zaměřeného na svobodné a spravedlivé volby a svobodu tisku. Jaká je představa Nizozemska o tom?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8"/>
        <w:widowControl w:val="false"/>
        <w:spacing w:lineRule="auto" w:line="240" w:before="15" w:after="0"/>
        <w:ind w:left="0" w:right="0" w:hanging="0"/>
        <w:jc w:val="left"/>
        <w:rPr>
          <w:rFonts w:ascii="Calibri" w:hAnsi="Calibri"/>
          <w:b/>
          <w:b/>
          <w:i/>
          <w:i/>
          <w:color w:val="000000"/>
          <w:sz w:val="24"/>
        </w:rPr>
      </w:pPr>
      <w:r>
        <w:rPr/>
        <w:t xml:space="preserve">Doporučení – Naše vize evropské demokracie </w:t>
      </w:r>
    </w:p>
    <w:p>
      <w:pPr>
        <w:pStyle w:val="P68B1DB1Normal69"/>
        <w:widowControl w:val="false"/>
        <w:spacing w:lineRule="auto" w:line="240"/>
        <w:ind w:left="0" w:right="0" w:hanging="0"/>
        <w:jc w:val="left"/>
        <w:rPr/>
      </w:pPr>
      <w:r>
        <w:rPr/>
        <w:t xml:space="preserve">60 % Nizozemců se domnívá, že evropská demokracie je důležitou otázkou a že EU musí v této oblasti zasáhnout. </w:t>
      </w:r>
    </w:p>
    <w:p>
      <w:pPr>
        <w:pStyle w:val="P68B1DB1Normal111"/>
        <w:widowControl w:val="false"/>
        <w:spacing w:lineRule="auto" w:line="240" w:before="13" w:after="0"/>
        <w:ind w:left="0" w:right="0" w:hanging="0"/>
        <w:jc w:val="left"/>
        <w:rPr>
          <w:rFonts w:ascii="Calibri" w:hAnsi="Calibri"/>
          <w:b/>
          <w:b/>
          <w:color w:val="000000"/>
          <w:sz w:val="22"/>
        </w:rPr>
      </w:pPr>
      <w:r>
        <w:rPr/>
        <w:t xml:space="preserve">1. Lepší přehled o Evropě </w:t>
      </w:r>
    </w:p>
    <w:p>
      <w:pPr>
        <w:pStyle w:val="P68B1DB1Normal104"/>
        <w:widowControl w:val="false"/>
        <w:spacing w:lineRule="auto" w:line="240"/>
        <w:ind w:left="0" w:right="0" w:hanging="0"/>
        <w:jc w:val="left"/>
        <w:rPr/>
      </w:pPr>
      <w:r>
        <w:rPr/>
        <w:t xml:space="preserve">Nizozemci poukazují na to, že Evropa se v médiích často objevuje v případě krize. Na druhou stranu máme málo informací o každodenních rozhodnutích. Jako občané nepotřebujeme vědět všechno, ale abychom si vytvořili dobrý názor, bylo by dobré mít lepší přehled. Bylo by například zajímavé slyšet častěji názory jiných zemí na EU. V tomto ohledu mohou hrát důležitou úlohu sdělovací prostředky a vzdělávání. Média však musí být schopna činit svá vlastní rozhodnutí. Protože Holanďané se domnívají, že svoboda tisku je v naší demokracii velmi důležitá. </w:t>
      </w:r>
    </w:p>
    <w:p>
      <w:pPr>
        <w:pStyle w:val="P68B1DB1Normal113"/>
        <w:widowControl w:val="false"/>
        <w:spacing w:lineRule="auto" w:line="240" w:before="184" w:after="0"/>
        <w:ind w:left="0" w:right="0" w:hanging="0"/>
        <w:jc w:val="center"/>
        <w:rPr/>
      </w:pPr>
      <w:r>
        <w:rPr/>
        <w:t>„</w:t>
      </w:r>
      <w:r>
        <w:rPr/>
        <w:t xml:space="preserve">Většinou se o EU dozvídáme pouze v případě krize. Z tohoto důvodu zůstává postoj vůči Evropě negativní. </w:t>
      </w:r>
    </w:p>
    <w:p>
      <w:pPr>
        <w:pStyle w:val="P68B1DB1Normal111"/>
        <w:widowControl w:val="false"/>
        <w:spacing w:lineRule="auto" w:line="240" w:before="153" w:after="0"/>
        <w:ind w:left="0" w:right="0" w:hanging="0"/>
        <w:jc w:val="left"/>
        <w:rPr>
          <w:rFonts w:ascii="Calibri" w:hAnsi="Calibri"/>
          <w:b/>
          <w:b/>
          <w:color w:val="000000"/>
          <w:sz w:val="22"/>
        </w:rPr>
      </w:pPr>
      <w:r>
        <w:rPr/>
        <w:t xml:space="preserve">2. Najděte nové způsoby, jak neustále naslouchat občanům </w:t>
      </w:r>
    </w:p>
    <w:p>
      <w:pPr>
        <w:pStyle w:val="P68B1DB1Normal104"/>
        <w:widowControl w:val="false"/>
        <w:spacing w:lineRule="auto" w:line="240"/>
        <w:ind w:left="0" w:right="0" w:hanging="0"/>
        <w:jc w:val="left"/>
        <w:rPr/>
      </w:pPr>
      <w:r>
        <w:rPr/>
        <w:t xml:space="preserve">51 % Holanďanů se domnívá, že EU si není dostatečně vědoma toho, co se ve společnosti děje. Aby se tato situace zlepšila, měla by se EU častěji a nejlépe trvale zapojit do dialogu s občany. Mnoho Holanďanů se proto domnívá, že konference o budoucnosti Evropy je dobrou iniciativou. Cenným nástrojem mohou být i referenda, ale Nizozemci na to mají rozdílné názory. U některých témat je také někdy nutné mít odborné znalosti. V každém případě by mluvení s občany nemělo být pouhou formalitou. Myslíme si, že je důležité, abychom byli bráni vážně. </w:t>
      </w:r>
    </w:p>
    <w:p>
      <w:pPr>
        <w:pStyle w:val="P68B1DB1Normal111"/>
        <w:widowControl w:val="false"/>
        <w:spacing w:lineRule="auto" w:line="240" w:before="21" w:after="0"/>
        <w:ind w:left="0" w:right="0" w:hanging="0"/>
        <w:jc w:val="left"/>
        <w:rPr>
          <w:rFonts w:ascii="Calibri" w:hAnsi="Calibri"/>
          <w:b/>
          <w:b/>
          <w:color w:val="000000"/>
          <w:sz w:val="22"/>
        </w:rPr>
      </w:pPr>
      <w:r>
        <w:rPr/>
        <w:t xml:space="preserve">3. Větší transparentnost a srozumitelnost přijatých rozhodnutí </w:t>
      </w:r>
    </w:p>
    <w:p>
      <w:pPr>
        <w:pStyle w:val="P68B1DB1Normal104"/>
        <w:widowControl w:val="false"/>
        <w:spacing w:lineRule="auto" w:line="240"/>
        <w:ind w:left="0" w:right="0" w:hanging="0"/>
        <w:jc w:val="left"/>
        <w:rPr/>
      </w:pPr>
      <w:r>
        <w:rPr/>
        <w:t xml:space="preserve">Nizozemci někdy považují Evropu za poměrně komplikovanou. Ne každý má stejnou úroveň základních znalostí. EU musí tuto skutečnost více zohlednit. Chceme, aby se EU stala transparentnější a usnadnila její aktualizaci. V tomto ohledu hrají roli i nizozemské orgány. Mnoho Holanďanů se zajímá o evropská rozhodnutí, ale cítí, že oficiální kanály jsou příliš obtížné najít nebo příliš složité. Každý má navíc jiné zájmy a potřeby. Bylo by proto nezbytné, abychom si mohli vybrat témata, o nichž bychom se chtěli dozvědět více. Mladí lidé se často zajímají o Evropu, ale na svých sociálních sítích o ní vidí jen málo informací. </w:t>
      </w:r>
    </w:p>
    <w:p>
      <w:pPr>
        <w:pStyle w:val="P68B1DB1Normal113"/>
        <w:widowControl w:val="false"/>
        <w:spacing w:lineRule="auto" w:line="240" w:before="184" w:after="0"/>
        <w:ind w:left="0" w:right="0" w:hanging="0"/>
        <w:jc w:val="center"/>
        <w:rPr/>
      </w:pPr>
      <w:r>
        <w:rPr/>
        <w:t xml:space="preserve">Když jsem byl na dovolené v Maďarsku, viděl jsem v blízkosti nové lesní plantáže velké znamení: „Tato plantáž byla možná díky EU.“ I když jsem vůči Evropě skeptický, stále jsem hrdý. </w:t>
      </w:r>
    </w:p>
    <w:p>
      <w:pPr>
        <w:pStyle w:val="P68B1DB1Normal19"/>
        <w:widowControl w:val="false"/>
        <w:spacing w:lineRule="auto" w:line="240" w:before="155" w:after="0"/>
        <w:ind w:left="0" w:right="0" w:hanging="0"/>
        <w:jc w:val="left"/>
        <w:rPr>
          <w:rFonts w:ascii="Times New Roman" w:hAnsi="Times New Roman"/>
          <w:color w:val="000000"/>
          <w:sz w:val="24"/>
        </w:rPr>
      </w:pPr>
      <w:r>
        <w:rPr/>
        <w:t xml:space="preserve"> </w:t>
      </w:r>
    </w:p>
    <w:p>
      <w:pPr>
        <w:pStyle w:val="P68B1DB1Normal111"/>
        <w:widowControl w:val="false"/>
        <w:spacing w:lineRule="auto" w:line="240" w:before="172" w:after="0"/>
        <w:ind w:left="0" w:right="0" w:hanging="0"/>
        <w:jc w:val="left"/>
        <w:rPr>
          <w:rFonts w:ascii="Calibri" w:hAnsi="Calibri"/>
          <w:b/>
          <w:b/>
          <w:color w:val="000000"/>
          <w:sz w:val="22"/>
        </w:rPr>
      </w:pPr>
      <w:r>
        <w:rPr/>
        <w:t xml:space="preserve">4. Zajistit, aby trnité problémy mohly být vyřešeny rychleji </w:t>
      </w:r>
    </w:p>
    <w:p>
      <w:pPr>
        <w:pStyle w:val="P68B1DB1Normal104"/>
        <w:widowControl w:val="false"/>
        <w:spacing w:lineRule="auto" w:line="240"/>
        <w:ind w:left="0" w:right="0" w:hanging="0"/>
        <w:jc w:val="left"/>
        <w:rPr/>
      </w:pPr>
      <w:r>
        <w:rPr/>
        <w:t>Pro Nizozemce je obtížné pochopit, jak funguje evropská demokracie, ale zdá se jim, že rozhodování v EU je často velmi pomalé. Ve volbách do Evropského parlamentu vidíme především spojenectví mezi</w:t>
      </w:r>
      <w:r>
        <w:rPr/>
        <w:commentReference w:id="23"/>
      </w:r>
      <w:r>
        <w:rPr/>
        <w:t xml:space="preserve"> vnitrostátními stranami. Mohou existovat i jiné způsoby, jak řešit evropské zájmy. Asi třetina Holanďanů se domnívá, že ve volbách do Evropského parlamentu by mělo být možné volit zahraniční kandidáty. Zhruba stejný počet občanů se domnívá, že by to nemělo být možné. Nejdůležitější je, že jednotlivé zájmy, které jsou v sázce, jsou dostatečně zohledněny. Zároveň je možné vyřešit trnité problémy rychleji, než je tomu dnes. </w:t>
      </w:r>
    </w:p>
    <w:p>
      <w:pPr>
        <w:pStyle w:val="P68B1DB1Normal113"/>
        <w:widowControl w:val="false"/>
        <w:spacing w:lineRule="auto" w:line="240" w:before="201" w:after="0"/>
        <w:ind w:left="0" w:right="0" w:hanging="0"/>
        <w:jc w:val="center"/>
        <w:rPr/>
      </w:pPr>
      <w:r>
        <w:rPr/>
        <w:t xml:space="preserve">Ve volbách bych si přála, abych se s někým ztotožnila a věděla, co obhajuje. Nemusí to být nutně krajan. </w:t>
      </w:r>
    </w:p>
    <w:p>
      <w:pPr>
        <w:pStyle w:val="P68B1DB1Normal108"/>
        <w:widowControl w:val="false"/>
        <w:spacing w:lineRule="auto" w:line="240" w:before="171" w:after="0"/>
        <w:ind w:left="0" w:right="0" w:hanging="0"/>
        <w:jc w:val="left"/>
        <w:rPr>
          <w:rFonts w:ascii="Calibri" w:hAnsi="Calibri"/>
          <w:b/>
          <w:b/>
          <w:i/>
          <w:i/>
          <w:color w:val="000000"/>
          <w:sz w:val="24"/>
        </w:rPr>
      </w:pPr>
      <w:r>
        <w:rPr/>
        <w:t xml:space="preserve">On-line a on-line diskuse a nápady </w:t>
      </w:r>
    </w:p>
    <w:p>
      <w:pPr>
        <w:pStyle w:val="P68B1DB1Normal118"/>
        <w:widowControl w:val="false"/>
        <w:spacing w:lineRule="auto" w:line="240" w:before="3" w:after="0"/>
        <w:ind w:left="0" w:right="0" w:hanging="0"/>
        <w:jc w:val="left"/>
        <w:rPr>
          <w:rFonts w:ascii="Calibri" w:hAnsi="Calibri"/>
          <w:i/>
          <w:i/>
          <w:color w:val="000000"/>
          <w:sz w:val="21"/>
        </w:rPr>
      </w:pPr>
      <w:r>
        <w:rPr/>
        <w:t xml:space="preserve">Odstraňte právo veta zemí. Většina musí rozhodnout. </w:t>
      </w:r>
    </w:p>
    <w:p>
      <w:pPr>
        <w:pStyle w:val="Normal"/>
        <w:widowControl w:val="false"/>
        <w:spacing w:lineRule="auto" w:line="240" w:before="85" w:after="0"/>
        <w:ind w:left="0" w:right="0" w:hanging="0"/>
        <w:jc w:val="left"/>
        <w:rPr/>
      </w:pPr>
      <w:r>
        <w:rPr>
          <w:rFonts w:ascii="Calibri" w:hAnsi="Calibri"/>
          <w:i/>
          <w:color w:val="000000"/>
          <w:sz w:val="21"/>
        </w:rPr>
        <w:t xml:space="preserve">Pro důležitá rozhodnutí zřídit diskusní skupiny </w:t>
      </w:r>
      <w:commentRangeStart w:id="24"/>
      <w:r>
        <w:rPr>
          <w:rFonts w:ascii="Calibri" w:hAnsi="Calibri"/>
          <w:i/>
          <w:color w:val="000000"/>
          <w:sz w:val="21"/>
        </w:rPr>
        <w:t xml:space="preserve">složené </w:t>
      </w:r>
      <w:r>
        <w:rPr>
          <w:rFonts w:ascii="Calibri" w:hAnsi="Calibri"/>
          <w:i/>
          <w:color w:val="000000"/>
          <w:sz w:val="21"/>
        </w:rPr>
      </w:r>
      <w:commentRangeEnd w:id="24"/>
      <w:r>
        <w:commentReference w:id="24"/>
      </w:r>
      <w:r>
        <w:rPr>
          <w:rFonts w:ascii="Calibri" w:hAnsi="Calibri"/>
          <w:i/>
          <w:color w:val="000000"/>
          <w:sz w:val="21"/>
        </w:rPr>
        <w:t>z občanů, možná na (polo) povinném základě, stejně jako v případě porot ve Spojených státech.</w:t>
      </w:r>
    </w:p>
    <w:p>
      <w:pPr>
        <w:pStyle w:val="P68B1DB1Normal118"/>
        <w:widowControl w:val="false"/>
        <w:spacing w:lineRule="auto" w:line="240" w:before="85" w:after="0"/>
        <w:ind w:left="0" w:right="0" w:hanging="0"/>
        <w:jc w:val="left"/>
        <w:rPr/>
      </w:pPr>
      <w:r>
        <w:rPr/>
        <w:t>„</w:t>
      </w:r>
      <w:r>
        <w:rPr/>
        <w:t xml:space="preserve">Zajistěte, aby politici a úředníci EU pravidelně navštěvovali vnitrozemí“ a nezůstali ve své bruselské bublině zcela uzavřeni. </w:t>
      </w:r>
    </w:p>
    <w:p>
      <w:pPr>
        <w:pStyle w:val="P68B1DB1Normal118"/>
        <w:widowControl w:val="false"/>
        <w:spacing w:lineRule="auto" w:line="240" w:before="85" w:after="0"/>
        <w:ind w:left="0" w:right="0" w:hanging="0"/>
        <w:jc w:val="left"/>
        <w:rPr/>
      </w:pPr>
      <w:r>
        <w:rPr/>
        <w:t xml:space="preserve">NÁPAD: Ve skutečnosti by televizní zprávy měly v každém ze svých vydání věnovat Evropě několik minut. Nebo bychom mohli vydat denní nebo týdenní noviny věnované Evropě. </w:t>
      </w:r>
    </w:p>
    <w:p>
      <w:pPr>
        <w:pStyle w:val="P68B1DB1Normal118"/>
        <w:widowControl w:val="false"/>
        <w:spacing w:lineRule="auto" w:line="240" w:before="85" w:after="0"/>
        <w:ind w:left="0" w:right="0" w:hanging="0"/>
        <w:jc w:val="left"/>
        <w:rPr/>
      </w:pPr>
      <w:r>
        <w:rPr/>
        <w:t xml:space="preserve">NÁPAD: Možná by se evropští politici měli častěji účastnit televizních pořadů. </w:t>
      </w:r>
    </w:p>
    <w:p>
      <w:pPr>
        <w:pStyle w:val="P68B1DB1Normal118"/>
        <w:widowControl w:val="false"/>
        <w:spacing w:lineRule="auto" w:line="240" w:before="85" w:after="0"/>
        <w:ind w:left="0" w:right="0" w:hanging="0"/>
        <w:jc w:val="left"/>
        <w:rPr/>
      </w:pPr>
      <w:r>
        <w:rPr/>
        <w:t xml:space="preserve">Jako mladý člověk jsem téměř nikdy nic o Evropě nečetl. Nicméně, jsem zvědavý vědět více, ale aniž bych musel příliš mnoho úsilí získat informace. </w:t>
      </w:r>
    </w:p>
    <w:p>
      <w:pPr>
        <w:pStyle w:val="P68B1DB1Normal111"/>
        <w:widowControl w:val="false"/>
        <w:spacing w:lineRule="auto" w:line="240" w:before="84" w:after="0"/>
        <w:ind w:left="0" w:right="0" w:hanging="0"/>
        <w:jc w:val="left"/>
        <w:rPr>
          <w:rFonts w:ascii="Calibri" w:hAnsi="Calibri"/>
          <w:b/>
          <w:b/>
          <w:color w:val="000000"/>
          <w:sz w:val="22"/>
        </w:rPr>
      </w:pPr>
      <w:r>
        <w:rPr/>
        <w:t xml:space="preserve">Mladí členové Coalitie-Y v Utrechtu: diskuse o využívání referend </w:t>
      </w:r>
    </w:p>
    <w:p>
      <w:pPr>
        <w:pStyle w:val="P68B1DB1Normal104"/>
        <w:widowControl w:val="false"/>
        <w:spacing w:lineRule="auto" w:line="240"/>
        <w:ind w:left="0" w:right="0" w:hanging="0"/>
        <w:jc w:val="left"/>
        <w:rPr/>
      </w:pPr>
      <w:r>
        <w:rPr/>
        <w:t xml:space="preserve">Členové Coalitie-Y – spolupráce mezi různými mládežnickými organizacemi – vedli živou debatu o využívání referend. Odpůrci zmínili riziko debat, kde je vše černé nebo bílé, zatímco témata jsou často mnohem složitější. Jeden z účastníků dále uvedl: Můžeme hlasovat pro EU a stát se kandidáty. Referenda tuto zásadu podkopávají." Zastánci referenda uvedli, že považují za užitečné, aby tvůrci politik věděli, co si občané myslí o konkrétním tématu: to by mohlo pomoci poskytnout vodítko. Referendum by rovněž mohlo přispět ke zvýšení povědomí veřejnosti o EU jako celku: jaká témata jsou na pořadu jednání a jaká rozhodnutí je třeba učinit? </w:t>
      </w:r>
    </w:p>
    <w:p>
      <w:pPr>
        <w:pStyle w:val="P68B1DB1Normal111"/>
        <w:widowControl w:val="false"/>
        <w:spacing w:lineRule="auto" w:line="240" w:before="38" w:after="0"/>
        <w:ind w:left="0" w:right="0" w:hanging="0"/>
        <w:jc w:val="left"/>
        <w:rPr>
          <w:rFonts w:ascii="Calibri" w:hAnsi="Calibri"/>
          <w:b/>
          <w:b/>
          <w:color w:val="000000"/>
          <w:sz w:val="22"/>
        </w:rPr>
      </w:pPr>
      <w:r>
        <w:rPr/>
        <w:t xml:space="preserve">Sociální dobrovolníci: Je třeba zlepšit vzájemné porozumění mezi jednotlivými zeměmi. </w:t>
      </w:r>
    </w:p>
    <w:p>
      <w:pPr>
        <w:pStyle w:val="Normal"/>
        <w:widowControl w:val="false"/>
        <w:spacing w:lineRule="auto" w:line="240"/>
        <w:ind w:left="0" w:right="0" w:hanging="0"/>
        <w:jc w:val="left"/>
        <w:rPr/>
      </w:pPr>
      <w:r>
        <w:rPr>
          <w:rFonts w:ascii="Calibri" w:hAnsi="Calibri"/>
          <w:color w:val="000000"/>
          <w:sz w:val="21"/>
        </w:rPr>
        <w:t xml:space="preserve">Nadace Piëzo v Zoetermeer se skládá z dobrovolníků, kteří jsou různými způsoby aktivní v oblasti společenské účasti. Účastníci tematického dialogu vyjádřili znepokojení nad rostoucí propastí v Evropě. Jedná se například o názory zemí, které se týkají komunity LGBTIQ osob. Pokud země nerozumí svým názorům, je obtížné spolupracovat. „Z tohoto důvodu je nezbytné se lépe poznat,“ řekl jeden z účastníků. Dnes prostě nevíme, co si lidé myslí v jiných zemích. Nerozumíme dostatečně kultuře a kontextu našich zemí. To je důležité, chceme-li společně činit dobrá rozhodnutí. </w:t>
      </w:r>
      <w:r>
        <w:br w:type="page"/>
      </w:r>
    </w:p>
    <w:p>
      <w:pPr>
        <w:pStyle w:val="P68B1DB1Normal117"/>
        <w:spacing w:lineRule="auto" w:line="240"/>
        <w:ind w:left="0" w:right="0" w:hanging="0"/>
        <w:rPr>
          <w:rFonts w:ascii="Calibri" w:hAnsi="Calibri"/>
          <w:b/>
          <w:b/>
          <w:i/>
          <w:i/>
          <w:color w:val="000000"/>
          <w:sz w:val="28"/>
        </w:rPr>
      </w:pPr>
      <w:r>
        <w:rPr/>
        <w:t xml:space="preserve">Digitální transformace </w:t>
      </w:r>
    </w:p>
    <w:p>
      <w:pPr>
        <w:pStyle w:val="P68B1DB1Normal104"/>
        <w:widowControl w:val="false"/>
        <w:spacing w:lineRule="auto" w:line="240" w:before="62" w:after="0"/>
        <w:ind w:left="0" w:right="0" w:hanging="0"/>
        <w:jc w:val="left"/>
        <w:rPr/>
      </w:pPr>
      <w:r>
        <w:rPr/>
        <w:t xml:space="preserve">Ve virtuálním světě se požadavky na připojení k internetu, bezpečnost a soukromí zvyšují. EU je v tomto ohledu odpovědná a je odhodlána zajistit, aby v digitální společnosti nikdo nezůstal opomenut. Kromě toho EU investuje do digitálních řešení společenských výzev. Jaká je představa Nizozemska o tom? </w:t>
      </w:r>
    </w:p>
    <w:p>
      <w:pPr>
        <w:pStyle w:val="P68B1DB1Normal108"/>
        <w:widowControl w:val="false"/>
        <w:spacing w:lineRule="auto" w:line="240" w:before="57" w:after="0"/>
        <w:ind w:left="0" w:right="0" w:hanging="0"/>
        <w:jc w:val="left"/>
        <w:rPr>
          <w:rFonts w:ascii="Calibri" w:hAnsi="Calibri"/>
          <w:b/>
          <w:b/>
          <w:i/>
          <w:i/>
          <w:color w:val="000000"/>
          <w:sz w:val="24"/>
        </w:rPr>
      </w:pPr>
      <w:r>
        <w:rPr/>
        <w:t xml:space="preserve">Doporučení – Náš virtuální pohled na svět </w:t>
      </w:r>
    </w:p>
    <w:p>
      <w:pPr>
        <w:pStyle w:val="P68B1DB1Normal69"/>
        <w:widowControl w:val="false"/>
        <w:spacing w:lineRule="auto" w:line="240" w:before="65" w:after="0"/>
        <w:ind w:left="0" w:right="0" w:hanging="0"/>
        <w:jc w:val="left"/>
        <w:rPr/>
      </w:pPr>
      <w:r>
        <w:rPr/>
        <w:t xml:space="preserve">45 % Holanďanů se domnívá, že virtuální svět je důležitým tématem a že EU musí v této oblasti zasáhnout. </w:t>
      </w:r>
    </w:p>
    <w:p>
      <w:pPr>
        <w:pStyle w:val="P68B1DB1Normal111"/>
        <w:widowControl w:val="false"/>
        <w:spacing w:lineRule="auto" w:line="240" w:before="47" w:after="0"/>
        <w:ind w:left="0" w:right="0" w:hanging="0"/>
        <w:jc w:val="left"/>
        <w:rPr>
          <w:rFonts w:ascii="Calibri" w:hAnsi="Calibri"/>
          <w:b/>
          <w:b/>
          <w:color w:val="000000"/>
          <w:sz w:val="22"/>
        </w:rPr>
      </w:pPr>
      <w:r>
        <w:rPr/>
        <w:t xml:space="preserve">1. Zajištění rychlého, bezpečného a stabilního internetu všude </w:t>
      </w:r>
    </w:p>
    <w:p>
      <w:pPr>
        <w:pStyle w:val="P68B1DB1Normal104"/>
        <w:widowControl w:val="false"/>
        <w:spacing w:lineRule="auto" w:line="240" w:before="49" w:after="0"/>
        <w:ind w:left="0" w:right="0" w:hanging="0"/>
        <w:jc w:val="left"/>
        <w:rPr/>
      </w:pPr>
      <w:r>
        <w:rPr/>
        <w:t xml:space="preserve">61 % obyvatel Nizozemska se domnívá, že EU by měla zajistit, aby každý člověk v Evropě měl přístup k rychlému a stabilnímu internetu. Všichni vidíme, že internet hraje v našem životě stále důležitější roli. Naše děti vyrůstají s digitálním vzděláním. A komunikace stále více prochází internetem, a to jak na národní, tak na mezinárodní úrovni. Někdy jsme znepokojeni vysokou závislostí na internetu. Mnoho Holanďanů se proto domnívá, že EU má nejlepší předpoklady k tomu, aby na ni vyčlenila finanční prostředky za předpokladu, že budou účinně využity. Ochrana před trestnou činností na internetu je podle našeho názoru nejdůležitější otázkou, kterou je třeba řešit na evropské úrovni. Pozornost by však měla být věnována i boji proti internetové trestné činnosti na vnitrostátní úrovni. </w:t>
      </w:r>
    </w:p>
    <w:p>
      <w:pPr>
        <w:pStyle w:val="P68B1DB1Normal113"/>
        <w:widowControl w:val="false"/>
        <w:spacing w:lineRule="auto" w:line="240" w:before="54" w:after="0"/>
        <w:ind w:left="0" w:right="0" w:hanging="0"/>
        <w:jc w:val="center"/>
        <w:rPr/>
      </w:pPr>
      <w:r>
        <w:rPr/>
        <w:t xml:space="preserve">Myšlenka kybernetického útoku na náš systém ochrany vody mě nutí cítit se zranitelní. </w:t>
      </w:r>
    </w:p>
    <w:p>
      <w:pPr>
        <w:pStyle w:val="P68B1DB1Normal111"/>
        <w:widowControl w:val="false"/>
        <w:spacing w:lineRule="auto" w:line="240" w:before="71" w:after="0"/>
        <w:ind w:left="0" w:right="0" w:hanging="0"/>
        <w:jc w:val="left"/>
        <w:rPr>
          <w:rFonts w:ascii="Calibri" w:hAnsi="Calibri"/>
          <w:b/>
          <w:b/>
          <w:color w:val="000000"/>
          <w:sz w:val="22"/>
        </w:rPr>
      </w:pPr>
      <w:r>
        <w:rPr/>
        <w:t xml:space="preserve">2. Stanovení jasných pravidel a norem pro internetové společnosti </w:t>
      </w:r>
    </w:p>
    <w:p>
      <w:pPr>
        <w:pStyle w:val="P68B1DB1Normal104"/>
        <w:widowControl w:val="false"/>
        <w:spacing w:lineRule="auto" w:line="240" w:before="49" w:after="0"/>
        <w:ind w:left="0" w:right="0" w:hanging="0"/>
        <w:jc w:val="left"/>
        <w:rPr/>
      </w:pPr>
      <w:r>
        <w:rPr/>
        <w:t xml:space="preserve">75 % Holanďanů se domnívá, že EU by měla zajistit, aby nákupy on-line mohly být prováděny se stejnou úrovní bezpečnosti ve všech zemích EU. Všichni nakupujeme stále více v zahraničí a tímto způsobem sdílíme citlivé osobní údaje. Někdy se to zdá nebezpečné. Je těžké určit, které webové stránky jsou důvěryhodné. Je dobře, že EU rozvíjí evropská pravidla a normy v oblasti ochrany soukromí, které může každý pochopit. Síla velkých internetových společností je pro nás také pravidelným zdrojem zájmu. Domníváme se, že je naší povinností při používání našich údajů postupovat obezřetně. Domníváme se však také, že EU může v tomto ohledu sehrát určitou úlohu. Země EU musí spolupracovat, aby společnosti jako Google a Facebook neměly příliš velkou moc. </w:t>
      </w:r>
    </w:p>
    <w:p>
      <w:pPr>
        <w:pStyle w:val="P68B1DB1Normal113"/>
        <w:widowControl w:val="false"/>
        <w:spacing w:lineRule="auto" w:line="240" w:before="54" w:after="0"/>
        <w:ind w:left="0" w:right="0" w:hanging="0"/>
        <w:jc w:val="center"/>
        <w:rPr/>
      </w:pPr>
      <w:r>
        <w:rPr/>
        <w:t xml:space="preserve">Tváří v tvář globálnímu hráči, jako je Facebook, jsme relativně chudí jako malá země. </w:t>
      </w:r>
    </w:p>
    <w:p>
      <w:pPr>
        <w:pStyle w:val="P68B1DB1Normal111"/>
        <w:widowControl w:val="false"/>
        <w:spacing w:lineRule="auto" w:line="240" w:before="71" w:after="0"/>
        <w:ind w:left="0" w:right="0" w:hanging="0"/>
        <w:jc w:val="left"/>
        <w:rPr/>
      </w:pPr>
      <w:r>
        <w:rPr/>
        <w:t xml:space="preserve">3. Doplnění implementace a praktických vysvětlení k pravidlům ochrany soukromí </w:t>
      </w:r>
    </w:p>
    <w:p>
      <w:pPr>
        <w:pStyle w:val="Normal"/>
        <w:widowControl w:val="false"/>
        <w:spacing w:lineRule="auto" w:line="240" w:before="49" w:after="0"/>
        <w:ind w:left="0" w:right="0" w:hanging="0"/>
        <w:jc w:val="left"/>
        <w:rPr/>
      </w:pPr>
      <w:r>
        <w:rPr>
          <w:rFonts w:ascii="Calibri" w:hAnsi="Calibri"/>
          <w:color w:val="000000"/>
          <w:sz w:val="21"/>
        </w:rPr>
        <w:t xml:space="preserve">Zavedením obecného nařízení o ochraně osobních údajů (GDPR) Nizozemci vědí, že všechny země musí dodržovat stejné zákony a předpisy o ochraně osobních údajů. Myslíme si, že je dobré se na to spolehnout, protože soukromí je důležitý problém. Někteří Holanďané se však domnívají, že pravidla ochrany soukromí jsou někdy přehnaná nebo nelogická. Kromě toho může tato legislativa přinést podnikatelům spoustu práce. Domníváme se proto, že je třeba věnovat větší pozornost praktickému provádění právních předpisů na ochranu soukromí: podpora a informování občanů i podniků. Zejména se domníváme, že členské státy musí sehrát svou úlohu. Otázky nebo otázky ochrany soukromí nejlépe řídí naše vnitrostátní orgány v našem vlastním jazyce. </w:t>
      </w:r>
      <w:r>
        <w:br w:type="page"/>
      </w:r>
    </w:p>
    <w:p>
      <w:pPr>
        <w:pStyle w:val="P68B1DB1Normal108"/>
        <w:spacing w:lineRule="auto" w:line="240"/>
        <w:ind w:left="0" w:right="0" w:hanging="0"/>
        <w:rPr>
          <w:rFonts w:ascii="Calibri" w:hAnsi="Calibri"/>
          <w:b/>
          <w:b/>
          <w:i/>
          <w:i/>
          <w:color w:val="000000"/>
          <w:sz w:val="24"/>
        </w:rPr>
      </w:pPr>
      <w:r>
        <w:rPr/>
        <w:t xml:space="preserve">On-line a on-line diskuse a nápady </w:t>
      </w:r>
    </w:p>
    <w:p>
      <w:pPr>
        <w:pStyle w:val="P68B1DB1Normal118"/>
        <w:widowControl w:val="false"/>
        <w:spacing w:lineRule="auto" w:line="240" w:before="120" w:after="0"/>
        <w:ind w:left="0" w:right="889" w:hanging="0"/>
        <w:jc w:val="left"/>
        <w:rPr/>
      </w:pPr>
      <w:r>
        <w:rPr/>
        <w:t xml:space="preserve">NÁPAD: Stanovit přísnější kritéria pro programátory a podniky zákazem nebezpečných programovacích jazyků. </w:t>
      </w:r>
    </w:p>
    <w:p>
      <w:pPr>
        <w:pStyle w:val="P68B1DB1Normal118"/>
        <w:widowControl w:val="false"/>
        <w:spacing w:lineRule="auto" w:line="240" w:before="87" w:after="0"/>
        <w:ind w:left="0" w:right="0" w:hanging="0"/>
        <w:jc w:val="left"/>
        <w:rPr>
          <w:rFonts w:ascii="Calibri" w:hAnsi="Calibri"/>
          <w:i/>
          <w:i/>
          <w:color w:val="000000"/>
          <w:sz w:val="21"/>
        </w:rPr>
      </w:pPr>
      <w:r>
        <w:rPr/>
        <w:t xml:space="preserve">Navrhnout bezplatný evropský antivirový software pro vytvoření evropského firewallu. </w:t>
      </w:r>
    </w:p>
    <w:p>
      <w:pPr>
        <w:pStyle w:val="P68B1DB1Normal118"/>
        <w:widowControl w:val="false"/>
        <w:spacing w:lineRule="auto" w:line="240" w:before="85" w:after="0"/>
        <w:ind w:left="0" w:right="42" w:hanging="0"/>
        <w:jc w:val="left"/>
        <w:rPr/>
      </w:pPr>
      <w:r>
        <w:rPr/>
        <w:t xml:space="preserve">Když přecházím hranice do Německa, najednou už nemám síť na svém mobilním telefonu. Už by se to nemělo stát, že? </w:t>
      </w:r>
    </w:p>
    <w:p>
      <w:pPr>
        <w:pStyle w:val="P68B1DB1Normal118"/>
        <w:widowControl w:val="false"/>
        <w:spacing w:lineRule="auto" w:line="240" w:before="85" w:after="0"/>
        <w:ind w:left="0" w:right="959" w:hanging="0"/>
        <w:jc w:val="left"/>
        <w:rPr/>
      </w:pPr>
      <w:r>
        <w:rPr/>
        <w:t xml:space="preserve">S našimi iPhony můžeme sledovat všechny naše cesty. Máme také svůj podíl na zodpovědnosti. </w:t>
      </w:r>
    </w:p>
    <w:p>
      <w:pPr>
        <w:pStyle w:val="P68B1DB1Normal118"/>
        <w:widowControl w:val="false"/>
        <w:spacing w:lineRule="auto" w:line="240" w:before="83" w:after="0"/>
        <w:ind w:left="0" w:right="0" w:hanging="0"/>
        <w:jc w:val="left"/>
        <w:rPr/>
      </w:pPr>
      <w:r>
        <w:rPr/>
        <w:t xml:space="preserve">Není vhodné v každé zemi vyplňovat jiný typ formuláře o ochraně osobních údajů. </w:t>
      </w:r>
    </w:p>
    <w:p>
      <w:pPr>
        <w:pStyle w:val="P68B1DB1Normal118"/>
        <w:widowControl w:val="false"/>
        <w:spacing w:lineRule="auto" w:line="240" w:before="87" w:after="0"/>
        <w:ind w:left="0" w:right="0" w:hanging="0"/>
        <w:jc w:val="left"/>
        <w:rPr>
          <w:rFonts w:ascii="Calibri" w:hAnsi="Calibri"/>
          <w:i/>
          <w:i/>
          <w:color w:val="000000"/>
          <w:sz w:val="21"/>
        </w:rPr>
      </w:pPr>
      <w:r>
        <w:rPr/>
        <w:t xml:space="preserve">NÁPAD: Měli bychom vytvořit evropskou kybernetickou policii. To je pro EU jednoznačně něco. </w:t>
      </w:r>
    </w:p>
    <w:p>
      <w:pPr>
        <w:pStyle w:val="P68B1DB1Normal111"/>
        <w:widowControl w:val="false"/>
        <w:spacing w:lineRule="auto" w:line="240" w:before="84" w:after="0"/>
        <w:ind w:left="0" w:right="823" w:hanging="0"/>
        <w:jc w:val="left"/>
        <w:rPr/>
      </w:pPr>
      <w:r>
        <w:rPr/>
        <w:t xml:space="preserve">Účastníci on-line dialogu: Kvalitní přístup k internetu je také v našem vlastním zájmu. </w:t>
      </w:r>
    </w:p>
    <w:p>
      <w:pPr>
        <w:pStyle w:val="P68B1DB1Normal104"/>
        <w:widowControl w:val="false"/>
        <w:spacing w:lineRule="auto" w:line="240" w:before="97" w:after="0"/>
        <w:ind w:left="0" w:right="236" w:hanging="0"/>
        <w:jc w:val="left"/>
        <w:rPr/>
      </w:pPr>
      <w:r>
        <w:rPr/>
        <w:t xml:space="preserve">Během jednoho z on-line tematických dialogů se zrodila zajímavá diskuse o úloze EU ve virtuálním světě. Všichni účastníci se shodli na tom, že je dobré a důležité mít dobré internetové připojení v celé Evropě. Ale je na EU, aby se s tím vypořádala? Několik účastníků uvedlo, že to byl úkol především pro jednotlivé členské státy. Další účastník zdůraznil, že stabilní a kvalitní internet v zahraničí je také přínosem pro Nizozemsko: Vyděláváme miliardy dolarů z obchodu s ostatními zeměmi EU. Je proto v našem zájmu, aby tyto země fungovaly dobře. </w:t>
      </w:r>
    </w:p>
    <w:p>
      <w:pPr>
        <w:pStyle w:val="P68B1DB1Normal111"/>
        <w:widowControl w:val="false"/>
        <w:spacing w:lineRule="auto" w:line="240" w:before="40" w:after="0"/>
        <w:ind w:left="0" w:right="0" w:hanging="0"/>
        <w:jc w:val="left"/>
        <w:rPr>
          <w:rFonts w:ascii="Calibri" w:hAnsi="Calibri"/>
          <w:b/>
          <w:b/>
          <w:color w:val="000000"/>
          <w:sz w:val="22"/>
        </w:rPr>
      </w:pPr>
      <w:r>
        <w:rPr/>
        <w:t xml:space="preserve">Studenti v Helmondu: Stejná pravidla a sankce pro kyberzločince </w:t>
      </w:r>
    </w:p>
    <w:p>
      <w:pPr>
        <w:pStyle w:val="Normal"/>
        <w:widowControl w:val="false"/>
        <w:spacing w:lineRule="auto" w:line="240" w:before="95" w:after="0"/>
        <w:ind w:left="0" w:right="32" w:hanging="0"/>
        <w:jc w:val="left"/>
        <w:rPr/>
      </w:pPr>
      <w:r>
        <w:rPr>
          <w:rFonts w:ascii="Calibri" w:hAnsi="Calibri"/>
          <w:color w:val="000000"/>
          <w:sz w:val="21"/>
        </w:rPr>
        <w:t xml:space="preserve">Na Dr. Knippenberg College v Helmondu studenti ve věku 15 a 16 let diskutovali o problému internetové kriminality. Zprávy slyší pravidelně. Například, když došlo k úniku dat ve společnosti. Nebo když se země jako Rusko nebo Čína snaží ukrást data. Vzhledem k tomu, že kyberzločinci často pracují přes hranice, považují za logické, aby evropské země spolupracovaly. V této souvislosti zvažují vývoj pravidel, ale také definici sankcí. Pokud se ruští kyberpiráti pokusí proniknout do našich domovů, EU musí podniknout rozhodné kroky, aby jim zabránila. </w:t>
      </w:r>
      <w:r>
        <w:br w:type="page"/>
      </w:r>
    </w:p>
    <w:p>
      <w:pPr>
        <w:pStyle w:val="P68B1DB1Normal117"/>
        <w:spacing w:lineRule="auto" w:line="240"/>
        <w:ind w:left="0" w:right="0" w:hanging="0"/>
        <w:rPr>
          <w:rFonts w:ascii="Calibri" w:hAnsi="Calibri"/>
          <w:b/>
          <w:b/>
          <w:i/>
          <w:i/>
          <w:color w:val="000000"/>
          <w:sz w:val="28"/>
        </w:rPr>
      </w:pPr>
      <w:r>
        <w:rPr/>
        <w:t xml:space="preserve">Vzdělávání, kultura, mládež a sport </w:t>
      </w:r>
    </w:p>
    <w:p>
      <w:pPr>
        <w:pStyle w:val="P68B1DB1Normal104"/>
        <w:widowControl w:val="false"/>
        <w:spacing w:lineRule="auto" w:line="240" w:before="93" w:after="0"/>
        <w:ind w:left="0" w:right="0" w:hanging="0"/>
        <w:jc w:val="left"/>
        <w:rPr/>
      </w:pPr>
      <w:r>
        <w:rPr/>
        <w:t xml:space="preserve">Země EU jsou přímo odpovědné za vzdělávání, kulturu, mládež a sport. EU jim může a ráda by jim v tomto ohledu pomohla, například podporou kvalitního vzdělávání, mnohojazyčnosti, ochrany kulturního dědictví a podpory kulturního a sportovního odvětví. Jaká je představa Nizozemska o tom? </w:t>
      </w:r>
    </w:p>
    <w:p>
      <w:pPr>
        <w:pStyle w:val="P68B1DB1Normal108"/>
        <w:widowControl w:val="false"/>
        <w:spacing w:lineRule="auto" w:line="240" w:before="90" w:after="0"/>
        <w:ind w:left="0" w:right="0" w:hanging="0"/>
        <w:jc w:val="left"/>
        <w:rPr>
          <w:rFonts w:ascii="Calibri" w:hAnsi="Calibri"/>
          <w:b/>
          <w:b/>
          <w:i/>
          <w:i/>
          <w:color w:val="000000"/>
          <w:sz w:val="24"/>
        </w:rPr>
      </w:pPr>
      <w:r>
        <w:rPr/>
        <w:t xml:space="preserve">Doporučení – Naše vize vzdělávání, kultury, mládeže a sportu </w:t>
      </w:r>
    </w:p>
    <w:p>
      <w:pPr>
        <w:pStyle w:val="P68B1DB1Normal69"/>
        <w:widowControl w:val="false"/>
        <w:spacing w:lineRule="auto" w:line="240" w:before="123" w:after="0"/>
        <w:ind w:left="0" w:right="0" w:hanging="0"/>
        <w:jc w:val="left"/>
        <w:rPr/>
      </w:pPr>
      <w:r>
        <w:rPr/>
        <w:t xml:space="preserve">45 % Holanďanů se domnívá, že vzdělávání je důležitou otázkou a že EU musí v této oblasti zasáhnout. Pokud jde o mládež, kulturu a sport, tento údaj činí 39 %, 23 % a 19 %. </w:t>
      </w:r>
    </w:p>
    <w:p>
      <w:pPr>
        <w:pStyle w:val="P68B1DB1Normal69"/>
        <w:widowControl w:val="false"/>
        <w:spacing w:lineRule="auto" w:line="240"/>
        <w:ind w:left="0" w:right="0" w:hanging="0"/>
        <w:jc w:val="left"/>
        <w:rPr>
          <w:rFonts w:ascii="Calibri" w:hAnsi="Calibri"/>
          <w:b/>
          <w:b/>
          <w:color w:val="000000"/>
          <w:sz w:val="20"/>
        </w:rPr>
      </w:pPr>
      <w:r>
        <w:rPr/>
        <w:t xml:space="preserve"> </w:t>
      </w:r>
    </w:p>
    <w:p>
      <w:pPr>
        <w:pStyle w:val="P68B1DB1Normal111"/>
        <w:widowControl w:val="false"/>
        <w:spacing w:lineRule="auto" w:line="240" w:before="28" w:after="0"/>
        <w:ind w:left="0" w:right="0" w:hanging="0"/>
        <w:jc w:val="left"/>
        <w:rPr>
          <w:rFonts w:ascii="Calibri" w:hAnsi="Calibri"/>
          <w:b/>
          <w:b/>
          <w:color w:val="000000"/>
          <w:sz w:val="22"/>
        </w:rPr>
      </w:pPr>
      <w:r>
        <w:rPr/>
        <w:t xml:space="preserve">1. Povzbuzovat studenty ke studiu v zahraničí inteligentně </w:t>
      </w:r>
    </w:p>
    <w:p>
      <w:pPr>
        <w:pStyle w:val="P68B1DB1Normal104"/>
        <w:widowControl w:val="false"/>
        <w:spacing w:lineRule="auto" w:line="240"/>
        <w:ind w:left="0" w:right="0" w:hanging="0"/>
        <w:jc w:val="left"/>
        <w:rPr/>
      </w:pPr>
      <w:r>
        <w:rPr/>
        <w:t xml:space="preserve">Mnoho Holanďanů se domnívá, že studium v zahraničí má pozitivní dopad na mladé lidi. To přispívá k osobnímu rozvoji. Kromě toho může studium v zahraničí pomoci Evropanům lépe porozumět. Může také přispět k lepší integraci. Mnoho Nizozemců proto považuje za pozitivní, že existuje program Erasmus, který podporuje studium v zahraničí. Domníváme se však, že by EU měla i nadále tuto otázku kriticky řešit. V praxi se například zdá, že zahraniční studenti většinou zůstávají mezi sebou a ne vždy se hodně učí o zemi, ve které se nacházejí. EU musí rovněž zabránit zemím s nižší úrovní znalostí v „vyprázdnění“, protože všichni talentovaní budou studovat v zahraničí. </w:t>
      </w:r>
    </w:p>
    <w:p>
      <w:pPr>
        <w:pStyle w:val="P68B1DB1Normal113"/>
        <w:widowControl w:val="false"/>
        <w:spacing w:lineRule="auto" w:line="240" w:before="167" w:after="0"/>
        <w:ind w:left="0" w:right="0" w:hanging="0"/>
        <w:jc w:val="center"/>
        <w:rPr/>
      </w:pPr>
      <w:r>
        <w:rPr/>
        <w:t>„</w:t>
      </w:r>
      <w:r>
        <w:rPr/>
        <w:t xml:space="preserve">Rozvíjejí rovněž výměnné programy na úrovni středního odborného vzdělávání.“ </w:t>
      </w:r>
    </w:p>
    <w:p>
      <w:pPr>
        <w:pStyle w:val="Normal"/>
        <w:widowControl w:val="false"/>
        <w:spacing w:lineRule="auto" w:line="240" w:before="136" w:after="0"/>
        <w:ind w:left="0" w:right="0" w:hanging="0"/>
        <w:jc w:val="left"/>
        <w:rPr/>
      </w:pPr>
      <w:r>
        <w:rPr>
          <w:rFonts w:ascii="Calibri" w:hAnsi="Calibri"/>
          <w:b/>
          <w:color w:val="000000"/>
        </w:rPr>
        <w:t>2. Umožnit členským státům zaměřit se na témata, jako je kultura a sport</w:t>
      </w:r>
      <w:r>
        <w:rPr>
          <w:rFonts w:ascii="Cambria" w:hAnsi="Cambria"/>
          <w:color w:val="243F60"/>
          <w:sz w:val="24"/>
        </w:rPr>
        <w:t xml:space="preserve"> </w:t>
      </w:r>
    </w:p>
    <w:p>
      <w:pPr>
        <w:pStyle w:val="P68B1DB1Normal104"/>
        <w:widowControl w:val="false"/>
        <w:spacing w:lineRule="auto" w:line="240"/>
        <w:ind w:left="0" w:right="0" w:hanging="0"/>
        <w:jc w:val="left"/>
        <w:rPr/>
      </w:pPr>
      <w:r>
        <w:rPr/>
        <w:t xml:space="preserve">58 % Nizozemců se domnívá, že EU by měla lépe chránit kulturní dědictví v Evropě. Myslíme například na chrámy v Řecku. Na druhou stranu zjišťujeme, že místní kultura je v první řadě odpovědností samotných zemí. Totéž platí například o zneužívání ve sportu. Považujeme to za důležitou záležitost, nikoli však za hlavní misi EU. Evropa musí nutně stanovit priority a na další otázky jsou zapotřebí značné finanční zdroje. Někdy můžeme finančně přispět, ale někdy můžeme spolupracovat i jinými způsoby, například výměnou znalostí a nápadů. </w:t>
      </w:r>
    </w:p>
    <w:p>
      <w:pPr>
        <w:pStyle w:val="P68B1DB1Normal113"/>
        <w:widowControl w:val="false"/>
        <w:spacing w:lineRule="auto" w:line="240" w:before="167" w:after="0"/>
        <w:ind w:left="0" w:right="0" w:hanging="0"/>
        <w:jc w:val="center"/>
        <w:rPr/>
      </w:pPr>
      <w:r>
        <w:rPr/>
        <w:t xml:space="preserve">Ochrana kultury spočívá na samotných zemích. Ale pokud je světové dědictví zanedbáváno, pak si myslím, že EU musí zasáhnout. </w:t>
      </w:r>
    </w:p>
    <w:p>
      <w:pPr>
        <w:pStyle w:val="P68B1DB1Normal111"/>
        <w:widowControl w:val="false"/>
        <w:spacing w:lineRule="auto" w:line="240" w:before="136" w:after="0"/>
        <w:ind w:left="0" w:right="0" w:hanging="0"/>
        <w:jc w:val="left"/>
        <w:rPr>
          <w:rFonts w:ascii="Calibri" w:hAnsi="Calibri"/>
          <w:b/>
          <w:b/>
          <w:color w:val="000000"/>
          <w:sz w:val="22"/>
        </w:rPr>
      </w:pPr>
      <w:r>
        <w:rPr/>
        <w:t xml:space="preserve">3. Zajistit, aby se Evropané lépe poznali a vzájemně se respektovali </w:t>
      </w:r>
    </w:p>
    <w:p>
      <w:pPr>
        <w:pStyle w:val="P68B1DB1Normal104"/>
        <w:widowControl w:val="false"/>
        <w:spacing w:lineRule="auto" w:line="240"/>
        <w:ind w:left="0" w:right="0" w:hanging="0"/>
        <w:jc w:val="left"/>
        <w:rPr/>
      </w:pPr>
      <w:r>
        <w:rPr/>
        <w:t xml:space="preserve">Holanďané oceňují, když ostatní Evropané dobře mluví anglicky. Zjednodušuje to věci, když jsme v zahraničí. A když například chceme komunikovat s migrujícími pracovníky v Nizozemsku. Zároveň mnozí holandští považují za velmi důležité, abychom i nadále mluvili a oceňovali svůj vlastní jazyk. Proto chceme, aby byly respektovány i další rozdíly v Evropě. Ať už se jedná o kulturu, vzdělání nebo sport, každý člověk se musí cítit svobodně a být schopen být sám sebou. Rozdíly mohou někdy způsobit napětí, ale také činí evropský kontinent bohatým. Mnoho Holanďanů se domnívá, že země by měly dostat čas, aby se seznámily se svými zvyky a myšlenkami. </w:t>
      </w:r>
    </w:p>
    <w:p>
      <w:pPr>
        <w:pStyle w:val="P68B1DB1Normal113"/>
        <w:widowControl w:val="false"/>
        <w:spacing w:lineRule="auto" w:line="240" w:before="167" w:after="0"/>
        <w:ind w:left="0" w:right="0" w:hanging="0"/>
        <w:jc w:val="center"/>
        <w:rPr/>
      </w:pPr>
      <w:r>
        <w:rPr/>
        <w:t xml:space="preserve">Pro mě je EU jako skupina přátel. Respektujeme naše rozdíly a mohu požádat o pomoc, pokud je budu potřebovat. </w:t>
      </w:r>
    </w:p>
    <w:p>
      <w:pPr>
        <w:pStyle w:val="P68B1DB1Normal108"/>
        <w:widowControl w:val="false"/>
        <w:spacing w:lineRule="auto" w:line="240" w:before="135" w:after="0"/>
        <w:ind w:left="0" w:right="0" w:hanging="0"/>
        <w:jc w:val="left"/>
        <w:rPr>
          <w:rFonts w:ascii="Calibri" w:hAnsi="Calibri"/>
          <w:b/>
          <w:b/>
          <w:i/>
          <w:i/>
          <w:color w:val="000000"/>
          <w:sz w:val="24"/>
        </w:rPr>
      </w:pPr>
      <w:r>
        <w:rPr/>
        <w:t xml:space="preserve">On-line a on-line diskuse a nápady </w:t>
      </w:r>
    </w:p>
    <w:p>
      <w:pPr>
        <w:pStyle w:val="P68B1DB1Normal118"/>
        <w:widowControl w:val="false"/>
        <w:spacing w:lineRule="auto" w:line="240" w:before="120" w:after="0"/>
        <w:ind w:left="0" w:right="0" w:hanging="0"/>
        <w:jc w:val="left"/>
        <w:rPr/>
      </w:pPr>
      <w:r>
        <w:rPr/>
        <w:t xml:space="preserve">NÁPAD: Kromě místních osnov by měly být zavedeny společné evropské osnovy na všech úrovních vzdělávání. </w:t>
      </w:r>
    </w:p>
    <w:p>
      <w:pPr>
        <w:pStyle w:val="P68B1DB1Normal118"/>
        <w:widowControl w:val="false"/>
        <w:spacing w:lineRule="auto" w:line="240" w:before="254" w:after="0"/>
        <w:ind w:left="0" w:right="0" w:hanging="0"/>
        <w:jc w:val="left"/>
        <w:rPr>
          <w:rFonts w:ascii="Calibri" w:hAnsi="Calibri"/>
          <w:i/>
          <w:i/>
          <w:color w:val="000000"/>
          <w:sz w:val="21"/>
        </w:rPr>
      </w:pPr>
      <w:r>
        <w:rPr/>
        <w:t xml:space="preserve">NÁPAD: Kromě hlavního města kultury byste také měli každý rok zvolit hlavní město (nebo zemi) v oblasti vzdělávání, mládeže a sportu. </w:t>
      </w:r>
    </w:p>
    <w:p>
      <w:pPr>
        <w:pStyle w:val="P68B1DB1Normal118"/>
        <w:widowControl w:val="false"/>
        <w:spacing w:lineRule="auto" w:line="240" w:before="85" w:after="0"/>
        <w:ind w:left="0" w:right="0" w:hanging="0"/>
        <w:jc w:val="left"/>
        <w:rPr/>
      </w:pPr>
      <w:r>
        <w:rPr/>
        <w:t xml:space="preserve">To, co nás v EU spojuje, je právě to, že všichni máme svou vlastní národní kulturu. A proto nemůže být shromažďován pod praporem jediné kultury. </w:t>
      </w:r>
    </w:p>
    <w:p>
      <w:pPr>
        <w:pStyle w:val="P68B1DB1Normal118"/>
        <w:widowControl w:val="false"/>
        <w:spacing w:lineRule="auto" w:line="240" w:before="87" w:after="0"/>
        <w:ind w:left="0" w:right="0" w:hanging="0"/>
        <w:jc w:val="left"/>
        <w:rPr>
          <w:rFonts w:ascii="Calibri" w:hAnsi="Calibri"/>
          <w:i/>
          <w:i/>
          <w:color w:val="000000"/>
          <w:sz w:val="21"/>
        </w:rPr>
      </w:pPr>
      <w:r>
        <w:rPr/>
        <w:t xml:space="preserve">Místo toho, abychom zdůrazňovali negativní věci, je lepší se snažit sport propagovat. </w:t>
      </w:r>
    </w:p>
    <w:p>
      <w:pPr>
        <w:pStyle w:val="P68B1DB1Normal118"/>
        <w:widowControl w:val="false"/>
        <w:spacing w:lineRule="auto" w:line="240" w:before="85" w:after="0"/>
        <w:ind w:left="0" w:right="0" w:hanging="0"/>
        <w:jc w:val="left"/>
        <w:rPr/>
      </w:pPr>
      <w:r>
        <w:rPr/>
        <w:t xml:space="preserve">Jsem zde integrován, platím daně, ale jsem a zůstávám Latinskou Amerikou. Miluji svůj jazyk, hudbu a jídlo. Není to o Evropě. </w:t>
      </w:r>
    </w:p>
    <w:p>
      <w:pPr>
        <w:pStyle w:val="P68B1DB1Normal118"/>
        <w:widowControl w:val="false"/>
        <w:spacing w:lineRule="auto" w:line="240" w:before="87" w:after="0"/>
        <w:ind w:left="0" w:right="0" w:hanging="0"/>
        <w:jc w:val="left"/>
        <w:rPr>
          <w:rFonts w:ascii="Calibri" w:hAnsi="Calibri"/>
          <w:i/>
          <w:i/>
          <w:color w:val="000000"/>
          <w:sz w:val="21"/>
        </w:rPr>
      </w:pPr>
      <w:r>
        <w:rPr/>
        <w:t xml:space="preserve">Příliš mnoho hovoříme o ekonomice v Evropě. A příliš málo blahobytu. </w:t>
      </w:r>
    </w:p>
    <w:p>
      <w:pPr>
        <w:pStyle w:val="P68B1DB1Normal111"/>
        <w:widowControl w:val="false"/>
        <w:spacing w:lineRule="auto" w:line="240" w:before="84" w:after="0"/>
        <w:ind w:left="0" w:right="0" w:hanging="0"/>
        <w:jc w:val="left"/>
        <w:rPr>
          <w:rFonts w:ascii="Calibri" w:hAnsi="Calibri"/>
          <w:b/>
          <w:b/>
          <w:color w:val="000000"/>
          <w:sz w:val="22"/>
        </w:rPr>
      </w:pPr>
      <w:r>
        <w:rPr/>
        <w:t xml:space="preserve">Studenti z Univerzity v Leidenu: Jazyk je důležitý, ale musí zůstat svobodnou volbou. </w:t>
      </w:r>
    </w:p>
    <w:p>
      <w:pPr>
        <w:pStyle w:val="P68B1DB1Normal104"/>
        <w:widowControl w:val="false"/>
        <w:spacing w:lineRule="auto" w:line="240" w:before="100" w:after="0"/>
        <w:ind w:left="0" w:right="0" w:hanging="0"/>
        <w:jc w:val="left"/>
        <w:rPr/>
      </w:pPr>
      <w:r>
        <w:rPr/>
        <w:t xml:space="preserve">Na univerzitě v Leidenu spolu studenti historie mluvili. Mají pocit, že je důležité, aby lidé mluvili několika jazyky. Věří, že zvládnutí několika jazyků je skvělé pro jeho osobní rozvoj a dobré pro obchodní a politické vztahy v rámci EU. Věří však, že jazyky by měly být nabízeny ve škole a neměly by být povinné. Rovněž se domnívají, že druhý jazyk nemusí být nutně evropským jazykem. „Pokud žijete ve východní Evropě a rozhodnete se učit se rusky, je to vaše právo,“ řekl jeden z účastníků. </w:t>
      </w:r>
    </w:p>
    <w:p>
      <w:pPr>
        <w:pStyle w:val="P68B1DB1Normal110"/>
        <w:widowControl w:val="false"/>
        <w:spacing w:lineRule="auto" w:line="240" w:before="223" w:after="0"/>
        <w:ind w:left="0" w:right="0" w:hanging="0"/>
        <w:jc w:val="left"/>
        <w:rPr/>
      </w:pPr>
      <w:r>
        <w:rPr>
          <w:b/>
        </w:rPr>
        <w:t xml:space="preserve">Turecké společenství Schiedam: </w:t>
      </w:r>
      <w:r>
        <w:rPr>
          <w:sz w:val="21"/>
        </w:rPr>
        <w:t xml:space="preserve">Místní turecká komunita v Hakder Foundation v Schiedamu diskutovala o významu spravedlivých pracovních příležitostí pro všechny. Všichni účastníci se shodli na tom, že EU by měla společnostem uložit povinnost nabízet stáže nebo pracovní místa mladým lidem s omezenými vyhlídkami. Uvedli, že zejména pro mladé migranty je obtížné najít stáž nebo práci. Někdy se ani neodváží jít k lékaři, protože se bojí, že za návštěvu zaplatí sami. Nemluvě o odvaze požádat o stáž nebo práci," řekl jeden z účastníků. „Podniky musí být pozornější a EU je k tomu může povzbudit.“ </w:t>
      </w:r>
    </w:p>
    <w:p>
      <w:pPr>
        <w:pStyle w:val="Normal"/>
        <w:spacing w:lineRule="auto" w:line="240"/>
        <w:ind w:left="0" w:right="0" w:hanging="0"/>
        <w:rPr/>
      </w:pPr>
      <w:r>
        <w:rPr/>
      </w:r>
    </w:p>
    <w:p>
      <w:pPr>
        <w:pStyle w:val="Normal"/>
        <w:spacing w:lineRule="auto" w:line="240"/>
        <w:ind w:left="0" w:right="0" w:hanging="0"/>
        <w:rPr/>
      </w:pPr>
      <w:r>
        <w:rPr/>
      </w:r>
      <w:r>
        <w:br w:type="page"/>
      </w:r>
    </w:p>
    <w:p>
      <w:pPr>
        <w:pStyle w:val="P68B1DB1Normal18"/>
        <w:spacing w:lineRule="auto" w:line="240"/>
        <w:ind w:left="0" w:right="0" w:hanging="0"/>
        <w:rPr/>
      </w:pPr>
      <w:r>
        <w:rPr>
          <w:b/>
          <w:i/>
          <w:color w:val="000000"/>
        </w:rPr>
        <w:t>Popis metodiky použité v průzkumu</w:t>
      </w:r>
      <w:r>
        <w:rPr>
          <w:color w:val="365F91"/>
        </w:rPr>
        <w:t xml:space="preserve"> </w:t>
      </w:r>
    </w:p>
    <w:p>
      <w:pPr>
        <w:pStyle w:val="P68B1DB1Normal104"/>
        <w:widowControl w:val="false"/>
        <w:spacing w:lineRule="auto" w:line="240" w:before="137" w:after="0"/>
        <w:ind w:left="0" w:right="0" w:hanging="0"/>
        <w:jc w:val="left"/>
        <w:rPr/>
      </w:pPr>
      <w:r>
        <w:rPr/>
        <w:t xml:space="preserve">Průzkum „Vision of Europe“ se skládá z různých forem souvisejícího dialogu, jehož cílem je shromáždit názory a názory nizozemských občanů na budoucnost Evropy a EU. Tato kapitola popisuje metodiku použitou k zajištění toho, aby související formy dialogu byly v souladu s pokyny pro vnitrostátní panely občanů v souvislosti s konferencí o budoucnosti Evropy. </w:t>
      </w:r>
    </w:p>
    <w:p>
      <w:pPr>
        <w:pStyle w:val="P68B1DB1Normal110"/>
        <w:widowControl w:val="false"/>
        <w:spacing w:lineRule="auto" w:line="240" w:before="236" w:after="0"/>
        <w:ind w:left="0" w:right="0" w:hanging="0"/>
        <w:jc w:val="both"/>
        <w:rPr/>
      </w:pPr>
      <w:r>
        <w:rPr>
          <w:b/>
          <w:i/>
          <w:sz w:val="24"/>
        </w:rPr>
        <w:t xml:space="preserve">Návrh souvisejících forem dialogu </w:t>
      </w:r>
      <w:r>
        <w:rPr>
          <w:sz w:val="21"/>
        </w:rPr>
        <w:t xml:space="preserve">Používá se následující formy dialogu: </w:t>
      </w:r>
    </w:p>
    <w:p>
      <w:pPr>
        <w:pStyle w:val="P68B1DB1Normal119"/>
        <w:widowControl w:val="false"/>
        <w:spacing w:lineRule="auto" w:line="240" w:before="236" w:after="0"/>
        <w:ind w:left="0" w:right="0" w:hanging="0"/>
        <w:jc w:val="both"/>
        <w:rPr/>
      </w:pPr>
      <w:r>
        <w:rPr>
          <w:rFonts w:ascii="Calibri" w:hAnsi="Calibri"/>
        </w:rPr>
        <w:t>4.</w:t>
      </w:r>
      <w:r>
        <w:rPr/>
        <w:t xml:space="preserve"> </w:t>
      </w:r>
      <w:r>
        <w:rPr>
          <w:rFonts w:ascii="Calibri" w:hAnsi="Calibri"/>
        </w:rPr>
        <w:t>Průzkum panelu</w:t>
      </w:r>
    </w:p>
    <w:p>
      <w:pPr>
        <w:pStyle w:val="P68B1DB1Normal104"/>
        <w:widowControl w:val="false"/>
        <w:spacing w:lineRule="auto" w:line="240"/>
        <w:ind w:left="0" w:right="0" w:hanging="0"/>
        <w:jc w:val="left"/>
        <w:rPr>
          <w:rFonts w:ascii="Calibri" w:hAnsi="Calibri"/>
          <w:color w:val="000000"/>
          <w:sz w:val="21"/>
        </w:rPr>
      </w:pPr>
      <w:r>
        <w:rPr/>
        <w:t xml:space="preserve">Průzkum reprezentativního vzorku nizozemské populace. </w:t>
      </w:r>
    </w:p>
    <w:p>
      <w:pPr>
        <w:pStyle w:val="P68B1DB1Normal119"/>
        <w:widowControl w:val="false"/>
        <w:spacing w:lineRule="auto" w:line="240"/>
        <w:ind w:left="0" w:right="0" w:hanging="0"/>
        <w:jc w:val="left"/>
        <w:rPr/>
      </w:pPr>
      <w:r>
        <w:rPr>
          <w:rFonts w:ascii="Calibri" w:hAnsi="Calibri"/>
        </w:rPr>
        <w:t>5.</w:t>
      </w:r>
      <w:r>
        <w:rPr/>
        <w:t xml:space="preserve"> </w:t>
      </w:r>
      <w:r>
        <w:rPr>
          <w:rFonts w:ascii="Calibri" w:hAnsi="Calibri"/>
        </w:rPr>
        <w:t>On-line tematické dialogy pro prohloubení</w:t>
      </w:r>
    </w:p>
    <w:p>
      <w:pPr>
        <w:pStyle w:val="P68B1DB1Normal104"/>
        <w:widowControl w:val="false"/>
        <w:spacing w:lineRule="auto" w:line="240"/>
        <w:ind w:left="0" w:right="0" w:hanging="0"/>
        <w:jc w:val="left"/>
        <w:rPr/>
      </w:pPr>
      <w:r>
        <w:rPr/>
        <w:t xml:space="preserve">Dialogy pořádané pokaždé se skupinou Holanďanů s cílem prohloubit závěry první průběžné zprávy „Naše vize pro Evropu“ (8. října 2021), která poskytuje prvotní přehled výsledků a doplňujících otázek. </w:t>
      </w:r>
    </w:p>
    <w:p>
      <w:pPr>
        <w:pStyle w:val="P68B1DB1Normal119"/>
        <w:widowControl w:val="false"/>
        <w:spacing w:lineRule="auto" w:line="240"/>
        <w:ind w:left="0" w:right="0" w:hanging="0"/>
        <w:jc w:val="left"/>
        <w:rPr/>
      </w:pPr>
      <w:r>
        <w:rPr>
          <w:rFonts w:ascii="Calibri" w:hAnsi="Calibri"/>
        </w:rPr>
        <w:t>6.</w:t>
      </w:r>
      <w:r>
        <w:rPr/>
        <w:t xml:space="preserve"> </w:t>
      </w:r>
      <w:r>
        <w:rPr>
          <w:rFonts w:ascii="Calibri" w:hAnsi="Calibri"/>
        </w:rPr>
        <w:t>Dialogy s konkrétními skupinami</w:t>
      </w:r>
    </w:p>
    <w:p>
      <w:pPr>
        <w:pStyle w:val="P68B1DB1Normal104"/>
        <w:widowControl w:val="false"/>
        <w:spacing w:lineRule="auto" w:line="240"/>
        <w:ind w:left="0" w:right="0" w:hanging="0"/>
        <w:jc w:val="left"/>
        <w:rPr>
          <w:rFonts w:ascii="Calibri" w:hAnsi="Calibri"/>
          <w:color w:val="000000"/>
          <w:sz w:val="21"/>
        </w:rPr>
      </w:pPr>
      <w:r>
        <w:rPr/>
        <w:t xml:space="preserve">Setkání s Nizozemci, kteří nejsou zvyklí účastnit se průzkumů a panelů (online). </w:t>
      </w:r>
    </w:p>
    <w:p>
      <w:pPr>
        <w:pStyle w:val="P68B1DB1Normal119"/>
        <w:widowControl w:val="false"/>
        <w:spacing w:lineRule="auto" w:line="240"/>
        <w:ind w:left="0" w:right="0" w:hanging="0"/>
        <w:jc w:val="left"/>
        <w:rPr/>
      </w:pPr>
      <w:r>
        <w:rPr>
          <w:rFonts w:ascii="Calibri" w:hAnsi="Calibri"/>
        </w:rPr>
        <w:t>7.</w:t>
      </w:r>
      <w:r>
        <w:rPr/>
        <w:t xml:space="preserve"> </w:t>
      </w:r>
      <w:r>
        <w:rPr>
          <w:rFonts w:ascii="Calibri" w:hAnsi="Calibri"/>
        </w:rPr>
        <w:t>Dialogy s mladými lidmi</w:t>
      </w:r>
    </w:p>
    <w:p>
      <w:pPr>
        <w:pStyle w:val="P68B1DB1Normal104"/>
        <w:widowControl w:val="false"/>
        <w:spacing w:lineRule="auto" w:line="240"/>
        <w:ind w:left="0" w:right="0" w:hanging="0"/>
        <w:jc w:val="left"/>
        <w:rPr>
          <w:rFonts w:ascii="Calibri" w:hAnsi="Calibri"/>
          <w:color w:val="000000"/>
          <w:sz w:val="21"/>
        </w:rPr>
      </w:pPr>
      <w:r>
        <w:rPr/>
        <w:t xml:space="preserve">Setkání zaměřená na nejdůležitější evropská témata pro mladé lidi. </w:t>
      </w:r>
    </w:p>
    <w:p>
      <w:pPr>
        <w:pStyle w:val="Normal"/>
        <w:widowControl w:val="false"/>
        <w:spacing w:lineRule="auto" w:line="240"/>
        <w:ind w:left="0" w:right="0" w:hanging="0"/>
        <w:jc w:val="left"/>
        <w:rPr/>
      </w:pPr>
      <w:r>
        <w:rPr>
          <w:rFonts w:ascii="Calibri" w:hAnsi="Calibri"/>
          <w:b/>
          <w:color w:val="000000"/>
          <w:sz w:val="21"/>
        </w:rPr>
        <w:t>8.</w:t>
      </w:r>
      <w:r>
        <w:rPr>
          <w:b/>
          <w:color w:val="000000"/>
          <w:sz w:val="21"/>
        </w:rPr>
        <w:t xml:space="preserve"> </w:t>
      </w:r>
      <w:r>
        <w:rPr>
          <w:rFonts w:ascii="Calibri" w:hAnsi="Calibri"/>
          <w:b/>
          <w:color w:val="000000"/>
          <w:sz w:val="21"/>
        </w:rPr>
        <w:t>On-line veřejný průzkum: Dotazník a „Swipen naar de toekomst“ (</w:t>
      </w:r>
      <w:commentRangeStart w:id="25"/>
      <w:r>
        <w:rPr>
          <w:rFonts w:ascii="Calibri" w:hAnsi="Calibri"/>
          <w:b/>
          <w:color w:val="000000"/>
          <w:sz w:val="21"/>
        </w:rPr>
        <w:t xml:space="preserve">Swiper </w:t>
      </w:r>
      <w:r>
        <w:rPr>
          <w:rFonts w:ascii="Calibri" w:hAnsi="Calibri"/>
          <w:b/>
          <w:color w:val="000000"/>
          <w:sz w:val="21"/>
        </w:rPr>
      </w:r>
      <w:commentRangeEnd w:id="25"/>
      <w:r>
        <w:commentReference w:id="25"/>
      </w:r>
      <w:r>
        <w:rPr>
          <w:rFonts w:ascii="Calibri" w:hAnsi="Calibri"/>
          <w:b/>
          <w:color w:val="000000"/>
          <w:sz w:val="21"/>
        </w:rPr>
        <w:t xml:space="preserve">to the Future) </w:t>
      </w:r>
    </w:p>
    <w:p>
      <w:pPr>
        <w:pStyle w:val="P68B1DB1Normal104"/>
        <w:widowControl w:val="false"/>
        <w:spacing w:lineRule="auto" w:line="240"/>
        <w:ind w:left="0" w:right="0" w:hanging="0"/>
        <w:jc w:val="left"/>
        <w:rPr/>
      </w:pPr>
      <w:r>
        <w:rPr/>
        <w:t xml:space="preserve">Dotazník panelového průzkumu by rovněž mohli vyplnit všichni Holanďané, včetně těch, kteří mají bydliště v zahraničí. Tento dotazník byl k dispozici od 1. září 2021 do 14. listopadu 2021. Kromě toho se ve stejném období každý Holanďan mohl zúčastnit akce „Swipen naar de toekomst“ (Swiper to the Future), což je online nástroj, který představuje 20 nároků. </w:t>
      </w:r>
    </w:p>
    <w:p>
      <w:pPr>
        <w:pStyle w:val="P68B1DB1Normal108"/>
        <w:widowControl w:val="false"/>
        <w:spacing w:lineRule="auto" w:line="240" w:before="229" w:after="0"/>
        <w:ind w:left="0" w:right="0" w:hanging="0"/>
        <w:jc w:val="left"/>
        <w:rPr>
          <w:rFonts w:ascii="Calibri" w:hAnsi="Calibri"/>
          <w:b/>
          <w:b/>
          <w:i/>
          <w:i/>
          <w:color w:val="000000"/>
          <w:sz w:val="24"/>
        </w:rPr>
      </w:pPr>
      <w:r>
        <w:rPr/>
        <w:t xml:space="preserve">1. Průzkum panelu </w:t>
      </w:r>
    </w:p>
    <w:p>
      <w:pPr>
        <w:pStyle w:val="P68B1DB1Normal104"/>
        <w:widowControl w:val="false"/>
        <w:spacing w:lineRule="auto" w:line="240" w:before="118" w:after="0"/>
        <w:ind w:left="0" w:right="0" w:hanging="0"/>
        <w:jc w:val="left"/>
        <w:rPr/>
      </w:pPr>
      <w:r>
        <w:rPr/>
        <w:t xml:space="preserve">Nizozemský dialog s občany „Vision of Europe“ byl zahájen 1. září panelovým průzkumem. V tomto popisu metodiky průzkumu stručně vysvětlíme návrh a realizaci tohoto průzkumu panelu. </w:t>
      </w:r>
    </w:p>
    <w:p>
      <w:pPr>
        <w:pStyle w:val="P68B1DB1Normal107"/>
        <w:widowControl w:val="false"/>
        <w:spacing w:lineRule="auto" w:line="240" w:before="43" w:after="0"/>
        <w:ind w:left="0" w:right="0" w:hanging="0"/>
        <w:jc w:val="left"/>
        <w:rPr>
          <w:rFonts w:ascii="Calibri" w:hAnsi="Calibri"/>
          <w:i/>
          <w:i/>
          <w:color w:val="000000"/>
          <w:sz w:val="24"/>
        </w:rPr>
      </w:pPr>
      <w:r>
        <w:rPr/>
        <w:t xml:space="preserve">Cílová a cílová populace </w:t>
      </w:r>
    </w:p>
    <w:p>
      <w:pPr>
        <w:pStyle w:val="Normal"/>
        <w:widowControl w:val="false"/>
        <w:spacing w:lineRule="auto" w:line="240" w:before="123" w:after="0"/>
        <w:ind w:left="0" w:right="0" w:hanging="0"/>
        <w:jc w:val="left"/>
        <w:rPr/>
      </w:pPr>
      <w:r>
        <w:rPr>
          <w:rFonts w:ascii="Calibri" w:hAnsi="Calibri"/>
          <w:color w:val="000000"/>
          <w:sz w:val="21"/>
        </w:rPr>
        <w:t>Průzkum „Vision of Europe“ byl zahájen online dotazníkem o tom, jak holandští občané vidí budoucnost Evropy. Tento dotazník byl předložen reprezentativní komisi a je rovněž otevřen všem nizozemcům (včetně těch, kteří mají bydliště v zahraničí). Kromě toho se každá osoba mohla zúčastnit akce „Swipen naar de toekomst“</w:t>
      </w:r>
      <w:commentRangeStart w:id="26"/>
      <w:r>
        <w:rPr>
          <w:rFonts w:ascii="Calibri" w:hAnsi="Calibri"/>
          <w:color w:val="000000"/>
          <w:sz w:val="21"/>
        </w:rPr>
        <w:t>(Swiper to</w:t>
      </w:r>
      <w:r>
        <w:rPr>
          <w:rFonts w:ascii="Calibri" w:hAnsi="Calibri"/>
          <w:color w:val="000000"/>
          <w:sz w:val="21"/>
        </w:rPr>
      </w:r>
      <w:commentRangeEnd w:id="26"/>
      <w:r>
        <w:commentReference w:id="26"/>
      </w:r>
      <w:r>
        <w:rPr>
          <w:rFonts w:ascii="Calibri" w:hAnsi="Calibri"/>
          <w:color w:val="000000"/>
          <w:sz w:val="21"/>
        </w:rPr>
        <w:t xml:space="preserve"> the Future), což je online nástroj představující 20 nároků. Výsledky panelového průzkumu byly podkladem pro několik tematických dialogů organizovaných v návaznosti na proces dialogu s občany „Vision of Europe“.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Cílová populace panelového průzkumu zahrnuje všechny Holanďany ve věku 18 let a starší, kteří byli registrováni jako rezidenti v registru obyvatel v době, kdy práce v terénu začala. Podle nizozemského národního statistického úřadu (Centraal Bureau voor de Statistiek – CBS) měla tato cílová skupina k 1. lednu 2021 14 190 874 osob. Dolní hranice 18 let odpovídá volební většině. Říkáme tomu populace panelového průzkumu.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r>
      <w:r>
        <w:br w:type="page"/>
      </w:r>
    </w:p>
    <w:p>
      <w:pPr>
        <w:pStyle w:val="P68B1DB1Normal107"/>
        <w:spacing w:lineRule="auto" w:line="240"/>
        <w:ind w:left="0" w:right="0" w:hanging="0"/>
        <w:rPr>
          <w:rFonts w:ascii="Calibri" w:hAnsi="Calibri"/>
          <w:i/>
          <w:i/>
          <w:color w:val="000000"/>
          <w:sz w:val="24"/>
        </w:rPr>
      </w:pPr>
      <w:r>
        <w:rPr/>
        <w:t xml:space="preserve">Práce v terénu </w:t>
      </w:r>
    </w:p>
    <w:p>
      <w:pPr>
        <w:pStyle w:val="P68B1DB1Normal104"/>
        <w:widowControl w:val="false"/>
        <w:spacing w:lineRule="auto" w:line="240" w:before="127" w:after="0"/>
        <w:ind w:left="0" w:right="0" w:hanging="0"/>
        <w:jc w:val="left"/>
        <w:rPr/>
      </w:pPr>
      <w:r>
        <w:rPr/>
        <w:t xml:space="preserve">Panel více než 100 000 účastníků z celé země (ISO certifikovaný, Research Keurmerk groep, Nederlandse marktonderzoek Associatie) byl použit k získání digitálního obrazu „středního holandského“. Tito účastníci se zapsali do panelu průzkumů, aby pravidelně poskytovali své názory na širokou škálu témat. Kromě své vlastní motivace přispívat, jsou placeni za zodpovězení dotazníků. Několik vědeckých studií ukazuje, že respondenti, kteří dostávají kompenzaci za vyplnění dotazníku, neposkytují výrazně odlišné odpovědi (zdroj: Snižuje využívání pobídek k průzkumu kvalitu dat?Cole, J. S., Sarraf, S.A., Wang, X., 2015).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Práce v terénu byla zahájena dne 11. srpna 2021 a skončila dne 19. září 2021. Pro implementaci byla použita pouze jedna metoda sběru dat, tj. internetový průzkum. Členové panelu průzkumu obdrželi e-mail s osobním odkazem na online dotazník. Po dvou týdnech účastníci panelu obdrželi připomenutí. Výzvy k účasti byly zaslány v šaržích a stratifikovaných (zajištěním rovného rozdělení podskupin) až do dosažení požadovaného počtu respondentů. </w:t>
      </w:r>
    </w:p>
    <w:p>
      <w:pPr>
        <w:pStyle w:val="P68B1DB1Normal107"/>
        <w:widowControl w:val="false"/>
        <w:spacing w:lineRule="auto" w:line="240" w:before="42" w:after="0"/>
        <w:ind w:left="0" w:right="0" w:hanging="0"/>
        <w:jc w:val="left"/>
        <w:rPr>
          <w:rFonts w:ascii="Calibri" w:hAnsi="Calibri"/>
          <w:i/>
          <w:i/>
          <w:color w:val="000000"/>
          <w:sz w:val="24"/>
        </w:rPr>
      </w:pPr>
      <w:r>
        <w:rPr/>
        <w:t xml:space="preserve">Odběr vzorků a distribuce </w:t>
      </w:r>
    </w:p>
    <w:p>
      <w:pPr>
        <w:pStyle w:val="P68B1DB1Normal104"/>
        <w:widowControl w:val="false"/>
        <w:spacing w:lineRule="auto" w:line="240" w:before="123" w:after="0"/>
        <w:ind w:left="0" w:right="0" w:hanging="0"/>
        <w:jc w:val="left"/>
        <w:rPr/>
      </w:pPr>
      <w:r>
        <w:rPr/>
        <w:t xml:space="preserve">Koncepce průzkumu vychází ze zásady, že se průzkumu musí zúčastnit nejméně 3600 respondentů, aby byla zajištěna dobrá statistická spolehlivost. Kromě toho toto číslo umožňuje dobré rozdělení mezi různými obecnými charakteristikami populace. Neexistuje jen jeden typ Holanďana. Proto jsme předem zajistili, že vzorek bude distribuován na řadu charakteristik. Nizozemsko je poměrně malá země, ale názory se mohou lišit podle regionů. Umístění a význam dané tématům může být (zčásti) určován regionem, ve kterém žijete. Například lidé žijící ve venkovských oblastech mohou chápat téma, jako je bezpečnost, jinak než v městských oblastech. Výzkum provedený nizozemským úřadem pro sociální a kulturní plánování rovněž ukazuje, že lidé s vyšší úrovní studia jsou častěji zastánci EU než ti, kteří mají nižší úroveň studia, a že mladí lidé EU podporují více než starší lidé (zdroj: Wat willen Nederlanders van de Europese Unie?Nizozemský sociální a kulturní úřad, Haag, 2019).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Proto jsme již dříve proporcionálně přiřadili následující tři charakteristiky, abychom zajistili reprezentativnost vzorku: (1) pobyt v regionech COROP, 2) věk a 3) úroveň vzdělání. Rozdělení vzorku bylo rovněž prezentováno podle těchto obecných charakteristik: pohlaví, původ, hlavní povolání, politická orientace.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Regiony COROP byly rozvíjeny na základě uzlového principu („srdce“ s oblastí přitažlivosti nebo regionální funkcí) na základě toku lidí, kteří dojíždějí. Několik porušení uzlového principu bylo připuštěno tak, aby regiony sledovaly provinční hranice. Po reorganizaci obcí nad rámec limitů COROP byla distribuce upravena (zdroj: Nizozemský národní statistický úřad). V rámci regionů COROP jsme zajistili dobré rozdělení mezi věkové skupiny s následujícím rozdělením: věk 18–34, 35–54, 55–75 a více než 75 let.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V neposlední řadě jsme zajistili reprezentativní distribuci vzdělávacích úrovní. Ve vzorku odpovídá rozdělení respondentů rozdělením nejvyšší úrovně vzdělání na vnitrostátní úrovni, což je následující: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r>
      <w:r>
        <w:br w:type="page"/>
      </w:r>
    </w:p>
    <w:p>
      <w:pPr>
        <w:pStyle w:val="P68B1DB1Normal120"/>
        <w:spacing w:lineRule="auto" w:line="240"/>
        <w:ind w:left="0" w:right="0" w:hanging="0"/>
        <w:rPr>
          <w:rFonts w:ascii="Calibri" w:hAnsi="Calibri"/>
          <w:b/>
          <w:b/>
          <w:color w:val="000000"/>
          <w:sz w:val="21"/>
        </w:rPr>
      </w:pPr>
      <w:r>
        <w:rPr/>
        <w:t xml:space="preserve">Nejvyšší úroveň vzdělání </w:t>
      </w:r>
    </w:p>
    <w:tbl>
      <w:tblPr>
        <w:tblW w:w="9180"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7649"/>
        <w:gridCol w:w="1530"/>
      </w:tblGrid>
      <w:tr>
        <w:trPr>
          <w:trHeight w:val="103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Nízká hodnota: základní vzdělávání, přípravné odborné vzdělávání, 1. až 3. stupeň všeobecného vyššího sekundárního vzdělávání/předuniverzitní vzdělávání, střední odborné vzdělávání 1</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32,1 %</w:t>
            </w:r>
          </w:p>
        </w:tc>
      </w:tr>
      <w:tr>
        <w:trPr>
          <w:trHeight w:val="103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Meziprodukt: všeobecné vyšší sekundární vzdělávání/předuniverzitní vzdělávání, střední odborné vzdělávání 2 až 4</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44,6 %</w:t>
            </w:r>
          </w:p>
        </w:tc>
      </w:tr>
      <w:tr>
        <w:trPr>
          <w:trHeight w:val="55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Vysoká výška: vyšší odborné vzdělávání nebo vysokoškolské vzdělávání</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22,9 %</w:t>
            </w:r>
          </w:p>
        </w:tc>
      </w:tr>
      <w:tr>
        <w:trPr>
          <w:trHeight w:val="536"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Neznámý</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0,4 %</w:t>
            </w:r>
          </w:p>
        </w:tc>
      </w:tr>
    </w:tbl>
    <w:p>
      <w:pPr>
        <w:pStyle w:val="Normal"/>
        <w:spacing w:lineRule="auto" w:line="240"/>
        <w:ind w:left="0" w:right="0" w:hanging="0"/>
        <w:rPr/>
      </w:pPr>
      <w:r>
        <w:rPr/>
      </w:r>
    </w:p>
    <w:p>
      <w:pPr>
        <w:pStyle w:val="P68B1DB1Normal107"/>
        <w:spacing w:lineRule="auto" w:line="240"/>
        <w:ind w:left="0" w:right="0" w:hanging="0"/>
        <w:rPr>
          <w:rFonts w:ascii="Calibri" w:hAnsi="Calibri"/>
          <w:i/>
          <w:i/>
          <w:color w:val="000000"/>
          <w:sz w:val="24"/>
        </w:rPr>
      </w:pPr>
      <w:r>
        <w:rPr/>
        <w:t xml:space="preserve">Míra odezvy </w:t>
      </w:r>
    </w:p>
    <w:p>
      <w:pPr>
        <w:pStyle w:val="P68B1DB1Normal104"/>
        <w:widowControl w:val="false"/>
        <w:spacing w:lineRule="exact" w:line="283" w:before="87" w:after="0"/>
        <w:ind w:left="0" w:right="368" w:hanging="0"/>
        <w:jc w:val="left"/>
        <w:rPr/>
      </w:pPr>
      <w:r>
        <w:rPr/>
        <w:t xml:space="preserve">Průzkumu se zúčastnilo celkem 4 086 lidí. Proto je splněno 3 600 vyplněných dotazníků. </w:t>
      </w:r>
    </w:p>
    <w:tbl>
      <w:tblPr>
        <w:tblW w:w="9638" w:type="dxa"/>
        <w:jc w:val="left"/>
        <w:tblInd w:w="0" w:type="dxa"/>
        <w:tblBorders/>
        <w:tblCellMar>
          <w:top w:w="28" w:type="dxa"/>
          <w:left w:w="28" w:type="dxa"/>
          <w:bottom w:w="28" w:type="dxa"/>
          <w:right w:w="28" w:type="dxa"/>
        </w:tblCellMar>
      </w:tblPr>
      <w:tblGrid>
        <w:gridCol w:w="4016"/>
        <w:gridCol w:w="1348"/>
        <w:gridCol w:w="1348"/>
        <w:gridCol w:w="1574"/>
        <w:gridCol w:w="1352"/>
      </w:tblGrid>
      <w:tr>
        <w:trPr>
          <w:trHeight w:val="356" w:hRule="atLeast"/>
        </w:trPr>
        <w:tc>
          <w:tcPr>
            <w:tcW w:w="4016" w:type="dxa"/>
            <w:tcBorders/>
            <w:shd w:fill="auto" w:val="clear"/>
            <w:vAlign w:val="bottom"/>
          </w:tcPr>
          <w:p>
            <w:pPr>
              <w:pStyle w:val="P68B1DB1Contenudetableau122"/>
              <w:spacing w:before="57" w:after="57"/>
              <w:jc w:val="left"/>
              <w:rPr>
                <w:b/>
                <w:b/>
                <w:color w:val="000000"/>
              </w:rPr>
            </w:pPr>
            <w:r>
              <w:rPr/>
              <w:t>Odpovědi regionů a věku COROP</w:t>
            </w:r>
          </w:p>
        </w:tc>
        <w:tc>
          <w:tcPr>
            <w:tcW w:w="1348" w:type="dxa"/>
            <w:tcBorders/>
            <w:shd w:fill="auto" w:val="clear"/>
            <w:vAlign w:val="bottom"/>
          </w:tcPr>
          <w:p>
            <w:pPr>
              <w:pStyle w:val="P68B1DB1Contenudetableau122"/>
              <w:spacing w:before="57" w:after="57"/>
              <w:jc w:val="left"/>
              <w:rPr>
                <w:b/>
                <w:b/>
                <w:color w:val="000000"/>
              </w:rPr>
            </w:pPr>
            <w:r>
              <w:rPr/>
              <w:t>18–34 let</w:t>
            </w:r>
          </w:p>
        </w:tc>
        <w:tc>
          <w:tcPr>
            <w:tcW w:w="1348" w:type="dxa"/>
            <w:tcBorders/>
            <w:shd w:fill="auto" w:val="clear"/>
            <w:vAlign w:val="bottom"/>
          </w:tcPr>
          <w:p>
            <w:pPr>
              <w:pStyle w:val="P68B1DB1Contenudetableau122"/>
              <w:spacing w:before="57" w:after="57"/>
              <w:jc w:val="left"/>
              <w:rPr>
                <w:b/>
                <w:b/>
                <w:color w:val="000000"/>
              </w:rPr>
            </w:pPr>
            <w:r>
              <w:rPr/>
              <w:t>35 až 54 let</w:t>
            </w:r>
          </w:p>
        </w:tc>
        <w:tc>
          <w:tcPr>
            <w:tcW w:w="1574" w:type="dxa"/>
            <w:tcBorders/>
            <w:shd w:fill="auto" w:val="clear"/>
            <w:vAlign w:val="bottom"/>
          </w:tcPr>
          <w:p>
            <w:pPr>
              <w:pStyle w:val="P68B1DB1Contenudetableau122"/>
              <w:spacing w:before="57" w:after="57"/>
              <w:jc w:val="left"/>
              <w:rPr>
                <w:b/>
                <w:b/>
                <w:color w:val="000000"/>
              </w:rPr>
            </w:pPr>
            <w:r>
              <w:rPr/>
              <w:t>55 až 75 let</w:t>
            </w:r>
          </w:p>
        </w:tc>
        <w:tc>
          <w:tcPr>
            <w:tcW w:w="1352" w:type="dxa"/>
            <w:tcBorders/>
            <w:shd w:fill="auto" w:val="clear"/>
            <w:vAlign w:val="bottom"/>
          </w:tcPr>
          <w:p>
            <w:pPr>
              <w:pStyle w:val="P68B1DB1Contenudetableau122"/>
              <w:spacing w:before="57" w:after="57"/>
              <w:jc w:val="left"/>
              <w:rPr>
                <w:b/>
                <w:b/>
                <w:color w:val="000000"/>
              </w:rPr>
            </w:pPr>
            <w:r>
              <w:rPr/>
              <w:t xml:space="preserve"> </w:t>
            </w:r>
            <w:r>
              <w:rPr/>
              <w:t>více než 75 let</w:t>
            </w:r>
          </w:p>
        </w:tc>
      </w:tr>
      <w:tr>
        <w:trPr>
          <w:trHeight w:val="536"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Severní Drenthe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Jihovýchod Drenthe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Jihozápadně od Drenthe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Flevoland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29</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Severní Friesland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Jihovýchod od Frieslandu</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Jihozápadně od Frieslandu</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Achterhoek</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Arnhem/Nijmegen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Veluwe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48</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Jihozápadní Gelderland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Grand Delfzijl</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Východní Groningen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Zbytek Groningenu</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36</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Centrální Limburg</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Severní Limburg</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23</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Jižní Limburg </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38</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52</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r>
      <w:tr>
        <w:trPr>
          <w:trHeight w:val="506"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Centrum Severního Brabantska</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35</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r>
    </w:tbl>
    <w:p>
      <w:pPr>
        <w:pStyle w:val="Normal"/>
        <w:spacing w:lineRule="auto" w:line="240"/>
        <w:ind w:left="0" w:right="0" w:hanging="0"/>
        <w:rPr/>
      </w:pPr>
      <w:r>
        <w:rPr/>
      </w:r>
    </w:p>
    <w:tbl>
      <w:tblPr>
        <w:tblW w:w="9638" w:type="dxa"/>
        <w:jc w:val="left"/>
        <w:tblInd w:w="0" w:type="dxa"/>
        <w:tblBorders/>
        <w:tblCellMar>
          <w:top w:w="28" w:type="dxa"/>
          <w:left w:w="28" w:type="dxa"/>
          <w:bottom w:w="28" w:type="dxa"/>
          <w:right w:w="28" w:type="dxa"/>
        </w:tblCellMar>
      </w:tblPr>
      <w:tblGrid>
        <w:gridCol w:w="4106"/>
        <w:gridCol w:w="1393"/>
        <w:gridCol w:w="1393"/>
        <w:gridCol w:w="1370"/>
        <w:gridCol w:w="1376"/>
      </w:tblGrid>
      <w:tr>
        <w:trPr>
          <w:trHeight w:val="356" w:hRule="atLeast"/>
        </w:trPr>
        <w:tc>
          <w:tcPr>
            <w:tcW w:w="4106" w:type="dxa"/>
            <w:tcBorders/>
            <w:shd w:fill="auto" w:val="clear"/>
            <w:vAlign w:val="bottom"/>
          </w:tcPr>
          <w:p>
            <w:pPr>
              <w:pStyle w:val="P68B1DB1Contenudetableau122"/>
              <w:spacing w:before="57" w:after="57"/>
              <w:jc w:val="left"/>
              <w:rPr>
                <w:b/>
                <w:b/>
                <w:color w:val="000000"/>
              </w:rPr>
            </w:pPr>
            <w:r>
              <w:rPr/>
              <w:t xml:space="preserve">Odpovědi regionů a věku COROP </w:t>
            </w:r>
          </w:p>
        </w:tc>
        <w:tc>
          <w:tcPr>
            <w:tcW w:w="1393" w:type="dxa"/>
            <w:tcBorders/>
            <w:shd w:fill="auto" w:val="clear"/>
            <w:vAlign w:val="bottom"/>
          </w:tcPr>
          <w:p>
            <w:pPr>
              <w:pStyle w:val="P68B1DB1Contenudetableau122"/>
              <w:spacing w:before="57" w:after="57"/>
              <w:jc w:val="left"/>
              <w:rPr>
                <w:b/>
                <w:b/>
                <w:color w:val="000000"/>
              </w:rPr>
            </w:pPr>
            <w:r>
              <w:rPr/>
              <w:t>18–34 let</w:t>
            </w:r>
          </w:p>
        </w:tc>
        <w:tc>
          <w:tcPr>
            <w:tcW w:w="1393" w:type="dxa"/>
            <w:tcBorders/>
            <w:shd w:fill="auto" w:val="clear"/>
            <w:vAlign w:val="bottom"/>
          </w:tcPr>
          <w:p>
            <w:pPr>
              <w:pStyle w:val="P68B1DB1Contenudetableau122"/>
              <w:spacing w:before="57" w:after="57"/>
              <w:jc w:val="left"/>
              <w:rPr>
                <w:b/>
                <w:b/>
                <w:color w:val="000000"/>
              </w:rPr>
            </w:pPr>
            <w:r>
              <w:rPr/>
              <w:t>35 až 54 let</w:t>
            </w:r>
          </w:p>
        </w:tc>
        <w:tc>
          <w:tcPr>
            <w:tcW w:w="1370" w:type="dxa"/>
            <w:tcBorders/>
            <w:shd w:fill="auto" w:val="clear"/>
            <w:vAlign w:val="bottom"/>
          </w:tcPr>
          <w:p>
            <w:pPr>
              <w:pStyle w:val="P68B1DB1Contenudetableau122"/>
              <w:spacing w:before="57" w:after="57"/>
              <w:jc w:val="left"/>
              <w:rPr>
                <w:b/>
                <w:b/>
                <w:color w:val="000000"/>
              </w:rPr>
            </w:pPr>
            <w:r>
              <w:rPr/>
              <w:t>55 až 75 let</w:t>
            </w:r>
          </w:p>
        </w:tc>
        <w:tc>
          <w:tcPr>
            <w:tcW w:w="1376" w:type="dxa"/>
            <w:tcBorders/>
            <w:shd w:fill="auto" w:val="clear"/>
            <w:vAlign w:val="bottom"/>
          </w:tcPr>
          <w:p>
            <w:pPr>
              <w:pStyle w:val="P68B1DB1Contenudetableau122"/>
              <w:spacing w:before="57" w:after="57"/>
              <w:jc w:val="left"/>
              <w:rPr>
                <w:b/>
                <w:b/>
                <w:color w:val="000000"/>
              </w:rPr>
            </w:pPr>
            <w:r>
              <w:rPr/>
              <w:t>více než 75 let</w:t>
            </w:r>
          </w:p>
        </w:tc>
      </w:tr>
      <w:tr>
        <w:trPr>
          <w:trHeight w:val="536"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Severovýchodně od severního Brabantska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43</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51</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Západně od severního Brabantska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Jihovýchodně od severního Brabantska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56</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Aglomerace Haarlem</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Alkmaar a jeho okolí</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Velký Amsterdam</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Gooi a Vechtstreek</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IJmond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Tip Severního Holandska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30</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Zaan Region</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Severní Overijssel</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Twente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46</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Jihozápadně od Overijsselu</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Utrecht</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100</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Zbytek Zeelandu</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23</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Zeeland Flandry</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Aglomerace Leidenu a oblast žárovek</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Aglomerace Haagu</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70</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57</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Delft a Westland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Grand Rijnmond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Východně od jižního Holandska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06"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Jihovýchod od Jižního Holandska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24</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w:t>
            </w:r>
          </w:p>
        </w:tc>
      </w:tr>
    </w:tbl>
    <w:p>
      <w:pPr>
        <w:pStyle w:val="Normal"/>
        <w:spacing w:lineRule="auto" w:line="240"/>
        <w:ind w:left="0" w:right="0" w:hanging="0"/>
        <w:rPr/>
      </w:pPr>
      <w:r>
        <w:rPr/>
      </w:r>
    </w:p>
    <w:p>
      <w:pPr>
        <w:pStyle w:val="P68B1DB1Normal120"/>
        <w:spacing w:lineRule="auto" w:line="240"/>
        <w:ind w:left="0" w:right="0" w:hanging="0"/>
        <w:rPr>
          <w:rFonts w:ascii="Calibri" w:hAnsi="Calibri"/>
          <w:b/>
          <w:b/>
          <w:color w:val="000000"/>
          <w:sz w:val="21"/>
        </w:rPr>
      </w:pPr>
      <w:r>
        <w:rPr/>
        <w:t xml:space="preserve">Reakce podle úrovně vzdělání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5937"/>
        <w:gridCol w:w="1863"/>
        <w:gridCol w:w="1838"/>
      </w:tblGrid>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Nízká</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1382</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34 %</w:t>
            </w:r>
          </w:p>
        </w:tc>
      </w:tr>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Zprostředkovatel</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1747</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43 %</w:t>
            </w:r>
          </w:p>
        </w:tc>
      </w:tr>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Vysočina</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915</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22 %</w:t>
            </w:r>
          </w:p>
        </w:tc>
      </w:tr>
      <w:tr>
        <w:trPr>
          <w:trHeight w:val="536"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Neznámý</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42</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107"/>
        <w:spacing w:lineRule="auto" w:line="240"/>
        <w:ind w:left="0" w:right="0" w:hanging="0"/>
        <w:rPr>
          <w:rFonts w:ascii="Calibri" w:hAnsi="Calibri"/>
          <w:i/>
          <w:i/>
          <w:color w:val="000000"/>
          <w:sz w:val="24"/>
        </w:rPr>
      </w:pPr>
      <w:r>
        <w:rPr/>
        <w:t xml:space="preserve">Spolehlivost a reprezentativnost </w:t>
      </w:r>
    </w:p>
    <w:p>
      <w:pPr>
        <w:pStyle w:val="P68B1DB1Normal104"/>
        <w:widowControl w:val="false"/>
        <w:spacing w:lineRule="auto" w:line="240" w:before="87" w:after="0"/>
        <w:ind w:left="0" w:right="0" w:hanging="0"/>
        <w:jc w:val="left"/>
        <w:rPr/>
      </w:pPr>
      <w:r>
        <w:rPr/>
        <w:t xml:space="preserve">Počet respondentů ve výši 4 086 umožňuje zaznamenat soubor jako celek s 95 % mírou spolehlivosti a chybovým rozpětím 1,53 %. Úroveň spolehlivosti a chybovost výsledků se určuje podle velikosti vzorku. Čím větší vzorek, tím spolehlivější a přesnější výsledky mohou být extrapolovány na celou populaci.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Úroveň spolehlivosti je definována jako 1 (100 %) minus úroveň významu. Je běžné, že se opírá o 5 % významovou úroveň. Hovoříme o 95 % míře důvěry. Jinými slovy, pokud by se průzkum opakoval stejným způsobem a za stejných podmínek, výsledky by byly stejné v 95 % případů. </w:t>
      </w:r>
    </w:p>
    <w:p>
      <w:pPr>
        <w:pStyle w:val="P68B1DB1Normal104"/>
        <w:widowControl w:val="false"/>
        <w:spacing w:lineRule="auto" w:line="240"/>
        <w:ind w:left="0" w:right="0" w:hanging="0"/>
        <w:jc w:val="left"/>
        <w:rPr/>
      </w:pPr>
      <w:r>
        <w:rPr/>
        <w:t xml:space="preserve">Přesnost (vyjádřená okrajem chyby) označuje rozsah hodnot, v nichž se nachází skutečná hodnota v souboru. Jinými slovy: jaký by byl maximální rozdíl mezi výsledky vzorku a výsledky, které by byly získány od souboru jako celku? Chybová odchylka ve výši 1,53 % znamená, že skutečná hodnota v rámci celkového souboru může být o 1,53 % vyšší nebo nižší než hodnota vzorku. Pokud například z průzkumu provedeného na vzorku lidí vyplývá, že 50 % respondentů považuje určité téma za důležité, skutečné procento je o 1,53 % vyšší nebo nižší než 50 %, tj. mezi 48,47 a 51,53 %. Maximální míra chyb ve výši 5 % je běžná a obecně přijímaná v kvantitativních studiích (statistika). </w:t>
      </w:r>
    </w:p>
    <w:p>
      <w:pPr>
        <w:pStyle w:val="P68B1DB1Normal104"/>
        <w:widowControl w:val="false"/>
        <w:spacing w:lineRule="auto" w:line="240"/>
        <w:ind w:left="0" w:right="0" w:hanging="0"/>
        <w:jc w:val="left"/>
        <w:rPr/>
      </w:pPr>
      <w:r>
        <w:rPr/>
        <w:t xml:space="preserve">Kromě spolehlivosti je důležitá reprezentativnost vzorku. Vzhledem k tomu, že výzvy k účasti byly zaslány v šaržích a stratifikovaných, jsou výsledky reprezentativní z hlediska charakteristik regionu COROP a věkových skupin regionu COROP. Odpovědi jsou rovněž reprezentativní z hlediska úrovně vzdělání ve srovnání s nejvyšší úrovní vzdělání dosažené na vnitrostátní úrovni. </w:t>
      </w:r>
    </w:p>
    <w:p>
      <w:pPr>
        <w:pStyle w:val="P68B1DB1Normal107"/>
        <w:widowControl w:val="false"/>
        <w:spacing w:lineRule="auto" w:line="240"/>
        <w:ind w:left="0" w:right="0" w:hanging="0"/>
        <w:jc w:val="left"/>
        <w:rPr>
          <w:rFonts w:ascii="Calibri" w:hAnsi="Calibri"/>
          <w:i/>
          <w:i/>
          <w:color w:val="000000"/>
          <w:sz w:val="24"/>
        </w:rPr>
      </w:pPr>
      <w:r>
        <w:rPr/>
        <w:t xml:space="preserve">Další obecné charakteristiky </w:t>
      </w:r>
    </w:p>
    <w:p>
      <w:pPr>
        <w:pStyle w:val="P68B1DB1Normal104"/>
        <w:widowControl w:val="false"/>
        <w:spacing w:lineRule="auto" w:line="240" w:before="5" w:after="0"/>
        <w:ind w:left="0" w:right="0" w:hanging="0"/>
        <w:jc w:val="left"/>
        <w:rPr/>
      </w:pPr>
      <w:r>
        <w:rPr/>
        <w:t xml:space="preserve">Účastníkům průzkumu byla položena řada dalších kontextových otázek. Patří mezi ně pohlaví, postavení v EU, původ, hlavní povolání a politická strana, pro kterou by daná osoba v případě voleb hlasovala. </w:t>
      </w:r>
    </w:p>
    <w:p>
      <w:pPr>
        <w:pStyle w:val="P68B1DB1Normal104"/>
        <w:widowControl w:val="false"/>
        <w:spacing w:lineRule="auto" w:line="240"/>
        <w:ind w:left="0" w:right="0" w:hanging="0"/>
        <w:jc w:val="left"/>
        <w:rPr/>
      </w:pPr>
      <w:r>
        <w:rPr/>
        <w:t xml:space="preserve">49 % respondentů jsou muži, 50 % ženy a 1 % raději neodpoví na tuto otázku. </w:t>
      </w:r>
    </w:p>
    <w:p>
      <w:pPr>
        <w:pStyle w:val="Normal"/>
        <w:widowControl w:val="false"/>
        <w:spacing w:lineRule="auto" w:line="240"/>
        <w:ind w:left="0" w:right="0" w:hanging="0"/>
        <w:jc w:val="left"/>
        <w:rPr/>
      </w:pPr>
      <w:r>
        <w:rPr>
          <w:rFonts w:ascii="Calibri" w:hAnsi="Calibri"/>
          <w:color w:val="000000"/>
          <w:sz w:val="21"/>
        </w:rPr>
        <w:t xml:space="preserve">51 % respondentů se domnívá, že je dobré, aby Nizozemsko bylo členem EU, 13 % si myslí, že je to špatná věc a 36 % je neutrálních nebo nemá žádný názor. </w:t>
      </w:r>
      <w:r>
        <w:br w:type="page"/>
      </w:r>
    </w:p>
    <w:p>
      <w:pPr>
        <w:pStyle w:val="P68B1DB1Normal104"/>
        <w:spacing w:lineRule="auto" w:line="240"/>
        <w:ind w:left="0" w:right="0" w:hanging="0"/>
        <w:rPr/>
      </w:pPr>
      <w:r>
        <w:rPr/>
        <w:t xml:space="preserve">95 % respondentů se narodilo v Nizozemsku. 89 % respondentů uvedlo, že oba rodiče se narodili v Nizozemsku. Pět procent se narodilo dvěma rodičům, kteří se narodili v zahraničí. </w:t>
      </w:r>
    </w:p>
    <w:p>
      <w:pPr>
        <w:pStyle w:val="P68B1DB1Normal104"/>
        <w:widowControl w:val="false"/>
        <w:spacing w:lineRule="exact" w:line="339"/>
        <w:ind w:left="0" w:right="0" w:hanging="0"/>
        <w:jc w:val="left"/>
        <w:rPr>
          <w:rFonts w:ascii="Calibri" w:hAnsi="Calibri"/>
          <w:color w:val="000000"/>
          <w:sz w:val="21"/>
        </w:rPr>
      </w:pPr>
      <w:r>
        <w:rPr/>
        <w:t xml:space="preserve"> </w:t>
      </w:r>
    </w:p>
    <w:p>
      <w:pPr>
        <w:pStyle w:val="P68B1DB1Normal107"/>
        <w:widowControl w:val="false"/>
        <w:spacing w:lineRule="exact" w:line="375" w:before="33" w:after="0"/>
        <w:ind w:left="1" w:right="0" w:hanging="0"/>
        <w:jc w:val="left"/>
        <w:rPr>
          <w:rFonts w:ascii="Calibri" w:hAnsi="Calibri"/>
          <w:i/>
          <w:i/>
          <w:color w:val="000000"/>
          <w:sz w:val="24"/>
        </w:rPr>
      </w:pPr>
      <w:r>
        <w:rPr/>
        <w:t xml:space="preserve">Současná politická orientace respondentů </w:t>
      </w:r>
    </w:p>
    <w:p>
      <w:pPr>
        <w:pStyle w:val="P68B1DB1Normal120"/>
        <w:widowControl w:val="false"/>
        <w:spacing w:lineRule="exact" w:line="352" w:before="34" w:after="0"/>
        <w:ind w:left="63" w:right="0" w:hanging="0"/>
        <w:jc w:val="left"/>
        <w:rPr>
          <w:rFonts w:ascii="Calibri" w:hAnsi="Calibri"/>
          <w:b/>
          <w:b/>
          <w:color w:val="000000"/>
          <w:sz w:val="21"/>
        </w:rPr>
      </w:pPr>
      <w:r>
        <w:rPr/>
        <w:t xml:space="preserve">Večírky </w:t>
        <w:tab/>
        <w:tab/>
        <w:tab/>
        <w:tab/>
        <w:tab/>
        <w:tab/>
        <w:tab/>
        <w:tab/>
        <w:tab/>
        <w:tab/>
        <w:t>V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49"/>
        <w:gridCol w:w="3488"/>
      </w:tblGrid>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VVD (Lidová strana za svobodu a demokracii)</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PVV (strana za svobodu)</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SP (Socialistická strana)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D66 (Demokraté 66)</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CDA (Křesťanská demokratická výzva)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PvdA (Pracovní strana)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Partij voor de Dieren (Zvířecí strana)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GroenLinks (zelená levice)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ChristenUnie (Křesťanský svaz)</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JA21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BoerBurgerBeweging (Farmer-občanské hnutí)</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Forum voor Democratie (Fórum pro demokracii)</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GSP (reformovaná politická strana)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Volt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DENK</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Groep Van Haga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BIJ1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Fractie Den Haan</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Ostatní</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Bílé hlasování</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Raději neodpovím</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66"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Já nevolím</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bl>
    <w:p>
      <w:pPr>
        <w:pStyle w:val="P68B1DB1Normal107"/>
        <w:spacing w:lineRule="auto" w:line="240"/>
        <w:ind w:left="0" w:right="0" w:hanging="0"/>
        <w:rPr>
          <w:rFonts w:ascii="Calibri" w:hAnsi="Calibri"/>
          <w:i/>
          <w:i/>
          <w:color w:val="000000"/>
          <w:sz w:val="24"/>
        </w:rPr>
      </w:pPr>
      <w:r>
        <w:rPr/>
        <w:t xml:space="preserve">Jaké je v současné době vaše hlavní zaměstnání? </w:t>
      </w:r>
    </w:p>
    <w:p>
      <w:pPr>
        <w:pStyle w:val="Normal"/>
        <w:spacing w:lineRule="auto" w:line="240"/>
        <w:ind w:left="0" w:right="0" w:hanging="0"/>
        <w:rPr/>
      </w:pPr>
      <w:r>
        <w:rPr/>
      </w:r>
    </w:p>
    <w:tbl>
      <w:tblPr>
        <w:tblW w:w="9638" w:type="dxa"/>
        <w:jc w:val="left"/>
        <w:tblInd w:w="0" w:type="dxa"/>
        <w:tblBorders/>
        <w:tblCellMar>
          <w:top w:w="28" w:type="dxa"/>
          <w:left w:w="28" w:type="dxa"/>
          <w:bottom w:w="28" w:type="dxa"/>
          <w:right w:w="28" w:type="dxa"/>
        </w:tblCellMar>
      </w:tblPr>
      <w:tblGrid>
        <w:gridCol w:w="6123"/>
        <w:gridCol w:w="3514"/>
      </w:tblGrid>
      <w:tr>
        <w:trPr>
          <w:trHeight w:val="356" w:hRule="atLeast"/>
        </w:trPr>
        <w:tc>
          <w:tcPr>
            <w:tcW w:w="6123" w:type="dxa"/>
            <w:tcBorders/>
            <w:shd w:fill="auto" w:val="clear"/>
            <w:vAlign w:val="bottom"/>
          </w:tcPr>
          <w:p>
            <w:pPr>
              <w:pStyle w:val="P68B1DB1Contenudetableau122"/>
              <w:spacing w:before="57" w:after="57"/>
              <w:jc w:val="left"/>
              <w:rPr>
                <w:b/>
                <w:b/>
                <w:color w:val="000000"/>
              </w:rPr>
            </w:pPr>
            <w:r>
              <w:rPr/>
              <w:t xml:space="preserve">Okupace </w:t>
            </w:r>
          </w:p>
        </w:tc>
        <w:tc>
          <w:tcPr>
            <w:tcW w:w="3514" w:type="dxa"/>
            <w:tcBorders/>
            <w:shd w:fill="auto" w:val="clear"/>
            <w:vAlign w:val="bottom"/>
          </w:tcPr>
          <w:p>
            <w:pPr>
              <w:pStyle w:val="P68B1DB1Contenudetableau122"/>
              <w:spacing w:before="57" w:after="57"/>
              <w:jc w:val="left"/>
              <w:rPr>
                <w:b/>
                <w:b/>
                <w:color w:val="000000"/>
              </w:rPr>
            </w:pPr>
            <w:r>
              <w:rPr/>
              <w:t>V %</w:t>
            </w:r>
          </w:p>
        </w:tc>
      </w:tr>
      <w:tr>
        <w:trPr>
          <w:trHeight w:val="53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Student/student</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Zaměstnanec na částečný úvazek</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Zaměstnanec na plný úvazek</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Nezávislý dodavatel</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Osoba doma</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Uchazeč o zaměstnání</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Dobrovolníci</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Pracovní neschopnost</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Důchodce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Ostatní</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0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Raději neodpovím</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34"/>
        <w:spacing w:lineRule="auto" w:line="240"/>
        <w:ind w:left="0" w:right="0" w:hanging="0"/>
        <w:rPr/>
      </w:pPr>
      <w:r>
        <w:rPr>
          <w:rFonts w:ascii="Calibri" w:hAnsi="Calibri"/>
          <w:i/>
        </w:rPr>
        <w:t>Dotazník</w:t>
      </w:r>
      <w:r>
        <w:rPr>
          <w:rFonts w:ascii="Times New Roman" w:hAnsi="Times New Roman"/>
        </w:rPr>
        <w:t xml:space="preserve"> </w:t>
      </w:r>
    </w:p>
    <w:p>
      <w:pPr>
        <w:pStyle w:val="P68B1DB1Normal104"/>
        <w:widowControl w:val="false"/>
        <w:spacing w:lineRule="auto" w:line="240" w:before="79" w:after="0"/>
        <w:ind w:left="0" w:right="0" w:hanging="0"/>
        <w:jc w:val="left"/>
        <w:rPr/>
      </w:pPr>
      <w:r>
        <w:rPr/>
        <w:t xml:space="preserve">Dotazník a tuto zprávu připravila nezávislá externí organizace na žádost Ministerstva zahraničních věcí. Dotazník obsahuje modulární strukturu a obsahuje následující bloky otázek v souladu s tématy konference o budoucnosti Evropy: Důležitá témata a úloha Evropy </w:t>
      </w:r>
    </w:p>
    <w:p>
      <w:pPr>
        <w:pStyle w:val="P68B1DB1Normal104"/>
        <w:widowControl w:val="false"/>
        <w:spacing w:lineRule="auto" w:line="240" w:before="1" w:after="0"/>
        <w:ind w:left="0" w:right="0" w:hanging="0"/>
        <w:jc w:val="left"/>
        <w:rPr>
          <w:rFonts w:ascii="Calibri" w:hAnsi="Calibri"/>
          <w:color w:val="000000"/>
          <w:sz w:val="21"/>
        </w:rPr>
      </w:pPr>
      <w:r>
        <w:rPr/>
        <w:t xml:space="preserve">Změna klimatu a životní prostředí </w:t>
      </w:r>
    </w:p>
    <w:p>
      <w:pPr>
        <w:pStyle w:val="P68B1DB1Normal104"/>
        <w:widowControl w:val="false"/>
        <w:spacing w:lineRule="auto" w:line="240"/>
        <w:ind w:left="0" w:right="0" w:hanging="0"/>
        <w:jc w:val="left"/>
        <w:rPr>
          <w:rFonts w:ascii="Calibri" w:hAnsi="Calibri"/>
          <w:color w:val="000000"/>
          <w:sz w:val="21"/>
        </w:rPr>
      </w:pPr>
      <w:r>
        <w:rPr/>
        <w:t xml:space="preserve">Zdraví </w:t>
      </w:r>
    </w:p>
    <w:p>
      <w:pPr>
        <w:pStyle w:val="P68B1DB1Normal104"/>
        <w:widowControl w:val="false"/>
        <w:spacing w:lineRule="auto" w:line="240" w:before="1" w:after="0"/>
        <w:ind w:left="0" w:right="0" w:hanging="0"/>
        <w:jc w:val="left"/>
        <w:rPr>
          <w:rFonts w:ascii="Calibri" w:hAnsi="Calibri"/>
          <w:color w:val="000000"/>
          <w:sz w:val="21"/>
        </w:rPr>
      </w:pPr>
      <w:r>
        <w:rPr/>
        <w:t xml:space="preserve">Ekonomika a zaměstnanost </w:t>
      </w:r>
    </w:p>
    <w:p>
      <w:pPr>
        <w:pStyle w:val="P68B1DB1Normal104"/>
        <w:widowControl w:val="false"/>
        <w:spacing w:lineRule="auto" w:line="240"/>
        <w:ind w:left="0" w:right="0" w:hanging="0"/>
        <w:jc w:val="left"/>
        <w:rPr>
          <w:rFonts w:ascii="Calibri" w:hAnsi="Calibri"/>
          <w:color w:val="000000"/>
          <w:sz w:val="21"/>
        </w:rPr>
      </w:pPr>
      <w:r>
        <w:rPr/>
        <w:t xml:space="preserve">Úloha Evropské unie ve světě </w:t>
      </w:r>
    </w:p>
    <w:p>
      <w:pPr>
        <w:pStyle w:val="P68B1DB1Normal104"/>
        <w:widowControl w:val="false"/>
        <w:spacing w:lineRule="auto" w:line="240" w:before="1" w:after="0"/>
        <w:ind w:left="0" w:right="0" w:hanging="0"/>
        <w:jc w:val="left"/>
        <w:rPr>
          <w:rFonts w:ascii="Calibri" w:hAnsi="Calibri"/>
          <w:color w:val="000000"/>
          <w:sz w:val="21"/>
        </w:rPr>
      </w:pPr>
      <w:r>
        <w:rPr/>
        <w:t xml:space="preserve">Bezpečnost a právní stát </w:t>
      </w:r>
    </w:p>
    <w:p>
      <w:pPr>
        <w:pStyle w:val="P68B1DB1Normal104"/>
        <w:widowControl w:val="false"/>
        <w:spacing w:lineRule="auto" w:line="240"/>
        <w:ind w:left="0" w:right="0" w:hanging="0"/>
        <w:jc w:val="left"/>
        <w:rPr>
          <w:rFonts w:ascii="Calibri" w:hAnsi="Calibri"/>
          <w:color w:val="000000"/>
          <w:sz w:val="21"/>
        </w:rPr>
      </w:pPr>
      <w:r>
        <w:rPr/>
        <w:t xml:space="preserve">Virtuální svět </w:t>
      </w:r>
    </w:p>
    <w:p>
      <w:pPr>
        <w:pStyle w:val="P68B1DB1Normal104"/>
        <w:widowControl w:val="false"/>
        <w:spacing w:lineRule="auto" w:line="240" w:before="1" w:after="0"/>
        <w:ind w:left="0" w:right="0" w:hanging="0"/>
        <w:jc w:val="left"/>
        <w:rPr>
          <w:rFonts w:ascii="Calibri" w:hAnsi="Calibri"/>
          <w:color w:val="000000"/>
          <w:sz w:val="21"/>
        </w:rPr>
      </w:pPr>
      <w:r>
        <w:rPr/>
        <w:t xml:space="preserve">Evropská demokracie </w:t>
      </w:r>
    </w:p>
    <w:p>
      <w:pPr>
        <w:pStyle w:val="P68B1DB1Normal104"/>
        <w:widowControl w:val="false"/>
        <w:spacing w:lineRule="auto" w:line="240"/>
        <w:ind w:left="0" w:right="0" w:hanging="0"/>
        <w:jc w:val="left"/>
        <w:rPr>
          <w:rFonts w:ascii="Calibri" w:hAnsi="Calibri"/>
          <w:color w:val="000000"/>
          <w:sz w:val="21"/>
        </w:rPr>
      </w:pPr>
      <w:r>
        <w:rPr/>
        <w:t xml:space="preserve">Migrace a uprchlíci </w:t>
      </w:r>
    </w:p>
    <w:p>
      <w:pPr>
        <w:pStyle w:val="P68B1DB1Normal104"/>
        <w:widowControl w:val="false"/>
        <w:spacing w:lineRule="auto" w:line="240" w:before="1" w:after="0"/>
        <w:ind w:left="0" w:right="0" w:hanging="0"/>
        <w:jc w:val="left"/>
        <w:rPr>
          <w:rFonts w:ascii="Calibri" w:hAnsi="Calibri"/>
          <w:color w:val="000000"/>
          <w:sz w:val="21"/>
        </w:rPr>
      </w:pPr>
      <w:r>
        <w:rPr/>
        <w:t xml:space="preserve">Vzdělávání/kultura/mládež/sport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Při přípravě dotazníku byla věnována velká pozornost kvalitě, spolehlivosti a platnosti otázek. Z tohoto důvodu se hledala neutrální, nevedená formulace otázek, tvrzení a možností odpovědi a bylo ověřeno, že otázky byly formulovány srozumitelným jazykem (úroveň B1).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pPr>
      <w:r>
        <w:rPr>
          <w:rFonts w:ascii="Calibri" w:hAnsi="Calibri"/>
          <w:color w:val="000000"/>
          <w:sz w:val="21"/>
        </w:rPr>
        <w:t xml:space="preserve">Dotazník byl podroben testům kvality prostřednictvím osobních rozhovorů s účastníky testů patřícími do cílové skupiny. To nám umožnilo zjistit, jak jsou otázky chápány různými typy respondentů. Pokud se zdálo, že otázka představuje příliš velkou (příliš komplexní) kognitivní zátěž, bylo to vhodné. </w:t>
      </w:r>
      <w:r>
        <w:br w:type="page"/>
      </w:r>
    </w:p>
    <w:p>
      <w:pPr>
        <w:pStyle w:val="P68B1DB1Normal107"/>
        <w:spacing w:lineRule="auto" w:line="240"/>
        <w:ind w:left="0" w:right="0" w:hanging="0"/>
        <w:rPr>
          <w:rFonts w:ascii="Calibri" w:hAnsi="Calibri"/>
          <w:i/>
          <w:i/>
          <w:color w:val="000000"/>
          <w:sz w:val="24"/>
        </w:rPr>
      </w:pPr>
      <w:r>
        <w:rPr/>
        <w:t xml:space="preserve">Metody analýzy </w:t>
      </w:r>
    </w:p>
    <w:p>
      <w:pPr>
        <w:pStyle w:val="P68B1DB1Normal104"/>
        <w:widowControl w:val="false"/>
        <w:spacing w:lineRule="auto" w:line="240" w:before="127" w:after="0"/>
        <w:ind w:left="0" w:right="0" w:hanging="0"/>
        <w:jc w:val="left"/>
        <w:rPr>
          <w:rFonts w:ascii="Calibri" w:hAnsi="Calibri"/>
          <w:color w:val="000000"/>
          <w:sz w:val="21"/>
        </w:rPr>
      </w:pPr>
      <w:r>
        <w:rPr/>
        <w:t xml:space="preserve">V tomto průzkumu byly použity dvě metody analýzy: </w:t>
      </w:r>
    </w:p>
    <w:p>
      <w:pPr>
        <w:pStyle w:val="P68B1DB1Normal111"/>
        <w:widowControl w:val="false"/>
        <w:spacing w:lineRule="auto" w:line="240" w:before="38" w:after="0"/>
        <w:ind w:left="0" w:right="0" w:hanging="0"/>
        <w:jc w:val="left"/>
        <w:rPr>
          <w:rFonts w:ascii="Calibri" w:hAnsi="Calibri"/>
          <w:b/>
          <w:b/>
          <w:color w:val="000000"/>
          <w:sz w:val="22"/>
        </w:rPr>
      </w:pPr>
      <w:r>
        <w:rPr/>
        <w:t xml:space="preserve">Univariátní analýzy </w:t>
      </w:r>
    </w:p>
    <w:p>
      <w:pPr>
        <w:pStyle w:val="P68B1DB1Normal104"/>
        <w:widowControl w:val="false"/>
        <w:spacing w:lineRule="auto" w:line="240" w:before="97" w:after="0"/>
        <w:ind w:left="0" w:right="0" w:hanging="0"/>
        <w:jc w:val="left"/>
        <w:rPr/>
      </w:pPr>
      <w:r>
        <w:rPr/>
        <w:t xml:space="preserve">K popisu proměnných zjišťování se používají deskriptivní statistiky. V tomto průzkumu se používají frekvence a průměry. </w:t>
      </w:r>
    </w:p>
    <w:p>
      <w:pPr>
        <w:pStyle w:val="P68B1DB1Normal111"/>
        <w:widowControl w:val="false"/>
        <w:spacing w:lineRule="auto" w:line="240" w:before="41" w:after="0"/>
        <w:ind w:left="0" w:right="0" w:hanging="0"/>
        <w:jc w:val="left"/>
        <w:rPr>
          <w:rFonts w:ascii="Calibri" w:hAnsi="Calibri"/>
          <w:b/>
          <w:b/>
          <w:color w:val="000000"/>
          <w:sz w:val="22"/>
        </w:rPr>
      </w:pPr>
      <w:r>
        <w:rPr/>
        <w:t xml:space="preserve">Bivariátní analýzy </w:t>
      </w:r>
    </w:p>
    <w:p>
      <w:pPr>
        <w:pStyle w:val="P68B1DB1Normal104"/>
        <w:widowControl w:val="false"/>
        <w:spacing w:lineRule="auto" w:line="240" w:before="95" w:after="0"/>
        <w:ind w:left="0" w:right="0" w:hanging="0"/>
        <w:jc w:val="left"/>
        <w:rPr/>
      </w:pPr>
      <w:r>
        <w:rPr/>
        <w:t xml:space="preserve">Bivariační analýzy umožňují zkoumat vztah mezi dvěma proměnnými, v tomto případě vztahem mezi významem různých témat a otázkou, zda má Unie v této oblasti zasáhnout, a obecnou charakteristikou věku. Byl proveden přezkum s cílem určit, zda různé věkové skupiny přikládají určitému tématu různý význam a zda existují rozdílné názory na to, do jaké míry se jedná o otázky, do nichž by se měla EU zapojit. </w:t>
      </w:r>
    </w:p>
    <w:p>
      <w:pPr>
        <w:pStyle w:val="P68B1DB1Normal107"/>
        <w:widowControl w:val="false"/>
        <w:spacing w:lineRule="auto" w:line="240" w:before="43" w:after="0"/>
        <w:ind w:left="0" w:right="0" w:hanging="0"/>
        <w:jc w:val="left"/>
        <w:rPr>
          <w:rFonts w:ascii="Calibri" w:hAnsi="Calibri"/>
          <w:i/>
          <w:i/>
          <w:color w:val="000000"/>
          <w:sz w:val="24"/>
        </w:rPr>
      </w:pPr>
      <w:r>
        <w:rPr/>
        <w:t xml:space="preserve">Zveřejňování informací a úplnosti </w:t>
      </w:r>
    </w:p>
    <w:p>
      <w:pPr>
        <w:pStyle w:val="P68B1DB1Normal104"/>
        <w:widowControl w:val="false"/>
        <w:spacing w:lineRule="auto" w:line="240" w:before="123" w:after="0"/>
        <w:ind w:left="0" w:right="0" w:hanging="0"/>
        <w:jc w:val="left"/>
        <w:rPr/>
      </w:pPr>
      <w:r>
        <w:rPr/>
        <w:t xml:space="preserve">Tato zpráva obsahuje (vizuální) znázornění výsledků všech otázek položených respondentům v rámci průzkumu. U některých otázek měla respondent příležitost poskytnout „otevřené“ (tj. ne předem určené) odpovědi. Otevřené odpovědi byly následně roztříděny a zahrnuty do publikace. Myšlenky, které respondenti sdílejí v bezplatných komentářích, slouží jako podklad pro různé tematické dialogy organizované v návaznosti na proces dialogu s občany „Vision of Europe“. </w:t>
      </w:r>
    </w:p>
    <w:p>
      <w:pPr>
        <w:pStyle w:val="P68B1DB1Normal108"/>
        <w:widowControl w:val="false"/>
        <w:spacing w:lineRule="auto" w:line="240" w:before="35" w:after="0"/>
        <w:ind w:left="0" w:right="0" w:hanging="0"/>
        <w:jc w:val="left"/>
        <w:rPr>
          <w:rFonts w:ascii="Calibri" w:hAnsi="Calibri"/>
          <w:b/>
          <w:b/>
          <w:i/>
          <w:i/>
          <w:color w:val="000000"/>
          <w:sz w:val="24"/>
        </w:rPr>
      </w:pPr>
      <w:r>
        <w:rPr/>
        <w:t xml:space="preserve">2. On-line tematické dialogy pro prohloubení </w:t>
      </w:r>
    </w:p>
    <w:p>
      <w:pPr>
        <w:pStyle w:val="P68B1DB1Normal104"/>
        <w:widowControl w:val="false"/>
        <w:spacing w:lineRule="auto" w:line="240" w:before="17" w:after="0"/>
        <w:ind w:left="0" w:right="0" w:hanging="0"/>
        <w:jc w:val="left"/>
        <w:rPr/>
      </w:pPr>
      <w:r>
        <w:rPr/>
        <w:t xml:space="preserve">Témata, která jsou jádrem konference o budoucnosti Evropy, byla prohloubena prostřednictvím osmi tematických dialogů on-line. Účelem těchto dialogů bylo odhalit důvody vyjádřených názorů, jakož i motivy a pocity, které za nimi stojí. Jaké jsou vnímané obavy a příležitosti? Diskuse účastníkům rovněž umožnila formulovat návrhy a nápady na tato témata, jakož i nastolit otázky, které nejsou součástí konference, ale zůstávají pro ně důležité. </w:t>
      </w:r>
    </w:p>
    <w:p>
      <w:pPr>
        <w:pStyle w:val="P68B1DB1Normal24"/>
        <w:widowControl w:val="false"/>
        <w:spacing w:lineRule="auto" w:line="240" w:before="2" w:after="0"/>
        <w:ind w:left="0" w:right="0" w:hanging="0"/>
        <w:jc w:val="left"/>
        <w:rPr>
          <w:rFonts w:ascii="Times New Roman" w:hAnsi="Times New Roman"/>
          <w:color w:val="000000"/>
          <w:sz w:val="22"/>
        </w:rPr>
      </w:pPr>
      <w:r>
        <w:rPr/>
        <w:t xml:space="preserve"> </w:t>
      </w:r>
    </w:p>
    <w:p>
      <w:pPr>
        <w:pStyle w:val="P68B1DB1Normal104"/>
        <w:widowControl w:val="false"/>
        <w:spacing w:lineRule="auto" w:line="240" w:before="8" w:after="0"/>
        <w:ind w:left="0" w:right="0" w:hanging="0"/>
        <w:jc w:val="left"/>
        <w:rPr/>
      </w:pPr>
      <w:r>
        <w:rPr/>
        <w:t xml:space="preserve">Tematické dialogy se konaly ve dnech 12.–14. října a 9.–11. listopadu. V říjnu byly uspořádány čtyři on-line tematické dialogy o tématech „Ekonomika“ a „demokracie“. V listopadu se uskutečnily čtyři on-line tematické dialogy o tématech „Klima“ a „EU ve světě“. Na každém diskusním zasedání se zúčastnilo v průměru 29 lidí (231 celkem). Účastníci byli přijati z řad členů panelu (viz bod 1) a prostřednictvím sociálních médií. </w:t>
      </w:r>
    </w:p>
    <w:p>
      <w:pPr>
        <w:pStyle w:val="P68B1DB1Normal19"/>
        <w:widowControl w:val="false"/>
        <w:spacing w:lineRule="auto" w:line="240" w:before="1" w:after="0"/>
        <w:ind w:left="0" w:right="0" w:hanging="0"/>
        <w:jc w:val="left"/>
        <w:rPr>
          <w:rFonts w:ascii="Times New Roman" w:hAnsi="Times New Roman"/>
          <w:color w:val="000000"/>
          <w:sz w:val="24"/>
        </w:rPr>
      </w:pPr>
      <w:r>
        <w:rPr/>
        <w:t xml:space="preserve"> </w:t>
      </w:r>
    </w:p>
    <w:p>
      <w:pPr>
        <w:pStyle w:val="P68B1DB1Normal108"/>
        <w:widowControl w:val="false"/>
        <w:spacing w:lineRule="auto" w:line="240" w:before="3" w:after="0"/>
        <w:ind w:left="0" w:right="0" w:hanging="0"/>
        <w:jc w:val="left"/>
        <w:rPr>
          <w:rFonts w:ascii="Calibri" w:hAnsi="Calibri"/>
          <w:b/>
          <w:b/>
          <w:i/>
          <w:i/>
          <w:color w:val="000000"/>
          <w:sz w:val="24"/>
        </w:rPr>
      </w:pPr>
      <w:r>
        <w:rPr/>
        <w:t xml:space="preserve">3. Dialogy s konkrétními skupinami </w:t>
      </w:r>
    </w:p>
    <w:p>
      <w:pPr>
        <w:pStyle w:val="P68B1DB1Normal104"/>
        <w:widowControl w:val="false"/>
        <w:spacing w:lineRule="auto" w:line="240" w:before="12" w:after="0"/>
        <w:ind w:left="0" w:right="0" w:hanging="0"/>
        <w:jc w:val="left"/>
        <w:rPr/>
      </w:pPr>
      <w:r>
        <w:rPr/>
        <w:t xml:space="preserve">Je známo, že některé nizozemské skupiny jsou méně zvyklé na účast v průzkumech a panelech (online). Aby bylo možné získat reprezentativní obraz „hlasu Nizozemska“, bylo důležité, aby tito občané byli také schopni vyjádřit své myšlenky a názory. Proto jsme také uspořádali řadu dialogů na místě pro průzkum „Vision of Europe“. Názory a myšlenky, které jsme byli schopni shromáždit, byly použity jako základ (mimo jiné) pro formulaci doporučení. </w:t>
      </w:r>
    </w:p>
    <w:p>
      <w:pPr>
        <w:pStyle w:val="P68B1DB1Normal24"/>
        <w:widowControl w:val="false"/>
        <w:spacing w:lineRule="auto" w:line="240" w:before="4" w:after="0"/>
        <w:ind w:left="0" w:right="0" w:hanging="0"/>
        <w:jc w:val="left"/>
        <w:rPr>
          <w:rFonts w:ascii="Times New Roman" w:hAnsi="Times New Roman"/>
          <w:color w:val="000000"/>
          <w:sz w:val="22"/>
        </w:rPr>
      </w:pPr>
      <w:r>
        <w:rPr/>
        <w:t xml:space="preserve"> </w:t>
      </w:r>
    </w:p>
    <w:p>
      <w:pPr>
        <w:pStyle w:val="Normal"/>
        <w:spacing w:lineRule="auto" w:line="240"/>
        <w:ind w:left="0" w:right="0" w:hanging="0"/>
        <w:rPr/>
      </w:pPr>
      <w:r>
        <w:rPr/>
      </w:r>
      <w:r>
        <w:br w:type="page"/>
      </w:r>
    </w:p>
    <w:p>
      <w:pPr>
        <w:pStyle w:val="P68B1DB1Normal107"/>
        <w:spacing w:lineRule="auto" w:line="240"/>
        <w:ind w:left="0" w:right="0" w:hanging="0"/>
        <w:rPr>
          <w:rFonts w:ascii="Calibri" w:hAnsi="Calibri"/>
          <w:i/>
          <w:i/>
          <w:color w:val="000000"/>
          <w:sz w:val="24"/>
        </w:rPr>
      </w:pPr>
      <w:r>
        <w:rPr/>
        <w:t xml:space="preserve">Cílové skupiny </w:t>
      </w:r>
    </w:p>
    <w:p>
      <w:pPr>
        <w:pStyle w:val="P68B1DB1Normal110"/>
        <w:widowControl w:val="false"/>
        <w:spacing w:lineRule="auto" w:line="240" w:before="22" w:after="0"/>
        <w:ind w:left="0" w:right="0" w:hanging="0"/>
        <w:jc w:val="left"/>
        <w:rPr/>
      </w:pPr>
      <w:r>
        <w:rPr>
          <w:sz w:val="21"/>
        </w:rPr>
        <w:t xml:space="preserve">Obtížně dosažitelné cílové skupiny nelze jednoznačně definovat. Studie a zkušenosti nám umožňují vědět, že holandští lidé </w:t>
      </w:r>
      <w:r>
        <w:rPr>
          <w:b/>
          <w:sz w:val="21"/>
        </w:rPr>
        <w:t>s nezápadním původem</w:t>
      </w:r>
      <w:r>
        <w:rPr>
          <w:sz w:val="21"/>
        </w:rPr>
        <w:t>se významně méně podílejí na vyšetřování a diskusích. Vzhledem k tomu, že se jedná o velkou skupinu (14 % nizozemských</w:t>
      </w:r>
      <w:r>
        <w:rPr>
          <w:position w:val="6"/>
          <w:sz w:val="14"/>
        </w:rPr>
        <w:t>1</w:t>
      </w:r>
      <w:r>
        <w:rPr>
          <w:sz w:val="21"/>
        </w:rPr>
        <w:t xml:space="preserve">), byli vybráni k účasti na dialogu Vize Evropy. Stejná úvaha byla uplatněna u </w:t>
      </w:r>
      <w:r>
        <w:rPr>
          <w:b/>
          <w:sz w:val="21"/>
        </w:rPr>
        <w:t>osob s malým vzděláním</w:t>
      </w:r>
      <w:r>
        <w:rPr>
          <w:sz w:val="21"/>
        </w:rPr>
        <w:t>. Jedná se také o velkou skupinu (2,5 milionu Holanďanů</w:t>
      </w:r>
      <w:r>
        <w:rPr>
          <w:position w:val="6"/>
          <w:sz w:val="14"/>
        </w:rPr>
        <w:t>2</w:t>
      </w:r>
      <w:r>
        <w:rPr>
          <w:sz w:val="21"/>
        </w:rPr>
        <w:t xml:space="preserve">), která se částečně překrývá se skupinou migrantů (39 %). V neposlední řadě byl veden dialog se skupinou lidí, kteří jsou zřídka nalezeni v průzkumech a diskusích, </w:t>
      </w:r>
      <w:r>
        <w:rPr>
          <w:b/>
          <w:sz w:val="21"/>
        </w:rPr>
        <w:t>kteří jsou k Evropě kritičtí, ale pro něž Evropa hraje důležitou roli v profesní sféře.</w:t>
      </w:r>
      <w:r>
        <w:rPr>
          <w:sz w:val="21"/>
        </w:rPr>
        <w:t xml:space="preserve"> Byli vybráni podnikatelé ze zemědělského sektoru.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5" w:after="0"/>
        <w:ind w:left="0" w:right="0" w:hanging="0"/>
        <w:jc w:val="left"/>
        <w:rPr/>
      </w:pPr>
      <w:r>
        <w:rPr/>
        <w:t xml:space="preserve">Výše uvedené skupiny byly osloveny prostřednictvím organizací, jejichž členy jsou, jako jsou organizace migrantů, sdružení obhajoby a profesní organizace. Vzhledem k tomu, že jsme omezili počet dialogů na osm, nemohli jsme být úplně „úplní“. Díky tomu je výběr účastníků poněkud libovolný. Pro tuto volbu jsme také vzali v úvahu nadšení pro účast a pomoc s mobilizací jejich základny, stejně jako praktické otázky, jako je dostupnost podle data a místa.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5" w:after="0"/>
        <w:ind w:left="0" w:right="0" w:hanging="0"/>
        <w:jc w:val="left"/>
        <w:rPr>
          <w:rFonts w:ascii="Calibri" w:hAnsi="Calibri"/>
          <w:color w:val="000000"/>
          <w:sz w:val="21"/>
        </w:rPr>
      </w:pPr>
      <w:r>
        <w:rPr/>
        <w:t xml:space="preserve">Na místě se konaly dialogy se členy těchto organizací: </w:t>
      </w:r>
    </w:p>
    <w:p>
      <w:pPr>
        <w:pStyle w:val="P68B1DB1Normal105"/>
        <w:widowControl w:val="false"/>
        <w:spacing w:lineRule="auto" w:line="240" w:before="19" w:after="0"/>
        <w:ind w:left="0" w:right="0" w:hanging="0"/>
        <w:jc w:val="left"/>
        <w:rPr/>
      </w:pPr>
      <w:r>
        <w:rPr>
          <w:rFonts w:ascii="Verdana" w:hAnsi="Verdana"/>
        </w:rPr>
        <w:t>•</w:t>
      </w:r>
      <w:r>
        <w:rPr/>
        <w:t xml:space="preserve"> </w:t>
      </w:r>
      <w:r>
        <w:rPr>
          <w:rFonts w:ascii="Calibri" w:hAnsi="Calibri"/>
        </w:rPr>
        <w:t xml:space="preserve">Hakder Foundation, Alevi komunita, Schiedam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Asha Foundation, hinduistická komunita, Utrecht (dva diskusní zasedání)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Piëzo, organizace občanské společnosti, Zoetermeer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Taal doet Meer, organizace pro osoby s nízkým vzděláním,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BoerenNatuur, sdružení zemědělských skupin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Marokkanen Dialoog Overvecht, Marocká komunita,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Women for Freedom, advokacie organizace pro ženy z přistěhovaleckého prostředí, Haag </w:t>
      </w:r>
    </w:p>
    <w:p>
      <w:pPr>
        <w:pStyle w:val="P68B1DB1Normal104"/>
        <w:widowControl w:val="false"/>
        <w:spacing w:lineRule="auto" w:line="240" w:before="12" w:after="0"/>
        <w:ind w:left="0" w:right="0" w:hanging="0"/>
        <w:jc w:val="left"/>
        <w:rPr>
          <w:rFonts w:ascii="Calibri" w:hAnsi="Calibri"/>
          <w:color w:val="000000"/>
          <w:sz w:val="21"/>
        </w:rPr>
      </w:pPr>
      <w:r>
        <w:rPr/>
        <w:t xml:space="preserve"> </w:t>
      </w:r>
    </w:p>
    <w:p>
      <w:pPr>
        <w:pStyle w:val="P68B1DB1Normal104"/>
        <w:widowControl w:val="false"/>
        <w:spacing w:lineRule="auto" w:line="240" w:before="101" w:after="0"/>
        <w:ind w:left="0" w:right="0" w:hanging="0"/>
        <w:jc w:val="left"/>
        <w:rPr>
          <w:rFonts w:ascii="Calibri" w:hAnsi="Calibri"/>
          <w:color w:val="000000"/>
          <w:sz w:val="21"/>
        </w:rPr>
      </w:pPr>
      <w:r>
        <w:rPr/>
        <w:t xml:space="preserve">Na těchto diskusních setkáních se zúčastnilo celkem 110 lidí. </w:t>
      </w:r>
    </w:p>
    <w:p>
      <w:pPr>
        <w:pStyle w:val="P68B1DB1Normal19"/>
        <w:widowControl w:val="false"/>
        <w:spacing w:lineRule="auto" w:line="240" w:before="90" w:after="0"/>
        <w:ind w:left="0" w:right="0" w:hanging="0"/>
        <w:jc w:val="left"/>
        <w:rPr>
          <w:rFonts w:ascii="Times New Roman" w:hAnsi="Times New Roman"/>
          <w:color w:val="000000"/>
          <w:sz w:val="24"/>
        </w:rPr>
      </w:pPr>
      <w:r>
        <w:rPr/>
        <w:t xml:space="preserve"> </w:t>
      </w:r>
    </w:p>
    <w:p>
      <w:pPr>
        <w:pStyle w:val="P68B1DB1Normal108"/>
        <w:widowControl w:val="false"/>
        <w:spacing w:lineRule="auto" w:line="240" w:before="339" w:after="0"/>
        <w:ind w:left="0" w:right="0" w:hanging="0"/>
        <w:jc w:val="left"/>
        <w:rPr>
          <w:rFonts w:ascii="Calibri" w:hAnsi="Calibri"/>
          <w:b/>
          <w:b/>
          <w:i/>
          <w:i/>
          <w:color w:val="000000"/>
          <w:sz w:val="24"/>
        </w:rPr>
      </w:pPr>
      <w:r>
        <w:rPr/>
        <w:t xml:space="preserve">4. Dialogy s mladými lidmi </w:t>
      </w:r>
    </w:p>
    <w:p>
      <w:pPr>
        <w:pStyle w:val="P68B1DB1Normal104"/>
        <w:widowControl w:val="false"/>
        <w:spacing w:lineRule="auto" w:line="240" w:before="118" w:after="0"/>
        <w:ind w:left="0" w:right="0" w:hanging="0"/>
        <w:jc w:val="both"/>
        <w:rPr/>
      </w:pPr>
      <w:r>
        <w:rPr/>
        <w:t xml:space="preserve">Mladí lidé jsou prioritní cílovou skupinou konference o budoucnosti Evropy. S cílem aktivně povzbudit jejich účast na dialogu s občany „Vision of Europe“ a vyjádřit názory a myšlenky této skupiny bylo uspořádáno pět fyzických diskusních setkání speciálně pro mladé lidi. Šesté plánované setkání s mladými lidmi se kvůli omezujícím opatřením souvisejícím s koronavirem nemohlo uskutečnit.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both"/>
        <w:rPr>
          <w:rFonts w:ascii="Calibri" w:hAnsi="Calibri"/>
          <w:color w:val="000000"/>
          <w:sz w:val="21"/>
        </w:rPr>
      </w:pPr>
      <w:r>
        <w:rPr/>
        <w:t xml:space="preserve">Zasedání se konala v těchto orgánech: </w:t>
      </w:r>
    </w:p>
    <w:p>
      <w:pPr>
        <w:pStyle w:val="P68B1DB1Normal104"/>
        <w:widowControl w:val="false"/>
        <w:spacing w:lineRule="auto" w:line="240"/>
        <w:ind w:left="0" w:right="0" w:hanging="0"/>
        <w:jc w:val="both"/>
        <w:rPr>
          <w:rFonts w:ascii="Calibri" w:hAnsi="Calibri"/>
          <w:color w:val="000000"/>
          <w:sz w:val="21"/>
        </w:rPr>
      </w:pPr>
      <w:r>
        <w:rPr/>
        <w:t xml:space="preserve">Asociace studentů historie, Univerzita v Leidenu </w:t>
      </w:r>
    </w:p>
    <w:p>
      <w:pPr>
        <w:pStyle w:val="P68B1DB1Normal104"/>
        <w:widowControl w:val="false"/>
        <w:spacing w:lineRule="auto" w:line="240"/>
        <w:ind w:left="0" w:right="0" w:hanging="0"/>
        <w:jc w:val="both"/>
        <w:rPr>
          <w:rFonts w:ascii="Calibri" w:hAnsi="Calibri"/>
          <w:color w:val="000000"/>
          <w:sz w:val="21"/>
        </w:rPr>
      </w:pPr>
      <w:r>
        <w:rPr/>
        <w:t xml:space="preserve">Dr. Knippenberg College, střední škola, Helmond </w:t>
      </w:r>
    </w:p>
    <w:p>
      <w:pPr>
        <w:pStyle w:val="P68B1DB1Normal104"/>
        <w:widowControl w:val="false"/>
        <w:spacing w:lineRule="auto" w:line="240" w:before="1" w:after="0"/>
        <w:ind w:left="0" w:right="0" w:hanging="0"/>
        <w:jc w:val="left"/>
        <w:rPr>
          <w:rFonts w:ascii="Calibri" w:hAnsi="Calibri"/>
          <w:color w:val="000000"/>
          <w:sz w:val="21"/>
        </w:rPr>
      </w:pPr>
      <w:r>
        <w:rPr/>
        <w:t xml:space="preserve">Coalitie-Y, Platforma pro mládež Hospodářské a sociální rady </w:t>
      </w:r>
    </w:p>
    <w:p>
      <w:pPr>
        <w:pStyle w:val="P68B1DB1Normal104"/>
        <w:widowControl w:val="false"/>
        <w:spacing w:lineRule="auto" w:line="240"/>
        <w:ind w:left="0" w:right="0" w:hanging="0"/>
        <w:jc w:val="left"/>
        <w:rPr>
          <w:rFonts w:ascii="Calibri" w:hAnsi="Calibri"/>
          <w:color w:val="000000"/>
          <w:sz w:val="21"/>
        </w:rPr>
      </w:pPr>
      <w:r>
        <w:rPr/>
        <w:t xml:space="preserve">Graafschap College, střední odborné vzdělávání, Doetinchem </w:t>
      </w:r>
    </w:p>
    <w:p>
      <w:pPr>
        <w:pStyle w:val="P68B1DB1Normal104"/>
        <w:widowControl w:val="false"/>
        <w:spacing w:lineRule="auto" w:line="240" w:before="1" w:after="0"/>
        <w:ind w:left="0" w:right="0" w:hanging="0"/>
        <w:jc w:val="left"/>
        <w:rPr>
          <w:rFonts w:ascii="Calibri" w:hAnsi="Calibri"/>
          <w:color w:val="000000"/>
          <w:sz w:val="21"/>
        </w:rPr>
      </w:pPr>
      <w:r>
        <w:rPr/>
        <w:t xml:space="preserve">CSG Jan Arentsz, středoškolské vzdělávání zaměřené na technologické předměty, Alkmaar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t xml:space="preserve">Diskuzních setkání se zúčastnilo celkem 95 mladých lidí. </w:t>
      </w:r>
      <w:r>
        <w:br w:type="page"/>
      </w:r>
    </w:p>
    <w:p>
      <w:pPr>
        <w:pStyle w:val="P68B1DB1Normal107"/>
        <w:spacing w:lineRule="auto" w:line="240"/>
        <w:ind w:left="0" w:right="0" w:hanging="0"/>
        <w:rPr>
          <w:rFonts w:ascii="Calibri" w:hAnsi="Calibri"/>
          <w:i/>
          <w:i/>
          <w:color w:val="000000"/>
          <w:sz w:val="24"/>
        </w:rPr>
      </w:pPr>
      <w:r>
        <w:rPr/>
        <w:t xml:space="preserve">Použité techniky údržby </w:t>
      </w:r>
    </w:p>
    <w:p>
      <w:pPr>
        <w:pStyle w:val="P68B1DB1Normal104"/>
        <w:widowControl w:val="false"/>
        <w:spacing w:lineRule="auto" w:line="240" w:before="10" w:after="0"/>
        <w:ind w:left="0" w:right="0" w:hanging="0"/>
        <w:jc w:val="left"/>
        <w:rPr/>
      </w:pPr>
      <w:r>
        <w:rPr/>
        <w:t xml:space="preserve">On-line tematické dialogy, dialogy s konkrétními skupinami a dialogy s mladými lidmi byly vedeny tzv. „sokratickou“ metodou rozhovorů. Tato metoda se používá již mnoho let u Dne dialogu, kde lidé po celém Nizozemsku interagují v otázkách, které se jich týkají. V souvislosti se sokratickou metodou údržby zohlední moderátor tyto zásady: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5"/>
        <w:widowControl w:val="false"/>
        <w:spacing w:lineRule="auto" w:line="240" w:before="7" w:after="0"/>
        <w:ind w:left="0" w:right="0" w:hanging="0"/>
        <w:jc w:val="left"/>
        <w:rPr/>
      </w:pPr>
      <w:r>
        <w:rPr>
          <w:rFonts w:ascii="Verdana" w:hAnsi="Verdana"/>
        </w:rPr>
        <w:t>•</w:t>
      </w:r>
      <w:r>
        <w:rPr/>
        <w:t xml:space="preserve"> </w:t>
      </w:r>
      <w:r>
        <w:rPr/>
        <w:t xml:space="preserve">Nechte druhý vyprávět svůj příběh </w:t>
      </w:r>
      <w:r>
        <w:rPr>
          <w:rFonts w:ascii="Calibri" w:hAnsi="Calibri"/>
        </w:rPr>
        <w:t xml:space="preserve"> </w:t>
      </w:r>
    </w:p>
    <w:p>
      <w:pPr>
        <w:pStyle w:val="P68B1DB1Normal105"/>
        <w:widowControl w:val="false"/>
        <w:spacing w:lineRule="auto" w:line="240" w:before="2" w:after="0"/>
        <w:ind w:left="0" w:right="0" w:hanging="0"/>
        <w:jc w:val="left"/>
        <w:rPr/>
      </w:pPr>
      <w:r>
        <w:rPr>
          <w:rFonts w:ascii="Verdana" w:hAnsi="Verdana"/>
        </w:rPr>
        <w:t>Neodpovídejte</w:t>
      </w:r>
      <w:r>
        <w:rPr/>
        <w:t xml:space="preserve"> </w:t>
      </w:r>
      <w:r>
        <w:rPr>
          <w:rFonts w:ascii="Calibri" w:hAnsi="Calibri"/>
        </w:rPr>
        <w:t xml:space="preserve">na to hned jiným příběhem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Chovejte se s respektem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Mluvit o vlastním pohledu („nacházím“ spíše než „říkají“)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Požádat o další vysvětlení, pokud jsou vyjádřené názory omezeny na obecné </w:t>
      </w:r>
    </w:p>
    <w:p>
      <w:pPr>
        <w:pStyle w:val="P68B1DB1Normal105"/>
        <w:widowControl w:val="false"/>
        <w:spacing w:lineRule="auto" w:line="240" w:before="2" w:after="0"/>
        <w:ind w:left="0" w:right="0" w:hanging="0"/>
        <w:jc w:val="left"/>
        <w:rPr/>
      </w:pPr>
      <w:r>
        <w:rPr>
          <w:rFonts w:ascii="Verdana" w:hAnsi="Verdana"/>
        </w:rPr>
        <w:t>Vyhýbejte</w:t>
      </w:r>
      <w:r>
        <w:rPr/>
        <w:t xml:space="preserve"> </w:t>
      </w:r>
      <w:r>
        <w:rPr>
          <w:rFonts w:ascii="Calibri" w:hAnsi="Calibri"/>
        </w:rPr>
        <w:t xml:space="preserve">se soudům a analyzujte je </w:t>
      </w:r>
    </w:p>
    <w:p>
      <w:pPr>
        <w:pStyle w:val="P68B1DB1Normal105"/>
        <w:widowControl w:val="false"/>
        <w:spacing w:lineRule="auto" w:line="240" w:before="5" w:after="0"/>
        <w:ind w:left="0" w:right="0" w:hanging="0"/>
        <w:jc w:val="left"/>
        <w:rPr/>
      </w:pPr>
      <w:r>
        <w:rPr>
          <w:rFonts w:ascii="Verdana" w:hAnsi="Verdana"/>
        </w:rPr>
        <w:t>Dopřejte</w:t>
      </w:r>
      <w:r>
        <w:rPr/>
        <w:t xml:space="preserve"> </w:t>
      </w:r>
      <w:r>
        <w:rPr>
          <w:rFonts w:ascii="Calibri" w:hAnsi="Calibri"/>
        </w:rPr>
        <w:t xml:space="preserve">okamžiky ticha, pokud lidé potřebují na chvíli přemýšlet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Během dialogů se použije tento rytmus: rozdílnost – konvergence – rozdíl. Princip spočívá v tom, že se nejprve musíte rozlišit (přímo vyjadřovat individuální pocity a názory), než se budete moci sbližovat (promluvte si o možných cestách) a pak se nakonec znovu rozcházíte (například shromažďujte jednotlivá doporučení). Zkušenosti a teorie ukazují, že tento rytmus zajišťuje optimální tok dialogu.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Všechny dialogy byly vedeny profesionálními facilitátory.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8"/>
        <w:widowControl w:val="false"/>
        <w:spacing w:lineRule="auto" w:line="240" w:before="229" w:after="0"/>
        <w:ind w:left="0" w:right="0" w:hanging="0"/>
        <w:jc w:val="both"/>
        <w:rPr/>
      </w:pPr>
      <w:r>
        <w:rPr/>
        <w:t>5. On-line veřejný průzkum: Dotazník a „Swipen naar de toekomst“ (Swipen naar de toekomst)</w:t>
      </w:r>
    </w:p>
    <w:p>
      <w:pPr>
        <w:pStyle w:val="P68B1DB1Normal104"/>
        <w:widowControl w:val="false"/>
        <w:spacing w:lineRule="auto" w:line="240" w:before="229" w:after="0"/>
        <w:ind w:left="0" w:right="0" w:hanging="0"/>
        <w:jc w:val="both"/>
        <w:rPr/>
      </w:pPr>
      <w:r>
        <w:rPr/>
        <w:t xml:space="preserve">Dotazník panelového průzkumu byl rovněž otevřen všem Holanďanům, včetně těch, kteří mají bydliště v zahraničí. Tento dotazník byl k dispozici od 1. září 2021 do 14. listopadu 2021. Kromě toho se ve stejném období každý Holanďan mohl zúčastnit akce „Swipen naar de toekomst“ (Swiper to the Future), což je online nástroj, který představuje 20 nároků. </w:t>
      </w:r>
    </w:p>
    <w:p>
      <w:pPr>
        <w:pStyle w:val="P68B1DB1Normal107"/>
        <w:widowControl w:val="false"/>
        <w:spacing w:lineRule="auto" w:line="240" w:before="41" w:after="0"/>
        <w:ind w:left="0" w:right="0" w:hanging="0"/>
        <w:jc w:val="left"/>
        <w:rPr>
          <w:rFonts w:ascii="Calibri" w:hAnsi="Calibri"/>
          <w:i/>
          <w:i/>
          <w:color w:val="000000"/>
          <w:sz w:val="24"/>
        </w:rPr>
      </w:pPr>
      <w:r>
        <w:rPr/>
        <w:t xml:space="preserve">Odpovědi a použití </w:t>
      </w:r>
    </w:p>
    <w:p>
      <w:pPr>
        <w:pStyle w:val="P68B1DB1Normal104"/>
        <w:widowControl w:val="false"/>
        <w:spacing w:lineRule="auto" w:line="240" w:before="7" w:after="0"/>
        <w:ind w:left="0" w:right="0" w:hanging="0"/>
        <w:jc w:val="left"/>
        <w:rPr/>
      </w:pPr>
      <w:r>
        <w:rPr/>
        <w:t xml:space="preserve">Dotazník vyplnilo celkem 1 967 účastníků a na konci nástroje pro skenování obrazovky bylo 6 968 účastníků. Dotazník i nástroj pro skenování obrazovky byly otevřeny všem: pro účast nebyly stanoveny žádné předpoklady ani kritéria výběru. V dotazníku bylo možné předat otázky (neexistovaly žádné povinné otázky) s cílem maximalizovat míru odpovědí. Účastníci si zvolili „Nejraději nereaguji“ mnohem častěji než v reprezentativním panelovém průzkumu. </w:t>
      </w:r>
    </w:p>
    <w:p>
      <w:pPr>
        <w:pStyle w:val="P68B1DB1Normal104"/>
        <w:widowControl w:val="false"/>
        <w:spacing w:lineRule="auto" w:line="240"/>
        <w:ind w:left="0" w:right="0" w:hanging="0"/>
        <w:jc w:val="left"/>
        <w:rPr/>
      </w:pPr>
      <w:r>
        <w:rPr/>
        <w:t xml:space="preserve">Obecné charakteristiky účastníků otevřeného dotazníku a nástroje pro skenování obrazovky se v několika ohledech liší od charakteristik účastníků reprezentativního panelu. Na rozdíl od panelového průzkumu nejsou výsledky otevřeného dotazníku a nástroje pro skenování obrazovky reprezentativní. Výsledky otevřeného on-line průzkumu byly použity jako doplněk panelového průzkumu. Poskytují přehled o pocitech a myšlenkách cirkulujících v Nizozemsku. Návrhy na zlepšení uvedené ve vstupních polích byly použity v oddíle „Diskuse a nápady online a na místě“. Nástroj pro skenování obrazovky byl použit k lepšímu pochopení některých pocitů cirkulujících v Nizozemsku. Tyto výsledky byly zohledněny při přípravě doporučení. Vzhledem k požadavku reprezentativnosti byly výsledky šetření zahájeného on-line v této zprávě v omezené míře zohledněny.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left"/>
        <w:rPr/>
      </w:pPr>
      <w:r>
        <w:rPr>
          <w:rFonts w:ascii="Calibri" w:hAnsi="Calibri"/>
          <w:color w:val="000000"/>
          <w:sz w:val="21"/>
        </w:rPr>
        <w:t xml:space="preserve">Tuto zprávu zveřejňuje Ministerstvo zahraničních věcí. </w:t>
      </w:r>
      <w:hyperlink r:id="rId118">
        <w:r>
          <w:rPr>
            <w:rStyle w:val="LienInternet"/>
          </w:rPr>
          <w:t>www.kijkopeuropa.nl</w:t>
        </w:r>
      </w:hyperlink>
      <w:r>
        <w:rPr>
          <w:rFonts w:ascii="Calibri" w:hAnsi="Calibri"/>
          <w:color w:val="000000"/>
          <w:sz w:val="21"/>
        </w:rPr>
        <w:t xml:space="preserve"> </w:t>
      </w:r>
      <w:r>
        <w:rPr/>
        <w:t xml:space="preserve"> </w:t>
      </w:r>
      <w:r>
        <w:br w:type="page"/>
      </w:r>
    </w:p>
    <w:p>
      <w:pPr>
        <w:pStyle w:val="Normal"/>
        <w:spacing w:lineRule="auto" w:line="240"/>
        <w:ind w:left="0" w:right="0" w:hanging="0"/>
        <w:rPr/>
      </w:pPr>
      <w:r>
        <w:rPr/>
        <w:drawing>
          <wp:anchor behindDoc="0" distT="0" distB="0" distL="0" distR="0" simplePos="0" locked="0" layoutInCell="1" allowOverlap="1" relativeHeight="49">
            <wp:simplePos x="0" y="0"/>
            <wp:positionH relativeFrom="column">
              <wp:align>center</wp:align>
            </wp:positionH>
            <wp:positionV relativeFrom="paragraph">
              <wp:posOffset>635</wp:posOffset>
            </wp:positionV>
            <wp:extent cx="3114040" cy="2009775"/>
            <wp:effectExtent l="0" t="0" r="0" b="0"/>
            <wp:wrapTopAndBottom/>
            <wp:docPr id="110" name="Obrázek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Obrázek47" descr=""/>
                    <pic:cNvPicPr>
                      <a:picLocks noChangeAspect="1" noChangeArrowheads="1"/>
                    </pic:cNvPicPr>
                  </pic:nvPicPr>
                  <pic:blipFill>
                    <a:blip r:embed="rId119"/>
                    <a:stretch>
                      <a:fillRect/>
                    </a:stretch>
                  </pic:blipFill>
                  <pic:spPr bwMode="auto">
                    <a:xfrm>
                      <a:off x="0" y="0"/>
                      <a:ext cx="3114040" cy="2009775"/>
                    </a:xfrm>
                    <a:prstGeom prst="rect">
                      <a:avLst/>
                    </a:prstGeom>
                  </pic:spPr>
                </pic:pic>
              </a:graphicData>
            </a:graphic>
          </wp:anchor>
        </w:drawing>
      </w:r>
    </w:p>
    <w:p>
      <w:pPr>
        <w:pStyle w:val="P68B1DB1Normal123"/>
        <w:spacing w:lineRule="auto" w:line="240"/>
        <w:ind w:left="0" w:right="0" w:hanging="0"/>
        <w:rPr>
          <w:rFonts w:ascii="Calibri" w:hAnsi="Calibri"/>
          <w:color w:val="000000"/>
          <w:sz w:val="32"/>
        </w:rPr>
      </w:pPr>
      <w:r>
        <w:rPr/>
        <w:t xml:space="preserve">Nizozemská vláda </w:t>
      </w:r>
    </w:p>
    <w:p>
      <w:pPr>
        <w:pStyle w:val="P68B1DB1Normal124"/>
        <w:widowControl w:val="false"/>
        <w:spacing w:lineRule="exact" w:line="1199" w:before="278" w:after="0"/>
        <w:ind w:left="0" w:right="0" w:hanging="0"/>
        <w:jc w:val="left"/>
        <w:rPr>
          <w:rFonts w:ascii="Calibri" w:hAnsi="Calibri"/>
          <w:b/>
          <w:b/>
          <w:color w:val="0070C0"/>
          <w:sz w:val="72"/>
        </w:rPr>
      </w:pPr>
      <w:r>
        <w:rPr/>
        <w:t xml:space="preserve">Naše vize Evropy </w:t>
      </w:r>
    </w:p>
    <w:p>
      <w:pPr>
        <w:pStyle w:val="Titre4"/>
        <w:numPr>
          <w:ilvl w:val="3"/>
          <w:numId w:val="2"/>
        </w:numPr>
        <w:rPr/>
      </w:pPr>
      <w:bookmarkStart w:id="237" w:name="__RefHeading___Toc298386_1346298689"/>
      <w:bookmarkEnd w:id="237"/>
      <w:r>
        <w:rPr/>
        <w:t>Zpráva z ledna 2022</w:t>
      </w:r>
    </w:p>
    <w:p>
      <w:pPr>
        <w:pStyle w:val="P68B1DB1Normal20"/>
        <w:widowControl w:val="false"/>
        <w:spacing w:lineRule="auto" w:line="240" w:before="105" w:after="0"/>
        <w:ind w:left="0" w:right="0" w:hanging="0"/>
        <w:jc w:val="left"/>
        <w:rPr>
          <w:rFonts w:ascii="Calibri" w:hAnsi="Calibri"/>
          <w:color w:val="000000"/>
          <w:sz w:val="24"/>
        </w:rPr>
      </w:pPr>
      <w:r>
        <w:rPr/>
        <w:t xml:space="preserve">Názory, nápady a doporučení </w:t>
      </w:r>
    </w:p>
    <w:p>
      <w:pPr>
        <w:pStyle w:val="P68B1DB1Normal104"/>
        <w:widowControl w:val="false"/>
        <w:spacing w:lineRule="auto" w:line="240" w:before="116"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20"/>
        <w:widowControl w:val="false"/>
        <w:spacing w:lineRule="auto" w:line="240"/>
        <w:ind w:left="0" w:right="0" w:hanging="0"/>
        <w:jc w:val="left"/>
        <w:rPr>
          <w:rFonts w:ascii="Calibri" w:hAnsi="Calibri"/>
          <w:b/>
          <w:b/>
          <w:color w:val="000000"/>
          <w:sz w:val="21"/>
        </w:rPr>
      </w:pPr>
      <w:r>
        <w:rPr/>
        <w:t xml:space="preserve">Témata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Změna klimatu a životní prostředí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Migrace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Zdraví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EU ve světě </w:t>
      </w:r>
    </w:p>
    <w:p>
      <w:pPr>
        <w:pStyle w:val="P68B1DB1Normal105"/>
        <w:widowControl w:val="false"/>
        <w:spacing w:lineRule="auto" w:line="240" w:before="7" w:after="0"/>
        <w:ind w:left="0" w:right="0" w:hanging="0"/>
        <w:jc w:val="left"/>
        <w:rPr/>
      </w:pPr>
      <w:r>
        <w:rPr>
          <w:rFonts w:ascii="Verdana" w:hAnsi="Verdana"/>
        </w:rPr>
        <w:t>CO SE DĚJE?</w:t>
      </w:r>
      <w:r>
        <w:rPr/>
        <w:t xml:space="preserve">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14. ledna 2022 </w:t>
      </w:r>
    </w:p>
    <w:p>
      <w:pPr>
        <w:pStyle w:val="P68B1DB1Normal105"/>
        <w:widowControl w:val="false"/>
        <w:spacing w:lineRule="auto" w:line="240" w:before="5" w:after="0"/>
        <w:ind w:left="0" w:right="0" w:hanging="0"/>
        <w:jc w:val="left"/>
        <w:rPr/>
      </w:pPr>
      <w:r>
        <w:rPr>
          <w:rFonts w:ascii="Verdana" w:hAnsi="Verdana"/>
        </w:rPr>
        <w:t>CO SE DĚJE?</w:t>
      </w:r>
      <w:r>
        <w:rPr/>
        <w:t xml:space="preserve">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Tento dokument je překladem zprávy s názvem „Elze kijk op Europa; Meningen, ideeën en Aanbevelingen"(„Naše vize Evropy: stanoviska, nápady a doporučení“, která byla zveřejněna v nizozemštině dne 14. ledna 2022 na adrese www.kijkopeuropa.nl. Tento překlad je zjednodušenou verzí zprávy, ve které byla původní prezentace (ilustrace a další grafické prvky) upravena pro účely překladu.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spacing w:lineRule="auto" w:line="240"/>
        <w:ind w:left="0" w:right="0" w:hanging="0"/>
        <w:rPr/>
      </w:pPr>
      <w:r>
        <w:rPr/>
      </w:r>
      <w:r>
        <w:br w:type="page"/>
      </w:r>
    </w:p>
    <w:p>
      <w:pPr>
        <w:pStyle w:val="P68B1DB1Normal125"/>
        <w:spacing w:lineRule="auto" w:line="240"/>
        <w:ind w:left="0" w:right="0" w:hanging="0"/>
        <w:rPr>
          <w:rFonts w:ascii="Calibri" w:hAnsi="Calibri"/>
          <w:b/>
          <w:b/>
          <w:color w:val="0070C0"/>
          <w:sz w:val="32"/>
        </w:rPr>
      </w:pPr>
      <w:r>
        <w:rPr/>
        <w:t xml:space="preserve">Naše vize... </w:t>
      </w:r>
    </w:p>
    <w:p>
      <w:pPr>
        <w:pStyle w:val="P68B1DB1Normal126"/>
        <w:widowControl w:val="false"/>
        <w:spacing w:lineRule="auto" w:line="240" w:before="101" w:after="0"/>
        <w:ind w:left="0" w:right="0" w:hanging="0"/>
        <w:jc w:val="left"/>
        <w:rPr>
          <w:rFonts w:ascii="Calibri" w:hAnsi="Calibri"/>
          <w:color w:val="0070C0"/>
          <w:sz w:val="24"/>
        </w:rPr>
      </w:pPr>
      <w:r>
        <w:rPr/>
        <w:t xml:space="preserve">Shrnutí zprávy: všechna doporučení stručně </w:t>
      </w:r>
    </w:p>
    <w:p>
      <w:pPr>
        <w:pStyle w:val="P68B1DB1Normal104"/>
        <w:widowControl w:val="false"/>
        <w:spacing w:lineRule="auto" w:line="240" w:before="109" w:after="0"/>
        <w:ind w:left="0" w:right="0" w:hanging="0"/>
        <w:jc w:val="both"/>
        <w:rPr/>
      </w:pPr>
      <w:r>
        <w:rPr/>
        <w:t xml:space="preserve">Prostřednictvím dialogu s občany organizovaného na téma „Vision of Europe“ jsme shromáždili názory a názory nizozemských občanů na budoucnost Evropy. To vedlo k následujícím doporučením Evropské unii pro poslední čtyři témata (z celkem devíti témat). </w:t>
      </w:r>
    </w:p>
    <w:p>
      <w:pPr>
        <w:pStyle w:val="P68B1DB1Normal126"/>
        <w:widowControl w:val="false"/>
        <w:spacing w:lineRule="auto" w:line="240" w:before="108" w:after="0"/>
        <w:ind w:left="0" w:right="0" w:hanging="0"/>
        <w:jc w:val="left"/>
        <w:rPr>
          <w:rFonts w:ascii="Calibri" w:hAnsi="Calibri"/>
          <w:color w:val="0070C0"/>
          <w:sz w:val="24"/>
        </w:rPr>
      </w:pPr>
      <w:r>
        <w:rPr/>
        <w:t xml:space="preserve">Změna klimatu a životní prostředí </w:t>
      </w:r>
    </w:p>
    <w:p>
      <w:pPr>
        <w:pStyle w:val="P68B1DB1Normal119"/>
        <w:widowControl w:val="false"/>
        <w:spacing w:lineRule="auto" w:line="240" w:before="103" w:after="0"/>
        <w:ind w:left="0" w:right="0" w:hanging="0"/>
        <w:jc w:val="left"/>
        <w:rPr/>
      </w:pPr>
      <w:r>
        <w:rPr>
          <w:rFonts w:ascii="Calibri" w:hAnsi="Calibri"/>
        </w:rPr>
        <w:t>1.</w:t>
      </w:r>
      <w:r>
        <w:rPr/>
        <w:t xml:space="preserve"> </w:t>
      </w:r>
      <w:r>
        <w:rPr>
          <w:rFonts w:ascii="Calibri" w:hAnsi="Calibri"/>
        </w:rPr>
        <w:t>Zvolit jasný směr pro evropský přístup ke změně klimatu</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Zajistěte, aby země a podniky úzce spolupracovaly při hledání cílených řešení 3.</w:t>
      </w:r>
      <w:r>
        <w:rPr/>
        <w:t xml:space="preserve"> </w:t>
      </w:r>
      <w:r>
        <w:rPr>
          <w:rFonts w:ascii="Calibri" w:hAnsi="Calibri"/>
        </w:rPr>
        <w:t>Vytvořit systém CO2, který je spravedlivý a proveditelný v praxi</w:t>
      </w:r>
    </w:p>
    <w:p>
      <w:pPr>
        <w:pStyle w:val="P68B1DB1Normal119"/>
        <w:widowControl w:val="false"/>
        <w:spacing w:lineRule="auto" w:line="240"/>
        <w:ind w:left="0" w:right="0" w:hanging="0"/>
        <w:jc w:val="left"/>
        <w:rPr/>
      </w:pPr>
      <w:r>
        <w:rPr>
          <w:rFonts w:ascii="Calibri" w:hAnsi="Calibri"/>
        </w:rPr>
        <w:t>4.</w:t>
      </w:r>
      <w:r>
        <w:rPr/>
        <w:t xml:space="preserve"> </w:t>
      </w:r>
      <w:r>
        <w:rPr>
          <w:rFonts w:ascii="Calibri" w:hAnsi="Calibri"/>
        </w:rPr>
        <w:t>Komunikovat jasnějším a pozitivnějším způsobem o klimatickém přístupu</w:t>
      </w:r>
    </w:p>
    <w:p>
      <w:pPr>
        <w:pStyle w:val="P68B1DB1Normal104"/>
        <w:widowControl w:val="false"/>
        <w:spacing w:lineRule="auto" w:line="240" w:before="93" w:after="0"/>
        <w:ind w:left="0" w:right="0" w:hanging="0"/>
        <w:jc w:val="left"/>
        <w:rPr/>
      </w:pPr>
      <w:r>
        <w:rPr/>
        <w:t xml:space="preserve">Nizozemsko se domnívá, že EU musí hrát vedoucí úlohu v boji proti změně klimatu. Členské státy musí mít možnost rozhodovat se samy, ale musí nicméně spolupracovat, aby dosáhly stejných cílů. Místo toho, aby na sebe poukazovaly, by země EU měly věnovat více energie výměně znalostí a hledání společných řešení. Systém zdanění emisí CO2 může být účinný, ale musí být také spravedlivý, praktický a jasný. Nizozemsko se obecně domnívá, že EU by měla účinněji a pozitivněji komunikovat o otázkách klimatu. </w:t>
      </w:r>
    </w:p>
    <w:p>
      <w:pPr>
        <w:pStyle w:val="P68B1DB1Normal126"/>
        <w:widowControl w:val="false"/>
        <w:spacing w:lineRule="auto" w:line="240" w:before="108" w:after="0"/>
        <w:ind w:left="0" w:right="0" w:hanging="0"/>
        <w:jc w:val="left"/>
        <w:rPr>
          <w:rFonts w:ascii="Calibri" w:hAnsi="Calibri"/>
          <w:color w:val="0070C0"/>
          <w:sz w:val="24"/>
        </w:rPr>
      </w:pPr>
      <w:r>
        <w:rPr/>
        <w:t xml:space="preserve">Migrace </w:t>
      </w:r>
    </w:p>
    <w:p>
      <w:pPr>
        <w:pStyle w:val="P68B1DB1Normal119"/>
        <w:widowControl w:val="false"/>
        <w:spacing w:lineRule="auto" w:line="240" w:before="105" w:after="0"/>
        <w:ind w:left="0" w:right="0" w:hanging="0"/>
        <w:jc w:val="left"/>
        <w:rPr/>
      </w:pPr>
      <w:r>
        <w:rPr>
          <w:rFonts w:ascii="Calibri" w:hAnsi="Calibri"/>
        </w:rPr>
        <w:t>1.</w:t>
      </w:r>
      <w:r>
        <w:rPr/>
        <w:t xml:space="preserve"> </w:t>
      </w:r>
      <w:r>
        <w:rPr>
          <w:rFonts w:ascii="Calibri" w:hAnsi="Calibri"/>
        </w:rPr>
        <w:t>Zabránit tomu, aby se debaty o uprchlické otázce staly méně nuancovanými</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Definování toho, co je spravedlivé a praktické rozdělení uprchlíků</w:t>
      </w:r>
    </w:p>
    <w:p>
      <w:pPr>
        <w:pStyle w:val="P68B1DB1Normal119"/>
        <w:widowControl w:val="false"/>
        <w:spacing w:lineRule="auto" w:line="240"/>
        <w:ind w:left="0" w:right="0" w:hanging="0"/>
        <w:jc w:val="left"/>
        <w:rPr/>
      </w:pPr>
      <w:r>
        <w:rPr>
          <w:rFonts w:ascii="Calibri" w:hAnsi="Calibri"/>
        </w:rPr>
        <w:t>3.</w:t>
      </w:r>
      <w:r>
        <w:rPr/>
        <w:t xml:space="preserve"> </w:t>
      </w:r>
      <w:r>
        <w:rPr>
          <w:rFonts w:ascii="Calibri" w:hAnsi="Calibri"/>
        </w:rPr>
        <w:t>Využití znalostí a zkušeností získaných s cílem pomoci regionům, z nichž uprchlíci pocházejí</w:t>
      </w:r>
    </w:p>
    <w:p>
      <w:pPr>
        <w:pStyle w:val="P68B1DB1Normal104"/>
        <w:widowControl w:val="false"/>
        <w:spacing w:lineRule="auto" w:line="240"/>
        <w:ind w:left="0" w:right="0" w:hanging="0"/>
        <w:jc w:val="left"/>
        <w:rPr/>
      </w:pPr>
      <w:r>
        <w:rPr/>
        <w:t xml:space="preserve">Nizozemci se domnívají, že je důležité rozlišovat mezi lidmi prchajícími z nebezpečných oblastí a ekonomickými uprchlíky. Diskuse o migraci a integraci často postrádají nuance. Má-li být dosaženo spravedlivého rozdělení uprchlíků v Evropě, je třeba se v rámci EU dohodnout na jasných kritériích, která zohlední jak členské státy, tak ty, kteří uprchli. Nizozemci konečně navrhují, aby EU podporovala regiony, z nichž uprchlíci pocházejí nejen finančně, ale také prostřednictvím znalostí. </w:t>
      </w:r>
    </w:p>
    <w:p>
      <w:pPr>
        <w:pStyle w:val="P68B1DB1Normal126"/>
        <w:widowControl w:val="false"/>
        <w:spacing w:lineRule="auto" w:line="240" w:before="108" w:after="0"/>
        <w:ind w:left="0" w:right="0" w:hanging="0"/>
        <w:jc w:val="left"/>
        <w:rPr>
          <w:rFonts w:ascii="Calibri" w:hAnsi="Calibri"/>
          <w:color w:val="0070C0"/>
          <w:sz w:val="24"/>
        </w:rPr>
      </w:pPr>
      <w:r>
        <w:rPr/>
        <w:t xml:space="preserve">Zdraví </w:t>
      </w:r>
    </w:p>
    <w:p>
      <w:pPr>
        <w:pStyle w:val="P68B1DB1Normal119"/>
        <w:widowControl w:val="false"/>
        <w:spacing w:lineRule="auto" w:line="240" w:before="103" w:after="0"/>
        <w:ind w:left="0" w:right="0" w:hanging="0"/>
        <w:jc w:val="left"/>
        <w:rPr/>
      </w:pPr>
      <w:r>
        <w:rPr>
          <w:rFonts w:ascii="Calibri" w:hAnsi="Calibri"/>
        </w:rPr>
        <w:t>1.</w:t>
      </w:r>
      <w:r>
        <w:rPr/>
        <w:t xml:space="preserve"> </w:t>
      </w:r>
      <w:r>
        <w:rPr>
          <w:rFonts w:ascii="Calibri" w:hAnsi="Calibri"/>
        </w:rPr>
        <w:t>Mít lepší kontrolu nad řízením pandemie</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Zajistit dostupnost cenově dostupných a spolehlivých léků pro všechny</w:t>
      </w:r>
    </w:p>
    <w:p>
      <w:pPr>
        <w:pStyle w:val="P68B1DB1Normal119"/>
        <w:widowControl w:val="false"/>
        <w:spacing w:lineRule="auto" w:line="240"/>
        <w:ind w:left="0" w:right="0" w:hanging="0"/>
        <w:jc w:val="left"/>
        <w:rPr/>
      </w:pPr>
      <w:r>
        <w:rPr>
          <w:rFonts w:ascii="Calibri" w:hAnsi="Calibri"/>
        </w:rPr>
        <w:t>3.</w:t>
      </w:r>
      <w:r>
        <w:rPr/>
        <w:t xml:space="preserve"> </w:t>
      </w:r>
      <w:r>
        <w:rPr>
          <w:rFonts w:ascii="Calibri" w:hAnsi="Calibri"/>
        </w:rPr>
        <w:t>Země se musí zaměřit na zlepšení svých systémů zdravotní péče a na to, aby byly spravedlivější.</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both"/>
        <w:rPr/>
      </w:pPr>
      <w:r>
        <w:rPr/>
        <w:t>Nizozemsko</w:t>
      </w:r>
      <w:r>
        <w:rPr>
          <w:rFonts w:ascii="Calibri" w:hAnsi="Calibri"/>
          <w:color w:val="000000"/>
          <w:sz w:val="21"/>
        </w:rPr>
        <w:t xml:space="preserve">se domnívá, že země EU musí v boji proti pandemii více spolupracovat. Způsob, jakým je koronavirová krize řešena, někdy způsobuje zmatek. Pravidla by měla být jednotnější, aniž by musela být všude stejná. Pokud jde o vakcíny nebo léky, Holanďané chtějí, aby ceny zůstaly co nejnižší, ale chtějí se spolehnout na kvalitu a zodpovědnou výrobu. Kromě toho se domníváme, že je důležité, aby velké společnosti nezneužívaly svou moc, a věříme, že zdravotní péče musí být i nadále na vnitrostátní úrovni. </w:t>
      </w:r>
      <w:r>
        <w:br w:type="page"/>
      </w:r>
    </w:p>
    <w:p>
      <w:pPr>
        <w:pStyle w:val="P68B1DB1Normal126"/>
        <w:widowControl w:val="false"/>
        <w:spacing w:lineRule="auto" w:line="240"/>
        <w:ind w:left="0" w:right="0" w:hanging="0"/>
        <w:jc w:val="left"/>
        <w:rPr>
          <w:rFonts w:ascii="Calibri" w:hAnsi="Calibri"/>
          <w:color w:val="0070C0"/>
          <w:sz w:val="24"/>
        </w:rPr>
      </w:pPr>
      <w:r>
        <w:rPr/>
        <w:t xml:space="preserve">Úloha EU ve světě </w:t>
      </w:r>
    </w:p>
    <w:p>
      <w:pPr>
        <w:pStyle w:val="P68B1DB1Normal119"/>
        <w:widowControl w:val="false"/>
        <w:spacing w:lineRule="auto" w:line="240" w:before="112" w:after="0"/>
        <w:ind w:left="0" w:right="0" w:hanging="0"/>
        <w:jc w:val="left"/>
        <w:rPr/>
      </w:pPr>
      <w:r>
        <w:rPr>
          <w:rFonts w:ascii="Calibri" w:hAnsi="Calibri"/>
        </w:rPr>
        <w:t>1.</w:t>
      </w:r>
      <w:r>
        <w:rPr/>
        <w:t xml:space="preserve"> </w:t>
      </w:r>
      <w:r>
        <w:rPr>
          <w:rFonts w:ascii="Calibri" w:hAnsi="Calibri"/>
        </w:rPr>
        <w:t>Využití síly EU v klíčových mezinárodních tématech, zejména</w:t>
      </w:r>
    </w:p>
    <w:p>
      <w:pPr>
        <w:pStyle w:val="P68B1DB1Normal119"/>
        <w:widowControl w:val="false"/>
        <w:spacing w:lineRule="auto" w:line="240" w:before="112" w:after="0"/>
        <w:ind w:left="0" w:right="0" w:hanging="0"/>
        <w:jc w:val="left"/>
        <w:rPr/>
      </w:pPr>
      <w:r>
        <w:rPr>
          <w:rFonts w:ascii="Calibri" w:hAnsi="Calibri"/>
        </w:rPr>
        <w:t>2.</w:t>
      </w:r>
      <w:r>
        <w:rPr/>
        <w:t xml:space="preserve"> </w:t>
      </w:r>
      <w:r>
        <w:rPr>
          <w:rFonts w:ascii="Calibri" w:hAnsi="Calibri"/>
        </w:rPr>
        <w:t>V Evropě i mimo ni, volte raději spolupráci než boj</w:t>
      </w:r>
    </w:p>
    <w:p>
      <w:pPr>
        <w:pStyle w:val="P68B1DB1Normal119"/>
        <w:widowControl w:val="false"/>
        <w:spacing w:lineRule="auto" w:line="240" w:before="112" w:after="0"/>
        <w:ind w:left="0" w:right="0" w:hanging="0"/>
        <w:jc w:val="left"/>
        <w:rPr/>
      </w:pPr>
      <w:r>
        <w:rPr>
          <w:rFonts w:ascii="Calibri" w:hAnsi="Calibri"/>
        </w:rPr>
        <w:t>3.</w:t>
      </w:r>
      <w:r>
        <w:rPr/>
        <w:t xml:space="preserve"> </w:t>
      </w:r>
      <w:r>
        <w:rPr>
          <w:rFonts w:ascii="Calibri" w:hAnsi="Calibri"/>
        </w:rPr>
        <w:t>Nabízí promyšleným způsobem pomoc v případě konfliktu</w:t>
      </w:r>
    </w:p>
    <w:p>
      <w:pPr>
        <w:pStyle w:val="P68B1DB1Normal104"/>
        <w:widowControl w:val="false"/>
        <w:spacing w:lineRule="auto" w:line="240" w:before="84" w:after="0"/>
        <w:ind w:left="0" w:right="0" w:hanging="0"/>
        <w:jc w:val="left"/>
        <w:rPr/>
      </w:pPr>
      <w:r>
        <w:rPr/>
        <w:t xml:space="preserve">Nizozemci se domnívají, že evropská spolupráce by se měla zaměřit především na hlavní společné zájmy. Součástí tohoto přístupu musí být rovněž spolupráce EU se třetími zeměmi. Kromě změny klimatu a pandemie koronaviru patří mezi ně například mezinárodní bezpečnost a ochrana evropského hospodářství před nekalými obchodními praktikami. V Evropě i mimo ni dávají Holanďané přednost před bojem. Pokud jde o přístup ke konfliktům, je vždy vhodnější je řešit, aniž by se uchýlil k násilí. </w:t>
      </w:r>
    </w:p>
    <w:p>
      <w:pPr>
        <w:pStyle w:val="P68B1DB1Normal125"/>
        <w:widowControl w:val="false"/>
        <w:spacing w:lineRule="auto" w:line="240" w:before="96" w:after="0"/>
        <w:ind w:left="0" w:right="0" w:hanging="0"/>
        <w:jc w:val="left"/>
        <w:rPr>
          <w:rFonts w:ascii="Calibri" w:hAnsi="Calibri"/>
          <w:b/>
          <w:b/>
          <w:color w:val="0070C0"/>
          <w:sz w:val="32"/>
        </w:rPr>
      </w:pPr>
      <w:r>
        <w:rPr/>
        <w:t xml:space="preserve">Úvod </w:t>
      </w:r>
    </w:p>
    <w:p>
      <w:pPr>
        <w:pStyle w:val="P68B1DB1Normal104"/>
        <w:widowControl w:val="false"/>
        <w:spacing w:lineRule="auto" w:line="240" w:before="183" w:after="0"/>
        <w:ind w:left="0" w:right="0" w:hanging="0"/>
        <w:jc w:val="left"/>
        <w:rPr/>
      </w:pPr>
      <w:r>
        <w:rPr/>
        <w:t xml:space="preserve">Dialog s občany „Vision of Europe“, který se konal od 1. září do poloviny listopadu, umožnil všem Holanďanům vyjádřit své názory a názory na budoucnost Evropy. Nizozemsko předloží Evropské unii (EU) doporučení, k nimž dialog vedl, jakož i vyjádřené myšlenky a názory. V této zprávě se zabýváme posledními čtyřmi tématy (z celkem devíti témat). Prvních pět témat se již zabývalo ve zprávě zveřejněné dne 3. prosince 2021. </w:t>
      </w:r>
    </w:p>
    <w:p>
      <w:pPr>
        <w:pStyle w:val="P68B1DB1Normal126"/>
        <w:widowControl w:val="false"/>
        <w:spacing w:lineRule="auto" w:line="240" w:before="79" w:after="0"/>
        <w:ind w:left="0" w:right="0" w:hanging="0"/>
        <w:jc w:val="left"/>
        <w:rPr>
          <w:rFonts w:ascii="Calibri" w:hAnsi="Calibri"/>
          <w:color w:val="0070C0"/>
          <w:sz w:val="24"/>
        </w:rPr>
      </w:pPr>
      <w:r>
        <w:rPr/>
        <w:t xml:space="preserve">O vizi Evropy </w:t>
      </w:r>
    </w:p>
    <w:p>
      <w:pPr>
        <w:pStyle w:val="P68B1DB1Normal104"/>
        <w:widowControl w:val="false"/>
        <w:spacing w:lineRule="auto" w:line="240" w:before="78" w:after="0"/>
        <w:ind w:left="0" w:right="0" w:hanging="0"/>
        <w:jc w:val="left"/>
        <w:rPr/>
      </w:pPr>
      <w:r>
        <w:rPr/>
        <w:t xml:space="preserve">Evropská unie chce, aby se její občané podělili o to, co si myslí o Evropě. Proto EU organizuje konferenci o budoucnosti Evropy. Názory a myšlenky občanů v celé Evropské unii se pak stanou podkladem pro plány pro budoucnost Evropy. V rámci konference uspořádalo Nizozemsko dialog s občany „Vision of Europe“ na vnitrostátní úrovni. </w:t>
      </w:r>
    </w:p>
    <w:p>
      <w:pPr>
        <w:pStyle w:val="P68B1DB1Normal104"/>
        <w:widowControl w:val="false"/>
        <w:spacing w:lineRule="auto" w:line="240"/>
        <w:ind w:left="0" w:right="0" w:hanging="0"/>
        <w:jc w:val="left"/>
        <w:rPr/>
      </w:pPr>
      <w:r>
        <w:rPr/>
        <w:t xml:space="preserve">Dialog o vizi Evropy byl zahájen 1. září prostřednictvím on-line sběru názorů a nápadů prostřednictvím průzkumu reprezentativního panelu. Abychom prohloubili první výsledky panelového průzkumu a předložili konkrétní doporučení, uspořádali jsme tematické dialogy on-line. Každý, kdo se chtěl zúčastnit, se mohl zúčastnit. Cestovali jsme také po zemi, abychom vedli diskuse s mladými lidmi a dalšími skupinami (obtížné oslovení).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1"/>
        <w:widowControl w:val="false"/>
        <w:spacing w:lineRule="auto" w:line="240"/>
        <w:ind w:left="0" w:right="0" w:hanging="0"/>
        <w:jc w:val="left"/>
        <w:rPr/>
      </w:pPr>
      <w:r>
        <w:rPr/>
        <w:t xml:space="preserve">Od školáků, žáků středních odborných škol a studentů až po ministra, zemědělce a migranty </w:t>
      </w:r>
    </w:p>
    <w:p>
      <w:pPr>
        <w:pStyle w:val="P68B1DB1Normal104"/>
        <w:widowControl w:val="false"/>
        <w:spacing w:lineRule="auto" w:line="240" w:before="91" w:after="0"/>
        <w:ind w:left="0" w:right="0" w:hanging="0"/>
        <w:jc w:val="both"/>
        <w:rPr/>
      </w:pPr>
      <w:r>
        <w:rPr/>
        <w:t xml:space="preserve">V říjnu a listopadu se uskutečnilo celkem osm on-line tematických dialogů s průměrem 30 účastníků na schůzi. Rovněž jsme uspořádali on-line tematický dialog a sedm tematických dialogů na místě s různými skupinami nizozemských občanů. Mluvili jsme s tureckou komunitou v Schiedamu a byli jsme pozváni dobrovolníky nadace Piëzo do Zoetermeeru. Při této příležitosti byl na konci dialogu přítomen i ministr zahraničí Ben Knapen. Ministr diskutoval s účastníky o dialogu a názorech na budoucnost Evropy. Nakonec jsme uspořádali šest setkání s různými skupinami mladých lidí. Například jsme byli vítáni na střední škole v Helmondu, střední odborné škole v Doetinchem a na univerzitě v Leidenu. </w:t>
      </w:r>
    </w:p>
    <w:p>
      <w:pPr>
        <w:pStyle w:val="P68B1DB1Normal113"/>
        <w:widowControl w:val="false"/>
        <w:spacing w:lineRule="auto" w:line="240" w:before="160" w:after="0"/>
        <w:ind w:left="0" w:right="0" w:hanging="0"/>
        <w:jc w:val="center"/>
        <w:rPr/>
      </w:pPr>
      <w:r>
        <w:rPr/>
        <w:t xml:space="preserve">To je budoucnost našich dětí. Proto si myslím, že je důležité se účastnit. </w:t>
      </w:r>
    </w:p>
    <w:p>
      <w:pPr>
        <w:pStyle w:val="P68B1DB1Normal104"/>
        <w:widowControl w:val="false"/>
        <w:spacing w:lineRule="auto" w:line="240" w:before="127" w:after="0"/>
        <w:ind w:left="0" w:right="0" w:hanging="0"/>
        <w:jc w:val="left"/>
        <w:rPr>
          <w:rFonts w:ascii="Calibri" w:hAnsi="Calibri"/>
          <w:color w:val="000000"/>
          <w:sz w:val="21"/>
        </w:rPr>
      </w:pPr>
      <w:r>
        <w:rPr/>
        <w:t xml:space="preserve">Účast na tematickém dialogu </w:t>
      </w:r>
    </w:p>
    <w:p>
      <w:pPr>
        <w:pStyle w:val="Normal"/>
        <w:widowControl w:val="false"/>
        <w:spacing w:lineRule="auto" w:line="240" w:before="92"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26"/>
        <w:widowControl w:val="false"/>
        <w:spacing w:lineRule="auto" w:line="240"/>
        <w:ind w:left="0" w:right="0" w:hanging="0"/>
        <w:jc w:val="left"/>
        <w:rPr>
          <w:rFonts w:ascii="Calibri" w:hAnsi="Calibri"/>
          <w:color w:val="0070C0"/>
          <w:sz w:val="24"/>
        </w:rPr>
      </w:pPr>
      <w:r>
        <w:rPr/>
        <w:t xml:space="preserve">O této zprávě </w:t>
      </w:r>
    </w:p>
    <w:p>
      <w:pPr>
        <w:pStyle w:val="P68B1DB1Normal104"/>
        <w:widowControl w:val="false"/>
        <w:spacing w:lineRule="auto" w:line="240" w:before="88" w:after="0"/>
        <w:ind w:left="0" w:right="0" w:hanging="0"/>
        <w:jc w:val="left"/>
        <w:rPr/>
      </w:pPr>
      <w:r>
        <w:rPr/>
        <w:t xml:space="preserve">Na základě myšlenek a stanovisek, které jsme shromáždili v posledních měsících, jsme vypracovali řadu doporučení, která nizozemští občané předkládají Evropské unii. Během diskusí mezi nizozemskými občany proběhla zajímavá výměna názorů a byly provedeny inovativní nápady a návrhy. Některé z těchto nápadů a návrhů byly začleněny do této zprávy. Obsah této zprávy je proto hlasem Nizozemska: naše vize Evropy.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Stejně jako existují rozdíly v názorech mezi zeměmi a evropskými občany, také ne vždy mezi sebou v Nizozemsku souhlasíme. Právě tyto rozdíly v názorech jsou cenné: jsou důležitým rysem demokracie. Doporučení vycházejí z nejčastěji vyjádřených myšlenek a názorů účastníků průzkumu Vision of Europe. Popisujeme také obavy, myšlenky a pocity, které mohou být méně rozšířené, ale které upoutaly naši pozornost během dialogů a on-line průzkumu. </w:t>
      </w:r>
    </w:p>
    <w:p>
      <w:pPr>
        <w:pStyle w:val="P68B1DB1Normal113"/>
        <w:widowControl w:val="false"/>
        <w:spacing w:lineRule="auto" w:line="240" w:before="181" w:after="0"/>
        <w:ind w:left="0" w:right="0" w:hanging="0"/>
        <w:jc w:val="center"/>
        <w:rPr/>
      </w:pPr>
      <w:r>
        <w:rPr/>
        <w:t xml:space="preserve">Líbilo se mi, že jsem mohl vyjádřit svůj názor na témata, která považuji za důležitá. A mít pocit, že jsme poslouchali. </w:t>
      </w:r>
    </w:p>
    <w:p>
      <w:pPr>
        <w:pStyle w:val="P68B1DB1Normal104"/>
        <w:widowControl w:val="false"/>
        <w:spacing w:lineRule="auto" w:line="240" w:before="300" w:after="0"/>
        <w:ind w:left="0" w:right="0" w:hanging="0"/>
        <w:jc w:val="left"/>
        <w:rPr>
          <w:rFonts w:ascii="Calibri" w:hAnsi="Calibri"/>
          <w:color w:val="000000"/>
          <w:sz w:val="21"/>
        </w:rPr>
      </w:pPr>
      <w:r>
        <w:rPr/>
        <w:t xml:space="preserve">Účast na tematickém dialogu </w:t>
      </w:r>
    </w:p>
    <w:p>
      <w:pPr>
        <w:pStyle w:val="P68B1DB1Normal104"/>
        <w:widowControl w:val="false"/>
        <w:spacing w:lineRule="auto" w:line="240"/>
        <w:ind w:left="0" w:right="0" w:hanging="0"/>
        <w:jc w:val="left"/>
        <w:rPr/>
      </w:pPr>
      <w:r>
        <w:rPr/>
        <w:t xml:space="preserve">Pro konferenci o budoucnosti Evropy bylo určeno devět témat. Tato témata jsou rovněž jádrem dialogu o vizi Evropy s nizozemskými občany. V říjnu jsme zveřejnili průběžnou zprávu s úvodním přehledem výsledků a doplňujícími otázkami na základě panelového průzkumu. Začátkem prosince byla zveřejněna nová zpráva, která obsahuje stanoviska, nápady a doporučení k prvním pěti tématům. Tato zpráva se zabývá zbývajícími čtyřmi tématy.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1"/>
        <w:widowControl w:val="false"/>
        <w:spacing w:lineRule="auto" w:line="240"/>
        <w:ind w:left="0" w:right="0" w:hanging="0"/>
        <w:jc w:val="left"/>
        <w:rPr>
          <w:rFonts w:ascii="Calibri" w:hAnsi="Calibri"/>
          <w:b/>
          <w:b/>
          <w:color w:val="000000"/>
          <w:sz w:val="22"/>
        </w:rPr>
      </w:pPr>
      <w:r>
        <w:rPr/>
        <w:t xml:space="preserve">Předchozí zpráva – prosinec 2021 </w:t>
      </w:r>
    </w:p>
    <w:p>
      <w:pPr>
        <w:pStyle w:val="P68B1DB1Normal104"/>
        <w:widowControl w:val="false"/>
        <w:spacing w:lineRule="auto" w:line="240"/>
        <w:ind w:left="0" w:right="0" w:hanging="0"/>
        <w:jc w:val="left"/>
        <w:rPr>
          <w:rFonts w:ascii="Calibri" w:hAnsi="Calibri"/>
          <w:color w:val="000000"/>
          <w:sz w:val="21"/>
        </w:rPr>
      </w:pPr>
      <w:r>
        <w:rPr/>
        <w:t xml:space="preserve">Hodnoty a práva, právní stát a bezpečnost </w:t>
      </w:r>
    </w:p>
    <w:p>
      <w:pPr>
        <w:pStyle w:val="P68B1DB1Normal104"/>
        <w:widowControl w:val="false"/>
        <w:spacing w:lineRule="auto" w:line="240"/>
        <w:ind w:left="0" w:right="0" w:hanging="0"/>
        <w:jc w:val="left"/>
        <w:rPr/>
      </w:pPr>
      <w:r>
        <w:rPr/>
        <w:t xml:space="preserve">Silnější ekonomika, sociální spravedlnost a zaměstnanost Evropská demokracie </w:t>
      </w:r>
    </w:p>
    <w:p>
      <w:pPr>
        <w:pStyle w:val="P68B1DB1Normal104"/>
        <w:widowControl w:val="false"/>
        <w:spacing w:lineRule="auto" w:line="240"/>
        <w:ind w:left="0" w:right="0" w:hanging="0"/>
        <w:jc w:val="left"/>
        <w:rPr>
          <w:rFonts w:ascii="Calibri" w:hAnsi="Calibri"/>
          <w:color w:val="000000"/>
          <w:sz w:val="21"/>
        </w:rPr>
      </w:pPr>
      <w:r>
        <w:rPr/>
        <w:t xml:space="preserve">Digitální transformace </w:t>
      </w:r>
    </w:p>
    <w:p>
      <w:pPr>
        <w:pStyle w:val="P68B1DB1Normal104"/>
        <w:widowControl w:val="false"/>
        <w:spacing w:lineRule="auto" w:line="240"/>
        <w:ind w:left="0" w:right="0" w:hanging="0"/>
        <w:jc w:val="left"/>
        <w:rPr>
          <w:rFonts w:ascii="Calibri" w:hAnsi="Calibri"/>
          <w:color w:val="000000"/>
          <w:sz w:val="21"/>
        </w:rPr>
      </w:pPr>
      <w:r>
        <w:rPr/>
        <w:t xml:space="preserve">Vzdělávání, kultura, mládež a sport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1"/>
        <w:widowControl w:val="false"/>
        <w:spacing w:lineRule="auto" w:line="240"/>
        <w:ind w:left="0" w:right="0" w:hanging="0"/>
        <w:jc w:val="left"/>
        <w:rPr/>
      </w:pPr>
      <w:r>
        <w:rPr/>
        <w:t>Aktuální zpráva – leden 2022</w:t>
      </w:r>
    </w:p>
    <w:p>
      <w:pPr>
        <w:pStyle w:val="P68B1DB1Normal104"/>
        <w:widowControl w:val="false"/>
        <w:spacing w:lineRule="auto" w:line="240"/>
        <w:ind w:left="0" w:right="0" w:hanging="0"/>
        <w:jc w:val="left"/>
        <w:rPr/>
      </w:pPr>
      <w:r>
        <w:rPr/>
        <w:t xml:space="preserve">Změna klimatu a životní prostředí </w:t>
      </w:r>
    </w:p>
    <w:p>
      <w:pPr>
        <w:pStyle w:val="P68B1DB1Normal104"/>
        <w:widowControl w:val="false"/>
        <w:spacing w:lineRule="auto" w:line="240"/>
        <w:ind w:left="0" w:right="0" w:hanging="0"/>
        <w:jc w:val="left"/>
        <w:rPr>
          <w:rFonts w:ascii="Calibri" w:hAnsi="Calibri"/>
          <w:color w:val="000000"/>
          <w:sz w:val="21"/>
        </w:rPr>
      </w:pPr>
      <w:r>
        <w:rPr/>
        <w:t xml:space="preserve">Migrace </w:t>
      </w:r>
    </w:p>
    <w:p>
      <w:pPr>
        <w:pStyle w:val="P68B1DB1Normal104"/>
        <w:widowControl w:val="false"/>
        <w:spacing w:lineRule="auto" w:line="240"/>
        <w:ind w:left="0" w:right="0" w:hanging="0"/>
        <w:jc w:val="left"/>
        <w:rPr>
          <w:rFonts w:ascii="Calibri" w:hAnsi="Calibri"/>
          <w:color w:val="000000"/>
          <w:sz w:val="21"/>
        </w:rPr>
      </w:pPr>
      <w:r>
        <w:rPr/>
        <w:t xml:space="preserve">Zdraví </w:t>
      </w:r>
    </w:p>
    <w:p>
      <w:pPr>
        <w:pStyle w:val="P68B1DB1Normal104"/>
        <w:widowControl w:val="false"/>
        <w:spacing w:lineRule="auto" w:line="240"/>
        <w:ind w:left="0" w:right="0" w:hanging="0"/>
        <w:jc w:val="left"/>
        <w:rPr>
          <w:rFonts w:ascii="Calibri" w:hAnsi="Calibri"/>
          <w:color w:val="000000"/>
          <w:sz w:val="21"/>
        </w:rPr>
      </w:pPr>
      <w:r>
        <w:rPr/>
        <w:t xml:space="preserve">EU ve světě </w:t>
      </w:r>
    </w:p>
    <w:p>
      <w:pPr>
        <w:pStyle w:val="P68B1DB1Normal126"/>
        <w:widowControl w:val="false"/>
        <w:spacing w:lineRule="auto" w:line="240" w:before="105" w:after="0"/>
        <w:ind w:left="0" w:right="0" w:hanging="0"/>
        <w:jc w:val="left"/>
        <w:rPr>
          <w:rFonts w:ascii="Calibri" w:hAnsi="Calibri"/>
          <w:color w:val="0070C0"/>
          <w:sz w:val="24"/>
        </w:rPr>
      </w:pPr>
      <w:r>
        <w:rPr/>
        <w:t xml:space="preserve">Další kroky </w:t>
      </w:r>
    </w:p>
    <w:p>
      <w:pPr>
        <w:pStyle w:val="Normal"/>
        <w:widowControl w:val="false"/>
        <w:spacing w:lineRule="auto" w:line="240" w:before="107" w:after="0"/>
        <w:ind w:left="0" w:right="0" w:hanging="0"/>
        <w:jc w:val="left"/>
        <w:rPr/>
      </w:pPr>
      <w:r>
        <w:rPr>
          <w:rFonts w:ascii="Calibri" w:hAnsi="Calibri"/>
          <w:color w:val="000000"/>
          <w:sz w:val="21"/>
        </w:rPr>
        <w:t xml:space="preserve">Konference o budoucnosti Evropy spojuje myšlenky, stanoviska a doporučení všech občanů EU. Setkání budou věnována nejen výsledkům všech dialogů s občany na vnitrostátní úrovni, ale také výsledkům dalších iniciativ zahájených v souvislosti s konferencí. Existují například panely evropských občanů a všichni občané EU (včetně nizozemských občanů) mají přístup k evropské digitální platformě. </w:t>
      </w:r>
      <w:r>
        <w:br w:type="page"/>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13"/>
        <w:widowControl w:val="false"/>
        <w:spacing w:lineRule="auto" w:line="240"/>
        <w:ind w:left="0" w:right="0" w:hanging="0"/>
        <w:jc w:val="center"/>
        <w:rPr/>
      </w:pPr>
      <w:r>
        <w:rPr/>
        <w:t>„</w:t>
      </w:r>
      <w:r>
        <w:rPr/>
        <w:t xml:space="preserve">Doufám, že vedoucí představitelé EU zohlední můj názor. A že jim to pomůže učinit správná rozhodnutí. </w:t>
      </w:r>
    </w:p>
    <w:p>
      <w:pPr>
        <w:pStyle w:val="P68B1DB1Normal104"/>
        <w:widowControl w:val="false"/>
        <w:spacing w:lineRule="auto" w:line="240" w:before="300" w:after="0"/>
        <w:ind w:left="0" w:right="0" w:hanging="0"/>
        <w:jc w:val="left"/>
        <w:rPr>
          <w:rFonts w:ascii="Calibri" w:hAnsi="Calibri"/>
          <w:color w:val="000000"/>
          <w:sz w:val="21"/>
        </w:rPr>
      </w:pPr>
      <w:r>
        <w:rPr/>
        <w:t xml:space="preserve">Účast na tematickém dialogu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Konference skončí na jaře 2022. Nizozemsko poté vypracuje závěrečnou zprávu o dialogu s občany: souhrn této zprávy a předchozí zprávy, včetně doporučení pro všech devět témat. V návaznosti na konferenci budou předsedovi konference předložena doporučení: předsedové Evropského parlamentu, Rady ministrů a Evropské komise. Zavázali se prozkoumat způsoby a způsoby provádění doporučení. Pro nizozemskou vládu jsou výsledky rovněž cenným příspěvkem k rozvoji evropské politiky Nizozemska.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t xml:space="preserve">Stručně řečeno, proces do jara 2022 bude uspořádán takto: </w:t>
      </w:r>
      <w:r>
        <w:br w:type="page"/>
      </w:r>
    </w:p>
    <w:p>
      <w:pPr>
        <w:pStyle w:val="P68B1DB1Normal127"/>
        <w:widowControl w:val="false"/>
        <w:spacing w:lineRule="auto" w:line="240" w:before="0" w:after="0"/>
        <w:ind w:left="0" w:right="0" w:hanging="0"/>
        <w:jc w:val="left"/>
        <w:rPr/>
      </w:pPr>
      <w:r>
        <w:rPr>
          <w:color w:val="0070C0"/>
          <w:sz w:val="24"/>
        </w:rPr>
        <w:t>Chronologie</w:t>
      </w:r>
      <w:r>
        <w:rPr>
          <w:color w:val="365F91"/>
          <w:sz w:val="28"/>
        </w:rPr>
        <w:t xml:space="preserve"> </w:t>
      </w:r>
    </w:p>
    <w:p>
      <w:pPr>
        <w:pStyle w:val="P68B1DB1Normal35"/>
        <w:widowControl w:val="false"/>
        <w:spacing w:lineRule="auto" w:line="240" w:before="0" w:after="0"/>
        <w:ind w:left="24" w:right="0" w:hanging="0"/>
        <w:jc w:val="left"/>
        <w:rPr/>
      </w:pPr>
      <w:r>
        <w:rPr>
          <w:rFonts w:ascii="Times New Roman" w:hAnsi="Times New Roman"/>
          <w:sz w:val="24"/>
        </w:rPr>
        <w:t xml:space="preserve"> </w:t>
      </w:r>
      <w:r>
        <w:rPr>
          <w:rFonts w:ascii="Calibri" w:hAnsi="Calibri"/>
          <w:position w:val="2"/>
          <w:sz w:val="21"/>
        </w:rPr>
        <w:t>Vize Evropy</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46"/>
        <w:gridCol w:w="355"/>
        <w:gridCol w:w="416"/>
        <w:gridCol w:w="915"/>
        <w:gridCol w:w="41"/>
        <w:gridCol w:w="512"/>
        <w:gridCol w:w="292"/>
        <w:gridCol w:w="443"/>
        <w:gridCol w:w="657"/>
        <w:gridCol w:w="854"/>
        <w:gridCol w:w="1"/>
        <w:gridCol w:w="706"/>
        <w:gridCol w:w="1"/>
        <w:gridCol w:w="853"/>
        <w:gridCol w:w="1"/>
        <w:gridCol w:w="852"/>
        <w:gridCol w:w="913"/>
        <w:gridCol w:w="340"/>
        <w:gridCol w:w="1346"/>
      </w:tblGrid>
      <w:tr>
        <w:trPr>
          <w:trHeight w:val="1151"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 září</w:t>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12. října</w:t>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22./23. října</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15. listopadu</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3. prosince</w:t>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14. ledna</w:t>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21./22. ledna</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V únoru</w:t>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18./19. února</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11.–12. března</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22./24. dubna</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21" w:hRule="atLeast"/>
        </w:trPr>
        <w:tc>
          <w:tcPr>
            <w:tcW w:w="2385" w:type="dxa"/>
            <w:gridSpan w:val="6"/>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Sbírání nápadů online</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884"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Tematické dialogy</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1902"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Průběžné výsledky (průběžná zpráva)</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Průběžná zpráva o „ekonomice“ a „demokracii“</w:t>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Průběžná zpráva „Klima“ a „EU ve světě“</w:t>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Závěrečná zpráva „Naše vize pro Evropu“</w:t>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1879"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Zasedání konference</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Zasedání konference</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 xml:space="preserve">Setkání ze dne </w:t>
              <w:br/>
              <w:t>konference</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(případně) schůze konference</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Závěrečná akce konference</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JAK TO VYPADÁ? </w:t>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 xml:space="preserve">Doporučení pro předsedy </w:t>
            </w:r>
          </w:p>
          <w:p>
            <w:pPr>
              <w:pStyle w:val="P68B1DB1Contenudetableau128"/>
              <w:spacing w:before="57" w:after="57"/>
              <w:jc w:val="left"/>
              <w:rPr>
                <w:color w:val="000000"/>
                <w:sz w:val="14"/>
              </w:rPr>
            </w:pPr>
            <w:r>
              <w:rPr/>
              <w:t xml:space="preserve">• </w:t>
            </w:r>
            <w:r>
              <w:rPr/>
              <w:t xml:space="preserve">Evropský parlament </w:t>
              <w:br/>
              <w:t xml:space="preserve">• Evropská komise </w:t>
              <w:br/>
              <w:t>• Rada ministrů</w:t>
            </w:r>
          </w:p>
        </w:tc>
      </w:tr>
      <w:tr>
        <w:trPr>
          <w:trHeight w:val="491"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1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0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967" w:type="dxa"/>
            <w:gridSpan w:val="1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Více názorů a myšlenek o budoucnosti Evropy:</w:t>
            </w:r>
          </w:p>
        </w:tc>
      </w:tr>
      <w:tr>
        <w:trPr>
          <w:trHeight w:val="941" w:hRule="atLeast"/>
        </w:trPr>
        <w:tc>
          <w:tcPr>
            <w:tcW w:w="91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Dialogy s občany</w:t>
            </w:r>
          </w:p>
        </w:tc>
        <w:tc>
          <w:tcPr>
            <w:tcW w:w="9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5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512"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Evropské panelové diskuse občanů</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51"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Evropská digitální platforma (rovněž pro nizozemské občany)</w:t>
            </w:r>
          </w:p>
        </w:tc>
      </w:tr>
    </w:tbl>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p>
    <w:p>
      <w:pPr>
        <w:pStyle w:val="P68B1DB1Normal126"/>
        <w:widowControl w:val="false"/>
        <w:spacing w:lineRule="auto" w:line="240"/>
        <w:ind w:left="0" w:right="0" w:hanging="0"/>
        <w:jc w:val="left"/>
        <w:rPr>
          <w:rFonts w:ascii="Calibri" w:hAnsi="Calibri"/>
          <w:color w:val="0070C0"/>
          <w:sz w:val="24"/>
        </w:rPr>
      </w:pPr>
      <w:r>
        <w:rPr/>
        <w:t xml:space="preserve">Vysvětlení pro usnadnění čtení </w:t>
      </w:r>
    </w:p>
    <w:p>
      <w:pPr>
        <w:pStyle w:val="P68B1DB1Normal104"/>
        <w:widowControl w:val="false"/>
        <w:spacing w:lineRule="exact" w:line="281" w:before="116" w:after="0"/>
        <w:ind w:left="0" w:right="772" w:hanging="0"/>
        <w:jc w:val="left"/>
        <w:rPr/>
      </w:pPr>
      <w:r>
        <w:rPr/>
        <w:t xml:space="preserve">V této zprávě jsme diskutovali o čtyřech tématech. Pro každé téma jsme postupně zahrnuli: </w:t>
      </w:r>
    </w:p>
    <w:p>
      <w:pPr>
        <w:pStyle w:val="P68B1DB1Normal104"/>
        <w:widowControl w:val="false"/>
        <w:spacing w:lineRule="exact" w:line="339" w:before="1" w:after="0"/>
        <w:ind w:left="0" w:right="0" w:hanging="0"/>
        <w:jc w:val="left"/>
        <w:rPr>
          <w:rFonts w:ascii="Calibri" w:hAnsi="Calibri"/>
          <w:color w:val="000000"/>
          <w:sz w:val="21"/>
        </w:rPr>
      </w:pPr>
      <w:r>
        <w:rPr/>
        <w:t xml:space="preserve">doporučení založená na všech aspektech dialogu s občany; </w:t>
      </w:r>
    </w:p>
    <w:p>
      <w:pPr>
        <w:pStyle w:val="P68B1DB1Normal104"/>
        <w:widowControl w:val="false"/>
        <w:spacing w:lineRule="exact" w:line="283"/>
        <w:ind w:left="0" w:right="137" w:hanging="0"/>
        <w:jc w:val="left"/>
        <w:rPr/>
      </w:pPr>
      <w:r>
        <w:rPr/>
        <w:t xml:space="preserve">on-line a on-line diskuse a nápady: přehled názorů, myšlenek a názorů (online a s fyzickou přítomností) během tematických dialogů. </w:t>
      </w:r>
    </w:p>
    <w:p>
      <w:pPr>
        <w:pStyle w:val="P68B1DB1Normal104"/>
        <w:widowControl w:val="false"/>
        <w:spacing w:lineRule="exact" w:line="339"/>
        <w:ind w:left="0" w:right="0" w:hanging="0"/>
        <w:jc w:val="left"/>
        <w:rPr>
          <w:rFonts w:ascii="Calibri" w:hAnsi="Calibri"/>
          <w:color w:val="000000"/>
          <w:sz w:val="21"/>
        </w:rPr>
      </w:pPr>
      <w:r>
        <w:rPr/>
        <w:t xml:space="preserve"> </w:t>
      </w:r>
    </w:p>
    <w:p>
      <w:pPr>
        <w:pStyle w:val="Normal"/>
        <w:widowControl w:val="false"/>
        <w:spacing w:lineRule="exact" w:line="339" w:before="1" w:after="0"/>
        <w:ind w:left="0" w:right="0" w:hanging="0"/>
        <w:jc w:val="left"/>
        <w:rPr>
          <w:rFonts w:ascii="Calibri" w:hAnsi="Calibri"/>
          <w:color w:val="000000"/>
          <w:sz w:val="21"/>
        </w:rPr>
      </w:pPr>
      <w:r>
        <w:rPr>
          <w:rFonts w:ascii="Calibri" w:hAnsi="Calibri"/>
          <w:color w:val="000000"/>
          <w:sz w:val="21"/>
        </w:rPr>
        <w:t xml:space="preserve">Popis metodiky použité v průzkumu lze nalézt na konci této zprávy. </w:t>
      </w:r>
      <w:r>
        <w:br w:type="page"/>
      </w:r>
    </w:p>
    <w:p>
      <w:pPr>
        <w:pStyle w:val="P68B1DB1Normal125"/>
        <w:widowControl w:val="false"/>
        <w:spacing w:lineRule="auto" w:line="240"/>
        <w:ind w:left="0" w:right="0" w:hanging="0"/>
        <w:jc w:val="left"/>
        <w:rPr>
          <w:rFonts w:ascii="Calibri" w:hAnsi="Calibri"/>
          <w:b/>
          <w:b/>
          <w:color w:val="0070C0"/>
          <w:sz w:val="32"/>
        </w:rPr>
      </w:pPr>
      <w:r>
        <w:rPr/>
        <w:t xml:space="preserve">Změna klimatu a životní prostředí </w:t>
      </w:r>
    </w:p>
    <w:p>
      <w:pPr>
        <w:pStyle w:val="P68B1DB1Normal126"/>
        <w:widowControl w:val="false"/>
        <w:spacing w:lineRule="auto" w:line="240" w:before="48" w:after="0"/>
        <w:ind w:left="0" w:right="0" w:hanging="0"/>
        <w:jc w:val="left"/>
        <w:rPr>
          <w:rFonts w:ascii="Calibri" w:hAnsi="Calibri"/>
          <w:color w:val="0070C0"/>
          <w:sz w:val="24"/>
        </w:rPr>
      </w:pPr>
      <w:r>
        <w:rPr/>
        <w:t xml:space="preserve">Doporučení – Naše vize pro změnu klimatu a životní prostředí </w:t>
      </w:r>
    </w:p>
    <w:p>
      <w:pPr>
        <w:pStyle w:val="P68B1DB1Normal120"/>
        <w:widowControl w:val="false"/>
        <w:spacing w:lineRule="auto" w:line="240" w:before="61" w:after="0"/>
        <w:ind w:left="0" w:right="0" w:hanging="0"/>
        <w:jc w:val="left"/>
        <w:rPr/>
      </w:pPr>
      <w:r>
        <w:rPr/>
        <w:t xml:space="preserve">71 % Nizozemců se domnívá, že změna klimatu a životní prostředí jsou důležitou otázkou a že EU musí v této oblasti zasáhnout. </w:t>
      </w:r>
    </w:p>
    <w:p>
      <w:pPr>
        <w:pStyle w:val="P68B1DB1Normal110"/>
        <w:widowControl w:val="false"/>
        <w:spacing w:lineRule="auto" w:line="240" w:before="57" w:after="0"/>
        <w:ind w:left="0" w:right="0" w:hanging="0"/>
        <w:jc w:val="left"/>
        <w:rPr/>
      </w:pPr>
      <w:r>
        <w:rPr>
          <w:b/>
        </w:rPr>
        <w:t xml:space="preserve">1. </w:t>
      </w:r>
      <w:r>
        <w:rPr>
          <w:sz w:val="21"/>
        </w:rPr>
        <w:t xml:space="preserve">68 % Nizozemců se domnívá, že EU musí hrát vedoucí úlohu v boji proti změně klimatu. Globální oteplování je problém a žádná země ho nemůže vyřešit sama. I když se Nizozemci neshodnou na změně klimatu, věříme, že EU musí mít jasnější vizi budoucnosti. Navzdory Zelené dohodě v současné době vidíme, že členské státy často nejsou sladěny. I když země musí být schopny i nadále činit vlastní rozhodnutí, musí nicméně spolupracovat, aby dosáhly stejných cílů. Jsme také přesvědčeni, že jako občané máme také svůj vlastní podíl odpovědnosti, například pokud jde o přizpůsobení našich spotřebních návyků. </w:t>
      </w:r>
    </w:p>
    <w:p>
      <w:pPr>
        <w:pStyle w:val="P68B1DB1Normal113"/>
        <w:widowControl w:val="false"/>
        <w:spacing w:lineRule="auto" w:line="240" w:before="135" w:after="0"/>
        <w:ind w:left="0" w:right="0" w:hanging="0"/>
        <w:jc w:val="center"/>
        <w:rPr/>
      </w:pPr>
      <w:r>
        <w:rPr/>
        <w:t xml:space="preserve">Nizozemsko chce upustit od zemního plynu, zatímco v Německu je právě povzbuzováno k jeho používání. Někdy je to nerozumět ničemu. </w:t>
      </w:r>
    </w:p>
    <w:p>
      <w:pPr>
        <w:pStyle w:val="P68B1DB1Normal111"/>
        <w:widowControl w:val="false"/>
        <w:spacing w:lineRule="auto" w:line="240" w:before="109" w:after="0"/>
        <w:ind w:left="0" w:right="0" w:hanging="0"/>
        <w:jc w:val="left"/>
        <w:rPr/>
      </w:pPr>
      <w:r>
        <w:rPr/>
        <w:t xml:space="preserve">2. Zajistit, aby země a podniky úzce spolupracovaly při hledání cílených řešení </w:t>
      </w:r>
    </w:p>
    <w:p>
      <w:pPr>
        <w:pStyle w:val="P68B1DB1Normal104"/>
        <w:widowControl w:val="false"/>
        <w:spacing w:lineRule="auto" w:line="240"/>
        <w:ind w:left="0" w:right="0" w:hanging="0"/>
        <w:jc w:val="left"/>
        <w:rPr/>
      </w:pPr>
      <w:r>
        <w:rPr/>
        <w:t xml:space="preserve">Pokud jde o změnu klimatu a životní prostředí, Holanďané zjišťují, že země často ukazují prsty. Důraz je často kladen na rozdíly, například mezi chudými a bohatými zeměmi v rámci EU. Nebo mezi vysoce průmyslovými nebo slabě industrializovanými zeměmi. Raději bychom se pokusili dosáhnout dohody. Například podobné společnosti v různých zemích by si mohly vyměňovat znalosti a společně přemýšlet o řešeních. Pokud by se tak stalo, chudší země by se mohly více zapojit do přístupu ke změně klimatu. Mohli by se podílet na úvahách a mohli by také využít společných řešení. </w:t>
      </w:r>
    </w:p>
    <w:p>
      <w:pPr>
        <w:pStyle w:val="P68B1DB1Normal113"/>
        <w:widowControl w:val="false"/>
        <w:spacing w:lineRule="auto" w:line="240" w:before="143" w:after="0"/>
        <w:ind w:left="0" w:right="0" w:hanging="0"/>
        <w:jc w:val="center"/>
        <w:rPr/>
      </w:pPr>
      <w:r>
        <w:rPr/>
        <w:t xml:space="preserve">Přístup ke změně klimatu by neměl být závodem, ale spoluprací. </w:t>
      </w:r>
    </w:p>
    <w:p>
      <w:pPr>
        <w:pStyle w:val="P68B1DB1Normal111"/>
        <w:widowControl w:val="false"/>
        <w:spacing w:lineRule="auto" w:line="240" w:before="107" w:after="0"/>
        <w:ind w:left="0" w:right="0" w:hanging="0"/>
        <w:jc w:val="left"/>
        <w:rPr>
          <w:rFonts w:ascii="Calibri" w:hAnsi="Calibri"/>
          <w:b/>
          <w:b/>
          <w:color w:val="000000"/>
          <w:sz w:val="22"/>
        </w:rPr>
      </w:pPr>
      <w:r>
        <w:rPr/>
        <w:t xml:space="preserve">3. Vytvořit systém CO2, který je spravedlivý a proveditelný v praxi </w:t>
      </w:r>
    </w:p>
    <w:p>
      <w:pPr>
        <w:pStyle w:val="P68B1DB1Normal104"/>
        <w:widowControl w:val="false"/>
        <w:spacing w:lineRule="auto" w:line="240"/>
        <w:ind w:left="0" w:right="0" w:hanging="0"/>
        <w:jc w:val="left"/>
        <w:rPr/>
      </w:pPr>
      <w:r>
        <w:rPr/>
        <w:t xml:space="preserve">Přístup EU ke změně klimatu věnuje velkou pozornost snižování emisí CO2. Nizozemci se domnívají, že za tímto účelem je zapotřebí lepší systém, který by výrobcům i spotřebitelům umožnil spravedlivé zdanění. Holanďané jsou rozděleni podle toho, zda země s nejvíce obyvateli mají právo vypouštět více CO2. Některé země mají například velmi znečišťující průmysl. Na druhé straně mají další země mnoho příležitostí k výrobě zelené energie. Tyto rozdíly je třeba vzít v úvahu. Aniž by to bylo příliš složité, protože systém musí být srozumitelný pro všechny. </w:t>
      </w:r>
    </w:p>
    <w:p>
      <w:pPr>
        <w:pStyle w:val="P68B1DB1Normal129"/>
        <w:widowControl w:val="false"/>
        <w:spacing w:lineRule="auto" w:line="240" w:before="135" w:after="0"/>
        <w:ind w:left="0" w:right="0" w:hanging="0"/>
        <w:jc w:val="center"/>
        <w:rPr/>
      </w:pPr>
      <w:r>
        <w:rPr>
          <w:sz w:val="26"/>
        </w:rPr>
        <w:t>Průmyslově vyspělé země hodně vyvážejí. Musí tedy platit</w:t>
      </w:r>
      <w:r>
        <w:rPr>
          <w:position w:val="0"/>
          <w:sz w:val="17"/>
        </w:rPr>
        <w:t>pouze daň z emisí CO2</w:t>
      </w:r>
      <w:r>
        <w:rPr>
          <w:sz w:val="26"/>
        </w:rPr>
        <w:t xml:space="preserve">? Podle mého názoru by měl platit i spotřebitel. </w:t>
      </w:r>
    </w:p>
    <w:p>
      <w:pPr>
        <w:pStyle w:val="P68B1DB1Normal120"/>
        <w:widowControl w:val="false"/>
        <w:spacing w:lineRule="auto" w:line="240" w:before="107" w:after="0"/>
        <w:ind w:left="0" w:right="0" w:hanging="0"/>
        <w:jc w:val="left"/>
        <w:rPr>
          <w:rFonts w:ascii="Calibri" w:hAnsi="Calibri"/>
          <w:b/>
          <w:b/>
          <w:color w:val="000000"/>
          <w:sz w:val="21"/>
        </w:rPr>
      </w:pPr>
      <w:r>
        <w:rPr/>
        <w:t xml:space="preserve"> </w:t>
      </w:r>
    </w:p>
    <w:p>
      <w:pPr>
        <w:pStyle w:val="P68B1DB1Normal110"/>
        <w:widowControl w:val="false"/>
        <w:spacing w:lineRule="auto" w:line="240"/>
        <w:ind w:left="0" w:right="0" w:hanging="0"/>
        <w:jc w:val="both"/>
        <w:rPr/>
      </w:pPr>
      <w:r>
        <w:rPr>
          <w:b/>
        </w:rPr>
        <w:t xml:space="preserve">4. Komunikujte jasnějším a pozitivnějším způsobem o klimatickém přístupu </w:t>
      </w:r>
      <w:r>
        <w:rPr>
          <w:sz w:val="21"/>
        </w:rPr>
        <w:t xml:space="preserve">Holanďané slyšeli o změně klimatu hodně a hodně o tom četli. To však zůstává pro mnoho lidí abstraktním a složitým tématem. To je často vnímáno jako něco, co stojí spoustu peněz, zatímco přístup ke změně klimatu také vytváří příležitosti. Uvažujeme například o stimulaci místní produkce potravin a vývoji nových a udržitelných technologií. EU by mohla tento aspekt odhalit častěji a účinněji. Jsme rovněž přesvědčeni, že hlavy vlád členských států by samy mohly jít lepším příkladem. Méně cestování – například mezi Bruselem a Štrasburkem – a setkání častěji on-line by například mohlo přispět k podpoře udržitelnosti. </w:t>
      </w:r>
    </w:p>
    <w:p>
      <w:pPr>
        <w:pStyle w:val="P68B1DB1Normal113"/>
        <w:widowControl w:val="false"/>
        <w:spacing w:lineRule="auto" w:line="240" w:before="61" w:after="0"/>
        <w:ind w:left="0" w:right="0" w:hanging="0"/>
        <w:jc w:val="center"/>
        <w:rPr/>
      </w:pPr>
      <w:r>
        <w:rPr/>
        <w:t xml:space="preserve">Udržitelnost je stále příliš často vnímána jako náklad. Mělo by to být vnímáno jako příležitost a ne jako hrozba. </w:t>
      </w:r>
    </w:p>
    <w:p>
      <w:pPr>
        <w:pStyle w:val="P68B1DB1Normal126"/>
        <w:widowControl w:val="false"/>
        <w:spacing w:lineRule="auto" w:line="240" w:before="129" w:after="0"/>
        <w:ind w:left="0" w:right="0" w:hanging="0"/>
        <w:jc w:val="left"/>
        <w:rPr>
          <w:rFonts w:ascii="Calibri" w:hAnsi="Calibri"/>
          <w:color w:val="0070C0"/>
          <w:sz w:val="24"/>
        </w:rPr>
      </w:pPr>
      <w:r>
        <w:rPr/>
        <w:t xml:space="preserve">On-line a on-line diskuse a nápady </w:t>
      </w:r>
    </w:p>
    <w:p>
      <w:pPr>
        <w:pStyle w:val="P68B1DB1Normal129"/>
        <w:widowControl w:val="false"/>
        <w:spacing w:lineRule="auto" w:line="240" w:before="78" w:after="0"/>
        <w:ind w:left="0" w:right="0" w:hanging="0"/>
        <w:jc w:val="left"/>
        <w:rPr/>
      </w:pPr>
      <w:r>
        <w:rPr>
          <w:sz w:val="21"/>
        </w:rPr>
        <w:t>Neměli bychom považovat emise CO2</w:t>
      </w:r>
      <w:r>
        <w:rPr>
          <w:position w:val="0"/>
          <w:sz w:val="14"/>
        </w:rPr>
        <w:t>za</w:t>
      </w:r>
      <w:r>
        <w:rPr>
          <w:sz w:val="21"/>
        </w:rPr>
        <w:t xml:space="preserve"> právo, ale za trapný důsledek. </w:t>
      </w:r>
    </w:p>
    <w:p>
      <w:pPr>
        <w:pStyle w:val="P68B1DB1Normal104"/>
        <w:widowControl w:val="false"/>
        <w:spacing w:lineRule="auto" w:line="240" w:before="87" w:after="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Mám dojem, že v Evropě trávíme více času mluvením o změně klimatu než přijímáním skutečných opatření k řešení této změny.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Přísnější klimatická pravidla by se nakonec mohla ukázat jako prospěšná i pro nás. Jako kontinent, který se zabývá obchodem, se zde musíme snažit vidět příležitosti.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Nemůžeme se dočkat jiných kontinentů. Nemáme čas čekat.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NÁPAD:</w:t>
      </w:r>
      <w:r>
        <w:rPr>
          <w:i/>
        </w:rPr>
        <w:t xml:space="preserve"> Odměňujte země finančně, pokud prokáží, že jejich povaha a biologická rozmanitost roste.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04"/>
        <w:widowControl w:val="false"/>
        <w:spacing w:lineRule="auto" w:line="240"/>
        <w:ind w:left="0" w:right="0" w:hanging="0"/>
        <w:jc w:val="left"/>
        <w:rPr/>
      </w:pPr>
      <w:r>
        <w:rPr/>
        <w:t>NÁPAD:</w:t>
      </w:r>
      <w:r>
        <w:rPr>
          <w:i/>
        </w:rPr>
        <w:t xml:space="preserve"> „Podněcovat cestovní ruch šetrný k přírodě v chudých regionech EU.“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Doetinchem Studenti středních škol: Cesty na dálku musí zůstat přístupné všem.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Teze, že lety v rámci EU by měly být dražší, byla předložena studentům na Graafschap College v Doetinchemu. Někteří studenti se shodli na tom, že dražší letenky povzbudí lidi, aby hledali levnější alternativy. Kromě toho bylo zdůrazněno, že EU by pak měla zajistit alternativy šetrnější k životnímu prostředí, jako je lepší železniční spojení. Jiní účastníci uvedli, že nejsou ve prospěch vyšších cen letenek. „Bohatí lidé jsou ti, kteří dnes nejvíce cestují a budou schopni za to snadno zaplatit,“ řekl jeden z účastníků. Vysoké ceny jim nezabrání cestovat. Zatímco vzdálené prázdniny se pak stanou nemožnými pro „obyčejné“ občany. </w:t>
      </w:r>
    </w:p>
    <w:p>
      <w:pPr>
        <w:pStyle w:val="P68B1DB1Normal118"/>
        <w:widowControl w:val="false"/>
        <w:spacing w:lineRule="auto" w:line="240"/>
        <w:ind w:left="0" w:right="0" w:hanging="0"/>
        <w:jc w:val="left"/>
        <w:rPr/>
      </w:pPr>
      <w:r>
        <w:rPr/>
        <w:t xml:space="preserve">Zemědělci šetrní k přírodě: „EU by mohla přispět k šíření znalostí o udržitelných řešeních.“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BoerenNatuur je sdružení skupin zemědělců. Během tematického dialogu se konverzace zaměřila na změnu klimatu a životní prostředí. </w:t>
      </w:r>
    </w:p>
    <w:p>
      <w:pPr>
        <w:pStyle w:val="Normal"/>
        <w:widowControl w:val="false"/>
        <w:spacing w:lineRule="auto" w:line="240"/>
        <w:ind w:left="0" w:right="0" w:hanging="0"/>
        <w:jc w:val="left"/>
        <w:rPr/>
      </w:pPr>
      <w:r>
        <w:rPr>
          <w:rFonts w:ascii="Calibri" w:hAnsi="Calibri"/>
          <w:color w:val="000000"/>
          <w:sz w:val="21"/>
        </w:rPr>
        <w:t>Co se podle účastníků pravděpodobně zlepší, je uplatňování právních předpisů a předpisů EU různými zeměmi. Jako příklad byl uveden dusík. „Právní předpisy EU pouze stanoví, že přírodní oblast se nemůže zhoršit“. Ale v jižní Evropě je tento pojem interpretován jinak než v Nizozemsku." Většina přítomných se shoduje na tom, že Evropa musí hrát vedoucí úlohu v boji proti změně klimatu. A nesmíme být spokojeni s řečí, musíme dosáhnout výsledků. Zejména díky výměně znalostí si zemědělci myslí. V agrárním sektoru pracujeme na řešeních pro</w:t>
      </w:r>
      <w:r>
        <w:rPr>
          <w:rFonts w:ascii="Calibri" w:hAnsi="Calibri"/>
          <w:color w:val="000000"/>
          <w:sz w:val="21"/>
        </w:rPr>
        <w:commentReference w:id="27"/>
      </w:r>
      <w:r>
        <w:rPr>
          <w:rFonts w:ascii="Calibri" w:hAnsi="Calibri"/>
          <w:color w:val="000000"/>
          <w:sz w:val="21"/>
        </w:rPr>
        <w:t xml:space="preserve"> dosažení čistšího zemědělství. EU musí pomoci rychle šířit znalosti v této oblasti.“ </w:t>
      </w:r>
      <w:r>
        <w:br w:type="page"/>
      </w:r>
    </w:p>
    <w:p>
      <w:pPr>
        <w:pStyle w:val="P68B1DB1Normal127"/>
        <w:widowControl w:val="false"/>
        <w:spacing w:lineRule="auto" w:line="240"/>
        <w:ind w:left="0" w:right="0" w:hanging="0"/>
        <w:jc w:val="left"/>
        <w:rPr/>
      </w:pPr>
      <w:r>
        <w:rPr>
          <w:b/>
          <w:color w:val="0070C0"/>
          <w:sz w:val="32"/>
        </w:rPr>
        <w:t>Migrace</w:t>
      </w:r>
      <w:r>
        <w:rPr>
          <w:color w:val="365F91"/>
          <w:sz w:val="28"/>
        </w:rPr>
        <w:t xml:space="preserve"> </w:t>
      </w:r>
      <w:r>
        <w:rPr>
          <w:color w:val="0070C0"/>
          <w:sz w:val="21"/>
        </w:rPr>
        <w:t xml:space="preserve">(migrace a uprchlíci) </w:t>
      </w:r>
    </w:p>
    <w:p>
      <w:pPr>
        <w:pStyle w:val="P68B1DB1Normal20"/>
        <w:widowControl w:val="false"/>
        <w:spacing w:lineRule="auto" w:line="240"/>
        <w:ind w:left="0" w:right="0" w:hanging="0"/>
        <w:jc w:val="left"/>
        <w:rPr>
          <w:rFonts w:ascii="Calibri" w:hAnsi="Calibri"/>
          <w:color w:val="000000"/>
          <w:sz w:val="24"/>
        </w:rPr>
      </w:pPr>
      <w:r>
        <w:rPr/>
        <w:t xml:space="preserve"> </w:t>
      </w:r>
    </w:p>
    <w:p>
      <w:pPr>
        <w:pStyle w:val="P68B1DB1Normal104"/>
        <w:widowControl w:val="false"/>
        <w:spacing w:lineRule="auto" w:line="240"/>
        <w:ind w:left="0" w:right="0" w:hanging="0"/>
        <w:jc w:val="left"/>
        <w:rPr/>
      </w:pPr>
      <w:r>
        <w:rPr/>
        <w:t xml:space="preserve">Hranice mezi členskými státy EU jsou otevřené. V rámci EU proto probíhá spolupráce například v oblasti správy vnějších hranic a boje proti převaděčství migrantů. Diskutuje se rovněž o spravedlivém rozdělení uprchlíků mezi jednotlivé členské státy EU. Jaký je názor Nizozemska na toto téma? </w:t>
      </w:r>
    </w:p>
    <w:p>
      <w:pPr>
        <w:pStyle w:val="P68B1DB1Normal126"/>
        <w:widowControl w:val="false"/>
        <w:spacing w:lineRule="auto" w:line="240" w:before="93" w:after="0"/>
        <w:ind w:left="0" w:right="0" w:hanging="0"/>
        <w:jc w:val="left"/>
        <w:rPr>
          <w:rFonts w:ascii="Calibri" w:hAnsi="Calibri"/>
          <w:color w:val="0070C0"/>
          <w:sz w:val="24"/>
        </w:rPr>
      </w:pPr>
      <w:r>
        <w:rPr/>
        <w:t xml:space="preserve">Doporučení – Naše vize o migraci a uprchlících </w:t>
      </w:r>
    </w:p>
    <w:p>
      <w:pPr>
        <w:pStyle w:val="P68B1DB1Normal120"/>
        <w:widowControl w:val="false"/>
        <w:spacing w:lineRule="auto" w:line="240" w:before="90" w:after="0"/>
        <w:ind w:left="0" w:right="0" w:hanging="0"/>
        <w:jc w:val="left"/>
        <w:rPr/>
      </w:pPr>
      <w:r>
        <w:rPr/>
        <w:t xml:space="preserve">65 % Holanďanů se domnívá, že migrace a uprchlíci jsou důležitou otázkou a že EU musí v této oblasti zasáhnout. </w:t>
      </w:r>
    </w:p>
    <w:p>
      <w:pPr>
        <w:pStyle w:val="P68B1DB1Normal111"/>
        <w:widowControl w:val="false"/>
        <w:spacing w:lineRule="auto" w:line="240" w:before="83" w:after="0"/>
        <w:ind w:left="0" w:right="0" w:hanging="0"/>
        <w:jc w:val="left"/>
        <w:rPr>
          <w:rFonts w:ascii="Calibri" w:hAnsi="Calibri"/>
          <w:b/>
          <w:b/>
          <w:color w:val="000000"/>
          <w:sz w:val="22"/>
        </w:rPr>
      </w:pPr>
      <w:r>
        <w:rPr/>
        <w:t xml:space="preserve">1. Vyhněte se tomu, že debaty o uprchlících jsou příliš málo nuanced </w:t>
      </w:r>
    </w:p>
    <w:p>
      <w:pPr>
        <w:pStyle w:val="P68B1DB1Normal104"/>
        <w:widowControl w:val="false"/>
        <w:spacing w:lineRule="auto" w:line="240"/>
        <w:ind w:left="0" w:right="0" w:hanging="0"/>
        <w:jc w:val="left"/>
        <w:rPr/>
      </w:pPr>
      <w:r>
        <w:rPr/>
        <w:t xml:space="preserve">70 % Holanďanů se domnívá, že vnější hranice Evropy je třeba lépe chránit. 72 % z nich si myslí, že to znamená návrat více uprchlíků do nejistých zemí. Holanďané se domnívají, že je třeba věnovat větší pozornost důvodům, které vedou lidi k útěku z nebezpečné země. Tyto důvody jsou někdy spojeny se změnou klimatu, někdy s válkami. Tyto souvislosti jsou v rozpravě o uprchlické otázce často zmiňovány jen omezeně. Přidaná hodnota, kterou tito uprchlíci přinášejí do země, je také zřídka řešena. V neposlední řadě se domníváme, že EU musí jasněji rozlišovat mezi lidmi z nejistých regionů, kteří se prezentují na hranicích, a mezi ekonomickými uprchlíky. V souhrnu zjišťujeme, že debaty o migraci a uprchlících obecně postrádají kontext a nuance. Evropští politici by mohli tuto situaci napravit tím, že budou příkladem. </w:t>
      </w:r>
    </w:p>
    <w:p>
      <w:pPr>
        <w:pStyle w:val="P68B1DB1Normal113"/>
        <w:widowControl w:val="false"/>
        <w:spacing w:lineRule="auto" w:line="240" w:before="173" w:after="0"/>
        <w:ind w:left="0" w:right="0" w:hanging="0"/>
        <w:jc w:val="center"/>
        <w:rPr/>
      </w:pPr>
      <w:r>
        <w:rPr/>
        <w:t xml:space="preserve">Musíme i nadále považovat uprchlíky v první řadě za naše spoluobčany. Protože téměř nikdo neopustí člověka v tísni. </w:t>
      </w:r>
    </w:p>
    <w:p>
      <w:pPr>
        <w:pStyle w:val="P68B1DB1Normal111"/>
        <w:widowControl w:val="false"/>
        <w:spacing w:lineRule="auto" w:line="240" w:before="138" w:after="0"/>
        <w:ind w:left="0" w:right="0" w:hanging="0"/>
        <w:jc w:val="left"/>
        <w:rPr>
          <w:rFonts w:ascii="Calibri" w:hAnsi="Calibri"/>
          <w:b/>
          <w:b/>
          <w:color w:val="000000"/>
          <w:sz w:val="22"/>
        </w:rPr>
      </w:pPr>
      <w:r>
        <w:rPr/>
        <w:t xml:space="preserve">2. Definování toho, co je spravedlivé a praktické rozdělení uprchlíků </w:t>
      </w:r>
    </w:p>
    <w:p>
      <w:pPr>
        <w:pStyle w:val="P68B1DB1Normal104"/>
        <w:widowControl w:val="false"/>
        <w:spacing w:lineRule="auto" w:line="240"/>
        <w:ind w:left="0" w:right="0" w:hanging="0"/>
        <w:jc w:val="both"/>
        <w:rPr/>
      </w:pPr>
      <w:r>
        <w:rPr/>
        <w:t xml:space="preserve">Evropská imigrační služba by měla zajistit, aby uprchlíci byli spravedlivě rozděleni mezi členské státy EU. Nizozemci se rovněž domnívají, že by měla být stanovena jasná kritéria pro vymezení spravedlivého rozdělení. Dobrý sociální systém může například učinit zemi atraktivní pro uprchlíky, ale další faktory jsou důležité jak pro uprchlíky, tak pro dotčenou zemi. V Nizozemsku čelíme nedostatku bydlení, zatímco některé země nebo odvětví prostě potřebují více migrujících pracovníků. Považujeme za důležité, aby EU tuto skutečnost zohlednila při rozdělování uprchlíků. Jasné mechanismy nejen zaručují transparentnost, ale také méně sporů, což je v konečném důsledku v zájmu všech. </w:t>
      </w:r>
    </w:p>
    <w:p>
      <w:pPr>
        <w:pStyle w:val="P68B1DB1Normal113"/>
        <w:widowControl w:val="false"/>
        <w:spacing w:lineRule="auto" w:line="240" w:before="173" w:after="0"/>
        <w:ind w:left="0" w:right="0" w:hanging="0"/>
        <w:jc w:val="center"/>
        <w:rPr/>
      </w:pPr>
      <w:r>
        <w:rPr/>
        <w:t xml:space="preserve">Uprchlíci musí být také schopni vyjádřit svůj talent v cílové zemi. </w:t>
      </w:r>
    </w:p>
    <w:p>
      <w:pPr>
        <w:pStyle w:val="P68B1DB1Normal111"/>
        <w:widowControl w:val="false"/>
        <w:spacing w:lineRule="auto" w:line="240" w:before="136" w:after="0"/>
        <w:ind w:left="0" w:right="0" w:hanging="0"/>
        <w:jc w:val="left"/>
        <w:rPr>
          <w:rFonts w:ascii="Calibri" w:hAnsi="Calibri"/>
          <w:b/>
          <w:b/>
          <w:color w:val="000000"/>
          <w:sz w:val="22"/>
        </w:rPr>
      </w:pPr>
      <w:r>
        <w:rPr/>
        <w:t xml:space="preserve">3. Na základě znalostí a zkušeností získaných za účelem pomoci uprchlickým regionům původu </w:t>
      </w:r>
    </w:p>
    <w:p>
      <w:pPr>
        <w:pStyle w:val="P68B1DB1Normal104"/>
        <w:widowControl w:val="false"/>
        <w:spacing w:lineRule="auto" w:line="240" w:before="86" w:after="0"/>
        <w:ind w:left="0" w:right="0" w:hanging="0"/>
        <w:jc w:val="left"/>
        <w:rPr/>
      </w:pPr>
      <w:r>
        <w:rPr/>
        <w:t xml:space="preserve">67 % obyvatel Nizozemska se domnívá, že EU musí dále pomáhat nejistým regionům, aby zastavily příliv uprchlíků. Uvědomujeme si, že uprchlíci neopouštějí svou zemi jednoduchou volbou. Musíme se tedy podívat na příčiny, jako je změna klimatu nebo konflikty, které činí regiony nebezpečnými nebo neživými. EU může pomoci uprchlickým regionům nejen s finanční podporou, ale také prostřednictvím znalostí. Například v Nizozemsku máme v zemědělství silné dovednosti. Díky moderním zemědělským technikám můžeme pomoci ostatním zemím lépe se vyrovnat se suchem a zasolováním. A lidé, kteří se v Evropě uchýlili k útočiště, se mohou zúčastnit školení v evropské zemi a pak sami pomoci své zemi původu.  </w:t>
      </w:r>
    </w:p>
    <w:p>
      <w:pPr>
        <w:pStyle w:val="P68B1DB1Normal104"/>
        <w:widowControl w:val="false"/>
        <w:spacing w:lineRule="auto" w:line="240" w:before="94" w:after="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26"/>
        <w:widowControl w:val="false"/>
        <w:spacing w:lineRule="auto" w:line="240"/>
        <w:ind w:left="0" w:right="0" w:hanging="0"/>
        <w:jc w:val="left"/>
        <w:rPr>
          <w:rFonts w:ascii="Calibri" w:hAnsi="Calibri"/>
          <w:color w:val="0070C0"/>
          <w:sz w:val="24"/>
        </w:rPr>
      </w:pPr>
      <w:r>
        <w:rPr/>
        <w:t xml:space="preserve">On-line a on-line diskuse a nápady </w:t>
      </w:r>
    </w:p>
    <w:p>
      <w:pPr>
        <w:pStyle w:val="P68B1DB1Normal118"/>
        <w:widowControl w:val="false"/>
        <w:spacing w:lineRule="auto" w:line="240" w:before="85" w:after="0"/>
        <w:ind w:left="0" w:right="0" w:hanging="0"/>
        <w:jc w:val="left"/>
        <w:rPr/>
      </w:pPr>
      <w:r>
        <w:rPr/>
        <w:t>„</w:t>
      </w:r>
      <w:r>
        <w:rPr/>
        <w:t xml:space="preserve">EU musí zavést rychlejší azylové řízení. Takže bude více prostoru pro lidi, kteří to opravdu potřebují. </w:t>
      </w:r>
    </w:p>
    <w:p>
      <w:pPr>
        <w:pStyle w:val="P68B1DB1Normal118"/>
        <w:widowControl w:val="false"/>
        <w:spacing w:lineRule="auto" w:line="240"/>
        <w:ind w:left="0" w:right="0" w:hanging="0"/>
        <w:jc w:val="left"/>
        <w:rPr/>
      </w:pPr>
      <w:r>
        <w:rPr/>
        <w:t xml:space="preserve">Znám mnoho mladých lidí kolem sebe, kteří chtějí koupit dům, ale kteří nenajdou nic cenově dostupného, zatímco uprchlíci vidí, že nabízejí bydlení. Je pro mě těžké to přijmout. </w:t>
      </w:r>
    </w:p>
    <w:p>
      <w:pPr>
        <w:pStyle w:val="P68B1DB1Normal118"/>
        <w:widowControl w:val="false"/>
        <w:spacing w:lineRule="auto" w:line="240"/>
        <w:ind w:left="0" w:right="0" w:hanging="0"/>
        <w:jc w:val="left"/>
        <w:rPr/>
      </w:pPr>
      <w:r>
        <w:rPr/>
        <w:t xml:space="preserve">Změna klimatu stejně povede k vysídlování obyvatelstva. Nemůžeme zastavit tyto toky, ale pravděpodobně je můžeme lépe regulovat. </w:t>
      </w:r>
    </w:p>
    <w:p>
      <w:pPr>
        <w:pStyle w:val="P68B1DB1Normal118"/>
        <w:widowControl w:val="false"/>
        <w:spacing w:lineRule="auto" w:line="240"/>
        <w:ind w:left="0" w:right="0" w:hanging="0"/>
        <w:jc w:val="left"/>
        <w:rPr/>
      </w:pPr>
      <w:r>
        <w:rPr/>
        <w:t xml:space="preserve">Bydlím v Betuwe. Během sezóny hrušek a jablek potřebujeme jen hodně migrujících pracovníků. </w:t>
      </w:r>
    </w:p>
    <w:p>
      <w:pPr>
        <w:pStyle w:val="P68B1DB1Normal118"/>
        <w:widowControl w:val="false"/>
        <w:spacing w:lineRule="auto" w:line="240"/>
        <w:ind w:left="0" w:right="0" w:hanging="0"/>
        <w:jc w:val="left"/>
        <w:rPr/>
      </w:pPr>
      <w:r>
        <w:rPr/>
        <w:t xml:space="preserve">Nejisté regiony nejsou nebezpečné pro nic za nic, veřejné orgány jsou často nespolehlivé. Jak víme, kam směřuje naše pomoc a peníze? </w:t>
      </w:r>
    </w:p>
    <w:p>
      <w:pPr>
        <w:pStyle w:val="P68B1DB1Normal104"/>
        <w:widowControl w:val="false"/>
        <w:spacing w:lineRule="auto" w:line="240"/>
        <w:ind w:left="0" w:right="0" w:hanging="0"/>
        <w:jc w:val="left"/>
        <w:rPr/>
      </w:pPr>
      <w:r>
        <w:rPr/>
        <w:t xml:space="preserve">NÁPAD: </w:t>
      </w:r>
      <w:r>
        <w:rPr>
          <w:i/>
        </w:rPr>
        <w:t>Zvážit také místní strategie, jako je účast občanů na místním přijímání uprchlíků a financování místních integračních iniciativ.</w:t>
      </w:r>
    </w:p>
    <w:p>
      <w:pPr>
        <w:pStyle w:val="P68B1DB1Normal104"/>
        <w:widowControl w:val="false"/>
        <w:spacing w:lineRule="auto" w:line="240"/>
        <w:ind w:left="0" w:right="0" w:hanging="0"/>
        <w:jc w:val="left"/>
        <w:rPr/>
      </w:pPr>
      <w:r>
        <w:rPr/>
        <w:t>NÁPAD:</w:t>
      </w:r>
      <w:r>
        <w:rPr>
          <w:i/>
        </w:rPr>
        <w:t xml:space="preserve"> Zřídit mini-house ve městech, kde by uprchlíci mohli žít po příjezdu. To by zmírnilo tlak na trh s bydlením a zvýšilo by se veřejná podpora pro přijímání těchto lidí. </w:t>
      </w:r>
    </w:p>
    <w:p>
      <w:pPr>
        <w:pStyle w:val="P68B1DB1Normal118"/>
        <w:widowControl w:val="false"/>
        <w:spacing w:lineRule="auto" w:line="240"/>
        <w:ind w:left="0" w:right="0" w:hanging="0"/>
        <w:jc w:val="left"/>
        <w:rPr/>
      </w:pPr>
      <w:r>
        <w:rPr/>
        <w:t xml:space="preserve">Dobrovolníci, kteří byli sami uprchlíky: V Evropě se od sebe lidé často drží dál.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Taal Doet Meer je dobrovolná organizace, která zajišťuje, aby se noví alofonní obyvatelé Utrechtu mohli zapojit do společnosti. Tematický dialog s touto organizací se nezaměřoval pouze na migraci, ale také a především na integraci. Několik účastníků přišlo do Nizozemska jako uprchlíci, včetně jednoho ze Sýrie. Po sedmi letech se stále necítím jako Holanďan. Také jsem si nenašel práci, i když jsem získal magisterský titul. Podotýkám, že evropské země jsou primárně znepokojeny samy o sobě a nejsou příliš otevřené ostatním zemím a kulturám." Další účastník poznamenal, že Evropané jsou často od sebe vzdáleni. Většina lidí je sama; všichni zůstanou ve svém rohu. Zjišťuji, že jeden musí mluvit jeden s druhým a že jeden od druhého se může učit.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Mládež z Národní rady mládeže: Měli byste pustit lidi dovnitř jen tehdy, když se o ně můžete postarat. </w:t>
      </w:r>
    </w:p>
    <w:p>
      <w:pPr>
        <w:pStyle w:val="P68B1DB1Normal104"/>
        <w:widowControl w:val="false"/>
        <w:spacing w:lineRule="auto" w:line="240"/>
        <w:ind w:left="0" w:right="0" w:hanging="0"/>
        <w:jc w:val="both"/>
        <w:rPr/>
      </w:pPr>
      <w:r>
        <w:rPr/>
        <w:t xml:space="preserve">V Utrechtu vedli rozpravu členové různých pracovních skupin Národní rady mládeže (CNJ). Účastníci (ve věku 16–23 let) se domnívají, že při rozdělování uprchlíků v Evropě je třeba vzít v úvahu několik aspektů, jako je počet obyvatel, velikost země, prosperita a počet středisek žadatelů o azyl. „Uprchlíci by měli mít možnost vstoupit do země pouze tehdy, pokud se o ně pak bude moci postarat,“ řekl jeden z nich. </w:t>
      </w:r>
    </w:p>
    <w:p>
      <w:pPr>
        <w:pStyle w:val="Normal"/>
        <w:widowControl w:val="false"/>
        <w:spacing w:lineRule="auto" w:line="240"/>
        <w:ind w:left="0" w:right="0" w:hanging="0"/>
        <w:jc w:val="left"/>
        <w:rPr/>
      </w:pPr>
      <w:r>
        <w:rPr>
          <w:rFonts w:ascii="Calibri" w:hAnsi="Calibri"/>
          <w:color w:val="000000"/>
          <w:sz w:val="21"/>
        </w:rPr>
        <w:t xml:space="preserve">Mladí lidé se rovněž domnívají, že země musí mít důsledky, pokud neplní své závazky týkající se přijímání uprchlíků. Musí být například pokutována. „A uprchlíci také potřebují mít slovo v tom, kam půjdou,“ řekl někdo. Například, pokud už někde mají rodinu, nemůžeme je poslat někam jinam. </w:t>
      </w:r>
      <w:r>
        <w:br w:type="page"/>
      </w:r>
    </w:p>
    <w:p>
      <w:pPr>
        <w:pStyle w:val="P68B1DB1Normal125"/>
        <w:widowControl w:val="false"/>
        <w:spacing w:lineRule="auto" w:line="240"/>
        <w:ind w:left="0" w:right="0" w:hanging="0"/>
        <w:jc w:val="left"/>
        <w:rPr>
          <w:rFonts w:ascii="Calibri" w:hAnsi="Calibri"/>
          <w:b/>
          <w:b/>
          <w:color w:val="0070C0"/>
          <w:sz w:val="32"/>
        </w:rPr>
      </w:pPr>
      <w:r>
        <w:rPr/>
        <w:t xml:space="preserve">Zdraví </w:t>
      </w:r>
    </w:p>
    <w:p>
      <w:pPr>
        <w:pStyle w:val="P68B1DB1Normal130"/>
        <w:widowControl w:val="false"/>
        <w:spacing w:lineRule="auto" w:line="240"/>
        <w:ind w:left="0" w:right="0" w:hanging="0"/>
        <w:jc w:val="left"/>
        <w:rPr>
          <w:rFonts w:ascii="Calibri" w:hAnsi="Calibri"/>
          <w:color w:val="0070C0"/>
          <w:sz w:val="21"/>
        </w:rPr>
      </w:pPr>
      <w:r>
        <w:rPr/>
        <w:t xml:space="preserve">(Zdravotní péče) </w:t>
      </w:r>
    </w:p>
    <w:p>
      <w:pPr>
        <w:pStyle w:val="P68B1DB1Normal104"/>
        <w:widowControl w:val="false"/>
        <w:spacing w:lineRule="auto" w:line="240"/>
        <w:ind w:left="0" w:right="0" w:hanging="0"/>
        <w:jc w:val="left"/>
        <w:rPr/>
      </w:pPr>
      <w:r>
        <w:rPr/>
        <w:t xml:space="preserve">Ačkoli je zdravotní péče v první řadě odpovědností jednotlivých zemí, může být podporována a posílena politikami EU, například v reakci na pandemii COVID-19 nebo jiné (budoucí) zdravotní krize, nebo v rámci partnerského výzkumu závažných nemocí. Jaký je názor Nizozemska na toto téma? </w:t>
      </w:r>
    </w:p>
    <w:p>
      <w:pPr>
        <w:pStyle w:val="P68B1DB1Normal126"/>
        <w:widowControl w:val="false"/>
        <w:spacing w:lineRule="auto" w:line="240" w:before="14" w:after="0"/>
        <w:ind w:left="0" w:right="0" w:hanging="0"/>
        <w:jc w:val="left"/>
        <w:rPr>
          <w:rFonts w:ascii="Calibri" w:hAnsi="Calibri"/>
          <w:color w:val="0070C0"/>
          <w:sz w:val="24"/>
        </w:rPr>
      </w:pPr>
      <w:r>
        <w:rPr/>
        <w:t xml:space="preserve">Doporučení – Naše vize zdravotní péče </w:t>
      </w:r>
    </w:p>
    <w:p>
      <w:pPr>
        <w:pStyle w:val="P68B1DB1Normal120"/>
        <w:widowControl w:val="false"/>
        <w:spacing w:lineRule="auto" w:line="240"/>
        <w:ind w:left="0" w:right="0" w:hanging="0"/>
        <w:jc w:val="left"/>
        <w:rPr/>
      </w:pPr>
      <w:r>
        <w:rPr/>
        <w:t xml:space="preserve">64 % Nizozemců se domnívá, že zdravotní péče je důležitou otázkou a že EU musí v této oblasti zasáhnout. </w:t>
      </w:r>
    </w:p>
    <w:p>
      <w:pPr>
        <w:pStyle w:val="P68B1DB1Normal111"/>
        <w:widowControl w:val="false"/>
        <w:spacing w:lineRule="auto" w:line="240" w:before="2" w:after="0"/>
        <w:ind w:left="0" w:right="0" w:hanging="0"/>
        <w:jc w:val="left"/>
        <w:rPr>
          <w:rFonts w:ascii="Calibri" w:hAnsi="Calibri"/>
          <w:b/>
          <w:b/>
          <w:color w:val="000000"/>
          <w:sz w:val="22"/>
        </w:rPr>
      </w:pPr>
      <w:r>
        <w:rPr/>
        <w:t xml:space="preserve">1. Mít lepší kontrolu nad řízením pandemie </w:t>
      </w:r>
    </w:p>
    <w:p>
      <w:pPr>
        <w:pStyle w:val="P68B1DB1Normal104"/>
        <w:widowControl w:val="false"/>
        <w:spacing w:lineRule="auto" w:line="240"/>
        <w:ind w:left="0" w:right="0" w:hanging="0"/>
        <w:jc w:val="left"/>
        <w:rPr/>
      </w:pPr>
      <w:r>
        <w:rPr/>
        <w:t xml:space="preserve">83 % Holanďanů se domnívá, že země EU musí více spolupracovat, aby zabránily šíření nakažlivé nemoci po celém světě. Protože virus nezná hranice. Vidíme to během současné pandemie. Politiky v rámci EU jsou někdy zmatené. To není dobré pro dodržování pravidel. Jsme přesvědčeni, že pravidla boje proti šíření viru v Evropě musí být lépe koordinována, aniž by byla všude stejná. Musí být prostor pro místní volby. Nejen proto, že počet kontaminací se může lišit, ale také proto, že v Evropě existují různé kultury. Některá opatření fungují v některých zemích lépe než v jiných. </w:t>
      </w:r>
    </w:p>
    <w:p>
      <w:pPr>
        <w:pStyle w:val="P68B1DB1Normal113"/>
        <w:widowControl w:val="false"/>
        <w:spacing w:lineRule="auto" w:line="240" w:before="164" w:after="0"/>
        <w:ind w:left="0" w:right="0" w:hanging="0"/>
        <w:jc w:val="center"/>
        <w:rPr/>
      </w:pPr>
      <w:r>
        <w:rPr/>
        <w:t xml:space="preserve">Bydlím v Nizozemsku, na hranicích s Německem. Různá opatření přijatá oběma zeměmi v boji proti koronaviru mě dohání k šílenství. </w:t>
      </w:r>
    </w:p>
    <w:p>
      <w:pPr>
        <w:pStyle w:val="Normal"/>
        <w:widowControl w:val="false"/>
        <w:spacing w:lineRule="auto" w:line="240" w:before="158" w:after="0"/>
        <w:ind w:left="0" w:right="0" w:hanging="0"/>
        <w:jc w:val="left"/>
        <w:rPr/>
      </w:pPr>
      <w:r>
        <w:rPr>
          <w:rFonts w:ascii="Cambria" w:hAnsi="Cambria"/>
          <w:color w:val="243F60"/>
          <w:sz w:val="24"/>
        </w:rPr>
        <w:t xml:space="preserve">2. </w:t>
      </w:r>
      <w:r>
        <w:rPr>
          <w:rFonts w:ascii="Calibri" w:hAnsi="Calibri"/>
          <w:b/>
          <w:color w:val="000000"/>
        </w:rPr>
        <w:t>Zajistit dostupnost cenově dostupných a spolehlivých léků pro všechny</w:t>
      </w:r>
      <w:r>
        <w:rPr>
          <w:rFonts w:ascii="Cambria" w:hAnsi="Cambria"/>
          <w:color w:val="243F60"/>
          <w:sz w:val="24"/>
        </w:rPr>
        <w:t xml:space="preserve"> </w:t>
      </w:r>
    </w:p>
    <w:p>
      <w:pPr>
        <w:pStyle w:val="P68B1DB1Normal104"/>
        <w:widowControl w:val="false"/>
        <w:spacing w:lineRule="auto" w:line="240"/>
        <w:ind w:left="0" w:right="0" w:hanging="0"/>
        <w:jc w:val="left"/>
        <w:rPr/>
      </w:pPr>
      <w:r>
        <w:rPr/>
        <w:t xml:space="preserve">71 % Nizozemců se domnívá, že EU musí zajistit, aby pro vývoj, výrobu a dodávky léčivých přípravků bylo zapotřebí méně třetích zemí. Ale pokud to znamená čekat déle na léky, názory jsou rozděleny. Nizozemci se domnívají, že výroba a distribuce léků je složitý problém. Na jedné straně náklady na zdravotní péči v Nizozemsku prudce rostou, takže považujeme za důležité udržet je na nejnižší možné úrovni. Na druhou stranu chceme být schopni věřit drogám, i když pocházejí z dálky. Musí být nejen kvalitní, ale musí být také vyráběny udržitelným a eticky odpovědným způsobem. Obecně se domníváme, že důležité léky musí být přístupné všem, a to i v chudších zemích. </w:t>
      </w:r>
    </w:p>
    <w:p>
      <w:pPr>
        <w:pStyle w:val="P68B1DB1Normal113"/>
        <w:widowControl w:val="false"/>
        <w:spacing w:lineRule="auto" w:line="240" w:before="167" w:after="0"/>
        <w:ind w:left="0" w:right="0" w:hanging="0"/>
        <w:jc w:val="both"/>
        <w:rPr/>
      </w:pPr>
      <w:r>
        <w:rPr/>
        <w:t>Náklady na zdravotní péči jsou již nyní nedostupné. Proto se musíme pokusit koupit nové léky za nejnižší možnou cenu.</w:t>
      </w:r>
      <w:r>
        <w:rPr>
          <w:b/>
        </w:rPr>
        <w:t xml:space="preserve"> </w:t>
      </w:r>
    </w:p>
    <w:p>
      <w:pPr>
        <w:pStyle w:val="P68B1DB1Normal111"/>
        <w:widowControl w:val="false"/>
        <w:spacing w:lineRule="auto" w:line="240" w:before="131" w:after="0"/>
        <w:ind w:left="0" w:right="0" w:hanging="0"/>
        <w:jc w:val="left"/>
        <w:rPr/>
      </w:pPr>
      <w:r>
        <w:rPr/>
        <w:t xml:space="preserve">3. Země se musí zaměřit na zlepšení svých systémů zdravotní péče a na to, aby byly spravedlivější. </w:t>
      </w:r>
    </w:p>
    <w:p>
      <w:pPr>
        <w:pStyle w:val="P68B1DB1Normal104"/>
        <w:widowControl w:val="false"/>
        <w:spacing w:lineRule="auto" w:line="240" w:before="85" w:after="0"/>
        <w:ind w:left="0" w:right="0" w:hanging="0"/>
        <w:jc w:val="left"/>
        <w:rPr/>
      </w:pPr>
      <w:r>
        <w:rPr/>
        <w:t xml:space="preserve">Nizozemci se o zdravotní péči hodně starají a tato obava přesahuje dopad pandemie COVID-19. Víme například o problémech se strukturálními kapacitami v nemocnicích. Někteří Nizozemci nemají důvěru v účinky tržních sil ve zdravotnictví. Chápeme, že farmaceutické společnosti potřebují získat zpět své investice a že zdravotní pojišťovny chtějí levnou zdravotní péči, ale velké společnosti by neměly zneužívat svou moc. EU by v tomto ohledu měla přijmout pravidla. Domníváme se také, že zdravotní péče je především národní záležitostí. Země lépe vědí, jaké jsou problémy a priority na místní úrovni. Považujeme však za důležité, aby se evropské země mohly vzájemně učit za účelem zlepšení zdravotní péče. </w:t>
      </w:r>
    </w:p>
    <w:p>
      <w:pPr>
        <w:pStyle w:val="P68B1DB1Normal104"/>
        <w:widowControl w:val="false"/>
        <w:spacing w:lineRule="auto" w:line="240" w:before="94" w:after="0"/>
        <w:ind w:left="0" w:right="0" w:hanging="0"/>
        <w:jc w:val="left"/>
        <w:rPr>
          <w:rFonts w:ascii="Calibri" w:hAnsi="Calibri"/>
          <w:color w:val="000000"/>
          <w:sz w:val="21"/>
        </w:rPr>
      </w:pPr>
      <w:r>
        <w:rPr/>
        <w:t xml:space="preserve"> </w:t>
      </w:r>
    </w:p>
    <w:p>
      <w:pPr>
        <w:pStyle w:val="P68B1DB1Normal126"/>
        <w:widowControl w:val="false"/>
        <w:spacing w:lineRule="auto" w:line="240"/>
        <w:ind w:left="0" w:right="0" w:hanging="0"/>
        <w:jc w:val="left"/>
        <w:rPr>
          <w:rFonts w:ascii="Calibri" w:hAnsi="Calibri"/>
          <w:color w:val="0070C0"/>
          <w:sz w:val="24"/>
        </w:rPr>
      </w:pPr>
      <w:r>
        <w:rPr/>
        <w:t xml:space="preserve">On-line a on-line diskuse a nápady </w:t>
      </w:r>
    </w:p>
    <w:p>
      <w:pPr>
        <w:pStyle w:val="P68B1DB1Normal118"/>
        <w:widowControl w:val="false"/>
        <w:spacing w:lineRule="auto" w:line="240" w:before="95" w:after="0"/>
        <w:ind w:left="0" w:right="0" w:hanging="0"/>
        <w:jc w:val="left"/>
        <w:rPr/>
      </w:pPr>
      <w:r>
        <w:rPr/>
        <w:t xml:space="preserve">Pokud jde o dostupnost léčivých přípravků v Evropě, mohli bychom být také o něco hospodárnější. Dnes ho házíme příliš mnoho. </w:t>
      </w:r>
    </w:p>
    <w:p>
      <w:pPr>
        <w:pStyle w:val="P68B1DB1Normal104"/>
        <w:widowControl w:val="false"/>
        <w:spacing w:lineRule="auto" w:line="240" w:before="104" w:after="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Je velmi dobré, že Německo přivítalo pacienty z Nizozemska s onemocněním COVID-19. Chtěl bych, aby v Evropě byla větší solidarita.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Bez ohledu na to, kde žijete v EU a zda jste bohatí nebo chudí, má každý právo na kvalitní péči.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Při nákupu drog musíte vzít v úvahu nejen náklady, ale i etiku. To například znamená, že dětská práce by neměla být využívána.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NÁPAD:</w:t>
      </w:r>
      <w:r>
        <w:rPr>
          <w:i/>
        </w:rPr>
        <w:t xml:space="preserve"> „Zlepšování zdraví Evropanů zajištěním toho, aby byli vystaveni menšímu stresu. Zkrátit například délku pracovního týdne.“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04"/>
        <w:widowControl w:val="false"/>
        <w:spacing w:lineRule="auto" w:line="240"/>
        <w:ind w:left="0" w:right="0" w:hanging="0"/>
        <w:jc w:val="left"/>
        <w:rPr/>
      </w:pPr>
      <w:r>
        <w:rPr/>
        <w:t>NÁPAD:</w:t>
      </w:r>
      <w:r>
        <w:rPr>
          <w:i/>
        </w:rPr>
        <w:t xml:space="preserve"> Umožnit mladým lidem činit zdravější rozhodnutí prostřednictvím seriózních her s rozšířenou realitou.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Z obyvatel Utrechtu marockého původu: Zdraví může mít určitou cenu.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Nadace „Marokkaans Dialoog Overvecht“ (MDO) (marocký dialog v Overvechtu) je věnována účasti marocké komunity v okrese Overvecht v Utrechtu. Za tímto účelem podporuje dialog v sousedství, a bojuje tak proti nerovnostem. Účastníci tematického dialogu v rámci vize Evropy se domnívají, že evropská spolupráce je velmi užitečná. Někteří se však domnívají, že Nizozemsko je někdy příliš závislé na jiných zemích. Řízení krize COVID-19 bylo v tomto ohledu uvedeno jako příklad. Četné konzultace v rámci Evropy podle účastníků vedly k tomu, že Nizozemsko zahájilo očkování proti onemocnění COVID-19 příliš pozdě. „Možná to bude stát víc, pokud se Nizozemsko bude chtít rozhodnout více na vlastní pěst,“ řekl jeden z nich. Ale je to o zdraví, může to stát trochu víc.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Z Helmondových studentů: Je lepší se od sebe inteligentně učit, než zaujmout stejný přístup.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both"/>
        <w:rPr/>
      </w:pPr>
      <w:r>
        <w:rPr/>
        <w:t xml:space="preserve">Na Dr. Knippenberg College v Helmondu studenti ve věku kolem 16 let diskutovali o evropském řízení pandemie COVID-19. Někteří se domnívají, že členské státy EU měly program očkování definovat společně. Většina účastníků se domnívala, že samotné země mají lepší představu o tom, co je potřeba a co funguje. Jsou tedy podle nich lépe schopni rozhodnout, co je pro obyvatelstvo správné. Lépe vědí například, která odvětví nejprve potřebují očkování a která z nich mohou počkat. „Je přirozeně velmi dobré, aby se země navzájem konzultovaly,“ řekl jeden ze studentů. Pokud má mnoho zemí svůj vlastní přístup, mohou pozorovat, co dělají ostatní, a učit se od sebe navzájem.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r>
        <w:br w:type="page"/>
      </w:r>
    </w:p>
    <w:p>
      <w:pPr>
        <w:pStyle w:val="P68B1DB1Normal125"/>
        <w:widowControl w:val="false"/>
        <w:spacing w:lineRule="auto" w:line="240"/>
        <w:ind w:left="0" w:right="0" w:hanging="0"/>
        <w:jc w:val="left"/>
        <w:rPr>
          <w:rFonts w:ascii="Calibri" w:hAnsi="Calibri"/>
          <w:b/>
          <w:b/>
          <w:color w:val="0070C0"/>
          <w:sz w:val="32"/>
        </w:rPr>
      </w:pPr>
      <w:r>
        <w:rPr/>
        <w:t xml:space="preserve">Úloha EU ve světě </w:t>
      </w:r>
    </w:p>
    <w:p>
      <w:pPr>
        <w:pStyle w:val="P68B1DB1Normal104"/>
        <w:widowControl w:val="false"/>
        <w:spacing w:lineRule="auto" w:line="240" w:before="126" w:after="0"/>
        <w:ind w:left="0" w:right="0" w:hanging="0"/>
        <w:jc w:val="left"/>
        <w:rPr/>
      </w:pPr>
      <w:r>
        <w:rPr/>
        <w:t xml:space="preserve">Svět čelí velkým výzvám. EU je přesvědčena, že otázky, jako je změna klimatu a pandemie, lze řešit pouze prostřednictvím globální spolupráce. EU chce vyjádřit svůj hlas na světové scéně v tomto ohledu, například spolu s USA a Čínou. Jaký je názor Nizozemska na toto téma? </w:t>
      </w:r>
    </w:p>
    <w:p>
      <w:pPr>
        <w:pStyle w:val="P68B1DB1Normal126"/>
        <w:widowControl w:val="false"/>
        <w:spacing w:lineRule="auto" w:line="240" w:before="125" w:after="0"/>
        <w:ind w:left="0" w:right="0" w:hanging="0"/>
        <w:jc w:val="left"/>
        <w:rPr>
          <w:rFonts w:ascii="Calibri" w:hAnsi="Calibri"/>
          <w:color w:val="0070C0"/>
          <w:sz w:val="24"/>
        </w:rPr>
      </w:pPr>
      <w:r>
        <w:rPr/>
        <w:t xml:space="preserve">Doporučení – Naše vize úlohy EU ve světě </w:t>
      </w:r>
    </w:p>
    <w:p>
      <w:pPr>
        <w:pStyle w:val="P68B1DB1Normal120"/>
        <w:widowControl w:val="false"/>
        <w:spacing w:lineRule="auto" w:line="240" w:before="126" w:after="0"/>
        <w:ind w:left="0" w:right="0" w:hanging="0"/>
        <w:jc w:val="left"/>
        <w:rPr>
          <w:rFonts w:ascii="Calibri" w:hAnsi="Calibri"/>
          <w:b/>
          <w:b/>
          <w:color w:val="000000"/>
          <w:sz w:val="21"/>
        </w:rPr>
      </w:pPr>
      <w:r>
        <w:rPr/>
        <w:t xml:space="preserve">56 % Nizozemců se domnívá, že úloha EU ve světě je důležitým tématem a že EU musí v této oblasti zasáhnout. </w:t>
      </w:r>
    </w:p>
    <w:p>
      <w:pPr>
        <w:pStyle w:val="P68B1DB1Normal111"/>
        <w:widowControl w:val="false"/>
        <w:spacing w:lineRule="auto" w:line="240" w:before="112" w:after="0"/>
        <w:ind w:left="0" w:right="0" w:hanging="0"/>
        <w:jc w:val="left"/>
        <w:rPr>
          <w:rFonts w:ascii="Calibri" w:hAnsi="Calibri"/>
          <w:b/>
          <w:b/>
          <w:color w:val="000000"/>
          <w:sz w:val="22"/>
        </w:rPr>
      </w:pPr>
      <w:r>
        <w:rPr/>
        <w:t xml:space="preserve">1. Využití moci EU zejména v souvislosti s hlavními mezinárodními tématy </w:t>
      </w:r>
    </w:p>
    <w:p>
      <w:pPr>
        <w:pStyle w:val="P68B1DB1Normal104"/>
        <w:widowControl w:val="false"/>
        <w:spacing w:lineRule="auto" w:line="240"/>
        <w:ind w:left="0" w:right="0" w:hanging="0"/>
        <w:jc w:val="left"/>
        <w:rPr/>
      </w:pPr>
      <w:r>
        <w:rPr/>
        <w:t xml:space="preserve">Skutečnost, že její vytvoření přispělo k tomu, že Evropané žijí v míru již více než 75 let, mnozí Holanďané považují za hlavní přidanou hodnotu EU. Nizozemci se rovněž domnívají, že moc EU spočívá ve společném řízení hlavních mezinárodních výzev. Uvažujeme například o změně klimatu, pandemii COVID-19 a uprchlické krizi. Členské státy EU mohou mít také větší dopad na třetí země tím, že budou společně uzavírat mezinárodní dohody EU. Jsme přesvědčeni, že naše země je příliš malá na to, aby se v těchto oblastech změnila. Nizozemci však chtějí, aby Nizozemsko pokračovalo ve svých vlastních rozhodnutích na základě své vlastní kultury a zájmů. Spolupráce v Evropě proto musí především zajistit účinnost a politickou moc. </w:t>
      </w:r>
    </w:p>
    <w:p>
      <w:pPr>
        <w:pStyle w:val="P68B1DB1Normal113"/>
        <w:widowControl w:val="false"/>
        <w:spacing w:lineRule="auto" w:line="240" w:before="200" w:after="0"/>
        <w:ind w:left="0" w:right="0" w:hanging="0"/>
        <w:jc w:val="center"/>
        <w:rPr/>
      </w:pPr>
      <w:r>
        <w:rPr/>
        <w:t xml:space="preserve">Je snazší uzavírat dohody o spolupráci v rámci EU než jako izolovaná země. </w:t>
      </w:r>
    </w:p>
    <w:p>
      <w:pPr>
        <w:pStyle w:val="P68B1DB1Normal111"/>
        <w:widowControl w:val="false"/>
        <w:spacing w:lineRule="auto" w:line="240" w:before="174" w:after="0"/>
        <w:ind w:left="0" w:right="0" w:hanging="0"/>
        <w:jc w:val="left"/>
        <w:rPr>
          <w:rFonts w:ascii="Calibri" w:hAnsi="Calibri"/>
          <w:b/>
          <w:b/>
          <w:color w:val="000000"/>
          <w:sz w:val="22"/>
        </w:rPr>
      </w:pPr>
      <w:r>
        <w:rPr/>
        <w:t xml:space="preserve">2. V Evropě i mimo ni, volte raději spolupráci než boj </w:t>
      </w:r>
    </w:p>
    <w:p>
      <w:pPr>
        <w:pStyle w:val="P68B1DB1Normal104"/>
        <w:widowControl w:val="false"/>
        <w:spacing w:lineRule="auto" w:line="240" w:before="1" w:after="0"/>
        <w:ind w:left="0" w:right="0" w:hanging="0"/>
        <w:jc w:val="left"/>
        <w:rPr/>
      </w:pPr>
      <w:r>
        <w:rPr/>
        <w:t xml:space="preserve">66 % Holanďanů se domnívá, že EU musí vytvořit silnější blok proti ostatním mezinárodním blokům. Jsme svědky oslabení rovnováhy ve světě. Země jako Čína a Rusko neustále rozšiřují svou moc v různých oblastech. To nás hodně znepokojuje. EU proto musí věnovat větší pozornost například mezinárodní bezpečnosti a ochraně evropského hospodářství před nekalými obchodními praktikami. V tomto ohledu považujeme za důležité, aby členské státy koordinovaly lepší a rychlejší koordinaci. To nám umožní, aby náš hlas byl slyšet jasněji. Skutečnost, že jsme společně silnější jako evropské země, neznamená, že chceme jít do konfliktu. Chceme také, pokud je to možné, dobrou spolupráci se třetími zeměmi. </w:t>
      </w:r>
    </w:p>
    <w:p>
      <w:pPr>
        <w:pStyle w:val="P68B1DB1Normal113"/>
        <w:widowControl w:val="false"/>
        <w:spacing w:lineRule="auto" w:line="240" w:before="200" w:after="0"/>
        <w:ind w:left="0" w:right="0" w:hanging="0"/>
        <w:jc w:val="center"/>
        <w:rPr/>
      </w:pPr>
      <w:r>
        <w:rPr/>
        <w:t>„</w:t>
      </w:r>
      <w:r>
        <w:rPr/>
        <w:t xml:space="preserve">Snížení vnitřních sporů a konfliktů zvýší prestiž EU a její vliv na světové scéně.“ </w:t>
      </w:r>
    </w:p>
    <w:p>
      <w:pPr>
        <w:pStyle w:val="P68B1DB1Normal111"/>
        <w:widowControl w:val="false"/>
        <w:spacing w:lineRule="auto" w:line="240" w:before="174" w:after="0"/>
        <w:ind w:left="0" w:right="0" w:hanging="0"/>
        <w:jc w:val="left"/>
        <w:rPr>
          <w:rFonts w:ascii="Calibri" w:hAnsi="Calibri"/>
          <w:b/>
          <w:b/>
          <w:color w:val="000000"/>
          <w:sz w:val="22"/>
        </w:rPr>
      </w:pPr>
      <w:r>
        <w:rPr/>
        <w:t xml:space="preserve">3. Nabízí promyšleným způsobem pomoc v případě konfliktu </w:t>
      </w:r>
    </w:p>
    <w:p>
      <w:pPr>
        <w:pStyle w:val="Normal"/>
        <w:widowControl w:val="false"/>
        <w:spacing w:lineRule="auto" w:line="240"/>
        <w:ind w:left="0" w:right="0" w:hanging="0"/>
        <w:jc w:val="left"/>
        <w:rPr/>
      </w:pPr>
      <w:r>
        <w:rPr>
          <w:rFonts w:ascii="Calibri" w:hAnsi="Calibri"/>
          <w:color w:val="000000"/>
          <w:sz w:val="21"/>
        </w:rPr>
        <w:t xml:space="preserve">V rámci posílení úlohy EU na mezinárodní scéně se 50 % Holanďanů domnívá, že přístup ke konfliktům ve světě je důležitým tématem. Nejlepší způsob, jak reagovat na konflikty, je podle nich obtížné určit. Minulost ukázala, že vojenská intervence v zemi není vždy prospěšná. Může například vést k nepředvídaným vysokým nákladům a vytvářet další toky uprchlíků. Země by se vzhledem k tomuto lokálnímu dopadu měly samy rozhodnout, zda se zúčastní války. Obecně nás zajímá posílená spolupráce mezi evropskými armádami: považujeme za důležité, aby se Evropa mohla dobře bránit. Ale vždy dáváme přednost řešení konfliktů, aniž bychom se uchýlili k násilí. </w:t>
      </w:r>
      <w:r>
        <w:br w:type="page"/>
      </w:r>
    </w:p>
    <w:p>
      <w:pPr>
        <w:pStyle w:val="P68B1DB1Normal113"/>
        <w:widowControl w:val="false"/>
        <w:spacing w:lineRule="auto" w:line="240"/>
        <w:ind w:left="0" w:right="0" w:hanging="0"/>
        <w:jc w:val="left"/>
        <w:rPr/>
      </w:pPr>
      <w:r>
        <w:rPr/>
        <w:t xml:space="preserve">Během evakuace z Afghánistánu jednala každá země ve svém vlastním koutě. Mohli jsme to udělat lépe, ne? </w:t>
      </w:r>
    </w:p>
    <w:p>
      <w:pPr>
        <w:pStyle w:val="P68B1DB1Normal126"/>
        <w:widowControl w:val="false"/>
        <w:spacing w:lineRule="auto" w:line="240" w:before="85" w:after="0"/>
        <w:ind w:left="0" w:right="0" w:hanging="0"/>
        <w:jc w:val="left"/>
        <w:rPr>
          <w:rFonts w:ascii="Calibri" w:hAnsi="Calibri"/>
          <w:color w:val="0070C0"/>
          <w:sz w:val="24"/>
        </w:rPr>
      </w:pPr>
      <w:r>
        <w:rPr/>
        <w:t xml:space="preserve">On-line a on-line diskuse a nápady </w:t>
      </w:r>
    </w:p>
    <w:p>
      <w:pPr>
        <w:pStyle w:val="P68B1DB1Normal118"/>
        <w:widowControl w:val="false"/>
        <w:spacing w:lineRule="auto" w:line="240" w:before="78" w:after="0"/>
        <w:ind w:left="0" w:right="0" w:hanging="0"/>
        <w:jc w:val="left"/>
        <w:rPr>
          <w:rFonts w:ascii="Calibri" w:hAnsi="Calibri"/>
          <w:i/>
          <w:i/>
          <w:color w:val="000000"/>
          <w:sz w:val="21"/>
        </w:rPr>
      </w:pPr>
      <w:r>
        <w:rPr/>
        <w:t xml:space="preserve">EU musí nejprve nastolit pořádek ve svých vlastních záležitostech před konfrontací s ostatními. </w:t>
      </w:r>
    </w:p>
    <w:p>
      <w:pPr>
        <w:pStyle w:val="P68B1DB1Normal118"/>
        <w:widowControl w:val="false"/>
        <w:spacing w:lineRule="auto" w:line="240" w:before="87" w:after="0"/>
        <w:ind w:left="0" w:right="0" w:hanging="0"/>
        <w:jc w:val="left"/>
        <w:rPr>
          <w:rFonts w:ascii="Calibri" w:hAnsi="Calibri"/>
          <w:i/>
          <w: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Tím, že masivně nakupujeme čínské výrobky jako Evropané, podporujeme samotnou Čínu.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Spojené státy hrají i nadále velmi důležitou roli při obraně Evropy.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18"/>
        <w:widowControl w:val="false"/>
        <w:spacing w:lineRule="auto" w:line="240"/>
        <w:ind w:left="0" w:right="0" w:hanging="0"/>
        <w:jc w:val="left"/>
        <w:rPr/>
      </w:pPr>
      <w:r>
        <w:rPr/>
        <w:t xml:space="preserve">Být členem EU znamená také sedět u jednacího stolu. To umožňuje diskutovat o důležitých rozhodnutích.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EU se musí přestat považovat za izolovanou entitu, protože tomu tak není. Jedná se o sdružení evropských členských států a mělo by se tak chovat.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NÁPAD:</w:t>
      </w:r>
      <w:r>
        <w:rPr>
          <w:i/>
        </w:rPr>
        <w:t xml:space="preserve"> Stejně jako pravidelná globální konference o klimatu by se měla konat i konference o lidských právech.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NÁPAD: </w:t>
      </w:r>
      <w:r>
        <w:rPr>
          <w:i/>
        </w:rPr>
        <w:t>„Zefektivnit evropské armády, například větším využíváním kolektivního nákupu vybavení.“</w:t>
      </w: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Holandsko-marocké ženy: Prosazování lidských práv.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pPr>
      <w:r>
        <w:rPr>
          <w:rFonts w:ascii="Calibri" w:hAnsi="Calibri"/>
          <w:color w:val="000000"/>
          <w:sz w:val="21"/>
        </w:rPr>
        <w:t>„</w:t>
      </w:r>
      <w:commentRangeStart w:id="28"/>
      <w:r>
        <w:rPr>
          <w:rFonts w:ascii="Calibri" w:hAnsi="Calibri"/>
          <w:color w:val="000000"/>
          <w:sz w:val="21"/>
        </w:rPr>
        <w:t>Ženy za</w:t>
      </w:r>
      <w:r>
        <w:rPr>
          <w:rFonts w:ascii="Calibri" w:hAnsi="Calibri"/>
          <w:color w:val="000000"/>
          <w:sz w:val="21"/>
        </w:rPr>
      </w:r>
      <w:commentRangeEnd w:id="28"/>
      <w:r>
        <w:commentReference w:id="28"/>
      </w:r>
      <w:r>
        <w:rPr>
          <w:rFonts w:ascii="Calibri" w:hAnsi="Calibri"/>
          <w:color w:val="000000"/>
          <w:sz w:val="21"/>
        </w:rPr>
        <w:t xml:space="preserve">svobodu“ je nizozemská nadace, která bojuje proti nuceným sňatkům, sexuálnímu útlaku a finančnímu zneužívání dívek a žen z bikulturního prostředí. Ve spolupráci s touto nadací bylo uspořádáno setkání se skupinou holandsko-marockých žen. Účastníci se domnívají, že EU je v současné době příliš závislá na Rusku a Číně. „Zjistili jsme, že EU se obecně neodvažuje nic nenavrhovat ze strachu ze sankcí,“ řekl jeden z nich. Výroba drog, která může být často mnohem levnější, byla uvedena jako příklad. „V případě konfliktu může Čína vypnout kohoutek a my nebudeme mít nic,“ řekl jeden z účastníků. Byla rovněž vznesena otázka lidských práv. „Všichni se chováme, jako bychom to považovali za velmi důležité, ale zavíráme oči na to, co Čína dělá Ujgurům,“ říká někdo.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Studenti z Technasium Alkmaar: Žádná společná armáda.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pPr>
      <w:r>
        <w:rPr>
          <w:rFonts w:ascii="Calibri" w:hAnsi="Calibri"/>
          <w:color w:val="000000"/>
          <w:sz w:val="21"/>
        </w:rPr>
        <w:t xml:space="preserve">Ve svém tematickém dialogu studenti z Technasia Jana Arentze v Alkmaaru diskutovali o výhodách a nevýhodách společné evropské armády. Účastníci uvedli, že to nepodporují. Když se některá země EU hádá se třetí zemí, měli bychom se automaticky účastnit války. Myslím, že země musí být schopny rozhodovat samy," řekl jeden z nich. Diskutovalo se také o možnosti třetí světové války. Tuto možnost studenti nepovažují za příliš velkou, ale myslí si, že pokud se tam dostaneme, řešení by mohlo být nalezeno rychle. I armáda může dobře spolupracovat. Podle mého názoru není nutné, aby existovala evropská armáda. </w:t>
      </w:r>
      <w:r>
        <w:br w:type="page"/>
      </w:r>
    </w:p>
    <w:p>
      <w:pPr>
        <w:pStyle w:val="P68B1DB1Normal125"/>
        <w:widowControl w:val="false"/>
        <w:spacing w:lineRule="auto" w:line="240"/>
        <w:ind w:left="0" w:right="0" w:hanging="0"/>
        <w:jc w:val="left"/>
        <w:rPr>
          <w:rFonts w:ascii="Calibri" w:hAnsi="Calibri"/>
          <w:b/>
          <w:b/>
          <w:color w:val="0070C0"/>
          <w:sz w:val="32"/>
        </w:rPr>
      </w:pPr>
      <w:r>
        <w:rPr/>
        <w:t xml:space="preserve">Metodika použitá v průzkumu </w:t>
      </w:r>
    </w:p>
    <w:p>
      <w:pPr>
        <w:pStyle w:val="P68B1DB1Normal104"/>
        <w:widowControl w:val="false"/>
        <w:spacing w:lineRule="auto" w:line="240" w:before="150" w:after="0"/>
        <w:ind w:left="0" w:right="0" w:hanging="0"/>
        <w:jc w:val="left"/>
        <w:rPr/>
      </w:pPr>
      <w:r>
        <w:rPr/>
        <w:t xml:space="preserve">Vize Evropy se skládá z různých forem vzájemně propojených dialogů, které shromažďují názory a myšlenky nizozemských občanů na budoucnost Evropy a EU. Tato kapitola popisuje, jak jsou tyto úzce související dialogy vedeny v souladu s pokyny platnými pro vnitrostátní panely občanů v souvislosti s konferencí o budoucnosti Evropy. </w:t>
      </w:r>
    </w:p>
    <w:p>
      <w:pPr>
        <w:pStyle w:val="P68B1DB1Normal126"/>
        <w:widowControl w:val="false"/>
        <w:spacing w:lineRule="auto" w:line="240" w:before="43" w:after="0"/>
        <w:ind w:left="0" w:right="0" w:hanging="0"/>
        <w:jc w:val="left"/>
        <w:rPr>
          <w:rFonts w:ascii="Calibri" w:hAnsi="Calibri"/>
          <w:color w:val="0070C0"/>
          <w:sz w:val="24"/>
        </w:rPr>
      </w:pPr>
      <w:r>
        <w:rPr/>
        <w:t xml:space="preserve">Struktura úzce souvisejících dialogů </w:t>
      </w:r>
    </w:p>
    <w:p>
      <w:pPr>
        <w:pStyle w:val="P68B1DB1Normal104"/>
        <w:widowControl w:val="false"/>
        <w:spacing w:lineRule="auto" w:line="240" w:before="114" w:after="0"/>
        <w:ind w:left="0" w:right="0" w:hanging="0"/>
        <w:jc w:val="left"/>
        <w:rPr>
          <w:rFonts w:ascii="Calibri" w:hAnsi="Calibri"/>
          <w:color w:val="000000"/>
          <w:sz w:val="21"/>
        </w:rPr>
      </w:pPr>
      <w:r>
        <w:rPr/>
        <w:t xml:space="preserve">Jsou organizovány tyto formy dialogu: </w:t>
      </w:r>
    </w:p>
    <w:p>
      <w:pPr>
        <w:pStyle w:val="P68B1DB1Normal119"/>
        <w:widowControl w:val="false"/>
        <w:spacing w:lineRule="auto" w:line="240"/>
        <w:ind w:left="0" w:right="0" w:hanging="0"/>
        <w:jc w:val="left"/>
        <w:rPr/>
      </w:pPr>
      <w:r>
        <w:rPr>
          <w:rFonts w:ascii="Calibri" w:hAnsi="Calibri"/>
        </w:rPr>
        <w:t>6.</w:t>
      </w:r>
      <w:r>
        <w:rPr/>
        <w:t xml:space="preserve"> </w:t>
      </w:r>
      <w:r>
        <w:rPr>
          <w:rFonts w:ascii="Calibri" w:hAnsi="Calibri"/>
        </w:rPr>
        <w:t>Průzkum panelu</w:t>
      </w:r>
    </w:p>
    <w:p>
      <w:pPr>
        <w:pStyle w:val="P68B1DB1Normal104"/>
        <w:widowControl w:val="false"/>
        <w:spacing w:lineRule="auto" w:line="240"/>
        <w:ind w:left="0" w:right="0" w:hanging="0"/>
        <w:jc w:val="left"/>
        <w:rPr>
          <w:rFonts w:ascii="Calibri" w:hAnsi="Calibri"/>
          <w:color w:val="000000"/>
          <w:sz w:val="21"/>
        </w:rPr>
      </w:pPr>
      <w:r>
        <w:rPr/>
        <w:t xml:space="preserve">On-line průzkum reprezentativní části nizozemské populace. </w:t>
      </w:r>
    </w:p>
    <w:p>
      <w:pPr>
        <w:pStyle w:val="P68B1DB1Normal119"/>
        <w:widowControl w:val="false"/>
        <w:spacing w:lineRule="auto" w:line="240"/>
        <w:ind w:left="0" w:right="0" w:hanging="0"/>
        <w:jc w:val="left"/>
        <w:rPr/>
      </w:pPr>
      <w:r>
        <w:rPr>
          <w:rFonts w:ascii="Calibri" w:hAnsi="Calibri"/>
        </w:rPr>
        <w:t>7.</w:t>
      </w:r>
      <w:r>
        <w:rPr/>
        <w:t xml:space="preserve"> </w:t>
      </w:r>
      <w:r>
        <w:rPr>
          <w:rFonts w:ascii="Calibri" w:hAnsi="Calibri"/>
        </w:rPr>
        <w:t>On-line tematické dialogy pro prohloubení</w:t>
      </w:r>
    </w:p>
    <w:p>
      <w:pPr>
        <w:pStyle w:val="P68B1DB1Normal104"/>
        <w:widowControl w:val="false"/>
        <w:spacing w:lineRule="auto" w:line="240"/>
        <w:ind w:left="0" w:right="0" w:hanging="0"/>
        <w:jc w:val="left"/>
        <w:rPr/>
      </w:pPr>
      <w:r>
        <w:rPr/>
        <w:t xml:space="preserve">Dialogy, v nichž jsou výsledky první průběžné zprávy nazvané „Naše vize pro Evropu: stanoviska, nápady a doporučení“ (8. října 2021) jsou podrobně projednány se skupinou nizozemštiny. </w:t>
      </w:r>
    </w:p>
    <w:p>
      <w:pPr>
        <w:pStyle w:val="P68B1DB1Normal119"/>
        <w:widowControl w:val="false"/>
        <w:spacing w:lineRule="auto" w:line="240"/>
        <w:ind w:left="0" w:right="0" w:hanging="0"/>
        <w:jc w:val="left"/>
        <w:rPr/>
      </w:pPr>
      <w:r>
        <w:rPr>
          <w:rFonts w:ascii="Calibri" w:hAnsi="Calibri"/>
        </w:rPr>
        <w:t>8.</w:t>
      </w:r>
      <w:r>
        <w:rPr/>
        <w:t xml:space="preserve"> </w:t>
      </w:r>
      <w:r>
        <w:rPr>
          <w:rFonts w:ascii="Calibri" w:hAnsi="Calibri"/>
        </w:rPr>
        <w:t>Dialogy s konkrétními skupinami</w:t>
      </w:r>
    </w:p>
    <w:p>
      <w:pPr>
        <w:pStyle w:val="P68B1DB1Normal104"/>
        <w:widowControl w:val="false"/>
        <w:spacing w:lineRule="auto" w:line="240"/>
        <w:ind w:left="0" w:right="0" w:hanging="0"/>
        <w:jc w:val="left"/>
        <w:rPr>
          <w:rFonts w:ascii="Calibri" w:hAnsi="Calibri"/>
          <w:color w:val="000000"/>
          <w:sz w:val="21"/>
        </w:rPr>
      </w:pPr>
      <w:r>
        <w:rPr/>
        <w:t xml:space="preserve">Setkání s Nizozemci, kteří nejsou zvyklí účastnit se průzkumů nebo panelů (online). </w:t>
      </w:r>
    </w:p>
    <w:p>
      <w:pPr>
        <w:pStyle w:val="P68B1DB1Normal119"/>
        <w:widowControl w:val="false"/>
        <w:spacing w:lineRule="auto" w:line="240"/>
        <w:ind w:left="0" w:right="0" w:hanging="0"/>
        <w:jc w:val="left"/>
        <w:rPr/>
      </w:pPr>
      <w:r>
        <w:rPr>
          <w:rFonts w:ascii="Calibri" w:hAnsi="Calibri"/>
        </w:rPr>
        <w:t>9.</w:t>
      </w:r>
      <w:r>
        <w:rPr/>
        <w:t xml:space="preserve"> </w:t>
      </w:r>
      <w:r>
        <w:rPr>
          <w:rFonts w:ascii="Calibri" w:hAnsi="Calibri"/>
        </w:rPr>
        <w:t>Dialogy s mladými lidmi</w:t>
      </w:r>
    </w:p>
    <w:p>
      <w:pPr>
        <w:pStyle w:val="P68B1DB1Normal104"/>
        <w:widowControl w:val="false"/>
        <w:spacing w:lineRule="auto" w:line="240"/>
        <w:ind w:left="0" w:right="0" w:hanging="0"/>
        <w:jc w:val="left"/>
        <w:rPr>
          <w:rFonts w:ascii="Calibri" w:hAnsi="Calibri"/>
          <w:color w:val="000000"/>
          <w:sz w:val="21"/>
        </w:rPr>
      </w:pPr>
      <w:r>
        <w:rPr/>
        <w:t xml:space="preserve">Setkání, na nichž se diskutují o evropských tématech, která jsou pro tyto mladé lidi nejdůležitější. </w:t>
      </w:r>
    </w:p>
    <w:p>
      <w:pPr>
        <w:pStyle w:val="Normal"/>
        <w:widowControl w:val="false"/>
        <w:spacing w:lineRule="auto" w:line="240"/>
        <w:ind w:left="0" w:right="0" w:hanging="0"/>
        <w:jc w:val="left"/>
        <w:rPr/>
      </w:pPr>
      <w:r>
        <w:rPr>
          <w:rFonts w:ascii="Calibri" w:hAnsi="Calibri"/>
          <w:b/>
          <w:color w:val="000000"/>
          <w:sz w:val="21"/>
        </w:rPr>
        <w:t>10.</w:t>
      </w:r>
      <w:r>
        <w:rPr>
          <w:b/>
          <w:color w:val="000000"/>
          <w:sz w:val="21"/>
        </w:rPr>
        <w:t xml:space="preserve"> </w:t>
      </w:r>
      <w:r>
        <w:rPr>
          <w:rFonts w:ascii="Calibri" w:hAnsi="Calibri"/>
          <w:b/>
          <w:color w:val="000000"/>
          <w:sz w:val="21"/>
        </w:rPr>
        <w:t>On-line veřejný průzkum: Dotazník a „Swipen naar de toekomst“ (</w:t>
      </w:r>
      <w:commentRangeStart w:id="29"/>
      <w:r>
        <w:rPr>
          <w:rFonts w:ascii="Calibri" w:hAnsi="Calibri"/>
          <w:b/>
          <w:color w:val="000000"/>
          <w:sz w:val="21"/>
        </w:rPr>
        <w:t>Swiper</w:t>
      </w:r>
      <w:r>
        <w:rPr>
          <w:rFonts w:ascii="Calibri" w:hAnsi="Calibri"/>
          <w:b/>
          <w:color w:val="000000"/>
          <w:sz w:val="21"/>
        </w:rPr>
      </w:r>
      <w:commentRangeEnd w:id="29"/>
      <w:r>
        <w:commentReference w:id="29"/>
      </w:r>
      <w:r>
        <w:rPr>
          <w:rFonts w:ascii="Calibri" w:hAnsi="Calibri"/>
          <w:b/>
          <w:color w:val="000000"/>
          <w:sz w:val="21"/>
        </w:rPr>
        <w:t xml:space="preserve"> to the Future) </w:t>
      </w:r>
    </w:p>
    <w:p>
      <w:pPr>
        <w:pStyle w:val="P68B1DB1Normal104"/>
        <w:widowControl w:val="false"/>
        <w:spacing w:lineRule="auto" w:line="240"/>
        <w:ind w:left="0" w:right="0" w:hanging="0"/>
        <w:jc w:val="left"/>
        <w:rPr/>
      </w:pPr>
      <w:r>
        <w:rPr/>
        <w:t xml:space="preserve">Dotazník panelového průzkumu by rovněž mohli vyplnit všichni Holanďané, včetně těch, kteří mají bydliště v zahraničí. Tento dotazník byl k dispozici od 1. září 2021 do 14. listopadu 2021. Kromě toho se ve stejném období každý Holanďan mohl zúčastnit akce „Swipen naar de toekomst“ (Swiper to the Future), což je online nástroj, který představuje 20 nároků.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p>
    <w:p>
      <w:pPr>
        <w:pStyle w:val="P68B1DB1Normal125"/>
        <w:widowControl w:val="false"/>
        <w:spacing w:lineRule="auto" w:line="240" w:before="216" w:after="0"/>
        <w:ind w:left="0" w:right="0" w:hanging="0"/>
        <w:jc w:val="left"/>
        <w:rPr>
          <w:rFonts w:ascii="Calibri" w:hAnsi="Calibri"/>
          <w:b/>
          <w:b/>
          <w:color w:val="0070C0"/>
          <w:sz w:val="32"/>
        </w:rPr>
      </w:pPr>
      <w:r>
        <w:rPr/>
        <w:t xml:space="preserve">1. Průzkum panelu </w:t>
      </w:r>
    </w:p>
    <w:p>
      <w:pPr>
        <w:pStyle w:val="P68B1DB1Normal104"/>
        <w:widowControl w:val="false"/>
        <w:spacing w:lineRule="auto" w:line="240" w:before="150" w:after="0"/>
        <w:ind w:left="0" w:right="0" w:hanging="0"/>
        <w:jc w:val="left"/>
        <w:rPr/>
      </w:pPr>
      <w:r>
        <w:rPr/>
        <w:t xml:space="preserve">Nizozemský dialog s občany „Vision of Europe“ byl zahájen 1. září panelovým průzkumem. V tomto popisu metodiky průzkumu stručně vysvětlíme návrh a realizaci tohoto průzkumu panelu. </w:t>
      </w:r>
    </w:p>
    <w:p>
      <w:pPr>
        <w:pStyle w:val="P68B1DB1Normal126"/>
        <w:widowControl w:val="false"/>
        <w:spacing w:lineRule="auto" w:line="240" w:before="43" w:after="0"/>
        <w:ind w:left="0" w:right="0" w:hanging="0"/>
        <w:jc w:val="left"/>
        <w:rPr>
          <w:rFonts w:ascii="Calibri" w:hAnsi="Calibri"/>
          <w:color w:val="0070C0"/>
          <w:sz w:val="24"/>
        </w:rPr>
      </w:pPr>
      <w:r>
        <w:rPr/>
        <w:t xml:space="preserve">Cílová a cílová populace </w:t>
      </w:r>
    </w:p>
    <w:p>
      <w:pPr>
        <w:pStyle w:val="Normal"/>
        <w:widowControl w:val="false"/>
        <w:spacing w:lineRule="auto" w:line="240" w:before="114" w:after="0"/>
        <w:ind w:left="0" w:right="0" w:hanging="0"/>
        <w:jc w:val="left"/>
        <w:rPr/>
      </w:pPr>
      <w:r>
        <w:rPr>
          <w:rFonts w:ascii="Calibri" w:hAnsi="Calibri"/>
          <w:color w:val="000000"/>
          <w:sz w:val="21"/>
        </w:rPr>
        <w:t>Průzkum „Vision of Europe“ byl zahájen online dotazníkem o tom, jak holandští občané vidí budoucnost Evropy. Tento dotazník byl předložen reprezentativní komisi a je rovněž otevřen všem nizozemcům (včetně těch, kteří mají bydliště v zahraničí). Kromě toho se každá osoba mohla zúčastnit akce „Swipen naar de toekomst“</w:t>
      </w:r>
      <w:commentRangeStart w:id="30"/>
      <w:r>
        <w:rPr>
          <w:rFonts w:ascii="Calibri" w:hAnsi="Calibri"/>
          <w:color w:val="000000"/>
          <w:sz w:val="21"/>
        </w:rPr>
        <w:t>(Swiper to</w:t>
      </w:r>
      <w:r>
        <w:rPr>
          <w:rFonts w:ascii="Calibri" w:hAnsi="Calibri"/>
          <w:color w:val="000000"/>
          <w:sz w:val="21"/>
        </w:rPr>
      </w:r>
      <w:commentRangeEnd w:id="30"/>
      <w:r>
        <w:commentReference w:id="30"/>
      </w:r>
      <w:r>
        <w:rPr>
          <w:rFonts w:ascii="Calibri" w:hAnsi="Calibri"/>
          <w:color w:val="000000"/>
          <w:sz w:val="21"/>
        </w:rPr>
        <w:t xml:space="preserve"> the Future), což je online nástroj představující 20 nároků. Výsledky panelového průzkumu byly podkladem pro několik tematických dialogů organizovaných v návaznosti na proces dialogu s občany „Vision of Europe“.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pPr>
      <w:r>
        <w:rPr>
          <w:rFonts w:ascii="Calibri" w:hAnsi="Calibri"/>
          <w:color w:val="000000"/>
          <w:sz w:val="21"/>
        </w:rPr>
        <w:t xml:space="preserve">Cílová populace panelového průzkumu zahrnuje všechny Holanďany ve věku 18 let a starší, kteří byli registrováni jako rezidenti v registru obyvatel v době, kdy práce v terénu začala. Podle nizozemského národního statistického úřadu (Centraal Bureau voor de Statistiek – CBS) měla tato cílová skupina k 1. lednu 2021 14 190 874 osob. Dolní hranice 18 let odpovídá volební většině. Říkáme tomu populace panelového průzkumu. </w:t>
      </w:r>
      <w:r>
        <w:br w:type="page"/>
      </w:r>
    </w:p>
    <w:p>
      <w:pPr>
        <w:pStyle w:val="P68B1DB1Normal126"/>
        <w:widowControl w:val="false"/>
        <w:spacing w:lineRule="auto" w:line="240" w:before="43" w:after="0"/>
        <w:ind w:left="0" w:right="0" w:hanging="0"/>
        <w:jc w:val="left"/>
        <w:rPr>
          <w:rFonts w:ascii="Calibri" w:hAnsi="Calibri"/>
          <w:color w:val="0070C0"/>
          <w:sz w:val="24"/>
        </w:rPr>
      </w:pPr>
      <w:r>
        <w:rPr/>
        <w:t xml:space="preserve">Práce v terénu </w:t>
      </w:r>
    </w:p>
    <w:p>
      <w:pPr>
        <w:pStyle w:val="P68B1DB1Normal104"/>
        <w:widowControl w:val="false"/>
        <w:spacing w:lineRule="auto" w:line="240" w:before="116" w:after="0"/>
        <w:ind w:left="0" w:right="0" w:hanging="0"/>
        <w:jc w:val="left"/>
        <w:rPr/>
      </w:pPr>
      <w:r>
        <w:rPr/>
        <w:t xml:space="preserve">Panel více než 100 000 účastníků z celé země (ISO certifikovaný, Research Keurmerk groep, Nederlandse marktonderzoek Associatie) byl použit k získání digitálního obrazu „středního holandského“. Tito účastníci se zapsali do panelu průzkumů, aby pravidelně poskytovali své názory na širokou škálu témat. Kromě své vlastní motivace přispívat, jsou placeni za zodpovězení dotazníků. Několik vědeckých studií ukazuje, že respondenti, kteří dostávají kompenzaci za vyplnění dotazníku, neposkytují výrazně odlišné odpovědi (zdroj: </w:t>
      </w:r>
      <w:r>
        <w:rPr>
          <w:i/>
        </w:rPr>
        <w:t>Snižuje využívání pobídek k průzkumu kvalitu dat?</w:t>
      </w:r>
      <w:r>
        <w:rPr/>
        <w:t xml:space="preserve">, Cole, J. S., Sarraf, S.A., Wang, X., 2015).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Práce v terénu byla zahájena dne 11. srpna 2021 a skončila dne 19. září 2021. Pro implementaci byla použita pouze jedna metoda sběru dat, tj. internetový průzkum. Členové panelu průzkumu obdrželi e-mail s osobním odkazem na online dotazník. Po dvou týdnech účastníci panelu obdrželi připomenutí. Výzvy k účasti byly zaslány v šaržích a stratifikovaných (zajištěním rovného rozdělení podskupin) až do dosažení požadovaného počtu respondentů. </w:t>
      </w:r>
    </w:p>
    <w:p>
      <w:pPr>
        <w:pStyle w:val="P68B1DB1Normal126"/>
        <w:widowControl w:val="false"/>
        <w:spacing w:lineRule="auto" w:line="240" w:before="42" w:after="0"/>
        <w:ind w:left="0" w:right="0" w:hanging="0"/>
        <w:jc w:val="left"/>
        <w:rPr>
          <w:rFonts w:ascii="Calibri" w:hAnsi="Calibri"/>
          <w:color w:val="0070C0"/>
          <w:sz w:val="24"/>
        </w:rPr>
      </w:pPr>
      <w:r>
        <w:rPr/>
        <w:t xml:space="preserve">Odběr vzorků a distribuce </w:t>
      </w:r>
    </w:p>
    <w:p>
      <w:pPr>
        <w:pStyle w:val="P68B1DB1Normal104"/>
        <w:widowControl w:val="false"/>
        <w:spacing w:lineRule="auto" w:line="240" w:before="114" w:after="0"/>
        <w:ind w:left="0" w:right="0" w:hanging="0"/>
        <w:jc w:val="left"/>
        <w:rPr/>
      </w:pPr>
      <w:r>
        <w:rPr/>
        <w:t xml:space="preserve">Koncepce průzkumu vychází ze zásady, že se průzkumu musí zúčastnit nejméně 3600 respondentů, aby byla zajištěna dobrá statistická spolehlivost. Kromě toho toto číslo umožňuje dobré rozdělení mezi různými obecnými charakteristikami populace. Neexistuje jen jeden typ Holanďana. Proto jsme předem zajistili, že vzorek bude distribuován na řadu charakteristik. Nizozemsko je poměrně malá země, ale názory se mohou lišit podle regionů. Umístění a význam dané tématům může být (zčásti) určován regionem, ve kterém žijete. Například lidé žijící ve venkovských oblastech mohou chápat téma, jako je bezpečnost, jinak než v městských oblastech. Výzkum provedený nizozemským úřadem pro sociální a kulturní plánování rovněž ukazuje, že lidé s vyšší úrovní studia jsou častěji zastánci EU než ti, kteří mají nižší úroveň studia, a že mladí lidé EU podporují více než starší lidé (zdroj: </w:t>
      </w:r>
      <w:r>
        <w:rPr>
          <w:i/>
        </w:rPr>
        <w:t>Wat willen Nederlanders van de Europese Unie?</w:t>
      </w:r>
      <w:r>
        <w:rPr/>
        <w:t xml:space="preserve">, nizozemský úřad pro sociální a kulturní plánování, Haag, 2019).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Proto jsme již dříve proporcionálně přiřadili následující tři charakteristiky, abychom zajistili reprezentativnost vzorku: (1) pobyt v regionech COROP, 2) věk a 3) úroveň vzdělání. Rozdělení vzorku bylo rovněž prezentováno podle těchto obecných charakteristik: pohlaví, původ, hlavní povolání, politická orientace.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Regiony COROP byly rozvíjeny na základě uzlového principu („srdce“ s oblastí přitažlivosti nebo regionální funkcí) na základě toku lidí, kteří dojíždějí. Několik porušení uzlového principu bylo připuštěno tak, aby regiony sledovaly provinční hranice. Po reorganizaci obcí nad rámec limitů COROP byla distribuce upravena (zdroj: Nizozemský národní statistický úřad). V rámci regionů COROP jsme zajistili dobré rozdělení mezi věkové skupiny s následujícím rozdělením: věk 18–34, 35–54, 55–75 a více než 75 let.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pPr>
      <w:r>
        <w:rPr>
          <w:rFonts w:ascii="Calibri" w:hAnsi="Calibri"/>
          <w:color w:val="000000"/>
          <w:sz w:val="21"/>
        </w:rPr>
        <w:t xml:space="preserve">V neposlední řadě jsme zajistili reprezentativní distribuci vzdělávacích úrovní. Ve vzorku odpovídá rozdělení respondentů rozdělením nejvyšší úrovně vzdělání na vnitrostátní úrovni, což je následující: </w:t>
      </w:r>
      <w:r>
        <w:br w:type="page"/>
      </w:r>
    </w:p>
    <w:p>
      <w:pPr>
        <w:pStyle w:val="P68B1DB1Normal120"/>
        <w:spacing w:lineRule="auto" w:line="240"/>
        <w:ind w:left="0" w:right="0" w:hanging="0"/>
        <w:rPr>
          <w:rFonts w:ascii="Calibri" w:hAnsi="Calibri"/>
          <w:b/>
          <w:b/>
          <w:color w:val="000000"/>
          <w:sz w:val="21"/>
        </w:rPr>
      </w:pPr>
      <w:r>
        <w:rPr/>
        <w:t xml:space="preserve">Nejvyšší úroveň vzdělání </w:t>
      </w:r>
    </w:p>
    <w:tbl>
      <w:tblPr>
        <w:tblW w:w="9586"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8222"/>
        <w:gridCol w:w="1363"/>
      </w:tblGrid>
      <w:tr>
        <w:trPr>
          <w:trHeight w:val="103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Nízká hodnota: základní vzdělávání, přípravné odborné vzdělávání, 1. až 3. stupeň všeobecného vyššího sekundárního vzdělávání/předuniverzitní vzdělávání, střední odborné vzdělávání 1</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32,1 %</w:t>
            </w:r>
          </w:p>
        </w:tc>
      </w:tr>
      <w:tr>
        <w:trPr>
          <w:trHeight w:val="103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Meziprodukt: všeobecné vyšší sekundární vzdělávání/předuniverzitní vzdělávání, střední odborné vzdělávání 2 až 4</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44,6 %</w:t>
            </w:r>
          </w:p>
        </w:tc>
      </w:tr>
      <w:tr>
        <w:trPr>
          <w:trHeight w:val="55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Vysoká výška: vyšší odborné vzdělávání nebo vysokoškolské vzdělávání</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22,9 %</w:t>
            </w:r>
          </w:p>
        </w:tc>
      </w:tr>
      <w:tr>
        <w:trPr>
          <w:trHeight w:val="536"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Neznámý</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0,4 %</w:t>
            </w:r>
          </w:p>
        </w:tc>
      </w:tr>
    </w:tbl>
    <w:p>
      <w:pPr>
        <w:pStyle w:val="P68B1DB1Normal126"/>
        <w:spacing w:lineRule="auto" w:line="240"/>
        <w:ind w:left="0" w:right="0" w:hanging="0"/>
        <w:rPr>
          <w:rFonts w:ascii="Calibri" w:hAnsi="Calibri"/>
          <w:color w:val="0070C0"/>
          <w:sz w:val="24"/>
        </w:rPr>
      </w:pPr>
      <w:r>
        <w:rPr/>
        <w:t xml:space="preserve">Míra odezvy </w:t>
      </w:r>
    </w:p>
    <w:p>
      <w:pPr>
        <w:pStyle w:val="P68B1DB1Normal104"/>
        <w:widowControl w:val="false"/>
        <w:spacing w:lineRule="exact" w:line="386" w:before="116" w:after="0"/>
        <w:ind w:left="0" w:right="368" w:hanging="0"/>
        <w:jc w:val="left"/>
        <w:rPr/>
      </w:pPr>
      <w:r>
        <w:rPr/>
        <w:t xml:space="preserve">Průzkumu se zúčastnilo celkem 4 086 lidí. Proto je splněno 3 600 vyplněných dotazníků.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4596"/>
        <w:gridCol w:w="1189"/>
        <w:gridCol w:w="152"/>
        <w:gridCol w:w="1032"/>
        <w:gridCol w:w="831"/>
        <w:gridCol w:w="257"/>
        <w:gridCol w:w="1581"/>
      </w:tblGrid>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Odpovědi regionů a věku COROP</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18–34 let</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35 až 54 let</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 až 75 let</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více než 75 let</w:t>
            </w:r>
          </w:p>
        </w:tc>
      </w:tr>
      <w:tr>
        <w:trPr>
          <w:trHeight w:val="551"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Severní Drenthe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Jihovýchod Drenthe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Jihozápadně od Drenthe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Flevoland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29</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Severní Friesland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Jihovýchod od Frieslandu</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Jihozápadně od Frieslandu</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Achterhoek</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Arnhem/Nijmegen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Veluwe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48</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Jihozápadní Gelderland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Grand Delfzijl</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Východní Groningen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36"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Zbytek Groningenu</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36</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Centrální Limburg</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Severní Limburg</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17</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23</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Jižní Limburg</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38</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Centrum Severního Brabantska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35</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Severovýchodně od severního Brabantska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43</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Západně od severního Brabantska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Jihovýchodně od severního Brabantska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55</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56</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Aglomerace Haarlem</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Alkmaar a jeho okolí</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6</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Velký Amsterdam</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Gooi a Vechtstreek</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IJmond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Tip Severního Holandska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30</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Zaan Region</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Severní Overijssel</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25</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Twente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46</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Jihozápadně od Overijsselu</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Utrecht</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Zbytek Zeelandu</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23</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Zeeland Flandry</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Aglomerace Leidenu a oblast žárovek</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Aglomerace Haagu</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63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57</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Delft a Westland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Grand Rijnmond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31</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Východně od jižního Holandska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Jihovýchod od Jižního Holandska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26</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26</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w:t>
            </w:r>
          </w:p>
        </w:tc>
      </w:tr>
      <w:tr>
        <w:trPr>
          <w:trHeight w:val="356" w:hRule="atLeast"/>
        </w:trPr>
        <w:tc>
          <w:tcPr>
            <w:tcW w:w="5937" w:type="dxa"/>
            <w:gridSpan w:val="3"/>
            <w:tcBorders/>
            <w:shd w:fill="auto" w:val="clear"/>
            <w:vAlign w:val="bottom"/>
          </w:tcPr>
          <w:p>
            <w:pPr>
              <w:pStyle w:val="Contenudetableau"/>
              <w:spacing w:before="57" w:after="57"/>
              <w:jc w:val="left"/>
              <w:rPr>
                <w:b/>
                <w:b/>
                <w:color w:val="000000"/>
              </w:rPr>
            </w:pPr>
            <w:r>
              <w:rPr>
                <w:b/>
                <w:color w:val="000000"/>
              </w:rPr>
              <w:t>Reakce podle úrovně vzdělání</w:t>
            </w:r>
          </w:p>
        </w:tc>
        <w:tc>
          <w:tcPr>
            <w:tcW w:w="1863" w:type="dxa"/>
            <w:gridSpan w:val="2"/>
            <w:tcBorders/>
            <w:shd w:fill="auto" w:val="clear"/>
            <w:vAlign w:val="bottom"/>
          </w:tcPr>
          <w:p>
            <w:pPr>
              <w:pStyle w:val="Contenudetableau"/>
              <w:spacing w:before="57" w:after="57"/>
              <w:rPr>
                <w:color w:val="000000"/>
              </w:rPr>
            </w:pPr>
            <w:r>
              <w:rPr>
                <w:color w:val="000000"/>
              </w:rPr>
            </w:r>
          </w:p>
        </w:tc>
        <w:tc>
          <w:tcPr>
            <w:tcW w:w="1838" w:type="dxa"/>
            <w:gridSpan w:val="2"/>
            <w:tcBorders/>
            <w:shd w:fill="auto" w:val="clear"/>
            <w:vAlign w:val="bottom"/>
          </w:tcPr>
          <w:p>
            <w:pPr>
              <w:pStyle w:val="Contenudetableau"/>
              <w:spacing w:before="57" w:after="57"/>
              <w:rPr>
                <w:color w:val="000000"/>
              </w:rPr>
            </w:pPr>
            <w:r>
              <w:rPr>
                <w:color w:val="000000"/>
              </w:rPr>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Nízká</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1382</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34 %</w:t>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Zprostředkovatel</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1747</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43 %</w:t>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Vysočina</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915</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22 %</w:t>
            </w:r>
          </w:p>
        </w:tc>
      </w:tr>
      <w:tr>
        <w:trPr>
          <w:trHeight w:val="536"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Neznámý</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42</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126"/>
        <w:spacing w:lineRule="auto" w:line="240"/>
        <w:ind w:left="0" w:right="0" w:hanging="0"/>
        <w:rPr>
          <w:rFonts w:ascii="Calibri" w:hAnsi="Calibri"/>
          <w:color w:val="0070C0"/>
          <w:sz w:val="24"/>
        </w:rPr>
      </w:pPr>
      <w:r>
        <w:rPr/>
        <w:t xml:space="preserve">Spolehlivost a reprezentativnost </w:t>
      </w:r>
    </w:p>
    <w:p>
      <w:pPr>
        <w:pStyle w:val="P68B1DB1Normal104"/>
        <w:widowControl w:val="false"/>
        <w:spacing w:lineRule="auto" w:line="240" w:before="119" w:after="0"/>
        <w:ind w:left="0" w:right="0" w:hanging="0"/>
        <w:jc w:val="left"/>
        <w:rPr/>
      </w:pPr>
      <w:r>
        <w:rPr/>
        <w:t xml:space="preserve">Počet respondentů ve výši 4 086 umožňuje zaznamenat soubor jako celek s 95 % mírou spolehlivosti a chybovým rozpětím 1,53 %. Úroveň spolehlivosti a chybovost výsledků se určuje podle velikosti vzorku. Čím větší vzorek, tím spolehlivější a přesnější výsledky mohou být extrapolovány na celou populaci. </w:t>
      </w:r>
    </w:p>
    <w:p>
      <w:pPr>
        <w:pStyle w:val="P68B1DB1Normal104"/>
        <w:widowControl w:val="false"/>
        <w:spacing w:lineRule="auto" w:line="240" w:before="94"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Úroveň spolehlivosti je definována jako 1 (100 %) minus úroveň významu. Je běžné, že se opírá o 5 % významovou úroveň. Hovoříme o 95 % míře důvěry. Jinými slovy, pokud by se průzkum opakoval stejným způsobem a za stejných podmínek, výsledky by byly stejné v 95 % případů. </w:t>
      </w:r>
    </w:p>
    <w:p>
      <w:pPr>
        <w:pStyle w:val="P68B1DB1Normal104"/>
        <w:widowControl w:val="false"/>
        <w:spacing w:lineRule="auto" w:line="240"/>
        <w:ind w:left="0" w:right="0" w:hanging="0"/>
        <w:jc w:val="left"/>
        <w:rPr/>
      </w:pPr>
      <w:r>
        <w:rPr/>
        <w:t xml:space="preserve">Přesnost (vyjádřená okrajem chyby) označuje rozsah hodnot, v nichž se nachází skutečná hodnota v souboru. Jinými slovy: jaký by byl maximální rozdíl mezi výsledky vzorku a výsledky, které by byly získány od souboru jako celku? Chybová odchylka ve výši 1,53 % znamená, že skutečná hodnota v rámci celkového souboru může být o 1,53 % vyšší nebo nižší než hodnota vzorku. Pokud například z průzkumu provedeného na vzorku lidí vyplývá, že 50 % respondentů považuje určité téma za důležité, skutečné procento je o 1,53 % vyšší nebo nižší než 50 %, tj. mezi 48,47 a 51,53 %. Maximální míra chyb ve výši 5 % je běžná a obecně přijímaná v kvantitativních studiích (statistika).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Kromě spolehlivosti je důležitá reprezentativnost vzorku. Vzhledem k tomu, že výzvy k účasti byly zaslány v šaržích a stratifikovaných, jsou výsledky reprezentativní z hlediska charakteristik regionu COROP a věkových skupin regionu COROP. Odpovědi jsou rovněž reprezentativní z hlediska úrovně vzdělání ve srovnání s nejvyšší úrovní vzdělání dosažené na vnitrostátní úrovni.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p>
    <w:p>
      <w:pPr>
        <w:pStyle w:val="P68B1DB1Normal126"/>
        <w:widowControl w:val="false"/>
        <w:spacing w:lineRule="auto" w:line="240"/>
        <w:ind w:left="0" w:right="0" w:hanging="0"/>
        <w:jc w:val="left"/>
        <w:rPr>
          <w:rFonts w:ascii="Calibri" w:hAnsi="Calibri"/>
          <w:color w:val="0070C0"/>
          <w:sz w:val="24"/>
        </w:rPr>
      </w:pPr>
      <w:r>
        <w:rPr/>
        <w:t xml:space="preserve">Další obecné charakteristiky </w:t>
      </w:r>
    </w:p>
    <w:p>
      <w:pPr>
        <w:pStyle w:val="P68B1DB1Normal104"/>
        <w:widowControl w:val="false"/>
        <w:spacing w:lineRule="auto" w:line="240"/>
        <w:ind w:left="0" w:right="0" w:hanging="0"/>
        <w:jc w:val="left"/>
        <w:rPr/>
      </w:pPr>
      <w:r>
        <w:rPr/>
        <w:t xml:space="preserve">Účastníkům průzkumu byla položena řada dalších kontextových otázek. Patří mezi ně pohlaví, postavení v EU, původ, hlavní povolání a politická strana, pro kterou by daná osoba v případě voleb hlasovala.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49 % respondentů jsou muži, 50 % ženy a 1 % raději neodpoví na tuto otázku.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51 % respondentů se domnívá, že je dobré, aby Nizozemsko bylo členem EU, 13 % si myslí, že je to špatná věc a 36 % je neutrálních nebo nemá žádný názor.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95 % respondentů se narodilo v Nizozemsku. 89 % respondentů uvedlo, že oba rodiče se narodili v Nizozemsku. Pět procent se narodilo dvěma rodičům, kteří se narodili v zahraničí.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r>
        <w:br w:type="page"/>
      </w:r>
    </w:p>
    <w:p>
      <w:pPr>
        <w:pStyle w:val="P68B1DB1Normal126"/>
        <w:spacing w:lineRule="auto" w:line="240"/>
        <w:ind w:left="0" w:right="0" w:hanging="0"/>
        <w:rPr>
          <w:rFonts w:ascii="Calibri" w:hAnsi="Calibri"/>
          <w:color w:val="0070C0"/>
          <w:sz w:val="24"/>
        </w:rPr>
      </w:pPr>
      <w:r>
        <w:rPr/>
        <w:t xml:space="preserve">Současná politická orientace respondentů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49"/>
        <w:gridCol w:w="3488"/>
      </w:tblGrid>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Večírky</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 %</w:t>
            </w:r>
          </w:p>
        </w:tc>
      </w:tr>
      <w:tr>
        <w:trPr>
          <w:trHeight w:val="551" w:hRule="atLeast"/>
        </w:trPr>
        <w:tc>
          <w:tcPr>
            <w:tcW w:w="61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VVD (Lidová strana za svobodu a demokracii)</w:t>
            </w:r>
          </w:p>
        </w:tc>
        <w:tc>
          <w:tcPr>
            <w:tcW w:w="3488"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PVV (strana za svobodu)</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SP (Socialistická strana)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D66 (Demokraté 66)</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CDA (Křesťanská demokratická výzva)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PvdA (Pracovní strana)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Partij voor de Dieren (Zvířecí strana)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GroenLinks (zelená levice)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ChristenUnie (Křesťanský svaz)</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JA21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BoerBurgerBeweging (Farmer-občanské hnutí)</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Forum voor Democratie (Fórum pro demokracii)</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GSP (reformovaná politická strana)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Volt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DENK</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Groep Van Haga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BIJ1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Fractie Den Haan</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Ostatní</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Bílé hlasování</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Raději neodpovím</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36"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Já nevolím</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bl>
    <w:p>
      <w:pPr>
        <w:pStyle w:val="Normal"/>
        <w:spacing w:lineRule="auto" w:line="240"/>
        <w:ind w:left="0" w:right="0" w:hanging="0"/>
        <w:rPr/>
      </w:pPr>
      <w:r>
        <w:rPr/>
      </w:r>
      <w:r>
        <w:br w:type="page"/>
      </w:r>
    </w:p>
    <w:p>
      <w:pPr>
        <w:pStyle w:val="P68B1DB1Normal126"/>
        <w:spacing w:lineRule="auto" w:line="240"/>
        <w:ind w:left="0" w:right="0" w:hanging="0"/>
        <w:rPr>
          <w:rFonts w:ascii="Calibri" w:hAnsi="Calibri"/>
          <w:color w:val="0070C0"/>
          <w:sz w:val="24"/>
        </w:rPr>
      </w:pPr>
      <w:r>
        <w:rPr/>
        <w:t xml:space="preserve">Jaké je v současné době vaše hlavní zaměstnání?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23"/>
        <w:gridCol w:w="3514"/>
      </w:tblGrid>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Okupace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 %</w:t>
            </w:r>
          </w:p>
        </w:tc>
      </w:tr>
      <w:tr>
        <w:trPr>
          <w:trHeight w:val="551" w:hRule="atLeast"/>
        </w:trPr>
        <w:tc>
          <w:tcPr>
            <w:tcW w:w="612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Student/student</w:t>
            </w:r>
          </w:p>
        </w:tc>
        <w:tc>
          <w:tcPr>
            <w:tcW w:w="351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Zaměstnanec na částečný úvazek</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Zaměstnanec na plný úvazek</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Nezávislý dodavatel</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Osoba doma</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Uchazeč o zaměstnání</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Dobrovolníci</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Pracovní neschopnost</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Důchodce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Ostatní</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3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Raději neodpovím</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126"/>
        <w:spacing w:lineRule="auto" w:line="240"/>
        <w:ind w:left="0" w:right="0" w:hanging="0"/>
        <w:rPr>
          <w:rFonts w:ascii="Calibri" w:hAnsi="Calibri"/>
          <w:color w:val="0070C0"/>
          <w:sz w:val="24"/>
        </w:rPr>
      </w:pPr>
      <w:r>
        <w:rPr/>
        <w:t xml:space="preserve">Dotazník </w:t>
      </w:r>
    </w:p>
    <w:p>
      <w:pPr>
        <w:pStyle w:val="P68B1DB1Normal104"/>
        <w:widowControl w:val="false"/>
        <w:spacing w:lineRule="exact" w:line="339" w:before="1" w:after="0"/>
        <w:ind w:left="0" w:right="0" w:hanging="0"/>
        <w:jc w:val="left"/>
        <w:rPr/>
      </w:pPr>
      <w:r>
        <w:rPr/>
        <w:t xml:space="preserve">Dotazník a tuto zprávu připravila nezávislá externí organizace na žádost Ministerstva zahraničních věcí. Dotazník obsahuje modulární strukturu a obsahuje následující bloky otázek v souladu s tématy konference o budoucnosti Evropy: </w:t>
      </w:r>
    </w:p>
    <w:p>
      <w:pPr>
        <w:pStyle w:val="P68B1DB1Normal105"/>
        <w:widowControl w:val="false"/>
        <w:spacing w:lineRule="exact" w:line="349" w:before="0" w:after="0"/>
        <w:ind w:left="0" w:right="0" w:hanging="0"/>
        <w:jc w:val="left"/>
        <w:rPr/>
      </w:pPr>
      <w:r>
        <w:rPr>
          <w:rFonts w:ascii="Verdana" w:hAnsi="Verdana"/>
        </w:rPr>
        <w:t>•</w:t>
      </w:r>
      <w:r>
        <w:rPr/>
        <w:t xml:space="preserve"> </w:t>
      </w:r>
      <w:r>
        <w:rPr>
          <w:rFonts w:ascii="Calibri" w:hAnsi="Calibri"/>
        </w:rPr>
        <w:t xml:space="preserve">Důležitá témata a úloha Evropy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Změna klimatu a životní prostředí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Zdraví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Ekonomika a zaměstnanost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Úloha Evropské unie ve světě </w:t>
      </w:r>
    </w:p>
    <w:p>
      <w:pPr>
        <w:pStyle w:val="P68B1DB1Normal105"/>
        <w:widowControl w:val="false"/>
        <w:spacing w:lineRule="exact" w:line="349"/>
        <w:ind w:left="0" w:right="0" w:hanging="0"/>
        <w:jc w:val="left"/>
        <w:rPr/>
      </w:pPr>
      <w:r>
        <w:rPr>
          <w:rFonts w:ascii="Verdana" w:hAnsi="Verdana"/>
        </w:rPr>
        <w:t>•</w:t>
      </w:r>
      <w:r>
        <w:rPr/>
        <w:t xml:space="preserve"> </w:t>
      </w:r>
      <w:r>
        <w:rPr/>
        <w:t xml:space="preserve">Bezpečnost a právní stát </w:t>
      </w:r>
      <w:r>
        <w:rPr>
          <w:rFonts w:ascii="Calibri" w:hAnsi="Calibri"/>
        </w:rPr>
        <w:t xml:space="preserve">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Virtuální svět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Evropská demokracie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Migrace a uprchlíci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Vzdělávání/kultura/mládež/sport </w:t>
      </w:r>
    </w:p>
    <w:p>
      <w:pPr>
        <w:pStyle w:val="Normal"/>
        <w:widowControl w:val="false"/>
        <w:spacing w:lineRule="exact" w:line="349"/>
        <w:ind w:left="0" w:right="0" w:hanging="0"/>
        <w:jc w:val="left"/>
        <w:rPr>
          <w:rFonts w:ascii="Calibri" w:hAnsi="Calibri"/>
          <w:color w:val="000000"/>
          <w:sz w:val="21"/>
        </w:rPr>
      </w:pPr>
      <w:r>
        <w:rPr>
          <w:rFonts w:ascii="Calibri" w:hAnsi="Calibri"/>
          <w:color w:val="000000"/>
          <w:sz w:val="21"/>
        </w:rPr>
      </w:r>
    </w:p>
    <w:p>
      <w:pPr>
        <w:pStyle w:val="P68B1DB1Normal104"/>
        <w:widowControl w:val="false"/>
        <w:spacing w:lineRule="auto" w:line="240" w:before="104" w:after="0"/>
        <w:ind w:left="0" w:right="0" w:hanging="0"/>
        <w:jc w:val="left"/>
        <w:rPr/>
      </w:pPr>
      <w:r>
        <w:rPr/>
        <w:t xml:space="preserve">Při přípravě dotazníku byla věnována velká pozornost kvalitě, spolehlivosti a platnosti otázek. Z tohoto důvodu se hledala neutrální, nevedená formulace otázek, tvrzení a možností odpovědi a bylo ověřeno, že otázky byly formulovány srozumitelným jazykem (úroveň B1).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3" w:after="0"/>
        <w:ind w:left="0" w:right="0" w:hanging="0"/>
        <w:jc w:val="left"/>
        <w:rPr/>
      </w:pPr>
      <w:r>
        <w:rPr/>
        <w:t xml:space="preserve">Dotazník byl podroben testům kvality prostřednictvím osobních rozhovorů s účastníky testů patřícími do cílové skupiny. To nám umožnilo zjistit, jak jsou otázky chápány různými typy respondentů. Pokud se zdálo, že otázka představuje příliš velkou (příliš komplexní) kognitivní zátěž, bylo to vhodné. </w:t>
      </w:r>
    </w:p>
    <w:p>
      <w:pPr>
        <w:pStyle w:val="P68B1DB1Normal126"/>
        <w:widowControl w:val="false"/>
        <w:spacing w:lineRule="auto" w:line="240" w:before="333" w:after="0"/>
        <w:ind w:left="0" w:right="0" w:hanging="0"/>
        <w:jc w:val="left"/>
        <w:rPr>
          <w:rFonts w:ascii="Calibri" w:hAnsi="Calibri"/>
          <w:color w:val="0070C0"/>
          <w:sz w:val="24"/>
        </w:rPr>
      </w:pPr>
      <w:r>
        <w:rPr/>
        <w:t xml:space="preserve">Metody analýzy </w:t>
      </w:r>
    </w:p>
    <w:p>
      <w:pPr>
        <w:pStyle w:val="P68B1DB1Normal104"/>
        <w:widowControl w:val="false"/>
        <w:spacing w:lineRule="auto" w:line="240" w:before="80" w:after="0"/>
        <w:ind w:left="0" w:right="0" w:hanging="0"/>
        <w:jc w:val="left"/>
        <w:rPr>
          <w:rFonts w:ascii="Calibri" w:hAnsi="Calibri"/>
          <w:color w:val="000000"/>
          <w:sz w:val="21"/>
        </w:rPr>
      </w:pPr>
      <w:r>
        <w:rPr/>
        <w:t xml:space="preserve">V tomto průzkumu byly použity dvě metody analýzy: </w:t>
      </w:r>
    </w:p>
    <w:p>
      <w:pPr>
        <w:pStyle w:val="P68B1DB1Normal111"/>
        <w:widowControl w:val="false"/>
        <w:spacing w:lineRule="auto" w:line="240" w:before="48" w:after="0"/>
        <w:ind w:left="0" w:right="0" w:hanging="0"/>
        <w:jc w:val="left"/>
        <w:rPr>
          <w:rFonts w:ascii="Calibri" w:hAnsi="Calibri"/>
          <w:b/>
          <w:b/>
          <w:color w:val="000000"/>
          <w:sz w:val="22"/>
        </w:rPr>
      </w:pPr>
      <w:r>
        <w:rPr/>
        <w:t xml:space="preserve">Univariátní analýzy </w:t>
      </w:r>
    </w:p>
    <w:p>
      <w:pPr>
        <w:pStyle w:val="P68B1DB1Normal104"/>
        <w:widowControl w:val="false"/>
        <w:spacing w:lineRule="auto" w:line="240" w:before="6" w:after="0"/>
        <w:ind w:left="0" w:right="0" w:hanging="0"/>
        <w:jc w:val="left"/>
        <w:rPr>
          <w:rFonts w:ascii="Calibri" w:hAnsi="Calibri"/>
          <w:color w:val="000000"/>
          <w:sz w:val="21"/>
        </w:rPr>
      </w:pPr>
      <w:r>
        <w:rPr/>
        <w:t xml:space="preserve">K popisu proměnných zjišťování se používají deskriptivní statistiky. V tomto průzkumu se používají frekvence a průměry. </w:t>
      </w:r>
    </w:p>
    <w:p>
      <w:pPr>
        <w:pStyle w:val="P68B1DB1Normal111"/>
        <w:widowControl w:val="false"/>
        <w:spacing w:lineRule="auto" w:line="240" w:before="48" w:after="0"/>
        <w:ind w:left="0" w:right="0" w:hanging="0"/>
        <w:jc w:val="left"/>
        <w:rPr>
          <w:rFonts w:ascii="Calibri" w:hAnsi="Calibri"/>
          <w:b/>
          <w:b/>
          <w:color w:val="000000"/>
          <w:sz w:val="22"/>
        </w:rPr>
      </w:pPr>
      <w:r>
        <w:rPr/>
        <w:t xml:space="preserve">Bivariátní analýzy </w:t>
      </w:r>
    </w:p>
    <w:p>
      <w:pPr>
        <w:pStyle w:val="P68B1DB1Normal104"/>
        <w:widowControl w:val="false"/>
        <w:spacing w:lineRule="auto" w:line="240" w:before="6" w:after="0"/>
        <w:ind w:left="0" w:right="0" w:hanging="0"/>
        <w:jc w:val="left"/>
        <w:rPr/>
      </w:pPr>
      <w:r>
        <w:rPr/>
        <w:t xml:space="preserve">Bivariační analýzy umožňují zkoumat vztah mezi dvěma proměnnými, v tomto případě vztahem mezi významem různých témat a otázkou, zda má Unie v této oblasti zasáhnout, a obecnou charakteristikou věku. Byl proveden přezkum s cílem určit, zda různé věkové skupiny přikládají určitému tématu různý význam a zda existují rozdílné názory na to, do jaké míry se jedná o otázky, do nichž by se měla EU zapojit. </w:t>
      </w:r>
    </w:p>
    <w:p>
      <w:pPr>
        <w:pStyle w:val="Normal"/>
        <w:widowControl w:val="false"/>
        <w:spacing w:lineRule="auto" w:line="240" w:before="6" w:after="0"/>
        <w:ind w:left="0" w:right="0" w:hanging="0"/>
        <w:jc w:val="left"/>
        <w:rPr>
          <w:rFonts w:ascii="Calibri" w:hAnsi="Calibri"/>
          <w:color w:val="000000"/>
          <w:sz w:val="21"/>
        </w:rPr>
      </w:pPr>
      <w:r>
        <w:rPr>
          <w:rFonts w:ascii="Calibri" w:hAnsi="Calibri"/>
          <w:color w:val="000000"/>
          <w:sz w:val="21"/>
        </w:rPr>
      </w:r>
    </w:p>
    <w:p>
      <w:pPr>
        <w:pStyle w:val="P68B1DB1Normal126"/>
        <w:widowControl w:val="false"/>
        <w:spacing w:lineRule="auto" w:line="240" w:before="52" w:after="0"/>
        <w:ind w:left="0" w:right="0" w:hanging="0"/>
        <w:jc w:val="left"/>
        <w:rPr>
          <w:rFonts w:ascii="Calibri" w:hAnsi="Calibri"/>
          <w:color w:val="0070C0"/>
          <w:sz w:val="24"/>
        </w:rPr>
      </w:pPr>
      <w:r>
        <w:rPr/>
        <w:t xml:space="preserve">Zveřejňování informací a úplnosti </w:t>
      </w:r>
    </w:p>
    <w:p>
      <w:pPr>
        <w:pStyle w:val="P68B1DB1Normal76"/>
        <w:widowControl w:val="false"/>
        <w:spacing w:lineRule="auto" w:line="240" w:before="116" w:after="0"/>
        <w:ind w:left="0" w:right="0" w:hanging="0"/>
        <w:jc w:val="left"/>
        <w:rPr/>
      </w:pPr>
      <w:r>
        <w:rPr>
          <w:rFonts w:ascii="Calibri" w:hAnsi="Calibri"/>
          <w:sz w:val="21"/>
        </w:rPr>
        <w:t>Tato zpráva obsahuje výsledky všech otázek položených respondentům z panelu průzkumů. U některých otázek měla respondent příležitost poskytnout „otevřené“ (tj. ne předem určené) odpovědi. Otevřené odpovědi byly následně roztříděny a zahrnuty do publikace. Myšlenky, které respondenti sdílejí v bezplatných komentářích, slouží jako podklad pro různé tematické dialogy organizované v návaznosti na proces dialogu s občany „Vision of Europe“.</w:t>
      </w:r>
      <w:r>
        <w:rPr>
          <w:rFonts w:ascii="Times New Roman" w:hAnsi="Times New Roman"/>
          <w:sz w:val="24"/>
        </w:rPr>
        <w:t xml:space="preserve"> </w:t>
      </w:r>
    </w:p>
    <w:p>
      <w:pPr>
        <w:pStyle w:val="P68B1DB1Normal125"/>
        <w:widowControl w:val="false"/>
        <w:spacing w:lineRule="auto" w:line="240" w:before="233" w:after="0"/>
        <w:ind w:left="0" w:right="0" w:hanging="0"/>
        <w:jc w:val="left"/>
        <w:rPr>
          <w:rFonts w:ascii="Calibri" w:hAnsi="Calibri"/>
          <w:b/>
          <w:b/>
          <w:color w:val="0070C0"/>
          <w:sz w:val="32"/>
        </w:rPr>
      </w:pPr>
      <w:r>
        <w:rPr/>
        <w:t xml:space="preserve">2. On-line tematické dialogy pro prohloubení </w:t>
      </w:r>
    </w:p>
    <w:p>
      <w:pPr>
        <w:pStyle w:val="P68B1DB1Normal104"/>
        <w:widowControl w:val="false"/>
        <w:spacing w:lineRule="auto" w:line="240"/>
        <w:ind w:left="0" w:right="0" w:hanging="0"/>
        <w:jc w:val="left"/>
        <w:rPr/>
      </w:pPr>
      <w:r>
        <w:rPr/>
        <w:t xml:space="preserve">Témata, která jsou jádrem konference o budoucnosti Evropy, byla prohloubena prostřednictvím osmi tematických dialogů on-line. Účelem těchto dialogů bylo odhalit </w:t>
      </w:r>
      <w:r>
        <w:rPr>
          <w:i/>
        </w:rPr>
        <w:t>důvody</w:t>
      </w:r>
      <w:r>
        <w:rPr/>
        <w:t xml:space="preserve"> vyjádřených názorů, jakož i motivy a pocity, které za nimi stojí. Jaké jsou vnímané obavy a příležitosti? Diskuse účastníkům rovněž umožnila formulovat návrhy a nápady na tato témata, jakož i nastolit otázky, které nejsou součástí konference, ale zůstávají pro ně důležité.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3" w:after="0"/>
        <w:ind w:left="0" w:right="0" w:hanging="0"/>
        <w:jc w:val="left"/>
        <w:rPr/>
      </w:pPr>
      <w:r>
        <w:rPr/>
        <w:t xml:space="preserve">Tematické dialogy se konaly ve dnech 12.–14. října a 9.–11. listopadu. V říjnu byly uspořádány čtyři on-line tematické dialogy o tématech „Ekonomika“ a „demokracie“. </w:t>
      </w:r>
    </w:p>
    <w:p>
      <w:pPr>
        <w:pStyle w:val="Normal"/>
        <w:widowControl w:val="false"/>
        <w:spacing w:lineRule="auto" w:line="240" w:before="10" w:after="0"/>
        <w:ind w:left="0" w:right="0" w:hanging="0"/>
        <w:jc w:val="left"/>
        <w:rPr/>
      </w:pPr>
      <w:r>
        <w:rPr>
          <w:rFonts w:ascii="Calibri" w:hAnsi="Calibri"/>
          <w:color w:val="000000"/>
          <w:sz w:val="21"/>
        </w:rPr>
        <w:t xml:space="preserve">V listopadu se uskutečnily čtyři on-line tematické dialogy o tématech „Klima“ a „EU ve světě“. Na každém diskusním zasedání se zúčastnilo v průměru 29 lidí (231 celkem). Účastníci byli přijati z řad členů panelu (viz bod 1) a prostřednictvím sociálních médií. </w:t>
      </w:r>
      <w:r>
        <w:br w:type="page"/>
      </w:r>
    </w:p>
    <w:p>
      <w:pPr>
        <w:pStyle w:val="P68B1DB1Normal125"/>
        <w:spacing w:lineRule="auto" w:line="240"/>
        <w:ind w:left="0" w:right="0" w:hanging="0"/>
        <w:rPr>
          <w:rFonts w:ascii="Calibri" w:hAnsi="Calibri"/>
          <w:b/>
          <w:b/>
          <w:color w:val="0070C0"/>
          <w:sz w:val="32"/>
        </w:rPr>
      </w:pPr>
      <w:r>
        <w:rPr/>
        <w:t xml:space="preserve">3. Dialogy s konkrétními skupinami </w:t>
      </w:r>
    </w:p>
    <w:p>
      <w:pPr>
        <w:pStyle w:val="P68B1DB1Normal104"/>
        <w:widowControl w:val="false"/>
        <w:spacing w:lineRule="auto" w:line="240" w:before="73" w:after="0"/>
        <w:ind w:left="0" w:right="0" w:hanging="0"/>
        <w:jc w:val="left"/>
        <w:rPr/>
      </w:pPr>
      <w:r>
        <w:rPr/>
        <w:t xml:space="preserve">Je známo, že některé nizozemské skupiny jsou méně zvyklé na účast v průzkumech a panelech (online). Aby bylo možné získat reprezentativní obraz „hlasu Nizozemska“, bylo důležité, aby tito občané byli také schopni vyjádřit své myšlenky a názory. Proto jsme také uspořádali řadu dialogů na místě pro průzkum „Vision of Europe“. Názory a myšlenky, které jsme byli schopni shromáždit, byly použity jako základ (mimo jiné) pro formulaci doporučení. </w:t>
      </w:r>
    </w:p>
    <w:p>
      <w:pPr>
        <w:pStyle w:val="P68B1DB1Normal126"/>
        <w:widowControl w:val="false"/>
        <w:spacing w:lineRule="auto" w:line="240" w:before="94" w:after="0"/>
        <w:ind w:left="0" w:right="0" w:hanging="0"/>
        <w:jc w:val="left"/>
        <w:rPr>
          <w:rFonts w:ascii="Calibri" w:hAnsi="Calibri"/>
          <w:color w:val="0070C0"/>
          <w:sz w:val="24"/>
        </w:rPr>
      </w:pPr>
      <w:r>
        <w:rPr/>
        <w:t xml:space="preserve">Cílové skupiny </w:t>
      </w:r>
    </w:p>
    <w:p>
      <w:pPr>
        <w:pStyle w:val="P68B1DB1Normal110"/>
        <w:widowControl w:val="false"/>
        <w:spacing w:lineRule="auto" w:line="240" w:before="88" w:after="0"/>
        <w:ind w:left="0" w:right="0" w:hanging="0"/>
        <w:jc w:val="left"/>
        <w:rPr/>
      </w:pPr>
      <w:r>
        <w:rPr>
          <w:sz w:val="21"/>
        </w:rPr>
        <w:t xml:space="preserve">Obtížně dosažitelné cílové skupiny nelze jednoznačně definovat. Studie a zkušenosti nám umožňují vědět, že holandští lidé </w:t>
      </w:r>
      <w:r>
        <w:rPr>
          <w:b/>
          <w:sz w:val="21"/>
        </w:rPr>
        <w:t>s nezápadním původem</w:t>
      </w:r>
      <w:r>
        <w:rPr>
          <w:sz w:val="21"/>
        </w:rPr>
        <w:t>se významně méně podílejí na vyšetřování a diskusích. Vzhledem k tomu, že se jedná o velkou skupinu (14 % nizozemských</w:t>
      </w:r>
      <w:r>
        <w:rPr>
          <w:b/>
          <w:position w:val="6"/>
          <w:sz w:val="14"/>
        </w:rPr>
        <w:t>1</w:t>
      </w:r>
      <w:r>
        <w:rPr>
          <w:sz w:val="21"/>
        </w:rPr>
        <w:t xml:space="preserve">), byli vybráni k účasti na dialogu Vize Evropy. Stejná úvaha byla uplatněna u </w:t>
      </w:r>
      <w:r>
        <w:rPr>
          <w:b/>
          <w:sz w:val="21"/>
        </w:rPr>
        <w:t>osob s malým vzděláním</w:t>
      </w:r>
      <w:r>
        <w:rPr>
          <w:sz w:val="21"/>
        </w:rPr>
        <w:t>. Jedná se také o velkou skupinu (2,5 milionu Holanďanů</w:t>
      </w:r>
      <w:r>
        <w:rPr>
          <w:position w:val="6"/>
          <w:sz w:val="14"/>
        </w:rPr>
        <w:t>2</w:t>
      </w:r>
      <w:r>
        <w:rPr>
          <w:sz w:val="21"/>
        </w:rPr>
        <w:t xml:space="preserve">), která se částečně překrývá se skupinou migrantů (39 %). V neposlední řadě byl veden dialog se skupinou lidí, kteří jsou zřídka nalezeni v průzkumech a diskusích, </w:t>
      </w:r>
      <w:r>
        <w:rPr>
          <w:b/>
          <w:sz w:val="21"/>
        </w:rPr>
        <w:t>kteří jsou k Evropě kritičtí, ale pro něž Evropa hraje důležitou roli v profesní sféře.</w:t>
      </w:r>
      <w:r>
        <w:rPr>
          <w:sz w:val="21"/>
        </w:rPr>
        <w:t xml:space="preserve"> Byli vybráni podnikatelé ze zemědělského sektoru.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Výše uvedené skupiny byly osloveny prostřednictvím organizací, jejichž členy jsou, jako jsou organizace migrantů, sdružení obhajoby a profesní organizace. Vzhledem k tomu, že jsme omezili počet dialogů na osm, nemohli jsme být úplně „úplní“. Díky tomu je výběr účastníků poněkud libovolný. Pro tuto volbu jsme také vzali v úvahu nadšení pro účast a pomoc s mobilizací jejich základny, stejně jako praktické otázky, jako je dostupnost podle data a místa.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Na místě se konaly dialogy se členy těchto organizací: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Hakder Foundation, Alevi komunita, Schiedam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Asha Foundation, hinduistická komunita, Utrecht (dva diskusní zasedání)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Piëzo, organizace občanské společnosti, Zoetermeer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Taal doet Meer, organizace pro osoby s nízkým vzděláním,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BoerenNatuur, sdružení zemědělských skupin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Marokkanen Dialoog Overvecht, Marocká komunita,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Women for Freedom, advokacie organizace pro ženy z přistěhovaleckého prostředí, Haag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Na těchto diskusních setkáních se zúčastnilo celkem 110 lidí.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25"/>
        <w:widowControl w:val="false"/>
        <w:spacing w:lineRule="auto" w:line="240" w:before="205" w:after="0"/>
        <w:ind w:left="0" w:right="0" w:hanging="0"/>
        <w:jc w:val="left"/>
        <w:rPr>
          <w:rFonts w:ascii="Calibri" w:hAnsi="Calibri"/>
          <w:b/>
          <w:b/>
          <w:color w:val="0070C0"/>
          <w:sz w:val="32"/>
        </w:rPr>
      </w:pPr>
      <w:r>
        <w:rPr/>
        <w:t xml:space="preserve">4. Dialogy s mladými lidmi </w:t>
      </w:r>
    </w:p>
    <w:p>
      <w:pPr>
        <w:pStyle w:val="P68B1DB1Normal104"/>
        <w:widowControl w:val="false"/>
        <w:spacing w:lineRule="auto" w:line="240" w:before="145" w:after="0"/>
        <w:ind w:left="0" w:right="0" w:hanging="0"/>
        <w:jc w:val="both"/>
        <w:rPr/>
      </w:pPr>
      <w:r>
        <w:rPr/>
        <w:t xml:space="preserve">Mladí lidé jsou prioritní cílovou skupinou konference o budoucnosti Evropy. S cílem aktivně povzbudit jejich účast na dialogu s občany „Vision of Europe“ a vyjádřit názory a myšlenky této skupiny bylo uspořádáno šest fyzických diskusních setkání speciálně pro mladé lidi.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Zasedání se konala v těchto orgánech: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Asociace studentů historie, University of Leiden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Dr. Knippenberg College, střední škola, Helmond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Coalitie-Y, Platforma pro mládež Hospodářské a sociální rady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Graafschap College, střední odborné vzdělávání, Doetinchem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CSG Jan Arentsz, středoškolské vzdělávání zaměřené na technologické předměty, Alkmaar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Národní rada mládeže (zasedání proběhlo mimo provozovnu)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89" w:after="0"/>
        <w:ind w:left="0" w:right="0" w:hanging="0"/>
        <w:jc w:val="left"/>
        <w:rPr>
          <w:rFonts w:ascii="Calibri" w:hAnsi="Calibri"/>
          <w:color w:val="000000"/>
          <w:sz w:val="21"/>
        </w:rPr>
      </w:pPr>
      <w:r>
        <w:rPr>
          <w:rFonts w:ascii="Calibri" w:hAnsi="Calibri"/>
          <w:color w:val="000000"/>
          <w:sz w:val="21"/>
        </w:rPr>
        <w:t xml:space="preserve">Diskuzních setkání se zúčastnilo celkem 110 mladých lidí. </w:t>
      </w:r>
      <w:r>
        <w:br w:type="page"/>
      </w:r>
    </w:p>
    <w:p>
      <w:pPr>
        <w:pStyle w:val="P68B1DB1Normal126"/>
        <w:spacing w:lineRule="auto" w:line="240"/>
        <w:ind w:left="0" w:right="0" w:hanging="0"/>
        <w:rPr>
          <w:rFonts w:ascii="Calibri" w:hAnsi="Calibri"/>
          <w:color w:val="0070C0"/>
          <w:sz w:val="24"/>
        </w:rPr>
      </w:pPr>
      <w:r>
        <w:rPr/>
        <w:t xml:space="preserve">Použité techniky údržby </w:t>
      </w:r>
    </w:p>
    <w:p>
      <w:pPr>
        <w:pStyle w:val="P68B1DB1Normal104"/>
        <w:widowControl w:val="false"/>
        <w:spacing w:lineRule="auto" w:line="240" w:before="92" w:after="0"/>
        <w:ind w:left="0" w:right="0" w:hanging="0"/>
        <w:jc w:val="left"/>
        <w:rPr/>
      </w:pPr>
      <w:r>
        <w:rPr/>
        <w:t xml:space="preserve">On-line tematické dialogy, dialogy s konkrétními skupinami a dialogy s mladými lidmi byly vedeny tzv. „sokratickou“ metodou rozhovorů. Tato metoda se používá již mnoho let u Dne dialogu, kde lidé po celém Nizozemsku interagují v otázkách, které se jich týkají. V souvislosti se sokratickou metodou údržby zohlední moderátor tyto zásady: </w:t>
      </w:r>
    </w:p>
    <w:p>
      <w:pPr>
        <w:pStyle w:val="P68B1DB1Normal105"/>
        <w:widowControl w:val="false"/>
        <w:spacing w:lineRule="auto" w:line="240"/>
        <w:ind w:left="0" w:right="0" w:hanging="0"/>
        <w:jc w:val="left"/>
        <w:rPr/>
      </w:pPr>
      <w:r>
        <w:rPr>
          <w:rFonts w:ascii="Verdana" w:hAnsi="Verdana"/>
        </w:rPr>
        <w:t>•</w:t>
      </w:r>
      <w:r>
        <w:rPr/>
        <w:t xml:space="preserve"> </w:t>
      </w:r>
      <w:r>
        <w:rPr/>
        <w:t xml:space="preserve">Nechte druhý vyprávět svůj příběh </w:t>
      </w:r>
      <w:r>
        <w:rPr>
          <w:rFonts w:ascii="Calibri" w:hAnsi="Calibri"/>
        </w:rPr>
        <w:t xml:space="preserve"> </w:t>
      </w:r>
    </w:p>
    <w:p>
      <w:pPr>
        <w:pStyle w:val="P68B1DB1Normal105"/>
        <w:widowControl w:val="false"/>
        <w:spacing w:lineRule="auto" w:line="240"/>
        <w:ind w:left="0" w:right="0" w:hanging="0"/>
        <w:jc w:val="left"/>
        <w:rPr/>
      </w:pPr>
      <w:r>
        <w:rPr>
          <w:rFonts w:ascii="Verdana" w:hAnsi="Verdana"/>
        </w:rPr>
        <w:t>Neodpovídejte</w:t>
      </w:r>
      <w:r>
        <w:rPr/>
        <w:t xml:space="preserve"> </w:t>
      </w:r>
      <w:r>
        <w:rPr>
          <w:rFonts w:ascii="Calibri" w:hAnsi="Calibri"/>
        </w:rPr>
        <w:t xml:space="preserve">na to hned jiným příběhem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Chovejte se s respektem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Mluvit o vlastním pohledu („nacházím“ spíše než „říkají“)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Požádat o další vysvětlení, pokud jsou vyjádřené názory omezeny na obecné </w:t>
      </w:r>
    </w:p>
    <w:p>
      <w:pPr>
        <w:pStyle w:val="P68B1DB1Normal105"/>
        <w:widowControl w:val="false"/>
        <w:spacing w:lineRule="auto" w:line="240"/>
        <w:ind w:left="0" w:right="0" w:hanging="0"/>
        <w:jc w:val="left"/>
        <w:rPr/>
      </w:pPr>
      <w:r>
        <w:rPr>
          <w:rFonts w:ascii="Verdana" w:hAnsi="Verdana"/>
        </w:rPr>
        <w:t>Vyhýbejte</w:t>
      </w:r>
      <w:r>
        <w:rPr/>
        <w:t xml:space="preserve"> </w:t>
      </w:r>
      <w:r>
        <w:rPr>
          <w:rFonts w:ascii="Calibri" w:hAnsi="Calibri"/>
        </w:rPr>
        <w:t xml:space="preserve">se soudům a analyzujte je </w:t>
      </w:r>
    </w:p>
    <w:p>
      <w:pPr>
        <w:pStyle w:val="P68B1DB1Normal105"/>
        <w:widowControl w:val="false"/>
        <w:spacing w:lineRule="auto" w:line="240"/>
        <w:ind w:left="0" w:right="0" w:hanging="0"/>
        <w:jc w:val="left"/>
        <w:rPr/>
      </w:pPr>
      <w:r>
        <w:rPr>
          <w:rFonts w:ascii="Verdana" w:hAnsi="Verdana"/>
        </w:rPr>
        <w:t>Dopřejte</w:t>
      </w:r>
      <w:r>
        <w:rPr/>
        <w:t xml:space="preserve"> </w:t>
      </w:r>
      <w:r>
        <w:rPr>
          <w:rFonts w:ascii="Calibri" w:hAnsi="Calibri"/>
        </w:rPr>
        <w:t xml:space="preserve">okamžiky ticha, pokud lidé potřebují na chvíli přemýšlet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Během dialogů se použije tento rytmus: rozdílnost – konvergence – rozdíl. Princip spočívá v tom, že se nejprve musíte rozlišit (přímo vyjadřovat individuální pocity a názory), než se budete moci sbližovat (promluvte si o možných cestách) a pak se nakonec znovu rozcházíte (například shromažďujte jednotlivá doporučení). Zkušenosti a teorie ukazují, že tento rytmus zajišťuje optimální tok dialogu.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Všechny dialogy byly vedeny profesionálními facilitátory. </w:t>
      </w:r>
    </w:p>
    <w:p>
      <w:pPr>
        <w:pStyle w:val="Normal"/>
        <w:widowControl w:val="false"/>
        <w:spacing w:lineRule="auto" w:line="240" w:before="197" w:after="0"/>
        <w:ind w:left="0" w:right="0" w:hanging="0"/>
        <w:jc w:val="left"/>
        <w:rPr/>
      </w:pPr>
      <w:r>
        <w:rPr>
          <w:rFonts w:ascii="Calibri" w:hAnsi="Calibri"/>
          <w:b/>
          <w:color w:val="0070C0"/>
          <w:sz w:val="32"/>
        </w:rPr>
        <w:t>5. On-line veřejný průzkum: Dotazník a „Swipen naar de toekomst“ (</w:t>
      </w:r>
      <w:commentRangeStart w:id="31"/>
      <w:r>
        <w:rPr>
          <w:rFonts w:ascii="Calibri" w:hAnsi="Calibri"/>
          <w:b/>
          <w:color w:val="0070C0"/>
          <w:sz w:val="32"/>
        </w:rPr>
        <w:t>Swiper</w:t>
      </w:r>
      <w:r>
        <w:rPr>
          <w:rFonts w:ascii="Calibri" w:hAnsi="Calibri"/>
          <w:b/>
          <w:color w:val="0070C0"/>
          <w:sz w:val="32"/>
        </w:rPr>
      </w:r>
      <w:commentRangeEnd w:id="31"/>
      <w:r>
        <w:commentReference w:id="31"/>
      </w:r>
      <w:r>
        <w:rPr>
          <w:rFonts w:ascii="Calibri" w:hAnsi="Calibri"/>
          <w:b/>
          <w:color w:val="0070C0"/>
          <w:sz w:val="32"/>
        </w:rPr>
        <w:t xml:space="preserve"> to the Future) </w:t>
      </w:r>
    </w:p>
    <w:p>
      <w:pPr>
        <w:pStyle w:val="P68B1DB1Normal110"/>
        <w:widowControl w:val="false"/>
        <w:spacing w:lineRule="auto" w:line="240"/>
        <w:ind w:left="0" w:right="0" w:hanging="0"/>
        <w:jc w:val="left"/>
        <w:rPr/>
      </w:pPr>
      <w:r>
        <w:rPr>
          <w:sz w:val="21"/>
        </w:rPr>
        <w:t>Dotazník panelového průzkumu byl rovněž otevřen všem Holanďanům, včetně těch, kteří mají bydliště v zahraničí. Tento dotazník byl k dispozici</w:t>
      </w:r>
      <w:r>
        <w:rPr>
          <w:position w:val="6"/>
          <w:sz w:val="14"/>
        </w:rPr>
        <w:t>od 1.</w:t>
      </w:r>
      <w:r>
        <w:rPr>
          <w:sz w:val="21"/>
        </w:rPr>
        <w:t xml:space="preserve"> září 2021 do 14. listopadu 2021. Kromě toho se ve stejném období každý Holanďan mohl zúčastnit akce „Swipen naar de toekomst“ (Swiper to the Future), což je online nástroj, který představuje 20 nároků. </w:t>
      </w:r>
    </w:p>
    <w:p>
      <w:pPr>
        <w:pStyle w:val="P68B1DB1Normal126"/>
        <w:widowControl w:val="false"/>
        <w:spacing w:lineRule="auto" w:line="240" w:before="14" w:after="0"/>
        <w:ind w:left="0" w:right="0" w:hanging="0"/>
        <w:jc w:val="left"/>
        <w:rPr>
          <w:rFonts w:ascii="Calibri" w:hAnsi="Calibri"/>
          <w:color w:val="0070C0"/>
          <w:sz w:val="24"/>
        </w:rPr>
      </w:pPr>
      <w:r>
        <w:rPr/>
        <w:t xml:space="preserve">Odpovědi a použití </w:t>
      </w:r>
    </w:p>
    <w:p>
      <w:pPr>
        <w:pStyle w:val="P68B1DB1Normal104"/>
        <w:widowControl w:val="false"/>
        <w:spacing w:lineRule="auto" w:line="240"/>
        <w:ind w:left="0" w:right="0" w:hanging="0"/>
        <w:jc w:val="left"/>
        <w:rPr/>
      </w:pPr>
      <w:r>
        <w:rPr/>
        <w:t xml:space="preserve">Dotazník vyplnilo celkem 1 967 účastníků a na konci nástroje pro skenování obrazovky bylo 6 968 účastníků. Dotazník i nástroj pro skenování obrazovky byly otevřeny všem: pro účast nebyly stanoveny žádné předpoklady ani kritéria výběru. V dotazníku bylo možné předat otázky (neexistovaly žádné povinné otázky) s cílem maximalizovat míru odpovědí. Účastníci si zvolili „Nejraději nereaguji“ mnohem častěji než v reprezentativním panelovém průzkumu. </w:t>
      </w:r>
    </w:p>
    <w:p>
      <w:pPr>
        <w:pStyle w:val="P68B1DB1Normal104"/>
        <w:widowControl w:val="false"/>
        <w:spacing w:lineRule="auto" w:line="240"/>
        <w:ind w:left="0" w:right="0" w:hanging="0"/>
        <w:jc w:val="left"/>
        <w:rPr/>
      </w:pPr>
      <w:r>
        <w:rPr/>
        <w:t xml:space="preserve">Obecné charakteristiky účastníků otevřeného dotazníku a nástroje pro skenování obrazovky se v několika ohledech liší od charakteristik účastníků reprezentativního panelu. Na rozdíl od panelového průzkumu nejsou výsledky otevřeného dotazníku a nástroje pro skenování obrazovky reprezentativní. Výsledky otevřeného on-line průzkumu byly použity jako doplněk panelového průzkumu. Poskytují přehled o pocitech a myšlenkách cirkulujících v Nizozemsku. Návrhy na zlepšení uvedené ve vstupních polích byly použity v oddíle „Diskuse a nápady online a na místě“. Nástroj pro skenování obrazovky byl použit k lepšímu pochopení některých pocitů cirkulujících v Nizozemsku. Tyto výsledky byly zohledněny při přípravě doporučení. Vzhledem k požadavku reprezentativnosti byly výsledky šetření zahájeného on-line v této zprávě v omezené míře zohledněny.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pPr>
      <w:r>
        <w:rPr>
          <w:rFonts w:ascii="Calibri" w:hAnsi="Calibri"/>
          <w:color w:val="000000"/>
          <w:sz w:val="21"/>
        </w:rPr>
        <w:t xml:space="preserve">Tuto zprávu zveřejňuje Ministerstvo zahraničních věcí. </w:t>
      </w:r>
      <w:r>
        <w:rPr>
          <w:rFonts w:ascii="Calibri" w:hAnsi="Calibri"/>
          <w:color w:val="0000FF"/>
          <w:sz w:val="21"/>
        </w:rPr>
        <w:t>www.kijkopeuropa.nl</w:t>
      </w:r>
      <w:r>
        <w:rPr>
          <w:rFonts w:ascii="Calibri" w:hAnsi="Calibri"/>
          <w:color w:val="000000"/>
          <w:sz w:val="21"/>
        </w:rPr>
        <w:t xml:space="preserve"> </w:t>
      </w:r>
      <w:r>
        <w:br w:type="page"/>
      </w:r>
    </w:p>
    <w:p>
      <w:pPr>
        <w:pStyle w:val="Titre1"/>
        <w:numPr>
          <w:ilvl w:val="0"/>
          <w:numId w:val="2"/>
        </w:numPr>
        <w:rPr/>
      </w:pPr>
      <w:bookmarkStart w:id="238" w:name="__RefHeading___Toc297359_1346298689"/>
      <w:bookmarkEnd w:id="238"/>
      <w:r>
        <w:rPr/>
        <w:t xml:space="preserve">III – Odkazy na výsledky vnitrostátních akcí </w:t>
      </w:r>
    </w:p>
    <w:p>
      <w:pPr>
        <w:pStyle w:val="Normal"/>
        <w:widowControl w:val="false"/>
        <w:spacing w:lineRule="auto" w:line="240"/>
        <w:ind w:left="360" w:right="6617" w:hanging="0"/>
        <w:jc w:val="both"/>
        <w:rPr/>
      </w:pPr>
      <w:r>
        <w:rPr>
          <w:rFonts w:ascii="Times New Roman" w:hAnsi="Times New Roman"/>
          <w:color w:val="000000"/>
        </w:rPr>
        <w:t xml:space="preserve">• </w:t>
      </w:r>
      <w:hyperlink r:id="rId120">
        <w:r>
          <w:rPr>
            <w:rStyle w:val="LienInternet"/>
            <w:rFonts w:ascii="Times New Roman" w:hAnsi="Times New Roman"/>
            <w:b/>
            <w:color w:val="0000FF"/>
          </w:rPr>
          <w:t>Belgie</w:t>
        </w:r>
      </w:hyperlink>
      <w:r>
        <w:rPr>
          <w:rFonts w:ascii="Times New Roman" w:hAnsi="Times New Roman"/>
          <w:color w:val="000000"/>
        </w:rPr>
        <w:t xml:space="preserve"> </w:t>
      </w:r>
    </w:p>
    <w:p>
      <w:pPr>
        <w:pStyle w:val="Normal"/>
        <w:widowControl w:val="false"/>
        <w:spacing w:lineRule="auto" w:line="240"/>
        <w:ind w:left="360" w:right="6617" w:hanging="0"/>
        <w:jc w:val="both"/>
        <w:rPr/>
      </w:pPr>
      <w:r>
        <w:rPr>
          <w:rFonts w:ascii="Times New Roman" w:hAnsi="Times New Roman"/>
          <w:color w:val="000000"/>
        </w:rPr>
        <w:t xml:space="preserve">• </w:t>
      </w:r>
      <w:hyperlink r:id="rId121">
        <w:r>
          <w:rPr>
            <w:rStyle w:val="LienInternet"/>
            <w:rFonts w:ascii="Times New Roman" w:hAnsi="Times New Roman"/>
            <w:b/>
            <w:color w:val="0000FF"/>
          </w:rPr>
          <w:t>Bulharsko</w:t>
        </w:r>
      </w:hyperlink>
    </w:p>
    <w:p>
      <w:pPr>
        <w:pStyle w:val="Normal"/>
        <w:widowControl w:val="false"/>
        <w:spacing w:lineRule="auto" w:line="240"/>
        <w:ind w:left="360" w:right="6617" w:hanging="0"/>
        <w:jc w:val="both"/>
        <w:rPr/>
      </w:pPr>
      <w:r>
        <w:rPr>
          <w:rFonts w:ascii="Times New Roman" w:hAnsi="Times New Roman"/>
          <w:color w:val="000000"/>
        </w:rPr>
        <w:t xml:space="preserve">• </w:t>
      </w:r>
      <w:hyperlink r:id="rId122">
        <w:r>
          <w:rPr>
            <w:rStyle w:val="LienInternet"/>
            <w:rFonts w:ascii="Times New Roman" w:hAnsi="Times New Roman"/>
            <w:b/>
            <w:color w:val="0000FF"/>
          </w:rPr>
          <w:t>Česká</w:t>
        </w:r>
      </w:hyperlink>
      <w:hyperlink r:id="rId123">
        <w:r>
          <w:rPr>
            <w:rStyle w:val="LienInternet"/>
            <w:rFonts w:ascii="Times New Roman" w:hAnsi="Times New Roman"/>
            <w:b/>
            <w:color w:val="0000FF"/>
          </w:rPr>
          <w:t>republika</w:t>
        </w:r>
      </w:hyperlink>
      <w:r>
        <w:rPr>
          <w:rFonts w:ascii="Times New Roman" w:hAnsi="Times New Roman"/>
          <w:color w:val="000000"/>
        </w:rPr>
        <w:t xml:space="preserve"> </w:t>
      </w:r>
    </w:p>
    <w:p>
      <w:pPr>
        <w:pStyle w:val="Normal"/>
        <w:widowControl w:val="false"/>
        <w:spacing w:lineRule="auto" w:line="240"/>
        <w:ind w:left="360" w:right="7697" w:hanging="0"/>
        <w:jc w:val="both"/>
        <w:rPr/>
      </w:pPr>
      <w:r>
        <w:rPr>
          <w:rFonts w:ascii="Times New Roman" w:hAnsi="Times New Roman"/>
          <w:color w:val="000000"/>
        </w:rPr>
        <w:t xml:space="preserve">• </w:t>
      </w:r>
      <w:hyperlink r:id="rId124">
        <w:r>
          <w:rPr>
            <w:rStyle w:val="LienInternet"/>
            <w:rFonts w:ascii="Times New Roman" w:hAnsi="Times New Roman"/>
            <w:b/>
            <w:color w:val="0000FF"/>
          </w:rPr>
          <w:t>Dánsko</w:t>
        </w:r>
      </w:hyperlink>
    </w:p>
    <w:p>
      <w:pPr>
        <w:pStyle w:val="Normal"/>
        <w:widowControl w:val="false"/>
        <w:spacing w:lineRule="auto" w:line="240"/>
        <w:ind w:left="360" w:right="7697" w:hanging="0"/>
        <w:jc w:val="both"/>
        <w:rPr/>
      </w:pPr>
      <w:r>
        <w:rPr>
          <w:rFonts w:ascii="Times New Roman" w:hAnsi="Times New Roman"/>
          <w:color w:val="000000"/>
        </w:rPr>
        <w:t xml:space="preserve">• </w:t>
      </w:r>
      <w:hyperlink r:id="rId125">
        <w:r>
          <w:rPr>
            <w:rStyle w:val="LienInternet"/>
            <w:rFonts w:ascii="Times New Roman" w:hAnsi="Times New Roman"/>
            <w:b/>
            <w:color w:val="0000FF"/>
          </w:rPr>
          <w:t>V</w:t>
        </w:r>
      </w:hyperlink>
      <w:hyperlink r:id="rId126">
        <w:r>
          <w:rPr>
            <w:rStyle w:val="LienInternet"/>
            <w:rFonts w:ascii="Times New Roman" w:hAnsi="Times New Roman"/>
            <w:b/>
            <w:color w:val="0000FF"/>
          </w:rPr>
          <w:t>Llemagne</w:t>
        </w:r>
      </w:hyperlink>
    </w:p>
    <w:p>
      <w:pPr>
        <w:pStyle w:val="Normal"/>
        <w:widowControl w:val="false"/>
        <w:spacing w:lineRule="auto" w:line="240"/>
        <w:ind w:left="360" w:right="7697" w:hanging="0"/>
        <w:jc w:val="both"/>
        <w:rPr/>
      </w:pPr>
      <w:r>
        <w:rPr>
          <w:rFonts w:ascii="Times New Roman" w:hAnsi="Times New Roman"/>
          <w:color w:val="000000"/>
        </w:rPr>
        <w:t xml:space="preserve">• </w:t>
      </w:r>
      <w:hyperlink r:id="rId127">
        <w:r>
          <w:rPr>
            <w:rStyle w:val="LienInternet"/>
            <w:rFonts w:ascii="Times New Roman" w:hAnsi="Times New Roman"/>
            <w:b/>
            <w:color w:val="0000FF"/>
          </w:rPr>
          <w:t>Estonsko</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28">
        <w:r>
          <w:rPr>
            <w:rStyle w:val="LienInternet"/>
            <w:rFonts w:ascii="Times New Roman" w:hAnsi="Times New Roman"/>
            <w:b/>
            <w:color w:val="0000FF"/>
          </w:rPr>
          <w:t>Irsko</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29">
        <w:r>
          <w:rPr>
            <w:rStyle w:val="LienInternet"/>
            <w:rFonts w:ascii="Times New Roman" w:hAnsi="Times New Roman"/>
            <w:b/>
            <w:color w:val="0000FF"/>
          </w:rPr>
          <w:t>Řecko</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0">
        <w:r>
          <w:rPr>
            <w:rStyle w:val="LienInternet"/>
            <w:rFonts w:ascii="Times New Roman" w:hAnsi="Times New Roman"/>
            <w:b/>
            <w:color w:val="0000FF"/>
          </w:rPr>
          <w:t>Španělsko</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1">
        <w:r>
          <w:rPr>
            <w:rStyle w:val="LienInternet"/>
            <w:rFonts w:ascii="Times New Roman" w:hAnsi="Times New Roman"/>
            <w:b/>
            <w:color w:val="0000FF"/>
          </w:rPr>
          <w:t>Francie</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2">
        <w:r>
          <w:rPr>
            <w:rStyle w:val="LienInternet"/>
            <w:rFonts w:ascii="Times New Roman" w:hAnsi="Times New Roman"/>
            <w:b/>
            <w:color w:val="0000FF"/>
          </w:rPr>
          <w:t>Chorvatsko</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3">
        <w:r>
          <w:rPr>
            <w:rStyle w:val="LienInternet"/>
            <w:rFonts w:ascii="Times New Roman" w:hAnsi="Times New Roman"/>
            <w:b/>
            <w:color w:val="0000FF"/>
          </w:rPr>
          <w:t>Itálie</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4">
        <w:r>
          <w:rPr>
            <w:rStyle w:val="LienInternet"/>
            <w:rFonts w:ascii="Times New Roman" w:hAnsi="Times New Roman"/>
            <w:b/>
            <w:color w:val="0000FF"/>
          </w:rPr>
          <w:t>Kypr</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5">
        <w:r>
          <w:rPr>
            <w:rStyle w:val="LienInternet"/>
            <w:rFonts w:ascii="Times New Roman" w:hAnsi="Times New Roman"/>
            <w:b/>
            <w:color w:val="0000FF"/>
          </w:rPr>
          <w:t>Lotyšsko</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6">
        <w:r>
          <w:rPr>
            <w:rStyle w:val="LienInternet"/>
            <w:rFonts w:ascii="Times New Roman" w:hAnsi="Times New Roman"/>
            <w:b/>
            <w:color w:val="0000FF"/>
          </w:rPr>
          <w:t>Litva</w:t>
        </w:r>
      </w:hyperlink>
      <w:r>
        <w:rPr>
          <w:rFonts w:ascii="Times New Roman" w:hAnsi="Times New Roman"/>
          <w:color w:val="000000"/>
        </w:rPr>
        <w:t xml:space="preserve"> </w:t>
      </w:r>
    </w:p>
    <w:p>
      <w:pPr>
        <w:pStyle w:val="Normal"/>
        <w:widowControl w:val="false"/>
        <w:spacing w:lineRule="auto" w:line="240"/>
        <w:ind w:left="360" w:right="7457" w:hanging="0"/>
        <w:jc w:val="left"/>
        <w:rPr/>
      </w:pPr>
      <w:r>
        <w:rPr>
          <w:rFonts w:ascii="Times New Roman" w:hAnsi="Times New Roman"/>
          <w:color w:val="000000"/>
        </w:rPr>
        <w:t xml:space="preserve">• </w:t>
      </w:r>
      <w:hyperlink r:id="rId137">
        <w:r>
          <w:rPr>
            <w:rStyle w:val="LienInternet"/>
            <w:rFonts w:ascii="Times New Roman" w:hAnsi="Times New Roman"/>
            <w:b/>
            <w:color w:val="0000FF"/>
          </w:rPr>
          <w:t>Lucemburk</w:t>
        </w:r>
      </w:hyperlink>
    </w:p>
    <w:p>
      <w:pPr>
        <w:pStyle w:val="Normal"/>
        <w:widowControl w:val="false"/>
        <w:spacing w:lineRule="auto" w:line="240"/>
        <w:ind w:left="360" w:right="7457" w:hanging="0"/>
        <w:jc w:val="left"/>
        <w:rPr/>
      </w:pPr>
      <w:r>
        <w:rPr>
          <w:rFonts w:ascii="Times New Roman" w:hAnsi="Times New Roman"/>
          <w:color w:val="000000"/>
        </w:rPr>
        <w:t xml:space="preserve">• </w:t>
      </w:r>
      <w:hyperlink r:id="rId138">
        <w:r>
          <w:rPr>
            <w:rStyle w:val="LienInternet"/>
            <w:rFonts w:ascii="Times New Roman" w:hAnsi="Times New Roman"/>
            <w:b/>
            <w:color w:val="0000FF"/>
          </w:rPr>
          <w:t>Maďarsko</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9">
        <w:r>
          <w:rPr>
            <w:rStyle w:val="LienInternet"/>
            <w:rFonts w:ascii="Times New Roman" w:hAnsi="Times New Roman"/>
            <w:b/>
            <w:color w:val="0000FF"/>
          </w:rPr>
          <w:t>Malta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0">
        <w:r>
          <w:rPr>
            <w:rStyle w:val="LienInternet"/>
            <w:rFonts w:ascii="Times New Roman" w:hAnsi="Times New Roman"/>
            <w:b/>
            <w:color w:val="0000FF"/>
          </w:rPr>
          <w:t>Nizozemsko</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1">
        <w:r>
          <w:rPr>
            <w:rStyle w:val="LienInternet"/>
            <w:rFonts w:ascii="Times New Roman" w:hAnsi="Times New Roman"/>
            <w:b/>
            <w:color w:val="0000FF"/>
          </w:rPr>
          <w:t>Rakousko</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2">
        <w:r>
          <w:rPr>
            <w:rStyle w:val="LienInternet"/>
            <w:rFonts w:ascii="Times New Roman" w:hAnsi="Times New Roman"/>
            <w:b/>
            <w:color w:val="0000FF"/>
          </w:rPr>
          <w:t>Polsko</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3">
        <w:r>
          <w:rPr>
            <w:rStyle w:val="LienInternet"/>
            <w:rFonts w:ascii="Times New Roman" w:hAnsi="Times New Roman"/>
            <w:b/>
            <w:color w:val="0000FF"/>
          </w:rPr>
          <w:t>Portugalsko</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4">
        <w:r>
          <w:rPr>
            <w:rStyle w:val="LienInternet"/>
            <w:rFonts w:ascii="Times New Roman" w:hAnsi="Times New Roman"/>
            <w:b/>
            <w:color w:val="0000FF"/>
          </w:rPr>
          <w:t>Rumunsko</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5">
        <w:r>
          <w:rPr>
            <w:rStyle w:val="LienInternet"/>
            <w:rFonts w:ascii="Times New Roman" w:hAnsi="Times New Roman"/>
            <w:b/>
            <w:color w:val="0000FF"/>
          </w:rPr>
          <w:t>Slovinsko</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Slovenská </w:t>
      </w:r>
      <w:hyperlink r:id="rId146">
        <w:r>
          <w:rPr>
            <w:rStyle w:val="LienInternet"/>
            <w:rFonts w:ascii="Times New Roman" w:hAnsi="Times New Roman"/>
            <w:b/>
            <w:color w:val="0000FF"/>
          </w:rPr>
          <w:t>republika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7">
        <w:r>
          <w:rPr>
            <w:rStyle w:val="LienInternet"/>
            <w:rFonts w:ascii="Times New Roman" w:hAnsi="Times New Roman"/>
            <w:b/>
            <w:color w:val="0000FF"/>
          </w:rPr>
          <w:t>Finsko</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8">
        <w:r>
          <w:rPr>
            <w:rStyle w:val="LienInternet"/>
            <w:rFonts w:ascii="Times New Roman" w:hAnsi="Times New Roman"/>
            <w:b/>
            <w:color w:val="0000FF"/>
          </w:rPr>
          <w:t>Švédsko</w:t>
        </w:r>
      </w:hyperlink>
      <w:r>
        <w:rPr>
          <w:rFonts w:ascii="Times New Roman" w:hAnsi="Times New Roman"/>
          <w:color w:val="000000"/>
        </w:rPr>
        <w:t xml:space="preserve"> </w:t>
      </w:r>
    </w:p>
    <w:p>
      <w:pPr>
        <w:pStyle w:val="Normal"/>
        <w:spacing w:lineRule="auto" w:line="240"/>
        <w:ind w:left="0" w:right="0" w:hanging="0"/>
        <w:rPr>
          <w:rFonts w:ascii="Times New Roman" w:hAnsi="Times New Roman"/>
          <w:sz w:val="22"/>
        </w:rPr>
      </w:pPr>
      <w:r>
        <w:rPr>
          <w:rFonts w:ascii="Times New Roman" w:hAnsi="Times New Roman"/>
          <w:sz w:val="22"/>
        </w:rPr>
      </w:r>
      <w:r>
        <w:br w:type="page"/>
      </w:r>
    </w:p>
    <w:p>
      <w:pPr>
        <w:pStyle w:val="Titre1"/>
        <w:numPr>
          <w:ilvl w:val="0"/>
          <w:numId w:val="2"/>
        </w:numPr>
        <w:rPr/>
      </w:pPr>
      <w:bookmarkStart w:id="239" w:name="__RefHeading___Toc344888_2081073262"/>
      <w:bookmarkEnd w:id="239"/>
      <w:r>
        <w:rPr/>
        <w:t xml:space="preserve">IV – Odkaz na zprávu vícejazyčné digitální platformy </w:t>
      </w:r>
    </w:p>
    <w:p>
      <w:pPr>
        <w:pStyle w:val="P68B1DB1Normal34"/>
        <w:widowControl w:val="false"/>
        <w:spacing w:lineRule="exact" w:line="393"/>
        <w:ind w:left="0" w:right="0" w:hanging="0"/>
        <w:jc w:val="left"/>
        <w:rPr>
          <w:rFonts w:ascii="Arial" w:hAnsi="Arial"/>
          <w:color w:val="000000"/>
          <w:sz w:val="24"/>
        </w:rPr>
      </w:pPr>
      <w:r>
        <w:rPr/>
        <w:t xml:space="preserve"> </w:t>
      </w:r>
    </w:p>
    <w:p>
      <w:pPr>
        <w:pStyle w:val="Normal"/>
        <w:widowControl w:val="false"/>
        <w:spacing w:lineRule="exact" w:line="331" w:before="4" w:after="0"/>
        <w:ind w:left="0" w:right="360" w:hanging="0"/>
        <w:jc w:val="left"/>
        <w:rPr/>
      </w:pPr>
      <w:hyperlink r:id="rId149">
        <w:r>
          <w:rPr>
            <w:rStyle w:val="LienInternet"/>
            <w:color w:val="0000FF"/>
            <w:sz w:val="24"/>
          </w:rPr>
          <w:t>Vícejazyčná číslice</w:t>
        </w:r>
      </w:hyperlink>
      <w:hyperlink r:id="rId150">
        <w:r>
          <w:rPr>
            <w:rStyle w:val="LienInternet"/>
            <w:color w:val="0000FF"/>
            <w:sz w:val="24"/>
          </w:rPr>
          <w:t>PL</w:t>
        </w:r>
      </w:hyperlink>
      <w:hyperlink r:id="rId151">
        <w:r>
          <w:rPr>
            <w:rStyle w:val="LienInternet"/>
            <w:color w:val="0000FF"/>
            <w:sz w:val="24"/>
          </w:rPr>
          <w:t xml:space="preserve">na konferenci o budoucnosti Evropy – zpráva zúnora 2022  </w:t>
        </w:r>
      </w:hyperlink>
    </w:p>
    <w:p>
      <w:pPr>
        <w:pStyle w:val="P68B1DB1Normal131"/>
        <w:widowControl w:val="false"/>
        <w:spacing w:lineRule="exact" w:line="393" w:before="4" w:after="0"/>
        <w:ind w:left="0" w:right="0" w:hanging="0"/>
        <w:jc w:val="left"/>
        <w:rPr>
          <w:rFonts w:ascii="Arial" w:hAnsi="Arial"/>
          <w:color w:val="0000FF"/>
          <w:sz w:val="24"/>
        </w:rPr>
      </w:pPr>
      <w:r>
        <w:rPr/>
        <w:t xml:space="preserve"> </w:t>
      </w:r>
    </w:p>
    <w:p>
      <w:pPr>
        <w:pStyle w:val="Normal"/>
        <w:spacing w:lineRule="auto" w:line="240"/>
        <w:ind w:left="0" w:right="0" w:hanging="0"/>
        <w:rPr/>
      </w:pPr>
      <w:r>
        <w:rPr/>
      </w:r>
      <w:r>
        <w:br w:type="page"/>
      </w:r>
    </w:p>
    <w:p>
      <w:pPr>
        <w:pStyle w:val="Normal"/>
        <w:spacing w:lineRule="auto" w:line="240"/>
        <w:ind w:left="0" w:right="0" w:hanging="0"/>
        <w:rPr/>
      </w:pPr>
      <w:r>
        <w:rPr/>
      </w:r>
    </w:p>
    <w:p>
      <w:pPr>
        <w:pStyle w:val="Normal"/>
        <w:spacing w:lineRule="auto" w:line="240"/>
        <w:ind w:left="0" w:right="0" w:hanging="0"/>
        <w:rPr/>
      </w:pPr>
      <w:r>
        <w:rPr/>
      </w:r>
    </w:p>
    <w:p>
      <w:pPr>
        <w:pStyle w:val="Normal"/>
        <w:spacing w:lineRule="auto" w:line="240"/>
        <w:ind w:left="0" w:right="0" w:hanging="0"/>
        <w:rPr/>
      </w:pPr>
      <w:r>
        <w:rPr/>
      </w:r>
    </w:p>
    <w:p>
      <w:pPr>
        <w:pStyle w:val="Normal"/>
        <w:spacing w:lineRule="auto" w:line="240" w:before="7665" w:after="57"/>
        <w:ind w:left="0" w:right="0" w:hanging="0"/>
        <w:rPr/>
      </w:pPr>
      <w:r>
        <w:rPr/>
        <w:drawing>
          <wp:anchor behindDoc="0" distT="0" distB="0" distL="0" distR="0" simplePos="0" locked="0" layoutInCell="1" allowOverlap="1" relativeHeight="43">
            <wp:simplePos x="0" y="0"/>
            <wp:positionH relativeFrom="column">
              <wp:align>center</wp:align>
            </wp:positionH>
            <wp:positionV relativeFrom="paragraph">
              <wp:posOffset>635</wp:posOffset>
            </wp:positionV>
            <wp:extent cx="6120130" cy="4867275"/>
            <wp:effectExtent l="0" t="0" r="0" b="0"/>
            <wp:wrapTopAndBottom/>
            <wp:docPr id="111" name="Obrázek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Obrázek48" descr=""/>
                    <pic:cNvPicPr>
                      <a:picLocks noChangeAspect="1" noChangeArrowheads="1"/>
                    </pic:cNvPicPr>
                  </pic:nvPicPr>
                  <pic:blipFill>
                    <a:blip r:embed="rId152"/>
                    <a:stretch>
                      <a:fillRect/>
                    </a:stretch>
                  </pic:blipFill>
                  <pic:spPr bwMode="auto">
                    <a:xfrm>
                      <a:off x="0" y="0"/>
                      <a:ext cx="6120130" cy="4867275"/>
                    </a:xfrm>
                    <a:prstGeom prst="rect">
                      <a:avLst/>
                    </a:prstGeom>
                  </pic:spPr>
                </pic:pic>
              </a:graphicData>
            </a:graphic>
          </wp:anchor>
        </w:drawing>
      </w:r>
    </w:p>
    <w:p>
      <w:pPr>
        <w:pStyle w:val="P68B1DB1Normal132"/>
        <w:spacing w:lineRule="auto" w:line="240"/>
        <w:ind w:left="0" w:right="0" w:hanging="0"/>
        <w:rPr/>
      </w:pPr>
      <w:r>
        <w:rPr/>
        <w:t>PDF ISBN 978–92–824–8655–9 doi:10.2860/25889 QC-05–22–131-EN-N Tisk ISBN 978–92–824–8729–7 doi:10.2860/533066 QC-05–22–131-EN-C</w:t>
      </w:r>
    </w:p>
    <w:p>
      <w:pPr>
        <w:pStyle w:val="P68B1DB1Normal132"/>
        <w:widowControl w:val="false"/>
        <w:spacing w:lineRule="exact" w:line="330" w:before="117" w:after="0"/>
        <w:ind w:left="1668" w:right="0" w:firstLine="2132"/>
        <w:jc w:val="right"/>
        <w:rPr/>
      </w:pPr>
      <w:r>
        <w:rPr/>
        <w:t>© Evropská unie, 2022 Povoleno opakované použití za předpokladu, že je uveden zdroj.</w:t>
      </w:r>
    </w:p>
    <w:p>
      <w:pPr>
        <w:pStyle w:val="Normal"/>
        <w:spacing w:before="57" w:after="57"/>
        <w:ind w:left="0" w:right="0" w:hanging="0"/>
        <w:rPr/>
      </w:pPr>
      <w:r>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sectPr>
      <w:footnotePr>
        <w:numFmt w:val="upperRoman"/>
      </w:footnotePr>
      <w:endnotePr>
        <w:numFmt w:val="decimal"/>
      </w:endnotePr>
      <w:type w:val="continuous"/>
      <w:pgSz w:w="11906" w:h="16838"/>
      <w:pgMar w:left="1134" w:right="1134" w:header="1134" w:top="1700" w:footer="1134" w:bottom="1727" w:gutter="0"/>
      <w:pgNumType w:fmt="decimal"/>
      <w:formProt w:val="false"/>
      <w:textDirection w:val="lrTb"/>
      <w:docGrid w:type="default" w:linePitch="312" w:charSpace="0"/>
    </w:sectPr>
  </w:body>
</w:document>
</file>

<file path=word/comments.xml><?xml version="1.0" encoding="utf-8"?>
<w:comment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comment w:id="0" w:author="Pierre Dieumegard" w:date="2022-08-28T22:28:53Z" w:initials="PD">
    <w:p>
      <w:r>
        <w:rPr>
          <w:rFonts w:ascii="Times New Roman" w:hAnsi="Times New Roman" w:eastAsia="Segoe UI" w:cs="Tahoma"/>
          <w:color w:val="auto"/>
          <w:kern w:val="0"/>
          <w:sz w:val="24"/>
          <w:szCs w:val="24"/>
          <w:lang w:val="en-US" w:eastAsia="en-US" w:bidi="en-US"/>
        </w:rPr>
        <w:t>Tento pojem „mezievropský“ je zmatený.</w:t>
      </w:r>
    </w:p>
    <w:p>
      <w:r>
        <w:rPr>
          <w:rFonts w:ascii="Times New Roman" w:hAnsi="Times New Roman" w:eastAsia="Segoe UI" w:cs="Tahoma"/>
          <w:color w:val="auto"/>
          <w:kern w:val="0"/>
          <w:sz w:val="24"/>
          <w:szCs w:val="24"/>
          <w:lang w:val="en-US" w:eastAsia="en-US" w:bidi="en-US"/>
        </w:rPr>
      </w:r>
    </w:p>
  </w:comment>
  <w:comment w:id="1" w:author="Pierre Dieumegard" w:date="2022-06-06T14:26:47Z" w:initials="">
    <w:p>
      <w:r>
        <w:rPr>
          <w:rFonts w:ascii="Times New Roman" w:hAnsi="Times New Roman" w:eastAsia="Segoe UI" w:cs="Tahoma"/>
          <w:color w:val="auto"/>
          <w:kern w:val="0"/>
          <w:sz w:val="24"/>
          <w:szCs w:val="24"/>
          <w:lang w:val="en-US" w:eastAsia="en-US" w:bidi="en-US"/>
        </w:rPr>
        <w:t>podivné uskupení</w:t>
      </w:r>
    </w:p>
    <w:p>
      <w:r>
        <w:rPr>
          <w:rFonts w:ascii="Times New Roman" w:hAnsi="Times New Roman" w:eastAsia="Segoe UI" w:cs="Tahoma"/>
          <w:color w:val="auto"/>
          <w:kern w:val="0"/>
          <w:sz w:val="24"/>
          <w:szCs w:val="24"/>
          <w:lang w:val="en-US" w:eastAsia="en-US" w:bidi="en-US"/>
        </w:rPr>
      </w:r>
    </w:p>
  </w:comment>
  <w:comment w:id="2" w:author="Pierre Dieumegard" w:date="2022-06-06T14:27:08Z" w:initials="">
    <w:p>
      <w:r>
        <w:rPr>
          <w:rFonts w:ascii="Times New Roman" w:hAnsi="Times New Roman" w:eastAsia="Segoe UI" w:cs="Tahoma"/>
          <w:color w:val="auto"/>
          <w:kern w:val="0"/>
          <w:sz w:val="24"/>
          <w:szCs w:val="24"/>
          <w:lang w:val="en-US" w:eastAsia="en-US" w:bidi="en-US"/>
        </w:rPr>
        <w:t>podivné uskupení</w:t>
      </w:r>
    </w:p>
    <w:p>
      <w:r>
        <w:rPr>
          <w:rFonts w:ascii="Times New Roman" w:hAnsi="Times New Roman" w:eastAsia="Segoe UI" w:cs="Tahoma"/>
          <w:color w:val="auto"/>
          <w:kern w:val="0"/>
          <w:sz w:val="24"/>
          <w:szCs w:val="24"/>
          <w:lang w:val="en-US" w:eastAsia="en-US" w:bidi="en-US"/>
        </w:rPr>
      </w:r>
    </w:p>
  </w:comment>
  <w:comment w:id="3" w:author="Pierre Dieumegard" w:date="2022-06-06T14:28:05Z" w:initials="">
    <w:p>
      <w:r>
        <w:rPr>
          <w:rFonts w:ascii="Times New Roman" w:hAnsi="Times New Roman" w:eastAsia="Segoe UI" w:cs="Tahoma"/>
          <w:color w:val="auto"/>
          <w:kern w:val="0"/>
          <w:sz w:val="24"/>
          <w:szCs w:val="24"/>
          <w:lang w:val="en-US" w:eastAsia="en-US" w:bidi="en-US"/>
        </w:rPr>
        <w:t>podivné uskupení</w:t>
      </w:r>
    </w:p>
    <w:p>
      <w:r>
        <w:rPr>
          <w:rFonts w:ascii="Times New Roman" w:hAnsi="Times New Roman" w:eastAsia="Segoe UI" w:cs="Tahoma"/>
          <w:color w:val="auto"/>
          <w:kern w:val="0"/>
          <w:sz w:val="24"/>
          <w:szCs w:val="24"/>
          <w:lang w:val="en-US" w:eastAsia="en-US" w:bidi="en-US"/>
        </w:rPr>
      </w:r>
    </w:p>
  </w:comment>
  <w:comment w:id="4" w:author="Pierre Dieumegard" w:date="2022-06-06T13:23:23Z" w:initials="">
    <w:p>
      <w:r>
        <w:rPr>
          <w:rFonts w:ascii="Times New Roman" w:hAnsi="Times New Roman" w:eastAsia="Segoe UI" w:cs="Tahoma"/>
          <w:color w:val="auto"/>
          <w:kern w:val="0"/>
          <w:sz w:val="24"/>
          <w:szCs w:val="24"/>
          <w:lang w:val="en-US" w:eastAsia="en-US" w:bidi="en-US"/>
        </w:rPr>
        <w:t>kurzívou v úvodní zprávě ve francouzštině</w:t>
      </w:r>
    </w:p>
    <w:p>
      <w:r>
        <w:rPr>
          <w:rFonts w:ascii="Times New Roman" w:hAnsi="Times New Roman" w:eastAsia="Segoe UI" w:cs="Tahoma"/>
          <w:color w:val="auto"/>
          <w:kern w:val="0"/>
          <w:sz w:val="24"/>
          <w:szCs w:val="24"/>
          <w:lang w:val="en-US" w:eastAsia="en-US" w:bidi="en-US"/>
        </w:rPr>
      </w:r>
    </w:p>
  </w:comment>
  <w:comment w:id="5" w:author="Pierre Dieumegard" w:date="2022-06-06T13:58:33Z" w:initials="">
    <w:p>
      <w:r>
        <w:rPr>
          <w:rFonts w:ascii="Times New Roman" w:hAnsi="Times New Roman" w:eastAsia="Segoe UI" w:cs="Tahoma"/>
          <w:color w:val="auto"/>
          <w:kern w:val="0"/>
          <w:sz w:val="24"/>
          <w:szCs w:val="24"/>
          <w:lang w:val="en-US" w:eastAsia="en-US" w:bidi="en-US"/>
        </w:rPr>
        <w:t>originál byl „soudruh“</w:t>
      </w:r>
    </w:p>
    <w:p>
      <w:r>
        <w:rPr>
          <w:rFonts w:ascii="Times New Roman" w:hAnsi="Times New Roman" w:eastAsia="Segoe UI" w:cs="Tahoma"/>
          <w:color w:val="auto"/>
          <w:kern w:val="0"/>
          <w:sz w:val="24"/>
          <w:szCs w:val="24"/>
          <w:lang w:val="en-US" w:eastAsia="en-US" w:bidi="en-US"/>
        </w:rPr>
      </w:r>
    </w:p>
  </w:comment>
  <w:comment w:id="6" w:author="Pierre Dieumegard" w:date="2022-06-06T14:46:32Z" w:initials="">
    <w:p>
      <w:r>
        <w:rPr>
          <w:rFonts w:ascii="Times New Roman" w:hAnsi="Times New Roman" w:eastAsia="Segoe UI" w:cs="Tahoma"/>
          <w:color w:val="auto"/>
          <w:kern w:val="0"/>
          <w:sz w:val="24"/>
          <w:szCs w:val="24"/>
          <w:lang w:val="en-US" w:eastAsia="en-US" w:bidi="en-US"/>
        </w:rPr>
        <w:t>Přidal jsem „s“ (plurální poskytnuté s daněmi)</w:t>
      </w:r>
    </w:p>
    <w:p>
      <w:r>
        <w:rPr>
          <w:rFonts w:ascii="Times New Roman" w:hAnsi="Times New Roman" w:eastAsia="Segoe UI" w:cs="Tahoma"/>
          <w:color w:val="auto"/>
          <w:kern w:val="0"/>
          <w:sz w:val="24"/>
          <w:szCs w:val="24"/>
          <w:lang w:val="en-US" w:eastAsia="en-US" w:bidi="en-US"/>
        </w:rPr>
      </w:r>
    </w:p>
  </w:comment>
  <w:comment w:id="7" w:author="Pierre Dieumegard" w:date="2022-08-29T08:11:11Z" w:initials="PD">
    <w:p>
      <w:r>
        <w:rPr>
          <w:rFonts w:ascii="Times New Roman" w:hAnsi="Times New Roman" w:eastAsia="Segoe UI" w:cs="Tahoma"/>
          <w:color w:val="auto"/>
          <w:kern w:val="0"/>
          <w:sz w:val="24"/>
          <w:szCs w:val="24"/>
          <w:lang w:val="en-US" w:eastAsia="en-US" w:bidi="en-US"/>
        </w:rPr>
        <w:t>Přidal jsem pomlčku</w:t>
      </w:r>
    </w:p>
    <w:p>
      <w:r>
        <w:rPr>
          <w:rFonts w:ascii="Times New Roman" w:hAnsi="Times New Roman" w:eastAsia="Segoe UI" w:cs="Tahoma"/>
          <w:color w:val="auto"/>
          <w:kern w:val="0"/>
          <w:sz w:val="24"/>
          <w:szCs w:val="24"/>
          <w:lang w:val="en-US" w:eastAsia="en-US" w:bidi="en-US"/>
        </w:rPr>
      </w:r>
    </w:p>
  </w:comment>
  <w:comment w:id="8" w:author="Pierre Dieumegard" w:date="2022-06-06T14:18:46Z" w:initials="">
    <w:p>
      <w:r>
        <w:rPr>
          <w:rFonts w:ascii="Times New Roman" w:hAnsi="Times New Roman" w:eastAsia="Segoe UI" w:cs="Tahoma"/>
          <w:color w:val="auto"/>
          <w:kern w:val="0"/>
          <w:sz w:val="24"/>
          <w:szCs w:val="24"/>
          <w:lang w:val="en-US" w:eastAsia="en-US" w:bidi="en-US"/>
        </w:rPr>
        <w:t>přidáno velké písmeno</w:t>
      </w:r>
    </w:p>
    <w:p>
      <w:r>
        <w:rPr>
          <w:rFonts w:ascii="Times New Roman" w:hAnsi="Times New Roman" w:eastAsia="Segoe UI" w:cs="Tahoma"/>
          <w:color w:val="auto"/>
          <w:kern w:val="0"/>
          <w:sz w:val="24"/>
          <w:szCs w:val="24"/>
          <w:lang w:val="en-US" w:eastAsia="en-US" w:bidi="en-US"/>
        </w:rPr>
      </w:r>
    </w:p>
  </w:comment>
  <w:comment w:id="9" w:author="Pierre Dieumegard" w:date="2022-06-06T17:20:38Z" w:initials="">
    <w:p>
      <w:r>
        <w:rPr>
          <w:rFonts w:ascii="Times New Roman" w:hAnsi="Times New Roman" w:eastAsia="Segoe UI" w:cs="Tahoma"/>
          <w:color w:val="auto"/>
          <w:kern w:val="0"/>
          <w:sz w:val="24"/>
          <w:szCs w:val="24"/>
          <w:lang w:val="en-US" w:eastAsia="en-US" w:bidi="en-US"/>
        </w:rPr>
        <w:t>Odstranil jsem „s“</w:t>
      </w:r>
    </w:p>
    <w:p>
      <w:r>
        <w:rPr>
          <w:rFonts w:ascii="Times New Roman" w:hAnsi="Times New Roman" w:eastAsia="Segoe UI" w:cs="Tahoma"/>
          <w:color w:val="auto"/>
          <w:kern w:val="0"/>
          <w:sz w:val="24"/>
          <w:szCs w:val="24"/>
          <w:lang w:val="en-US" w:eastAsia="en-US" w:bidi="en-US"/>
        </w:rPr>
      </w:r>
    </w:p>
  </w:comment>
  <w:comment w:id="10" w:author="Pierre Dieumegard" w:date="2022-08-29T12:33:01Z" w:initials="PD">
    <w:p>
      <w:r>
        <w:rPr>
          <w:rFonts w:ascii="Times New Roman" w:hAnsi="Times New Roman" w:eastAsia="Segoe UI" w:cs="Tahoma"/>
          <w:color w:val="auto"/>
          <w:kern w:val="0"/>
          <w:sz w:val="24"/>
          <w:szCs w:val="24"/>
          <w:lang w:val="en-US" w:eastAsia="en-US" w:bidi="en-US"/>
        </w:rPr>
        <w:t>originál měl palubní desku; Nevím, co je to palubní deska; Proto jsem požádal společnost Google o překlad anglického textu, který uváděl „dashboard“, což je ve francouzštině srozumitelné. eTranslation rovněž označuje „dashboard“</w:t>
      </w:r>
    </w:p>
    <w:p>
      <w:r>
        <w:rPr>
          <w:rFonts w:ascii="Times New Roman" w:hAnsi="Times New Roman" w:eastAsia="Segoe UI" w:cs="Tahoma"/>
          <w:color w:val="auto"/>
          <w:kern w:val="0"/>
          <w:sz w:val="24"/>
          <w:szCs w:val="24"/>
          <w:lang w:val="en-US" w:eastAsia="en-US" w:bidi="en-US"/>
        </w:rPr>
      </w:r>
    </w:p>
  </w:comment>
  <w:comment w:id="11" w:author="Pierre Dieumegard" w:date="2022-08-29T12:37:22Z" w:initials="PD">
    <w:p>
      <w:r>
        <w:rPr>
          <w:rFonts w:ascii="Times New Roman" w:hAnsi="Times New Roman" w:eastAsia="Segoe UI" w:cs="Tahoma"/>
          <w:color w:val="auto"/>
          <w:kern w:val="0"/>
          <w:sz w:val="24"/>
          <w:szCs w:val="24"/>
          <w:lang w:val="en-US" w:eastAsia="en-US" w:bidi="en-US"/>
        </w:rPr>
        <w:t>Dal jsem si velký dopis.</w:t>
      </w:r>
    </w:p>
    <w:p>
      <w:r>
        <w:rPr>
          <w:rFonts w:ascii="Times New Roman" w:hAnsi="Times New Roman" w:eastAsia="Segoe UI" w:cs="Tahoma"/>
          <w:color w:val="auto"/>
          <w:kern w:val="0"/>
          <w:sz w:val="24"/>
          <w:szCs w:val="24"/>
          <w:lang w:val="en-US" w:eastAsia="en-US" w:bidi="en-US"/>
        </w:rPr>
      </w:r>
    </w:p>
  </w:comment>
  <w:comment w:id="12" w:author="Pierre Dieumegard" w:date="2022-08-29T12:38:48Z" w:initials="PD">
    <w:p>
      <w:r>
        <w:rPr>
          <w:rFonts w:ascii="Times New Roman" w:hAnsi="Times New Roman" w:eastAsia="Segoe UI" w:cs="Tahoma"/>
          <w:color w:val="auto"/>
          <w:kern w:val="0"/>
          <w:sz w:val="24"/>
          <w:szCs w:val="24"/>
          <w:lang w:val="en-US" w:eastAsia="en-US" w:bidi="en-US"/>
        </w:rPr>
        <w:t>Přidal jsem „e“</w:t>
      </w:r>
    </w:p>
    <w:p>
      <w:r>
        <w:rPr>
          <w:rFonts w:ascii="Times New Roman" w:hAnsi="Times New Roman" w:eastAsia="Segoe UI" w:cs="Tahoma"/>
          <w:color w:val="auto"/>
          <w:kern w:val="0"/>
          <w:sz w:val="24"/>
          <w:szCs w:val="24"/>
          <w:lang w:val="en-US" w:eastAsia="en-US" w:bidi="en-US"/>
        </w:rPr>
      </w:r>
    </w:p>
  </w:comment>
  <w:comment w:id="13" w:author="Pierre Dieumegard" w:date="2022-06-06T17:22:56Z" w:initials="">
    <w:p>
      <w:r>
        <w:rPr>
          <w:rFonts w:ascii="Times New Roman" w:hAnsi="Times New Roman" w:eastAsia="Segoe UI" w:cs="Tahoma"/>
          <w:color w:val="auto"/>
          <w:kern w:val="0"/>
          <w:sz w:val="24"/>
          <w:szCs w:val="24"/>
          <w:lang w:val="en-US" w:eastAsia="en-US" w:bidi="en-US"/>
        </w:rPr>
        <w:t>Přidal jsem „s“</w:t>
      </w:r>
    </w:p>
    <w:p>
      <w:r>
        <w:rPr>
          <w:rFonts w:ascii="Times New Roman" w:hAnsi="Times New Roman" w:eastAsia="Segoe UI" w:cs="Tahoma"/>
          <w:color w:val="auto"/>
          <w:kern w:val="0"/>
          <w:sz w:val="24"/>
          <w:szCs w:val="24"/>
          <w:lang w:val="en-US" w:eastAsia="en-US" w:bidi="en-US"/>
        </w:rPr>
      </w:r>
    </w:p>
  </w:comment>
  <w:comment w:id="14" w:author="Pierre Dieumegard" w:date="2022-08-29T12:46:15Z" w:initials="PD">
    <w:p>
      <w:r>
        <w:rPr>
          <w:rFonts w:ascii="Times New Roman" w:hAnsi="Times New Roman" w:eastAsia="Segoe UI" w:cs="Tahoma"/>
          <w:color w:val="auto"/>
          <w:kern w:val="0"/>
          <w:sz w:val="24"/>
          <w:szCs w:val="24"/>
          <w:lang w:val="en-US" w:eastAsia="en-US" w:bidi="en-US"/>
        </w:rPr>
        <w:t>originál měl „referenda“; stejně jako jinde existuje „referendum“ s akcenty, množné číslo musí být „referenda“ při používání latinské deklinace.</w:t>
      </w:r>
    </w:p>
    <w:p>
      <w:r>
        <w:rPr>
          <w:rFonts w:ascii="Times New Roman" w:hAnsi="Times New Roman" w:eastAsia="Segoe UI" w:cs="Tahoma"/>
          <w:color w:val="auto"/>
          <w:kern w:val="0"/>
          <w:sz w:val="24"/>
          <w:szCs w:val="24"/>
          <w:lang w:val="en-US" w:eastAsia="en-US" w:bidi="en-US"/>
        </w:rPr>
        <w:t xml:space="preserve">viz https://www.larousse.fr/dictionnaires/francais/r%C3%A9f%C3%A9rendum/67445 </w:t>
      </w:r>
    </w:p>
    <w:p>
      <w:r>
        <w:rPr>
          <w:rFonts w:ascii="Times New Roman" w:hAnsi="Times New Roman" w:eastAsia="Segoe UI" w:cs="Tahoma"/>
          <w:color w:val="auto"/>
          <w:kern w:val="0"/>
          <w:sz w:val="24"/>
          <w:szCs w:val="24"/>
          <w:lang w:val="en-US" w:eastAsia="en-US" w:bidi="en-US"/>
        </w:rPr>
      </w:r>
    </w:p>
  </w:comment>
  <w:comment w:id="15" w:author="Pierre Dieumegard" w:date="2022-08-29T17:51:01Z" w:initials="PD">
    <w:p>
      <w:r>
        <w:rPr>
          <w:rFonts w:ascii="Times New Roman" w:hAnsi="Times New Roman" w:eastAsia="Segoe UI" w:cs="Tahoma"/>
          <w:color w:val="auto"/>
          <w:kern w:val="0"/>
          <w:sz w:val="24"/>
          <w:szCs w:val="24"/>
          <w:lang w:val="en-US" w:eastAsia="en-US" w:bidi="en-US"/>
        </w:rPr>
        <w:t>také tam byla „referenda“.</w:t>
      </w:r>
    </w:p>
    <w:p>
      <w:r>
        <w:rPr>
          <w:rFonts w:ascii="Times New Roman" w:hAnsi="Times New Roman" w:eastAsia="Segoe UI" w:cs="Tahoma"/>
          <w:color w:val="auto"/>
          <w:kern w:val="0"/>
          <w:sz w:val="24"/>
          <w:szCs w:val="24"/>
          <w:lang w:val="en-US" w:eastAsia="en-US" w:bidi="en-US"/>
        </w:rPr>
      </w:r>
    </w:p>
  </w:comment>
  <w:comment w:id="16" w:author="Pierre Dieumegard" w:date="2022-06-06T17:43:08Z" w:initials="">
    <w:p>
      <w:r>
        <w:rPr>
          <w:rFonts w:ascii="Times New Roman" w:hAnsi="Times New Roman" w:eastAsia="Segoe UI" w:cs="Tahoma"/>
          <w:color w:val="auto"/>
          <w:kern w:val="0"/>
          <w:sz w:val="24"/>
          <w:szCs w:val="24"/>
          <w:lang w:val="en-US" w:eastAsia="en-US" w:bidi="en-US"/>
        </w:rPr>
        <w:t>Originál měl „na seznamech mechanismů zásuvky“? Nerozumím tomu, tak jsem přeložila z anglické verze.</w:t>
      </w:r>
    </w:p>
    <w:p>
      <w:r>
        <w:rPr>
          <w:rFonts w:ascii="Times New Roman" w:hAnsi="Times New Roman" w:eastAsia="Segoe UI" w:cs="Tahoma"/>
          <w:color w:val="auto"/>
          <w:kern w:val="0"/>
          <w:sz w:val="24"/>
          <w:szCs w:val="24"/>
          <w:lang w:val="en-US" w:eastAsia="en-US" w:bidi="en-US"/>
        </w:rPr>
      </w:r>
    </w:p>
  </w:comment>
  <w:comment w:id="17" w:author="Pierre Dieumegard" w:date="2022-08-30T08:36:59Z" w:initials="PD">
    <w:p>
      <w:r>
        <w:rPr>
          <w:rFonts w:ascii="Times New Roman" w:hAnsi="Times New Roman" w:eastAsia="Segoe UI" w:cs="Tahoma"/>
          <w:color w:val="auto"/>
          <w:kern w:val="0"/>
          <w:sz w:val="24"/>
          <w:szCs w:val="24"/>
          <w:lang w:val="en-US" w:eastAsia="en-US" w:bidi="en-US"/>
        </w:rPr>
        <w:t>Originál ve francouzštině byl „internetová stránka veřejného ochránce práv je dobře vyrobena, ale není evropskou značkou“. Výraz „značka“ je nepochopitelný. Web veřejného ochránce práv je dobře vytvořen, ale nemá správný evropský’obrázek’, takže ho nahradím srozumitelnějším přímým překladem angličtiny.</w:t>
      </w:r>
    </w:p>
    <w:p>
      <w:r>
        <w:rPr>
          <w:rFonts w:ascii="Times New Roman" w:hAnsi="Times New Roman" w:eastAsia="Segoe UI" w:cs="Tahoma"/>
          <w:color w:val="auto"/>
          <w:kern w:val="0"/>
          <w:sz w:val="24"/>
          <w:szCs w:val="24"/>
          <w:lang w:val="en-US" w:eastAsia="en-US" w:bidi="en-US"/>
        </w:rPr>
      </w:r>
    </w:p>
  </w:comment>
  <w:comment w:id="18" w:author="Pierre Dieumegard" w:date="2022-08-30T08:40:11Z" w:initials="PD">
    <w:p>
      <w:r>
        <w:rPr>
          <w:rFonts w:ascii="Times New Roman" w:hAnsi="Times New Roman" w:eastAsia="Segoe UI" w:cs="Tahoma"/>
          <w:color w:val="auto"/>
          <w:kern w:val="0"/>
          <w:sz w:val="24"/>
          <w:szCs w:val="24"/>
          <w:lang w:val="en-US" w:eastAsia="en-US" w:bidi="en-US"/>
        </w:rPr>
        <w:t>originál ve francouzštině byl „veřejný“, který nebyl poskytnut s „konzultací“. Byla to veřejná konzultace nebo veřejná konzultace?</w:t>
      </w:r>
    </w:p>
    <w:p>
      <w:r>
        <w:rPr>
          <w:rFonts w:ascii="Times New Roman" w:hAnsi="Times New Roman" w:eastAsia="Segoe UI" w:cs="Tahoma"/>
          <w:color w:val="auto"/>
          <w:kern w:val="0"/>
          <w:sz w:val="24"/>
          <w:szCs w:val="24"/>
          <w:lang w:val="en-US" w:eastAsia="en-US" w:bidi="en-US"/>
        </w:rPr>
      </w:r>
    </w:p>
  </w:comment>
  <w:comment w:id="19" w:author="Pierre Dieumegard" w:date="2022-06-06T17:46:19Z" w:initials="">
    <w:p>
      <w:r>
        <w:rPr>
          <w:rFonts w:ascii="Times New Roman" w:hAnsi="Times New Roman" w:eastAsia="Segoe UI" w:cs="Tahoma"/>
          <w:color w:val="auto"/>
          <w:kern w:val="0"/>
          <w:sz w:val="24"/>
          <w:szCs w:val="24"/>
          <w:lang w:val="en-US" w:eastAsia="en-US" w:bidi="en-US"/>
        </w:rPr>
        <w:t>byli tam „anglové“</w:t>
      </w:r>
    </w:p>
    <w:p>
      <w:r>
        <w:rPr>
          <w:rFonts w:ascii="Times New Roman" w:hAnsi="Times New Roman" w:eastAsia="Segoe UI" w:cs="Tahoma"/>
          <w:color w:val="auto"/>
          <w:kern w:val="0"/>
          <w:sz w:val="24"/>
          <w:szCs w:val="24"/>
          <w:lang w:val="en-US" w:eastAsia="en-US" w:bidi="en-US"/>
        </w:rPr>
      </w:r>
    </w:p>
  </w:comment>
  <w:comment w:id="20" w:author="Pierre Dieumegard" w:date="2022-08-30T08:42:49Z" w:initials="PD">
    <w:p>
      <w:r>
        <w:rPr>
          <w:rFonts w:ascii="Times New Roman" w:hAnsi="Times New Roman" w:eastAsia="Segoe UI" w:cs="Tahoma"/>
          <w:color w:val="auto"/>
          <w:kern w:val="0"/>
          <w:sz w:val="24"/>
          <w:szCs w:val="24"/>
          <w:lang w:val="en-US" w:eastAsia="en-US" w:bidi="en-US"/>
        </w:rPr>
        <w:t>přidána velká písmena (obchodní názvy)</w:t>
      </w:r>
    </w:p>
    <w:p>
      <w:r>
        <w:rPr>
          <w:rFonts w:ascii="Times New Roman" w:hAnsi="Times New Roman" w:eastAsia="Segoe UI" w:cs="Tahoma"/>
          <w:color w:val="auto"/>
          <w:kern w:val="0"/>
          <w:sz w:val="24"/>
          <w:szCs w:val="24"/>
          <w:lang w:val="en-US" w:eastAsia="en-US" w:bidi="en-US"/>
        </w:rPr>
      </w:r>
    </w:p>
  </w:comment>
  <w:comment w:id="21" w:author="Pierre Dieumegard" w:date="2022-06-08T10:37:42Z" w:initials="">
    <w:p>
      <w:r>
        <w:rPr>
          <w:rFonts w:ascii="Times New Roman" w:hAnsi="Times New Roman" w:eastAsia="Segoe UI" w:cs="Tahoma"/>
          <w:color w:val="auto"/>
          <w:kern w:val="0"/>
          <w:sz w:val="24"/>
          <w:szCs w:val="24"/>
          <w:lang w:val="en-US" w:eastAsia="en-US" w:bidi="en-US"/>
        </w:rPr>
        <w:t>slova „la“ se nahrazují slovy „The“</w:t>
      </w:r>
    </w:p>
    <w:p>
      <w:r>
        <w:rPr>
          <w:rFonts w:ascii="Times New Roman" w:hAnsi="Times New Roman" w:eastAsia="Segoe UI" w:cs="Tahoma"/>
          <w:color w:val="auto"/>
          <w:kern w:val="0"/>
          <w:sz w:val="24"/>
          <w:szCs w:val="24"/>
          <w:lang w:val="en-US" w:eastAsia="en-US" w:bidi="en-US"/>
        </w:rPr>
      </w:r>
    </w:p>
  </w:comment>
  <w:comment w:id="22" w:author="Pierre Dieumegard" w:date="2022-06-08T10:42:55Z" w:initials="">
    <w:p>
      <w:r>
        <w:rPr>
          <w:rFonts w:ascii="Times New Roman" w:hAnsi="Times New Roman" w:eastAsia="Segoe UI" w:cs="Tahoma"/>
          <w:color w:val="auto"/>
          <w:kern w:val="0"/>
          <w:sz w:val="24"/>
          <w:szCs w:val="24"/>
          <w:lang w:val="en-US" w:eastAsia="en-US" w:bidi="en-US"/>
        </w:rPr>
        <w:t>slovo „take“ se nahrazuje slovem „take“</w:t>
      </w:r>
    </w:p>
    <w:p>
      <w:r>
        <w:rPr>
          <w:rFonts w:ascii="Times New Roman" w:hAnsi="Times New Roman" w:eastAsia="Segoe UI" w:cs="Tahoma"/>
          <w:color w:val="auto"/>
          <w:kern w:val="0"/>
          <w:sz w:val="24"/>
          <w:szCs w:val="24"/>
          <w:lang w:val="en-US" w:eastAsia="en-US" w:bidi="en-US"/>
        </w:rPr>
      </w:r>
    </w:p>
  </w:comment>
  <w:comment w:id="23" w:author="Pierre Dieumegard" w:date="2022-08-31T22:23:22Z" w:initials="PD">
    <w:p>
      <w:r>
        <w:rPr>
          <w:rFonts w:ascii="Times New Roman" w:hAnsi="Times New Roman" w:eastAsia="Segoe UI" w:cs="Tahoma"/>
          <w:color w:val="auto"/>
          <w:kern w:val="0"/>
          <w:sz w:val="24"/>
          <w:szCs w:val="24"/>
          <w:lang w:val="en-US" w:eastAsia="en-US" w:bidi="en-US"/>
        </w:rPr>
        <w:t>odstranění „s“</w:t>
      </w:r>
    </w:p>
    <w:p>
      <w:r>
        <w:rPr>
          <w:rFonts w:ascii="Times New Roman" w:hAnsi="Times New Roman" w:eastAsia="Segoe UI" w:cs="Tahoma"/>
          <w:color w:val="auto"/>
          <w:kern w:val="0"/>
          <w:sz w:val="24"/>
          <w:szCs w:val="24"/>
          <w:lang w:val="en-US" w:eastAsia="en-US" w:bidi="en-US"/>
        </w:rPr>
      </w:r>
    </w:p>
  </w:comment>
  <w:comment w:id="24" w:author="Pierre Dieumegard" w:date="2022-08-31T22:24:16Z" w:initials="PD">
    <w:p>
      <w:r>
        <w:rPr>
          <w:rFonts w:ascii="Times New Roman" w:hAnsi="Times New Roman" w:eastAsia="Segoe UI" w:cs="Tahoma"/>
          <w:color w:val="auto"/>
          <w:kern w:val="0"/>
          <w:sz w:val="24"/>
          <w:szCs w:val="24"/>
          <w:lang w:val="en-US" w:eastAsia="en-US" w:bidi="en-US"/>
        </w:rPr>
        <w:t>přidáno’s’</w:t>
      </w:r>
    </w:p>
    <w:p>
      <w:r>
        <w:rPr>
          <w:rFonts w:ascii="Times New Roman" w:hAnsi="Times New Roman" w:eastAsia="Segoe UI" w:cs="Tahoma"/>
          <w:color w:val="auto"/>
          <w:kern w:val="0"/>
          <w:sz w:val="24"/>
          <w:szCs w:val="24"/>
          <w:lang w:val="en-US" w:eastAsia="en-US" w:bidi="en-US"/>
        </w:rPr>
      </w:r>
    </w:p>
  </w:comment>
  <w:comment w:id="25" w:author="Pierre Dieumegard" w:date="2022-08-31T22:58:08Z" w:initials="PD">
    <w:p>
      <w:r>
        <w:rPr>
          <w:rFonts w:ascii="Times New Roman" w:hAnsi="Times New Roman" w:eastAsia="Segoe UI" w:cs="Tahoma"/>
          <w:color w:val="auto"/>
          <w:kern w:val="0"/>
          <w:sz w:val="24"/>
          <w:szCs w:val="24"/>
          <w:lang w:val="en-US" w:eastAsia="en-US" w:bidi="en-US"/>
        </w:rPr>
        <w:t>Nerozumím „swiperu“</w:t>
      </w:r>
    </w:p>
    <w:p>
      <w:r>
        <w:rPr>
          <w:rFonts w:ascii="Times New Roman" w:hAnsi="Times New Roman" w:eastAsia="Segoe UI" w:cs="Tahoma"/>
          <w:color w:val="auto"/>
          <w:kern w:val="0"/>
          <w:sz w:val="24"/>
          <w:szCs w:val="24"/>
          <w:lang w:val="en-US" w:eastAsia="en-US" w:bidi="en-US"/>
        </w:rPr>
      </w:r>
    </w:p>
  </w:comment>
  <w:comment w:id="26" w:author="Pierre Dieumegard" w:date="2022-06-08T10:46:29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27" w:author="Pierre Dieumegard" w:date="2022-06-07T19:00:57Z" w:initials="">
    <w:p>
      <w:r>
        <w:rPr>
          <w:rFonts w:ascii="Times New Roman" w:hAnsi="Times New Roman" w:eastAsia="Segoe UI" w:cs="Tahoma"/>
          <w:color w:val="auto"/>
          <w:kern w:val="0"/>
          <w:sz w:val="24"/>
          <w:szCs w:val="24"/>
          <w:lang w:val="en-US" w:eastAsia="en-US" w:bidi="en-US"/>
        </w:rPr>
        <w:t>přidáno „s“</w:t>
      </w:r>
    </w:p>
    <w:p>
      <w:r>
        <w:rPr>
          <w:rFonts w:ascii="Times New Roman" w:hAnsi="Times New Roman" w:eastAsia="Segoe UI" w:cs="Tahoma"/>
          <w:color w:val="auto"/>
          <w:kern w:val="0"/>
          <w:sz w:val="24"/>
          <w:szCs w:val="24"/>
          <w:lang w:val="en-US" w:eastAsia="en-US" w:bidi="en-US"/>
        </w:rPr>
      </w:r>
    </w:p>
  </w:comment>
  <w:comment w:id="28" w:author="Pierre Dieumegard" w:date="2022-06-07T19:04:10Z" w:initials="">
    <w:p>
      <w:r>
        <w:rPr>
          <w:rFonts w:ascii="Times New Roman" w:hAnsi="Times New Roman" w:eastAsia="Segoe UI" w:cs="Tahoma"/>
          <w:color w:val="auto"/>
          <w:kern w:val="0"/>
          <w:sz w:val="24"/>
          <w:szCs w:val="24"/>
          <w:lang w:val="en-US" w:eastAsia="en-US" w:bidi="en-US"/>
        </w:rPr>
        <w:t>název ve dvou cizích jazycích: divný</w:t>
      </w:r>
    </w:p>
    <w:p>
      <w:r>
        <w:rPr>
          <w:rFonts w:ascii="Times New Roman" w:hAnsi="Times New Roman" w:eastAsia="Segoe UI" w:cs="Tahoma"/>
          <w:color w:val="auto"/>
          <w:kern w:val="0"/>
          <w:sz w:val="24"/>
          <w:szCs w:val="24"/>
          <w:lang w:val="en-US" w:eastAsia="en-US" w:bidi="en-US"/>
        </w:rPr>
      </w:r>
    </w:p>
  </w:comment>
  <w:comment w:id="29" w:author="Pierre Dieumegard" w:date="2022-06-08T10:54:13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30" w:author="Pierre Dieumegard" w:date="2022-06-08T10:54:40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31" w:author="Pierre Dieumegard" w:date="2022-06-08T10:56:48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s>
</file>

<file path=word/endnotes.xml><?xml version="1.0" encoding="utf-8"?>
<w:end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endnote w:id="0" w:type="separator">
    <w:p>
      <w:r>
        <w:separator/>
      </w:r>
    </w:p>
  </w:endnote>
  <w:endnote w:id="1" w:type="continuationSeparator">
    <w:p>
      <w:r>
        <w:continuationSeparator/>
      </w:r>
    </w:p>
  </w:endnote>
  <w:endnote w:id="2">
    <w:p>
      <w:pPr>
        <w:pStyle w:val="Notedefin"/>
        <w:spacing w:before="57" w:after="57"/>
        <w:rPr/>
      </w:pPr>
      <w:r>
        <w:rPr>
          <w:rStyle w:val="Caractresdenotedefin"/>
        </w:rPr>
        <w:endnoteRef/>
      </w:r>
      <w:r>
        <w:rPr/>
        <w:tab/>
      </w:r>
      <w:r>
        <w:rPr/>
        <w:t>Doporučení občanů, z nichž návrh vychází: #3, #17, #18, #19</w:t>
      </w:r>
    </w:p>
  </w:endnote>
  <w:endnote w:id="3">
    <w:p>
      <w:pPr>
        <w:pStyle w:val="Notedefin"/>
        <w:suppressLineNumbers/>
        <w:spacing w:before="57" w:after="57"/>
        <w:ind w:left="339" w:right="0" w:hanging="339"/>
        <w:rPr/>
      </w:pPr>
      <w:r>
        <w:rPr>
          <w:rStyle w:val="Caractresdenotedefin"/>
        </w:rPr>
        <w:endnoteRef/>
      </w:r>
      <w:r>
        <w:rPr/>
        <w:tab/>
      </w:r>
      <w:r>
        <w:rPr/>
        <w:t># = doporučení evropských panelových diskusí občanů.</w:t>
      </w:r>
    </w:p>
  </w:endnote>
  <w:endnote w:id="4">
    <w:p>
      <w:pPr>
        <w:pStyle w:val="Notedefin"/>
        <w:suppressLineNumbers/>
        <w:spacing w:before="57" w:after="57"/>
        <w:ind w:left="339" w:right="0" w:hanging="339"/>
        <w:rPr/>
      </w:pPr>
      <w:r>
        <w:rPr>
          <w:rStyle w:val="Caractresdenotedefin"/>
        </w:rPr>
        <w:endnoteRef/>
      </w:r>
      <w:r>
        <w:rPr/>
        <w:tab/>
      </w:r>
      <w:r>
        <w:rPr/>
        <w:t>Doporučení občanů, z nichž návrh vychází: #39, #40, #41, #42, #43, NL1, NL2, #51</w:t>
      </w:r>
    </w:p>
  </w:endnote>
  <w:endnote w:id="5">
    <w:p>
      <w:pPr>
        <w:pStyle w:val="Notedefin"/>
        <w:suppressLineNumbers/>
        <w:spacing w:before="57" w:after="57"/>
        <w:ind w:left="339" w:right="0" w:hanging="339"/>
        <w:rPr/>
      </w:pPr>
      <w:r>
        <w:rPr>
          <w:rStyle w:val="Caractresdenotedefin"/>
        </w:rPr>
        <w:endnoteRef/>
      </w:r>
      <w:r>
        <w:rPr/>
        <w:tab/>
      </w:r>
      <w:r>
        <w:rPr/>
        <w:t>Doporučení národního panelu občanů</w:t>
      </w:r>
    </w:p>
  </w:endnote>
  <w:endnote w:id="6">
    <w:p>
      <w:pPr>
        <w:pStyle w:val="Notedefin"/>
        <w:suppressLineNumbers/>
        <w:spacing w:before="57" w:after="57"/>
        <w:ind w:left="339" w:right="0" w:hanging="339"/>
        <w:rPr/>
      </w:pPr>
      <w:r>
        <w:rPr>
          <w:rStyle w:val="Caractresdenotedefin"/>
        </w:rPr>
        <w:endnoteRef/>
      </w:r>
      <w:r>
        <w:rPr/>
        <w:tab/>
      </w:r>
      <w:r>
        <w:rPr/>
        <w:t>Doporučení občanů, z nichž návrh vychází: #44, #45, #46, #47, #50</w:t>
      </w:r>
    </w:p>
  </w:endnote>
  <w:endnote w:id="7">
    <w:p>
      <w:pPr>
        <w:pStyle w:val="Notedefin"/>
        <w:suppressLineNumbers/>
        <w:spacing w:before="57" w:after="57"/>
        <w:ind w:left="339" w:right="0" w:hanging="339"/>
        <w:rPr/>
      </w:pPr>
      <w:r>
        <w:rPr>
          <w:rStyle w:val="Caractresdenotedefin"/>
        </w:rPr>
        <w:endnoteRef/>
      </w:r>
      <w:r>
        <w:rPr/>
        <w:tab/>
      </w:r>
      <w:r>
        <w:rPr/>
        <w:t>Doporučení občanů, z nichž návrh vychází: #39, #40, #45, #48, #50, FRchangement8, FRswait11, #51</w:t>
      </w:r>
    </w:p>
  </w:endnote>
  <w:endnote w:id="8">
    <w:p>
      <w:pPr>
        <w:pStyle w:val="Notedefin"/>
        <w:suppressLineNumbers/>
        <w:spacing w:before="57" w:after="57"/>
        <w:ind w:left="339" w:right="0" w:hanging="339"/>
        <w:rPr/>
      </w:pPr>
      <w:r>
        <w:rPr>
          <w:rStyle w:val="Caractresdenotedefin"/>
        </w:rPr>
        <w:endnoteRef/>
      </w:r>
      <w:r>
        <w:rPr/>
        <w:tab/>
      </w:r>
      <w:r>
        <w:rPr/>
        <w:t>Doporučení nizozemského panelu občanů se liší od doporučení evropského panelu občanů: tvrdí, že zdravotní a zdravotní péče by měla být primárně národní odpovědností [NL3].</w:t>
      </w:r>
    </w:p>
  </w:endnote>
  <w:endnote w:id="9">
    <w:p>
      <w:pPr>
        <w:pStyle w:val="Notedefin"/>
        <w:suppressLineNumbers/>
        <w:spacing w:before="57" w:after="57"/>
        <w:ind w:left="339" w:right="0" w:hanging="339"/>
        <w:rPr/>
      </w:pPr>
      <w:r>
        <w:rPr>
          <w:rStyle w:val="Caractresdenotedefin"/>
        </w:rPr>
        <w:endnoteRef/>
      </w:r>
      <w:r>
        <w:rPr/>
        <w:tab/>
      </w:r>
      <w:r>
        <w:rPr/>
        <w:t>Doporučení občanů, z nichž návrh vychází: Evropský panel občanů 1: 9, 10, 11, 12, 14; Česká republika: 1; Itálie: 1.1; V Litvě: 3, 8.</w:t>
      </w:r>
    </w:p>
  </w:endnote>
  <w:endnote w:id="10">
    <w:p>
      <w:pPr>
        <w:pStyle w:val="Notedefin"/>
        <w:suppressLineNumbers/>
        <w:spacing w:before="57" w:after="57"/>
        <w:ind w:left="339" w:right="0" w:hanging="339"/>
        <w:rPr/>
      </w:pPr>
      <w:r>
        <w:rPr>
          <w:rStyle w:val="Caractresdenotedefin"/>
        </w:rPr>
        <w:endnoteRef/>
      </w:r>
      <w:r>
        <w:rPr/>
        <w:tab/>
      </w:r>
      <w:r>
        <w:rPr/>
        <w:t>Doporučení občanů, z nichž návrh vychází: Evropský panel občanů 1: 10, 11 a 14; Německo: 2.1, 2.2; Česká republika: 1, 2; Francie: 3, 9; Itálie: 1,2, 1.3, 1.4, 1.5, 2.1, 2.2, 2,4, 4.a.2, 6.1; V Litvě: 1, 7.</w:t>
      </w:r>
    </w:p>
  </w:endnote>
  <w:endnote w:id="11">
    <w:p>
      <w:pPr>
        <w:pStyle w:val="Notedefin"/>
        <w:suppressLineNumbers/>
        <w:spacing w:before="57" w:after="57"/>
        <w:ind w:left="339" w:right="0" w:hanging="339"/>
        <w:rPr/>
      </w:pPr>
      <w:r>
        <w:rPr>
          <w:rStyle w:val="Caractresdenotedefin"/>
        </w:rPr>
        <w:endnoteRef/>
      </w:r>
      <w:r>
        <w:rPr/>
        <w:tab/>
      </w:r>
      <w:r>
        <w:rPr/>
        <w:t>Doporučení občanů, z nichž návrh vychází: Evropský panel občanů 1: 1, 2, 7, 28, 30; Německo: 4.1, 4.2; Česká republika: 4; Francie: 6; Itálie: 5.a.1, 5.a.4, 6.1, 6.2.</w:t>
      </w:r>
    </w:p>
  </w:endnote>
  <w:endnote w:id="12">
    <w:p>
      <w:pPr>
        <w:pStyle w:val="Notedefin"/>
        <w:suppressLineNumbers/>
        <w:spacing w:before="57" w:after="57"/>
        <w:ind w:left="339" w:right="0" w:hanging="339"/>
        <w:rPr/>
      </w:pPr>
      <w:r>
        <w:rPr>
          <w:rStyle w:val="Caractresdenotedefin"/>
        </w:rPr>
        <w:endnoteRef/>
      </w:r>
      <w:r>
        <w:rPr/>
        <w:tab/>
      </w:r>
      <w:r>
        <w:rPr/>
        <w:t>Doporučení občanů, z nichž návrh vychází: Evropský panel občanů 1: 19, 20, 21, 25; Itálie: 4.a.1.</w:t>
      </w:r>
    </w:p>
  </w:endnote>
  <w:endnote w:id="13">
    <w:p>
      <w:pPr>
        <w:pStyle w:val="Notedefin"/>
        <w:suppressLineNumbers/>
        <w:spacing w:before="57" w:after="57"/>
        <w:ind w:left="339" w:right="0" w:hanging="339"/>
        <w:rPr/>
      </w:pPr>
      <w:r>
        <w:rPr>
          <w:rStyle w:val="Caractresdenotedefin"/>
        </w:rPr>
        <w:endnoteRef/>
      </w:r>
      <w:r>
        <w:rPr/>
        <w:tab/>
        <w:t xml:space="preserve"> </w:t>
      </w:r>
      <w:r>
        <w:rPr/>
        <w:t>Doporučení občanů, z nichž návrh vychází: Evropský panel občanů 1: 21, 22, 23, 26, 27; Itálie: 5.a.1.</w:t>
      </w:r>
    </w:p>
  </w:endnote>
  <w:endnote w:id="14">
    <w:p>
      <w:pPr>
        <w:pStyle w:val="Notedefin"/>
        <w:suppressLineNumbers/>
        <w:spacing w:before="57" w:after="57"/>
        <w:ind w:left="339" w:right="0" w:hanging="339"/>
        <w:rPr/>
      </w:pPr>
      <w:r>
        <w:rPr>
          <w:rStyle w:val="Caractresdenotedefin"/>
        </w:rPr>
        <w:endnoteRef/>
      </w:r>
      <w:r>
        <w:rPr/>
        <w:tab/>
        <w:t xml:space="preserve"> </w:t>
      </w:r>
      <w:r>
        <w:rPr/>
        <w:t>Doporučení občanů, z nichž návrh vychází: Evropský panel občanů 1: 13, 31; Česká republika: 2.3; Itálie: 4.b.3, 4.b.6; V Litvě: 9, 10.</w:t>
      </w:r>
    </w:p>
  </w:endnote>
  <w:endnote w:id="15">
    <w:p>
      <w:pPr>
        <w:pStyle w:val="Notedefin"/>
        <w:suppressLineNumbers/>
        <w:spacing w:before="57" w:after="57"/>
        <w:ind w:left="339" w:right="0" w:hanging="339"/>
        <w:rPr/>
      </w:pPr>
      <w:r>
        <w:rPr>
          <w:rStyle w:val="Caractresdenotedefin"/>
        </w:rPr>
        <w:endnoteRef/>
      </w:r>
      <w:r>
        <w:rPr/>
        <w:tab/>
      </w:r>
      <w:r>
        <w:rPr/>
        <w:t>Na základě jednání pracovní skupiny a plenárního zasedání.</w:t>
      </w:r>
    </w:p>
  </w:endnote>
  <w:endnote w:id="16">
    <w:p>
      <w:pPr>
        <w:pStyle w:val="Notedefin"/>
        <w:suppressLineNumbers/>
        <w:spacing w:before="57" w:after="57"/>
        <w:ind w:left="339" w:right="0" w:hanging="339"/>
        <w:rPr/>
      </w:pPr>
      <w:r>
        <w:rPr>
          <w:rStyle w:val="Caractresdenotedefin"/>
        </w:rPr>
        <w:endnoteRef/>
      </w:r>
      <w:r>
        <w:rPr/>
        <w:tab/>
      </w:r>
      <w:r>
        <w:rPr/>
        <w:t>Viz doporučení č. 1 ECP4, doporučení č. 2 NCP Německo, panel 1 „EU ve světě“ a italské národní kontaktní místo, skupina 2, obr. 1, vypracované v rámci pracovní skupiny.</w:t>
      </w:r>
    </w:p>
  </w:endnote>
  <w:endnote w:id="17">
    <w:p>
      <w:pPr>
        <w:pStyle w:val="Notedefin"/>
        <w:suppressLineNumbers/>
        <w:spacing w:before="57" w:after="57"/>
        <w:ind w:left="339" w:right="0" w:hanging="339"/>
        <w:rPr/>
      </w:pPr>
      <w:r>
        <w:rPr>
          <w:rStyle w:val="Caractresdenotedefin"/>
        </w:rPr>
        <w:endnoteRef/>
      </w:r>
      <w:r>
        <w:rPr/>
        <w:tab/>
      </w:r>
      <w:r>
        <w:rPr/>
        <w:t>Viz doporučení 4 ECP4 a doporučení 5 a 6 italského národního kontaktního místa, skupina 2, vypracované v rámci pracovní skupiny.</w:t>
      </w:r>
    </w:p>
  </w:endnote>
  <w:endnote w:id="18">
    <w:p>
      <w:pPr>
        <w:pStyle w:val="Notedefin"/>
        <w:suppressLineNumbers/>
        <w:spacing w:before="57" w:after="57"/>
        <w:ind w:left="339" w:right="0" w:hanging="339"/>
        <w:rPr/>
      </w:pPr>
      <w:r>
        <w:rPr>
          <w:rStyle w:val="Caractresdenotedefin"/>
        </w:rPr>
        <w:endnoteRef/>
      </w:r>
      <w:r>
        <w:rPr/>
        <w:tab/>
      </w:r>
      <w:r>
        <w:rPr/>
        <w:t xml:space="preserve">Viz digitální platforma a doporučení č. 2 a 3 italského národního kontaktního místa, skupina 2, vyvinutá v rámci pracovní skupiny, </w:t>
      </w:r>
      <w:hyperlink r:id="rId1">
        <w:r>
          <w:rPr>
            <w:rStyle w:val="LienInternet"/>
          </w:rPr>
          <w:t>https://futureu.europa.eu/processes/EUInTheWorld/f/16/proposals/197870?locale=fr</w:t>
        </w:r>
      </w:hyperlink>
      <w:r>
        <w:rPr/>
        <w:t>.</w:t>
      </w:r>
    </w:p>
  </w:endnote>
  <w:endnote w:id="19">
    <w:p>
      <w:pPr>
        <w:pStyle w:val="Notedefin"/>
        <w:suppressLineNumbers/>
        <w:spacing w:before="57" w:after="57"/>
        <w:ind w:left="339" w:right="0" w:hanging="339"/>
        <w:rPr/>
      </w:pPr>
      <w:r>
        <w:rPr>
          <w:rStyle w:val="Caractresdenotedefin"/>
        </w:rPr>
        <w:endnoteRef/>
      </w:r>
      <w:r>
        <w:rPr/>
        <w:tab/>
      </w:r>
      <w:r>
        <w:rPr/>
        <w:t>Viz doporučení č. 14 ECP 4 vypracované pracovní skupinou.</w:t>
      </w:r>
    </w:p>
  </w:endnote>
  <w:endnote w:id="20">
    <w:p>
      <w:pPr>
        <w:pStyle w:val="Notedefin"/>
        <w:suppressLineNumbers/>
        <w:spacing w:before="57" w:after="57"/>
        <w:ind w:left="339" w:right="0" w:hanging="339"/>
        <w:rPr/>
      </w:pPr>
      <w:r>
        <w:rPr>
          <w:rStyle w:val="Caractresdenotedefin"/>
        </w:rPr>
        <w:endnoteRef/>
      </w:r>
      <w:r>
        <w:rPr/>
        <w:tab/>
      </w:r>
      <w:r>
        <w:rPr/>
        <w:t>Viz doporučení č. 2 ECP4 a doporučení č. 4 italského národního kontaktního místa, skupina 2, vypracované v rámci pracovní skupiny.</w:t>
      </w:r>
    </w:p>
  </w:endnote>
  <w:endnote w:id="21">
    <w:p>
      <w:pPr>
        <w:pStyle w:val="Notedefin"/>
        <w:suppressLineNumbers/>
        <w:spacing w:before="57" w:after="57"/>
        <w:ind w:left="339" w:right="0" w:hanging="339"/>
        <w:rPr/>
      </w:pPr>
      <w:r>
        <w:rPr>
          <w:rStyle w:val="Caractresdenotedefin"/>
        </w:rPr>
        <w:endnoteRef/>
      </w:r>
      <w:r>
        <w:rPr/>
        <w:tab/>
      </w:r>
      <w:r>
        <w:rPr/>
        <w:t>Viz doporučení č. 17 ECP4 a doporučení č. 4 italského národního kontaktního místa, skupina 2, vypracované v rámci pracovní skupiny.</w:t>
      </w:r>
    </w:p>
  </w:endnote>
  <w:endnote w:id="22">
    <w:p>
      <w:pPr>
        <w:pStyle w:val="Notedefin"/>
        <w:suppressLineNumbers/>
        <w:spacing w:before="57" w:after="57"/>
        <w:ind w:left="339" w:right="0" w:hanging="339"/>
        <w:rPr/>
      </w:pPr>
      <w:r>
        <w:rPr>
          <w:rStyle w:val="Caractresdenotedefin"/>
        </w:rPr>
        <w:endnoteRef/>
      </w:r>
      <w:r>
        <w:rPr/>
        <w:tab/>
      </w:r>
      <w:r>
        <w:rPr/>
        <w:t>Viz doporučení č. 1 NCP Německo, panel 1 „EU ve světě“, vypracovaný v pracovní skupině.</w:t>
      </w:r>
    </w:p>
  </w:endnote>
  <w:endnote w:id="23">
    <w:p>
      <w:pPr>
        <w:pStyle w:val="Notedefin"/>
        <w:suppressLineNumbers/>
        <w:spacing w:before="57" w:after="57"/>
        <w:ind w:left="339" w:right="0" w:hanging="339"/>
        <w:rPr/>
      </w:pPr>
      <w:r>
        <w:rPr>
          <w:rStyle w:val="Caractresdenotedefin"/>
        </w:rPr>
        <w:endnoteRef/>
      </w:r>
      <w:r>
        <w:rPr/>
        <w:tab/>
      </w:r>
      <w:r>
        <w:rPr/>
        <w:t>Viz doporučení č. 3 ECP 4 vypracované pracovní skupinou.</w:t>
      </w:r>
    </w:p>
  </w:endnote>
  <w:endnote w:id="24">
    <w:p>
      <w:pPr>
        <w:pStyle w:val="Notedefin"/>
        <w:suppressLineNumbers/>
        <w:spacing w:before="57" w:after="57"/>
        <w:ind w:left="339" w:right="0" w:hanging="339"/>
        <w:rPr/>
      </w:pPr>
      <w:r>
        <w:rPr>
          <w:rStyle w:val="Caractresdenotedefin"/>
        </w:rPr>
        <w:endnoteRef/>
      </w:r>
      <w:r>
        <w:rPr/>
        <w:tab/>
      </w:r>
      <w:r>
        <w:rPr/>
        <w:t>Viz doporučení č. 11 ECP 4 vypracované pracovní skupinou.</w:t>
      </w:r>
    </w:p>
  </w:endnote>
  <w:endnote w:id="25">
    <w:p>
      <w:pPr>
        <w:pStyle w:val="Notedefin"/>
        <w:suppressLineNumbers/>
        <w:spacing w:before="57" w:after="57"/>
        <w:ind w:left="339" w:right="0" w:hanging="339"/>
        <w:rPr/>
      </w:pPr>
      <w:r>
        <w:rPr>
          <w:rStyle w:val="Caractresdenotedefin"/>
        </w:rPr>
        <w:endnoteRef/>
      </w:r>
      <w:r>
        <w:rPr/>
        <w:tab/>
      </w:r>
      <w:r>
        <w:rPr/>
        <w:t>Viz doporučení č. 13 ECP 4 vypracované pracovní skupinou.</w:t>
      </w:r>
    </w:p>
  </w:endnote>
  <w:endnote w:id="26">
    <w:p>
      <w:pPr>
        <w:pStyle w:val="Notedefin"/>
        <w:suppressLineNumbers/>
        <w:spacing w:before="57" w:after="57"/>
        <w:ind w:left="339" w:right="0" w:hanging="339"/>
        <w:rPr/>
      </w:pPr>
      <w:r>
        <w:rPr>
          <w:rStyle w:val="Caractresdenotedefin"/>
        </w:rPr>
        <w:endnoteRef/>
      </w:r>
      <w:r>
        <w:rPr/>
        <w:tab/>
      </w:r>
      <w:r>
        <w:rPr/>
        <w:t>Viz doporučení 15 EKP 4, vypracované v pracovní skupině.</w:t>
      </w:r>
    </w:p>
  </w:endnote>
  <w:endnote w:id="27">
    <w:p>
      <w:pPr>
        <w:pStyle w:val="Notedefin"/>
        <w:suppressLineNumbers/>
        <w:spacing w:before="57" w:after="57"/>
        <w:ind w:left="339" w:right="0" w:hanging="339"/>
        <w:rPr/>
      </w:pPr>
      <w:r>
        <w:rPr>
          <w:rStyle w:val="Caractresdenotedefin"/>
        </w:rPr>
        <w:endnoteRef/>
      </w:r>
      <w:r>
        <w:rPr/>
        <w:tab/>
      </w:r>
      <w:r>
        <w:rPr/>
        <w:t>Viz doporučení č. 16 ECP 4, vypracované v pracovní skupině.</w:t>
      </w:r>
    </w:p>
  </w:endnote>
  <w:endnote w:id="28">
    <w:p>
      <w:pPr>
        <w:pStyle w:val="Notedefin"/>
        <w:suppressLineNumbers/>
        <w:spacing w:before="57" w:after="57"/>
        <w:ind w:left="339" w:right="0" w:hanging="339"/>
        <w:rPr/>
      </w:pPr>
      <w:r>
        <w:rPr>
          <w:rStyle w:val="Caractresdenotedefin"/>
        </w:rPr>
        <w:endnoteRef/>
      </w:r>
      <w:r>
        <w:rPr/>
        <w:tab/>
      </w:r>
      <w:r>
        <w:rPr/>
        <w:t>Viz doporučení č. 12 ECP 4 vypracované pracovní skupinou.</w:t>
      </w:r>
    </w:p>
  </w:endnote>
  <w:endnote w:id="29">
    <w:p>
      <w:pPr>
        <w:pStyle w:val="Notedefin"/>
        <w:suppressLineNumbers/>
        <w:spacing w:before="57" w:after="57"/>
        <w:ind w:left="339" w:right="0" w:hanging="339"/>
        <w:rPr/>
      </w:pPr>
      <w:r>
        <w:rPr>
          <w:rStyle w:val="Caractresdenotedefin"/>
        </w:rPr>
        <w:endnoteRef/>
      </w:r>
      <w:r>
        <w:rPr/>
        <w:tab/>
      </w:r>
      <w:r>
        <w:rPr/>
        <w:t>Viz doporučení č. 21 ECP 4 vypracované pracovní skupinou.</w:t>
      </w:r>
    </w:p>
  </w:endnote>
  <w:endnote w:id="30">
    <w:p>
      <w:pPr>
        <w:pStyle w:val="Notedefin"/>
        <w:suppressLineNumbers/>
        <w:spacing w:before="57" w:after="57"/>
        <w:ind w:left="339" w:right="0" w:hanging="339"/>
        <w:rPr/>
      </w:pPr>
      <w:r>
        <w:rPr>
          <w:rStyle w:val="Caractresdenotedefin"/>
        </w:rPr>
        <w:endnoteRef/>
      </w:r>
      <w:r>
        <w:rPr/>
        <w:tab/>
      </w:r>
      <w:r>
        <w:rPr/>
        <w:t>Viz digitální platforma vyvinutá v rámci pracovní skupiny.</w:t>
      </w:r>
    </w:p>
  </w:endnote>
  <w:endnote w:id="31">
    <w:p>
      <w:pPr>
        <w:pStyle w:val="Notedefin"/>
        <w:suppressLineNumbers/>
        <w:spacing w:before="57" w:after="57"/>
        <w:ind w:left="339" w:right="0" w:hanging="339"/>
        <w:rPr/>
      </w:pPr>
      <w:r>
        <w:rPr>
          <w:rStyle w:val="Caractresdenotedefin"/>
        </w:rPr>
        <w:endnoteRef/>
      </w:r>
      <w:r>
        <w:rPr/>
        <w:tab/>
      </w:r>
      <w:r>
        <w:rPr/>
        <w:t>Viz digitální platforma vyvinutá v rámci pracovní skupiny.</w:t>
      </w:r>
    </w:p>
  </w:endnote>
  <w:endnote w:id="32">
    <w:p>
      <w:pPr>
        <w:pStyle w:val="Notedefin"/>
        <w:suppressLineNumbers/>
        <w:spacing w:before="57" w:after="57"/>
        <w:ind w:left="339" w:right="0" w:hanging="339"/>
        <w:rPr/>
      </w:pPr>
      <w:r>
        <w:rPr>
          <w:rStyle w:val="Caractresdenotedefin"/>
        </w:rPr>
        <w:endnoteRef/>
      </w:r>
      <w:r>
        <w:rPr/>
        <w:tab/>
      </w:r>
      <w:r>
        <w:rPr/>
        <w:t>Viz doporučení č. 26 ECP 4 vypracované pracovní skupinou.</w:t>
      </w:r>
    </w:p>
  </w:endnote>
  <w:endnote w:id="33">
    <w:p>
      <w:pPr>
        <w:pStyle w:val="Notedefin"/>
        <w:suppressLineNumbers/>
        <w:spacing w:before="57" w:after="57"/>
        <w:ind w:left="339" w:right="0" w:hanging="339"/>
        <w:rPr/>
      </w:pPr>
      <w:r>
        <w:rPr>
          <w:rStyle w:val="Caractresdenotedefin"/>
        </w:rPr>
        <w:endnoteRef/>
      </w:r>
      <w:r>
        <w:rPr/>
        <w:tab/>
      </w:r>
      <w:r>
        <w:rPr/>
        <w:t>Viz doporučení č. 18 ECP 4, vypracované v pracovní skupině.</w:t>
      </w:r>
    </w:p>
  </w:endnote>
  <w:endnote w:id="34">
    <w:p>
      <w:pPr>
        <w:pStyle w:val="Notedefin"/>
        <w:suppressLineNumbers/>
        <w:spacing w:before="57" w:after="57"/>
        <w:ind w:left="339" w:right="0" w:hanging="339"/>
        <w:rPr/>
      </w:pPr>
      <w:r>
        <w:rPr>
          <w:rStyle w:val="Caractresdenotedefin"/>
        </w:rPr>
        <w:endnoteRef/>
      </w:r>
      <w:r>
        <w:rPr/>
        <w:tab/>
      </w:r>
      <w:r>
        <w:rPr/>
        <w:t>Viz doporučení č. 19 ECP 4, vypracované v pracovní skupině.</w:t>
      </w:r>
    </w:p>
  </w:endnote>
  <w:endnote w:id="35">
    <w:p>
      <w:pPr>
        <w:pStyle w:val="Notedefin"/>
        <w:suppressLineNumbers/>
        <w:spacing w:before="57" w:after="57"/>
        <w:ind w:left="339" w:right="0" w:hanging="339"/>
        <w:rPr/>
      </w:pPr>
      <w:r>
        <w:rPr>
          <w:rStyle w:val="Caractresdenotedefin"/>
        </w:rPr>
        <w:endnoteRef/>
      </w:r>
      <w:r>
        <w:rPr/>
        <w:tab/>
      </w:r>
      <w:r>
        <w:rPr/>
        <w:t>Viz doporučení č. 19 ECP 4, vypracované v pracovní skupině.</w:t>
      </w:r>
    </w:p>
  </w:endnote>
  <w:endnote w:id="36">
    <w:p>
      <w:pPr>
        <w:pStyle w:val="Notedefin"/>
        <w:suppressLineNumbers/>
        <w:spacing w:before="57" w:after="57"/>
        <w:ind w:left="339" w:right="0" w:hanging="339"/>
        <w:rPr/>
      </w:pPr>
      <w:r>
        <w:rPr>
          <w:rStyle w:val="Caractresdenotedefin"/>
        </w:rPr>
        <w:endnoteRef/>
      </w:r>
      <w:r>
        <w:rPr/>
        <w:tab/>
      </w:r>
      <w:r>
        <w:rPr/>
        <w:t>Viz doporučení č. 25 EKP 4.</w:t>
      </w:r>
    </w:p>
  </w:endnote>
  <w:endnote w:id="37">
    <w:p>
      <w:pPr>
        <w:pStyle w:val="Notedefin"/>
        <w:suppressLineNumbers/>
        <w:spacing w:before="57" w:after="57"/>
        <w:ind w:left="339" w:right="0" w:hanging="339"/>
        <w:rPr/>
      </w:pPr>
      <w:r>
        <w:rPr>
          <w:rStyle w:val="Caractresdenotedefin"/>
        </w:rPr>
        <w:endnoteRef/>
      </w:r>
      <w:r>
        <w:rPr/>
        <w:tab/>
      </w:r>
      <w:r>
        <w:rPr/>
        <w:t>Na základě jednání pracovní skupiny a plenárního zasedání.</w:t>
      </w:r>
    </w:p>
  </w:endnote>
  <w:endnote w:id="38">
    <w:p>
      <w:pPr>
        <w:pStyle w:val="Notedefin"/>
        <w:suppressLineNumbers/>
        <w:spacing w:before="57" w:after="57"/>
        <w:ind w:left="339" w:right="0" w:hanging="339"/>
        <w:rPr/>
      </w:pPr>
      <w:r>
        <w:rPr>
          <w:rStyle w:val="Caractresdenotedefin"/>
        </w:rPr>
        <w:endnoteRef/>
      </w:r>
      <w:r>
        <w:rPr/>
        <w:tab/>
      </w:r>
      <w:r>
        <w:rPr/>
        <w:t>Viz změna 2 francouzského národního panelu/událostí.</w:t>
      </w:r>
    </w:p>
  </w:endnote>
  <w:endnote w:id="39">
    <w:p>
      <w:pPr>
        <w:pStyle w:val="Notedefin"/>
        <w:suppressLineNumbers/>
        <w:spacing w:before="57" w:after="57"/>
        <w:ind w:left="339" w:right="0" w:hanging="339"/>
        <w:rPr/>
      </w:pPr>
      <w:r>
        <w:rPr>
          <w:rStyle w:val="Caractresdenotedefin"/>
        </w:rPr>
        <w:endnoteRef/>
      </w:r>
      <w:r>
        <w:rPr/>
        <w:tab/>
      </w:r>
      <w:r>
        <w:rPr/>
        <w:t>Viz doporučení 20 ECP4 a doporučení 7 Itálie, skupina 2 NCP, vypracované v rámci pracovní skupiny.</w:t>
      </w:r>
    </w:p>
  </w:endnote>
  <w:endnote w:id="40">
    <w:p>
      <w:pPr>
        <w:pStyle w:val="Notedefin"/>
        <w:suppressLineNumbers/>
        <w:spacing w:before="57" w:after="57"/>
        <w:ind w:left="339" w:right="0" w:hanging="339"/>
        <w:rPr/>
      </w:pPr>
      <w:r>
        <w:rPr>
          <w:rStyle w:val="Caractresdenotedefin"/>
        </w:rPr>
        <w:endnoteRef/>
      </w:r>
      <w:r>
        <w:rPr/>
        <w:tab/>
      </w:r>
      <w:r>
        <w:rPr/>
        <w:t>Viz změna č. 2 francouzského občanského panelu.</w:t>
      </w:r>
    </w:p>
  </w:endnote>
  <w:endnote w:id="41">
    <w:p>
      <w:pPr>
        <w:pStyle w:val="Notedefin"/>
        <w:suppressLineNumbers/>
        <w:spacing w:before="57" w:after="57"/>
        <w:ind w:left="339" w:right="0" w:hanging="339"/>
        <w:rPr/>
      </w:pPr>
      <w:r>
        <w:rPr>
          <w:rStyle w:val="Caractresdenotedefin"/>
        </w:rPr>
        <w:endnoteRef/>
      </w:r>
      <w:r>
        <w:rPr/>
        <w:tab/>
      </w:r>
      <w:r>
        <w:rPr/>
        <w:t>Viz doporučení 24 ECP4 a doporučení 7 Itálie, skupina 2 NCP, vypracované v rámci pracovní skupiny.</w:t>
      </w:r>
    </w:p>
  </w:endnote>
  <w:endnote w:id="42">
    <w:p>
      <w:pPr>
        <w:pStyle w:val="Notedefin"/>
        <w:suppressLineNumbers/>
        <w:spacing w:before="57" w:after="57"/>
        <w:ind w:left="339" w:right="0" w:hanging="339"/>
        <w:rPr/>
      </w:pPr>
      <w:r>
        <w:rPr>
          <w:rStyle w:val="Caractresdenotedefin"/>
        </w:rPr>
        <w:endnoteRef/>
      </w:r>
      <w:r>
        <w:rPr/>
        <w:tab/>
      </w:r>
      <w:r>
        <w:rPr/>
        <w:t>Viz doporučení č. 22 ECP 4 vypracované pracovní skupinou.</w:t>
      </w:r>
    </w:p>
  </w:endnote>
  <w:endnote w:id="43">
    <w:p>
      <w:pPr>
        <w:pStyle w:val="Notedefin"/>
        <w:suppressLineNumbers/>
        <w:spacing w:before="57" w:after="57"/>
        <w:ind w:left="339" w:right="0" w:hanging="339"/>
        <w:rPr/>
      </w:pPr>
      <w:r>
        <w:rPr>
          <w:rStyle w:val="Caractresdenotedefin"/>
        </w:rPr>
        <w:endnoteRef/>
      </w:r>
      <w:r>
        <w:rPr/>
        <w:tab/>
      </w:r>
      <w:r>
        <w:rPr/>
        <w:t>Viz doporučení č. 1 „EU ve světě“ nizozemského národního panelu občanů vypracovaného pracovní skupinou.</w:t>
      </w:r>
    </w:p>
  </w:endnote>
  <w:endnote w:id="44">
    <w:p>
      <w:pPr>
        <w:pStyle w:val="Notedefin"/>
        <w:suppressLineNumbers/>
        <w:spacing w:before="57" w:after="57"/>
        <w:ind w:left="339" w:right="0" w:hanging="339"/>
        <w:rPr/>
      </w:pPr>
      <w:r>
        <w:rPr>
          <w:rStyle w:val="Caractresdenotedefin"/>
        </w:rPr>
        <w:endnoteRef/>
      </w:r>
      <w:r>
        <w:rPr/>
        <w:tab/>
      </w:r>
      <w:r>
        <w:rPr/>
        <w:t>Viz digitální platforma a diskuse na plenárním zasedání, které byly vypracovány v pracovní skupině.</w:t>
      </w:r>
    </w:p>
  </w:endnote>
  <w:endnote w:id="45">
    <w:p>
      <w:pPr>
        <w:pStyle w:val="Notedefin"/>
        <w:suppressLineNumbers/>
        <w:spacing w:before="57" w:after="57"/>
        <w:ind w:left="339" w:right="0" w:hanging="339"/>
        <w:rPr/>
      </w:pPr>
      <w:r>
        <w:rPr>
          <w:rStyle w:val="Caractresdenotedefin"/>
        </w:rPr>
        <w:endnoteRef/>
      </w:r>
      <w:r>
        <w:rPr/>
        <w:tab/>
      </w:r>
      <w:r>
        <w:rPr/>
        <w:t>Viz digitální platforma vyvinutá v rámci pracovní skupiny.</w:t>
      </w:r>
    </w:p>
  </w:endnote>
  <w:endnote w:id="46">
    <w:p>
      <w:pPr>
        <w:pStyle w:val="Notedefin"/>
        <w:suppressLineNumbers/>
        <w:spacing w:before="57" w:after="57"/>
        <w:ind w:left="339" w:right="0" w:hanging="339"/>
        <w:rPr/>
      </w:pPr>
      <w:r>
        <w:rPr>
          <w:rStyle w:val="Caractresdenotedefin"/>
        </w:rPr>
        <w:endnoteRef/>
      </w:r>
      <w:r>
        <w:rPr/>
        <w:tab/>
      </w:r>
      <w:r>
        <w:rPr/>
        <w:t>Doporučení občanů, z nichž návrh vychází: Evropský panel občanů 2 (CEP 2) 10, 11, 14, 30; Belgický národní panel občanů (NCP): 1.3.1, 1.4.2, 1.4.3; Německé národní kontaktní místo: 5.1, 5.2; Nizozemská národní kontaktní místa: 1.2.</w:t>
      </w:r>
    </w:p>
  </w:endnote>
  <w:endnote w:id="47">
    <w:p>
      <w:pPr>
        <w:pStyle w:val="Notedefin"/>
        <w:suppressLineNumbers/>
        <w:spacing w:before="57" w:after="57"/>
        <w:ind w:left="339" w:right="0" w:hanging="339"/>
        <w:rPr/>
      </w:pPr>
      <w:r>
        <w:rPr>
          <w:rStyle w:val="Caractresdenotedefin"/>
        </w:rPr>
        <w:endnoteRef/>
      </w:r>
      <w:r>
        <w:rPr/>
        <w:tab/>
      </w:r>
      <w:r>
        <w:rPr/>
        <w:t>Doporučení č. 14 ECP2. Doporučení 1.3.1, 1.4.2 a 1.4.3 belgického národního kontaktního místa a 1.2 nizozemského národního kontaktního místa.</w:t>
      </w:r>
    </w:p>
  </w:endnote>
  <w:endnote w:id="48">
    <w:p>
      <w:pPr>
        <w:pStyle w:val="Notedefin"/>
        <w:suppressLineNumbers/>
        <w:spacing w:before="57" w:after="57"/>
        <w:ind w:left="339" w:right="0" w:hanging="339"/>
        <w:rPr/>
      </w:pPr>
      <w:r>
        <w:rPr>
          <w:rStyle w:val="Caractresdenotedefin"/>
        </w:rPr>
        <w:endnoteRef/>
      </w:r>
      <w:r>
        <w:rPr/>
        <w:tab/>
      </w:r>
      <w:r>
        <w:rPr/>
        <w:t>Doporučení ECP č. 112. Doporučení 5.1 a 5.2 německého národního kontaktního místa. Diskuse v pracovní skupině.</w:t>
      </w:r>
    </w:p>
  </w:endnote>
  <w:endnote w:id="49">
    <w:p>
      <w:pPr>
        <w:pStyle w:val="Notedefin"/>
        <w:suppressLineNumbers/>
        <w:spacing w:before="57" w:after="57"/>
        <w:ind w:left="339" w:right="0" w:hanging="339"/>
        <w:rPr/>
      </w:pPr>
      <w:r>
        <w:rPr>
          <w:rStyle w:val="Caractresdenotedefin"/>
        </w:rPr>
        <w:endnoteRef/>
      </w:r>
      <w:r>
        <w:rPr/>
        <w:tab/>
      </w:r>
      <w:r>
        <w:rPr/>
        <w:t>Doporučení ECP č. 112. Diskuse v pracovní skupině. Rozprava na plenárním zasedání.</w:t>
      </w:r>
    </w:p>
  </w:endnote>
  <w:endnote w:id="50">
    <w:p>
      <w:pPr>
        <w:pStyle w:val="Notedefin"/>
        <w:suppressLineNumbers/>
        <w:spacing w:before="57" w:after="57"/>
        <w:ind w:left="339" w:right="0" w:hanging="339"/>
        <w:rPr/>
      </w:pPr>
      <w:r>
        <w:rPr>
          <w:rStyle w:val="Caractresdenotedefin"/>
        </w:rPr>
        <w:endnoteRef/>
      </w:r>
      <w:r>
        <w:rPr/>
        <w:tab/>
      </w:r>
      <w:r>
        <w:rPr/>
        <w:t>Doporučení č. 10 ECP2.</w:t>
      </w:r>
    </w:p>
  </w:endnote>
  <w:endnote w:id="51">
    <w:p>
      <w:pPr>
        <w:pStyle w:val="Notedefin"/>
        <w:suppressLineNumbers/>
        <w:spacing w:before="57" w:after="57"/>
        <w:ind w:left="339" w:right="0" w:hanging="339"/>
        <w:rPr/>
      </w:pPr>
      <w:r>
        <w:rPr>
          <w:rStyle w:val="Caractresdenotedefin"/>
        </w:rPr>
        <w:endnoteRef/>
      </w:r>
      <w:r>
        <w:rPr/>
        <w:tab/>
      </w:r>
      <w:r>
        <w:rPr/>
        <w:t>Doporučení ECP č. 302.</w:t>
      </w:r>
    </w:p>
  </w:endnote>
  <w:endnote w:id="52">
    <w:p>
      <w:pPr>
        <w:pStyle w:val="Notedefin"/>
        <w:suppressLineNumbers/>
        <w:spacing w:before="57" w:after="57"/>
        <w:ind w:left="339" w:right="0" w:hanging="339"/>
        <w:rPr/>
      </w:pPr>
      <w:r>
        <w:rPr>
          <w:rStyle w:val="Caractresdenotedefin"/>
        </w:rPr>
        <w:endnoteRef/>
      </w:r>
      <w:r>
        <w:rPr/>
        <w:tab/>
      </w:r>
      <w:r>
        <w:rPr/>
        <w:t>Doporučení občanů, z nichž návrh vychází: PCE2: 7, 8, 9; Nizozemská národní kontaktní místa: 1.3, 4.3.</w:t>
      </w:r>
    </w:p>
  </w:endnote>
  <w:endnote w:id="53">
    <w:p>
      <w:pPr>
        <w:pStyle w:val="Notedefin"/>
        <w:suppressLineNumbers/>
        <w:spacing w:before="57" w:after="57"/>
        <w:ind w:left="339" w:right="0" w:hanging="339"/>
        <w:rPr/>
      </w:pPr>
      <w:r>
        <w:rPr>
          <w:rStyle w:val="Caractresdenotedefin"/>
        </w:rPr>
        <w:endnoteRef/>
      </w:r>
      <w:r>
        <w:rPr/>
        <w:tab/>
      </w:r>
      <w:r>
        <w:rPr/>
        <w:t>Doporučení č. 7 ECP2. Diskuse v pracovní skupině.</w:t>
      </w:r>
    </w:p>
  </w:endnote>
  <w:endnote w:id="54">
    <w:p>
      <w:pPr>
        <w:pStyle w:val="Notedefin"/>
        <w:suppressLineNumbers/>
        <w:spacing w:before="57" w:after="57"/>
        <w:ind w:left="339" w:right="0" w:hanging="339"/>
        <w:rPr/>
      </w:pPr>
      <w:r>
        <w:rPr>
          <w:rStyle w:val="Caractresdenotedefin"/>
        </w:rPr>
        <w:endnoteRef/>
      </w:r>
      <w:r>
        <w:rPr/>
        <w:tab/>
      </w:r>
      <w:r>
        <w:rPr/>
        <w:t>Tato otázka byla rovněž projednána Pracovní skupinou pro digitální transformaci.</w:t>
      </w:r>
    </w:p>
  </w:endnote>
  <w:endnote w:id="55">
    <w:p>
      <w:pPr>
        <w:pStyle w:val="Notedefin"/>
        <w:suppressLineNumbers/>
        <w:spacing w:before="57" w:after="57"/>
        <w:ind w:left="339" w:right="0" w:hanging="339"/>
        <w:rPr/>
      </w:pPr>
      <w:r>
        <w:rPr>
          <w:rStyle w:val="Caractresdenotedefin"/>
        </w:rPr>
        <w:endnoteRef/>
      </w:r>
      <w:r>
        <w:rPr/>
        <w:tab/>
      </w:r>
      <w:r>
        <w:rPr/>
        <w:t>Doporučení č. 9 ECP2.</w:t>
      </w:r>
    </w:p>
  </w:endnote>
  <w:endnote w:id="56">
    <w:p>
      <w:pPr>
        <w:pStyle w:val="Notedefin"/>
        <w:suppressLineNumbers/>
        <w:spacing w:before="57" w:after="57"/>
        <w:ind w:left="339" w:right="0" w:hanging="339"/>
        <w:rPr/>
      </w:pPr>
      <w:r>
        <w:rPr>
          <w:rStyle w:val="Caractresdenotedefin"/>
        </w:rPr>
        <w:endnoteRef/>
      </w:r>
      <w:r>
        <w:rPr/>
        <w:tab/>
      </w:r>
      <w:r>
        <w:rPr/>
        <w:t>Tato otázka byla rovněž projednána Pracovní skupinou pro digitální transformaci.</w:t>
      </w:r>
    </w:p>
  </w:endnote>
  <w:endnote w:id="57">
    <w:p>
      <w:pPr>
        <w:pStyle w:val="Notedefin"/>
        <w:suppressLineNumbers/>
        <w:spacing w:before="57" w:after="57"/>
        <w:ind w:left="339" w:right="0" w:hanging="339"/>
        <w:rPr/>
      </w:pPr>
      <w:r>
        <w:rPr>
          <w:rStyle w:val="Caractresdenotedefin"/>
        </w:rPr>
        <w:endnoteRef/>
      </w:r>
      <w:r>
        <w:rPr/>
        <w:tab/>
      </w:r>
      <w:r>
        <w:rPr/>
        <w:t>Doporučení č. 8 ECP2. Doporučení 1.3 a 4.3 nizozemského národního kontaktního místa.</w:t>
      </w:r>
    </w:p>
  </w:endnote>
  <w:endnote w:id="58">
    <w:p>
      <w:pPr>
        <w:pStyle w:val="Notedefin"/>
        <w:suppressLineNumbers/>
        <w:spacing w:before="57" w:after="57"/>
        <w:ind w:left="339" w:right="0" w:hanging="339"/>
        <w:rPr/>
      </w:pPr>
      <w:r>
        <w:rPr>
          <w:rStyle w:val="Caractresdenotedefin"/>
        </w:rPr>
        <w:endnoteRef/>
      </w:r>
      <w:r>
        <w:rPr/>
        <w:tab/>
      </w:r>
      <w:r>
        <w:rPr/>
        <w:t>Doporučení č. 7 a 8 ECP2.</w:t>
      </w:r>
    </w:p>
  </w:endnote>
  <w:endnote w:id="59">
    <w:p>
      <w:pPr>
        <w:pStyle w:val="Notedefin"/>
        <w:suppressLineNumbers/>
        <w:spacing w:before="57" w:after="57"/>
        <w:ind w:left="339" w:right="0" w:hanging="339"/>
        <w:rPr/>
      </w:pPr>
      <w:r>
        <w:rPr>
          <w:rStyle w:val="Caractresdenotedefin"/>
        </w:rPr>
        <w:endnoteRef/>
      </w:r>
      <w:r>
        <w:rPr/>
        <w:tab/>
      </w:r>
      <w:r>
        <w:rPr/>
        <w:t>Tato otázka byla rovněž projednána Pracovní skupinou pro digitální transformaci.</w:t>
      </w:r>
    </w:p>
  </w:endnote>
  <w:endnote w:id="60">
    <w:p>
      <w:pPr>
        <w:pStyle w:val="Notedefin"/>
        <w:suppressLineNumbers/>
        <w:spacing w:before="57" w:after="57"/>
        <w:ind w:left="339" w:right="0" w:hanging="339"/>
        <w:rPr/>
      </w:pPr>
      <w:r>
        <w:rPr>
          <w:rStyle w:val="Caractresdenotedefin"/>
        </w:rPr>
        <w:endnoteRef/>
      </w:r>
      <w:r>
        <w:rPr/>
        <w:tab/>
      </w:r>
      <w:r>
        <w:rPr/>
        <w:t>Doporučení občanů, z nichž návrh vychází: PCE2: 5, 12, 13, 17, 28; Belgické národní kontaktní místo: 1.5.1, 2.1.1 až 2.4.3; Nizozemská národní kontaktní místa: 3.1.</w:t>
      </w:r>
    </w:p>
  </w:endnote>
  <w:endnote w:id="61">
    <w:p>
      <w:pPr>
        <w:pStyle w:val="Notedefin"/>
        <w:suppressLineNumbers/>
        <w:spacing w:before="57" w:after="57"/>
        <w:ind w:left="339" w:right="0" w:hanging="339"/>
        <w:rPr/>
      </w:pPr>
      <w:r>
        <w:rPr>
          <w:rStyle w:val="Caractresdenotedefin"/>
        </w:rPr>
        <w:endnoteRef/>
      </w:r>
      <w:r>
        <w:rPr/>
        <w:tab/>
      </w:r>
      <w:r>
        <w:rPr/>
        <w:t>Doporučení č. 5 ECP2. Doporučení 2.1.1 belgického národního kontaktního místa. Doporučení 3.1 nizozemského národního kontaktního místa.</w:t>
      </w:r>
    </w:p>
  </w:endnote>
  <w:endnote w:id="62">
    <w:p>
      <w:pPr>
        <w:pStyle w:val="Notedefin"/>
        <w:suppressLineNumbers/>
        <w:spacing w:before="57" w:after="57"/>
        <w:ind w:left="339" w:right="0" w:hanging="339"/>
        <w:rPr/>
      </w:pPr>
      <w:r>
        <w:rPr>
          <w:rStyle w:val="Caractresdenotedefin"/>
        </w:rPr>
        <w:endnoteRef/>
      </w:r>
      <w:r>
        <w:rPr/>
        <w:tab/>
      </w:r>
      <w:r>
        <w:rPr/>
        <w:t>Doporučení ECP č. 122. Doporučení 2.1.4 belgického národního kontaktního místa.</w:t>
      </w:r>
    </w:p>
  </w:endnote>
  <w:endnote w:id="63">
    <w:p>
      <w:pPr>
        <w:pStyle w:val="Notedefin"/>
        <w:suppressLineNumbers/>
        <w:spacing w:before="57" w:after="57"/>
        <w:ind w:left="339" w:right="0" w:hanging="339"/>
        <w:rPr/>
      </w:pPr>
      <w:r>
        <w:rPr>
          <w:rStyle w:val="Caractresdenotedefin"/>
        </w:rPr>
        <w:endnoteRef/>
      </w:r>
      <w:r>
        <w:rPr/>
        <w:tab/>
      </w:r>
      <w:r>
        <w:rPr/>
        <w:t>Doporučení PCE2 č. 17 a 28. Doporučení 1.5.1, 2.1.3, 2.2.1 a 2.2.2 belgického národního kontaktního místa.</w:t>
      </w:r>
    </w:p>
  </w:endnote>
  <w:endnote w:id="64">
    <w:p>
      <w:pPr>
        <w:pStyle w:val="Notedefin"/>
        <w:suppressLineNumbers/>
        <w:spacing w:before="57" w:after="57"/>
        <w:ind w:left="339" w:right="0" w:hanging="339"/>
        <w:rPr/>
      </w:pPr>
      <w:r>
        <w:rPr>
          <w:rStyle w:val="Caractresdenotedefin"/>
        </w:rPr>
        <w:endnoteRef/>
      </w:r>
      <w:r>
        <w:rPr/>
        <w:tab/>
      </w:r>
      <w:r>
        <w:rPr/>
        <w:t>Tato otázka byla rovněž projednána Pracovní skupinou pro digitální transformaci.</w:t>
      </w:r>
    </w:p>
  </w:endnote>
  <w:endnote w:id="65">
    <w:p>
      <w:pPr>
        <w:pStyle w:val="Notedefin"/>
        <w:suppressLineNumbers/>
        <w:spacing w:before="57" w:after="57"/>
        <w:ind w:left="339" w:right="0" w:hanging="339"/>
        <w:rPr/>
      </w:pPr>
      <w:r>
        <w:rPr>
          <w:rStyle w:val="Caractresdenotedefin"/>
        </w:rPr>
        <w:endnoteRef/>
      </w:r>
      <w:r>
        <w:rPr/>
        <w:tab/>
      </w:r>
      <w:r>
        <w:rPr/>
        <w:t>Doporučení PCE2 č. 5 a 28. Doporučení 2.3.2 a 2.3.3 belgického národního kontaktního místa.</w:t>
      </w:r>
    </w:p>
  </w:endnote>
  <w:endnote w:id="66">
    <w:p>
      <w:pPr>
        <w:pStyle w:val="Notedefin"/>
        <w:suppressLineNumbers/>
        <w:spacing w:before="57" w:after="57"/>
        <w:ind w:left="339" w:right="0" w:hanging="339"/>
        <w:rPr/>
      </w:pPr>
      <w:r>
        <w:rPr>
          <w:rStyle w:val="Caractresdenotedefin"/>
        </w:rPr>
        <w:endnoteRef/>
      </w:r>
      <w:r>
        <w:rPr/>
        <w:tab/>
      </w:r>
      <w:r>
        <w:rPr/>
        <w:t>Doporučení ECP č. 282. Doporučení 2.3.1, 2.4.1 a 2.4.2 belgického národního kontaktního místa.</w:t>
      </w:r>
    </w:p>
  </w:endnote>
  <w:endnote w:id="67">
    <w:p>
      <w:pPr>
        <w:pStyle w:val="Notedefin"/>
        <w:suppressLineNumbers/>
        <w:spacing w:before="57" w:after="57"/>
        <w:ind w:left="339" w:right="0" w:hanging="339"/>
        <w:rPr/>
      </w:pPr>
      <w:r>
        <w:rPr>
          <w:rStyle w:val="Caractresdenotedefin"/>
        </w:rPr>
        <w:endnoteRef/>
      </w:r>
      <w:r>
        <w:rPr/>
        <w:tab/>
      </w:r>
      <w:r>
        <w:rPr/>
        <w:t>Tato otázka byla rovněž projednána Pracovní skupinou pro digitální transformaci.</w:t>
      </w:r>
    </w:p>
  </w:endnote>
  <w:endnote w:id="68">
    <w:p>
      <w:pPr>
        <w:pStyle w:val="Notedefin"/>
        <w:suppressLineNumbers/>
        <w:spacing w:before="57" w:after="57"/>
        <w:ind w:left="339" w:right="0" w:hanging="339"/>
        <w:rPr/>
      </w:pPr>
      <w:r>
        <w:rPr>
          <w:rStyle w:val="Caractresdenotedefin"/>
        </w:rPr>
        <w:endnoteRef/>
      </w:r>
      <w:r>
        <w:rPr/>
        <w:tab/>
      </w:r>
      <w:r>
        <w:rPr/>
        <w:t>Doporučení ECP č. 132.</w:t>
      </w:r>
    </w:p>
  </w:endnote>
  <w:endnote w:id="69">
    <w:p>
      <w:pPr>
        <w:pStyle w:val="Notedefin"/>
        <w:suppressLineNumbers/>
        <w:spacing w:before="57" w:after="57"/>
        <w:ind w:left="339" w:right="0" w:hanging="339"/>
        <w:rPr/>
      </w:pPr>
      <w:r>
        <w:rPr>
          <w:rStyle w:val="Caractresdenotedefin"/>
        </w:rPr>
        <w:endnoteRef/>
      </w:r>
      <w:r>
        <w:rPr/>
        <w:tab/>
      </w:r>
      <w:r>
        <w:rPr/>
        <w:t>Tato otázka byla rovněž projednána Pracovní skupinou pro digitální transformaci.</w:t>
      </w:r>
    </w:p>
  </w:endnote>
  <w:endnote w:id="70">
    <w:p>
      <w:pPr>
        <w:pStyle w:val="Notedefin"/>
        <w:suppressLineNumbers/>
        <w:spacing w:before="57" w:after="57"/>
        <w:ind w:left="339" w:right="0" w:hanging="339"/>
        <w:rPr/>
      </w:pPr>
      <w:r>
        <w:rPr>
          <w:rStyle w:val="Caractresdenotedefin"/>
        </w:rPr>
        <w:endnoteRef/>
      </w:r>
      <w:r>
        <w:rPr/>
        <w:tab/>
      </w:r>
      <w:r>
        <w:rPr/>
        <w:t>Doporučení ECP č. 132.</w:t>
      </w:r>
    </w:p>
  </w:endnote>
  <w:endnote w:id="71">
    <w:p>
      <w:pPr>
        <w:pStyle w:val="Notedefin"/>
        <w:suppressLineNumbers/>
        <w:spacing w:before="57" w:after="57"/>
        <w:ind w:left="339" w:right="0" w:hanging="339"/>
        <w:rPr/>
      </w:pPr>
      <w:r>
        <w:rPr>
          <w:rStyle w:val="Caractresdenotedefin"/>
        </w:rPr>
        <w:endnoteRef/>
      </w:r>
      <w:r>
        <w:rPr/>
        <w:tab/>
      </w:r>
      <w:r>
        <w:rPr/>
        <w:t>Tato otázka byla rovněž projednána Pracovní skupinou pro digitální transformaci.</w:t>
      </w:r>
    </w:p>
  </w:endnote>
  <w:endnote w:id="72">
    <w:p>
      <w:pPr>
        <w:pStyle w:val="Notedefin"/>
        <w:suppressLineNumbers/>
        <w:spacing w:before="57" w:after="57"/>
        <w:ind w:left="339" w:right="0" w:hanging="339"/>
        <w:rPr/>
      </w:pPr>
      <w:r>
        <w:rPr>
          <w:rStyle w:val="Caractresdenotedefin"/>
        </w:rPr>
        <w:endnoteRef/>
      </w:r>
      <w:r>
        <w:rPr/>
        <w:tab/>
      </w:r>
      <w:r>
        <w:rPr/>
        <w:t>Doporučení občanů, z nichž návrh vychází: PCE2: 1, 2, 21, 22, 23; Nizozemská národní kontaktní místa: 1.1.</w:t>
      </w:r>
    </w:p>
  </w:endnote>
  <w:endnote w:id="73">
    <w:p>
      <w:pPr>
        <w:pStyle w:val="Notedefin"/>
        <w:suppressLineNumbers/>
        <w:spacing w:before="57" w:after="57"/>
        <w:ind w:left="339" w:right="0" w:hanging="339"/>
        <w:rPr/>
      </w:pPr>
      <w:r>
        <w:rPr>
          <w:rStyle w:val="Caractresdenotedefin"/>
        </w:rPr>
        <w:endnoteRef/>
      </w:r>
      <w:r>
        <w:rPr/>
        <w:tab/>
      </w:r>
      <w:r>
        <w:rPr/>
        <w:t>Doporučení ECP č. 222. Diskuse v pracovní skupině.</w:t>
      </w:r>
    </w:p>
  </w:endnote>
  <w:endnote w:id="74">
    <w:p>
      <w:pPr>
        <w:pStyle w:val="Notedefin"/>
        <w:suppressLineNumbers/>
        <w:spacing w:before="57" w:after="57"/>
        <w:ind w:left="339" w:right="0" w:hanging="339"/>
        <w:rPr/>
      </w:pPr>
      <w:r>
        <w:rPr>
          <w:rStyle w:val="Caractresdenotedefin"/>
        </w:rPr>
        <w:endnoteRef/>
      </w:r>
      <w:r>
        <w:rPr/>
        <w:tab/>
      </w:r>
      <w:r>
        <w:rPr/>
        <w:t>Otázka byla rovněž projednána pracovní skupinou pro silnější ekonomiku, sociální spravedlnost a zaměstnanost.</w:t>
      </w:r>
    </w:p>
  </w:endnote>
  <w:endnote w:id="75">
    <w:p>
      <w:pPr>
        <w:pStyle w:val="Notedefin"/>
        <w:suppressLineNumbers/>
        <w:spacing w:before="57" w:after="57"/>
        <w:ind w:left="339" w:right="0" w:hanging="339"/>
        <w:rPr/>
      </w:pPr>
      <w:r>
        <w:rPr>
          <w:rStyle w:val="Caractresdenotedefin"/>
        </w:rPr>
        <w:endnoteRef/>
      </w:r>
      <w:r>
        <w:rPr/>
        <w:tab/>
      </w:r>
      <w:r>
        <w:rPr/>
        <w:t>Doporučení ECP č. 212. Doporučení 1.1 nizozemského národního kontaktního místa.</w:t>
      </w:r>
    </w:p>
  </w:endnote>
  <w:endnote w:id="76">
    <w:p>
      <w:pPr>
        <w:pStyle w:val="Notedefin"/>
        <w:suppressLineNumbers/>
        <w:spacing w:before="57" w:after="57"/>
        <w:ind w:left="339" w:right="0" w:hanging="339"/>
        <w:rPr/>
      </w:pPr>
      <w:r>
        <w:rPr>
          <w:rStyle w:val="Caractresdenotedefin"/>
        </w:rPr>
        <w:endnoteRef/>
      </w:r>
      <w:r>
        <w:rPr/>
        <w:tab/>
      </w:r>
      <w:r>
        <w:rPr/>
        <w:t>Doporučení ECP č. 232.</w:t>
      </w:r>
    </w:p>
  </w:endnote>
  <w:endnote w:id="77">
    <w:p>
      <w:pPr>
        <w:pStyle w:val="Notedefin"/>
        <w:suppressLineNumbers/>
        <w:spacing w:before="57" w:after="57"/>
        <w:ind w:left="339" w:right="0" w:hanging="339"/>
        <w:rPr/>
      </w:pPr>
      <w:r>
        <w:rPr>
          <w:rStyle w:val="Caractresdenotedefin"/>
        </w:rPr>
        <w:endnoteRef/>
      </w:r>
      <w:r>
        <w:rPr/>
        <w:tab/>
      </w:r>
      <w:r>
        <w:rPr/>
        <w:t>Otázka byla rovněž projednána pracovní skupinou pro silnější ekonomiku, sociální spravedlnost a zaměstnanost.</w:t>
      </w:r>
    </w:p>
  </w:endnote>
  <w:endnote w:id="78">
    <w:p>
      <w:pPr>
        <w:pStyle w:val="Notedefin"/>
        <w:suppressLineNumbers/>
        <w:spacing w:before="57" w:after="57"/>
        <w:ind w:left="339" w:right="0" w:hanging="339"/>
        <w:rPr/>
      </w:pPr>
      <w:r>
        <w:rPr>
          <w:rStyle w:val="Caractresdenotedefin"/>
        </w:rPr>
        <w:endnoteRef/>
      </w:r>
      <w:r>
        <w:rPr/>
        <w:tab/>
      </w:r>
      <w:r>
        <w:rPr/>
        <w:t>Doporučení č. 1 ECP2. Diskuse v pracovní skupině.</w:t>
      </w:r>
    </w:p>
  </w:endnote>
  <w:endnote w:id="79">
    <w:p>
      <w:pPr>
        <w:pStyle w:val="Notedefin"/>
        <w:suppressLineNumbers/>
        <w:spacing w:before="57" w:after="57"/>
        <w:ind w:left="339" w:right="0" w:hanging="339"/>
        <w:rPr/>
      </w:pPr>
      <w:r>
        <w:rPr>
          <w:rStyle w:val="Caractresdenotedefin"/>
        </w:rPr>
        <w:endnoteRef/>
      </w:r>
      <w:r>
        <w:rPr/>
        <w:tab/>
      </w:r>
      <w:r>
        <w:rPr/>
        <w:t>Doporučení č. 2 ECP2. Diskuse v pracovní skupině.</w:t>
      </w:r>
    </w:p>
  </w:endnote>
  <w:endnote w:id="80">
    <w:p>
      <w:pPr>
        <w:pStyle w:val="Notedefin"/>
        <w:suppressLineNumbers/>
        <w:spacing w:before="57" w:after="57"/>
        <w:ind w:left="339" w:right="0" w:hanging="339"/>
        <w:rPr/>
      </w:pPr>
      <w:r>
        <w:rPr>
          <w:rStyle w:val="Caractresdenotedefin"/>
        </w:rPr>
        <w:endnoteRef/>
      </w:r>
      <w:r>
        <w:rPr/>
        <w:tab/>
      </w:r>
      <w:r>
        <w:rPr/>
        <w:t>Doporučení občanů, z nichž návrh vychází: PCE2: 3, 4, 6.</w:t>
      </w:r>
    </w:p>
  </w:endnote>
  <w:endnote w:id="81">
    <w:p>
      <w:pPr>
        <w:pStyle w:val="Notedefin"/>
        <w:suppressLineNumbers/>
        <w:spacing w:before="57" w:after="57"/>
        <w:ind w:left="339" w:right="0" w:hanging="339"/>
        <w:rPr/>
      </w:pPr>
      <w:r>
        <w:rPr>
          <w:rStyle w:val="Caractresdenotedefin"/>
        </w:rPr>
        <w:endnoteRef/>
      </w:r>
      <w:r>
        <w:rPr/>
        <w:tab/>
      </w:r>
      <w:r>
        <w:rPr/>
        <w:t>Doporučení č. 3 ECP2.</w:t>
      </w:r>
    </w:p>
  </w:endnote>
  <w:endnote w:id="82">
    <w:p>
      <w:pPr>
        <w:pStyle w:val="Notedefin"/>
        <w:suppressLineNumbers/>
        <w:spacing w:before="57" w:after="57"/>
        <w:ind w:left="339" w:right="0" w:hanging="339"/>
        <w:rPr/>
      </w:pPr>
      <w:r>
        <w:rPr>
          <w:rStyle w:val="Caractresdenotedefin"/>
        </w:rPr>
        <w:endnoteRef/>
      </w:r>
      <w:r>
        <w:rPr/>
        <w:tab/>
      </w:r>
      <w:r>
        <w:rPr/>
        <w:t>Tato otázka byla rovněž projednána Pracovní skupinou pro změnu klimatu a životní prostředí.</w:t>
      </w:r>
    </w:p>
  </w:endnote>
  <w:endnote w:id="83">
    <w:p>
      <w:pPr>
        <w:pStyle w:val="Notedefin"/>
        <w:suppressLineNumbers/>
        <w:spacing w:before="57" w:after="57"/>
        <w:ind w:left="339" w:right="0" w:hanging="339"/>
        <w:rPr/>
      </w:pPr>
      <w:r>
        <w:rPr>
          <w:rStyle w:val="Caractresdenotedefin"/>
        </w:rPr>
        <w:endnoteRef/>
      </w:r>
      <w:r>
        <w:rPr/>
        <w:tab/>
      </w:r>
      <w:r>
        <w:rPr/>
        <w:t>Doporučení č. 4 ECP2.</w:t>
      </w:r>
    </w:p>
  </w:endnote>
  <w:endnote w:id="84">
    <w:p>
      <w:pPr>
        <w:pStyle w:val="Notedefin"/>
        <w:suppressLineNumbers/>
        <w:spacing w:before="57" w:after="57"/>
        <w:ind w:left="339" w:right="0" w:hanging="339"/>
        <w:rPr/>
      </w:pPr>
      <w:r>
        <w:rPr>
          <w:rStyle w:val="Caractresdenotedefin"/>
        </w:rPr>
        <w:endnoteRef/>
      </w:r>
      <w:r>
        <w:rPr/>
        <w:tab/>
      </w:r>
      <w:r>
        <w:rPr/>
        <w:t>Doporučení č. 6 ECP2.</w:t>
      </w:r>
    </w:p>
  </w:endnote>
  <w:endnote w:id="85">
    <w:p>
      <w:pPr>
        <w:pStyle w:val="Notedefin"/>
        <w:suppressLineNumbers/>
        <w:spacing w:before="57" w:after="57"/>
        <w:ind w:left="339" w:right="0" w:hanging="339"/>
        <w:rPr/>
      </w:pPr>
      <w:r>
        <w:rPr>
          <w:rStyle w:val="Caractresdenotedefin"/>
        </w:rPr>
        <w:endnoteRef/>
      </w:r>
      <w:r>
        <w:rPr/>
        <w:tab/>
      </w:r>
      <w:r>
        <w:rPr/>
        <w:t>Tato otázka byla rovněž projednána Pracovní skupinou pro změnu klimatu a životní prostředí.</w:t>
      </w:r>
    </w:p>
  </w:endnote>
  <w:endnote w:id="86">
    <w:p>
      <w:pPr>
        <w:pStyle w:val="Notedefin"/>
        <w:suppressLineNumbers/>
        <w:spacing w:before="57" w:after="57"/>
        <w:ind w:left="339" w:right="0" w:hanging="339"/>
        <w:rPr/>
      </w:pPr>
      <w:r>
        <w:rPr>
          <w:rStyle w:val="Caractresdenotedefin"/>
        </w:rPr>
        <w:endnoteRef/>
      </w:r>
      <w:r>
        <w:rPr/>
        <w:tab/>
      </w:r>
      <w:r>
        <w:rPr/>
        <w:t>Doporučení občanů, z nichž návrh vychází: Evropský panel občanů 1 (ECP 1): 17, 40, 47; Nizozemský národní panel občanů (NCP) č. 1.</w:t>
      </w:r>
    </w:p>
  </w:endnote>
  <w:endnote w:id="87">
    <w:p>
      <w:pPr>
        <w:pStyle w:val="Notedefin"/>
        <w:suppressLineNumbers/>
        <w:spacing w:before="57" w:after="57"/>
        <w:ind w:left="339" w:right="0" w:hanging="339"/>
        <w:rPr/>
      </w:pPr>
      <w:r>
        <w:rPr>
          <w:rStyle w:val="Caractresdenotedefin"/>
        </w:rPr>
        <w:endnoteRef/>
      </w:r>
      <w:r>
        <w:rPr/>
        <w:tab/>
      </w:r>
      <w:r>
        <w:rPr/>
        <w:t>Viz odkaz na doporučení č. 38 ECP 3, pokud jde o infrastrukturu pro elektrická vozidla.</w:t>
      </w:r>
    </w:p>
  </w:endnote>
  <w:endnote w:id="88">
    <w:p>
      <w:pPr>
        <w:pStyle w:val="Notedefin"/>
        <w:suppressLineNumbers/>
        <w:spacing w:before="57" w:after="57"/>
        <w:ind w:left="339" w:right="0" w:hanging="339"/>
        <w:rPr/>
      </w:pPr>
      <w:r>
        <w:rPr>
          <w:rStyle w:val="Caractresdenotedefin"/>
        </w:rPr>
        <w:endnoteRef/>
      </w:r>
      <w:r>
        <w:rPr/>
        <w:tab/>
      </w:r>
      <w:r>
        <w:rPr/>
        <w:t>Doporučení občanů, z nichž návrh vychází: Evropský panel občanů 1 (ECP 1): 8, 34 a 47; Italský národní panel občanů (NCP) 5.2.</w:t>
      </w:r>
    </w:p>
  </w:endnote>
  <w:endnote w:id="89">
    <w:p>
      <w:pPr>
        <w:pStyle w:val="Notedefin"/>
        <w:suppressLineNumbers/>
        <w:spacing w:before="57" w:after="57"/>
        <w:ind w:left="339" w:right="0" w:hanging="339"/>
        <w:rPr/>
      </w:pPr>
      <w:r>
        <w:rPr>
          <w:rStyle w:val="Caractresdenotedefin"/>
        </w:rPr>
        <w:endnoteRef/>
      </w:r>
      <w:r>
        <w:rPr/>
        <w:tab/>
      </w:r>
      <w:r>
        <w:rPr/>
        <w:t>Doporučení občanů, z nichž návrh vychází: doporučení č. 39 a 46 evropského panelu občanů 1 (CEP 1) a doporučení 2.6 litevského národního panelu občanů (NCP) a NCP Nizozemska.</w:t>
      </w:r>
    </w:p>
  </w:endnote>
  <w:endnote w:id="90">
    <w:p>
      <w:pPr>
        <w:pStyle w:val="Notedefin"/>
        <w:suppressLineNumbers/>
        <w:spacing w:before="57" w:after="57"/>
        <w:ind w:left="339" w:right="0" w:hanging="339"/>
        <w:rPr/>
      </w:pPr>
      <w:r>
        <w:rPr>
          <w:rStyle w:val="Caractresdenotedefin"/>
        </w:rPr>
        <w:endnoteRef/>
      </w:r>
      <w:r>
        <w:rPr/>
        <w:tab/>
      </w:r>
      <w:r>
        <w:rPr/>
        <w:t>Doporučení občanů, z nichž návrh vychází: doporučení č. 42, 43, 44 a 45 evropského panelu občanů č. 1 (PCE 1) a doporučení č. 2 nizozemského národního panelu občanů (NCP).</w:t>
      </w:r>
    </w:p>
  </w:endnote>
  <w:endnote w:id="91">
    <w:p>
      <w:pPr>
        <w:pStyle w:val="Notedefin"/>
        <w:suppressLineNumbers/>
        <w:spacing w:before="57" w:after="57"/>
        <w:ind w:left="339" w:right="0" w:hanging="339"/>
        <w:rPr/>
      </w:pPr>
      <w:r>
        <w:rPr>
          <w:rStyle w:val="Caractresdenotedefin"/>
        </w:rPr>
        <w:endnoteRef/>
      </w:r>
      <w:r>
        <w:rPr/>
        <w:tab/>
      </w:r>
      <w:r>
        <w:rPr/>
        <w:t>Doporučení občanů, z nichž návrh vychází: Evropský panel občanů č. 1 (PCE 1) č. 7, 16 a 17 a národní panelové diskuse občanů Německa a Itálie 1.3.</w:t>
      </w:r>
    </w:p>
  </w:endnote>
  <w:endnote w:id="92">
    <w:p>
      <w:pPr>
        <w:pStyle w:val="Notedefin"/>
        <w:suppressLineNumbers/>
        <w:spacing w:before="57" w:after="57"/>
        <w:ind w:left="339" w:right="0" w:hanging="339"/>
        <w:rPr/>
      </w:pPr>
      <w:r>
        <w:rPr>
          <w:rStyle w:val="Caractresdenotedefin"/>
        </w:rPr>
        <w:endnoteRef/>
      </w:r>
      <w:r>
        <w:rPr/>
        <w:tab/>
      </w:r>
      <w:r>
        <w:rPr/>
        <w:t>Bude zváženo v souvislosti s návrhy pracovní skupiny pro silnější ekonomiku.</w:t>
      </w:r>
    </w:p>
  </w:endnote>
  <w:endnote w:id="93">
    <w:p>
      <w:pPr>
        <w:pStyle w:val="Notedefin"/>
        <w:suppressLineNumbers/>
        <w:spacing w:before="57" w:after="57"/>
        <w:ind w:left="339" w:right="0" w:hanging="339"/>
        <w:rPr/>
      </w:pPr>
      <w:r>
        <w:rPr>
          <w:rStyle w:val="Caractresdenotedefin"/>
        </w:rPr>
        <w:endnoteRef/>
      </w:r>
      <w:r>
        <w:rPr/>
        <w:tab/>
      </w:r>
      <w:r>
        <w:rPr/>
        <w:t>Pozměňovací návrhy č. 3A a 3B pracovní skupiny.</w:t>
      </w:r>
    </w:p>
  </w:endnote>
  <w:endnote w:id="94">
    <w:p>
      <w:pPr>
        <w:pStyle w:val="Notedefin"/>
        <w:suppressLineNumbers/>
        <w:spacing w:before="57" w:after="57"/>
        <w:ind w:left="339" w:right="0" w:hanging="339"/>
        <w:rPr/>
      </w:pPr>
      <w:r>
        <w:rPr>
          <w:rStyle w:val="Caractresdenotedefin"/>
        </w:rPr>
        <w:endnoteRef/>
      </w:r>
      <w:r>
        <w:rPr/>
        <w:tab/>
      </w:r>
      <w:r>
        <w:rPr/>
        <w:t>Doporučení 32 a 37 evropského panelu občanů 2 (PCE 2); vnitrostátní panely BE, FR a NL.</w:t>
      </w:r>
    </w:p>
  </w:endnote>
  <w:endnote w:id="95">
    <w:p>
      <w:pPr>
        <w:pStyle w:val="Notedefin"/>
        <w:suppressLineNumbers/>
        <w:spacing w:before="57" w:after="57"/>
        <w:ind w:left="339" w:right="0" w:hanging="339"/>
        <w:rPr/>
      </w:pPr>
      <w:r>
        <w:rPr>
          <w:rStyle w:val="Caractresdenotedefin"/>
        </w:rPr>
        <w:endnoteRef/>
      </w:r>
      <w:r>
        <w:rPr/>
        <w:tab/>
      </w:r>
      <w:r>
        <w:rPr/>
        <w:t>Národní panel FR.</w:t>
      </w:r>
    </w:p>
  </w:endnote>
  <w:endnote w:id="96">
    <w:p>
      <w:pPr>
        <w:pStyle w:val="Notedefin"/>
        <w:suppressLineNumbers/>
        <w:spacing w:before="57" w:after="57"/>
        <w:ind w:left="339" w:right="0" w:hanging="339"/>
        <w:rPr/>
      </w:pPr>
      <w:r>
        <w:rPr>
          <w:rStyle w:val="Caractresdenotedefin"/>
        </w:rPr>
        <w:endnoteRef/>
      </w:r>
      <w:r>
        <w:rPr/>
        <w:tab/>
      </w:r>
      <w:r>
        <w:rPr/>
        <w:t>Pozměňovací návrh č. 8 pracovní skupiny, stručné znění.</w:t>
      </w:r>
    </w:p>
  </w:endnote>
  <w:endnote w:id="97">
    <w:p>
      <w:pPr>
        <w:pStyle w:val="Notedefin"/>
        <w:suppressLineNumbers/>
        <w:spacing w:before="57" w:after="57"/>
        <w:ind w:left="339" w:right="0" w:hanging="339"/>
        <w:rPr/>
      </w:pPr>
      <w:r>
        <w:rPr>
          <w:rStyle w:val="Caractresdenotedefin"/>
        </w:rPr>
        <w:endnoteRef/>
      </w:r>
      <w:r>
        <w:rPr/>
        <w:tab/>
      </w:r>
      <w:r>
        <w:rPr/>
        <w:t>Doporučení ECP č. 29 2.</w:t>
      </w:r>
    </w:p>
  </w:endnote>
  <w:endnote w:id="98">
    <w:p>
      <w:pPr>
        <w:pStyle w:val="Notedefin"/>
        <w:suppressLineNumbers/>
        <w:spacing w:before="57" w:after="57"/>
        <w:ind w:left="339" w:right="0" w:hanging="339"/>
        <w:rPr/>
      </w:pPr>
      <w:r>
        <w:rPr>
          <w:rStyle w:val="Caractresdenotedefin"/>
        </w:rPr>
        <w:endnoteRef/>
      </w:r>
      <w:r>
        <w:rPr/>
        <w:tab/>
      </w:r>
      <w:r>
        <w:rPr/>
        <w:t>Doporučení č. 19 a 32 ECP 2; vnitrostátní panely BE a FR a zástupce DK pro vnitrostátní akce.</w:t>
      </w:r>
    </w:p>
  </w:endnote>
  <w:endnote w:id="99">
    <w:p>
      <w:pPr>
        <w:pStyle w:val="Notedefin"/>
        <w:suppressLineNumbers/>
        <w:spacing w:before="57" w:after="57"/>
        <w:ind w:left="339" w:right="0" w:hanging="339"/>
        <w:rPr/>
      </w:pPr>
      <w:r>
        <w:rPr>
          <w:rStyle w:val="Caractresdenotedefin"/>
        </w:rPr>
        <w:endnoteRef/>
      </w:r>
      <w:r>
        <w:rPr/>
        <w:tab/>
      </w:r>
      <w:r>
        <w:rPr/>
        <w:t>Národní panel BE.</w:t>
      </w:r>
    </w:p>
  </w:endnote>
  <w:endnote w:id="100">
    <w:p>
      <w:pPr>
        <w:pStyle w:val="Notedefin"/>
        <w:suppressLineNumbers/>
        <w:spacing w:before="57" w:after="57"/>
        <w:ind w:left="339" w:right="0" w:hanging="339"/>
        <w:rPr/>
      </w:pPr>
      <w:r>
        <w:rPr>
          <w:rStyle w:val="Caractresdenotedefin"/>
        </w:rPr>
        <w:endnoteRef/>
      </w:r>
      <w:r>
        <w:rPr/>
        <w:tab/>
      </w:r>
      <w:r>
        <w:rPr/>
        <w:t>Pozměňovací návrh č. 7B pracovní skupiny.</w:t>
      </w:r>
    </w:p>
  </w:endnote>
  <w:endnote w:id="101">
    <w:p>
      <w:pPr>
        <w:pStyle w:val="Notedefin"/>
        <w:suppressLineNumbers/>
        <w:spacing w:before="57" w:after="57"/>
        <w:ind w:left="339" w:right="0" w:hanging="339"/>
        <w:rPr/>
      </w:pPr>
      <w:r>
        <w:rPr>
          <w:rStyle w:val="Caractresdenotedefin"/>
        </w:rPr>
        <w:endnoteRef/>
      </w:r>
      <w:r>
        <w:rPr/>
        <w:tab/>
      </w:r>
      <w:r>
        <w:rPr/>
        <w:t>Národní panel BE.</w:t>
      </w:r>
    </w:p>
  </w:endnote>
  <w:endnote w:id="102">
    <w:p>
      <w:pPr>
        <w:pStyle w:val="Notedefin"/>
        <w:suppressLineNumbers/>
        <w:spacing w:before="57" w:after="57"/>
        <w:ind w:left="339" w:right="0" w:hanging="339"/>
        <w:rPr/>
      </w:pPr>
      <w:r>
        <w:rPr>
          <w:rStyle w:val="Caractresdenotedefin"/>
        </w:rPr>
        <w:endnoteRef/>
      </w:r>
      <w:r>
        <w:rPr/>
        <w:tab/>
      </w:r>
      <w:r>
        <w:rPr/>
        <w:t>Závěrečná zpráva Kantara, s. 85.</w:t>
      </w:r>
    </w:p>
  </w:endnote>
  <w:endnote w:id="103">
    <w:p>
      <w:pPr>
        <w:pStyle w:val="Notedefin"/>
        <w:suppressLineNumbers/>
        <w:spacing w:before="57" w:after="57"/>
        <w:ind w:left="339" w:right="0" w:hanging="339"/>
        <w:rPr/>
      </w:pPr>
      <w:r>
        <w:rPr>
          <w:rStyle w:val="Caractresdenotedefin"/>
        </w:rPr>
        <w:endnoteRef/>
      </w:r>
      <w:r>
        <w:rPr/>
        <w:tab/>
      </w:r>
      <w:r>
        <w:rPr/>
        <w:t>Doporučení č. 39 ECP 2; národní panel č. 3 BE.</w:t>
      </w:r>
    </w:p>
  </w:endnote>
  <w:endnote w:id="104">
    <w:p>
      <w:pPr>
        <w:pStyle w:val="Notedefin"/>
        <w:suppressLineNumbers/>
        <w:spacing w:before="57" w:after="57"/>
        <w:ind w:left="339" w:right="0" w:hanging="339"/>
        <w:rPr/>
      </w:pPr>
      <w:r>
        <w:rPr>
          <w:rStyle w:val="Caractresdenotedefin"/>
        </w:rPr>
        <w:endnoteRef/>
      </w:r>
      <w:r>
        <w:rPr/>
        <w:tab/>
      </w:r>
      <w:r>
        <w:rPr/>
        <w:t>Pozměňovací návrh 10A pracovní skupiny, stručné znění.</w:t>
      </w:r>
    </w:p>
  </w:endnote>
  <w:endnote w:id="105">
    <w:p>
      <w:pPr>
        <w:pStyle w:val="Notedefin"/>
        <w:suppressLineNumbers/>
        <w:spacing w:before="57" w:after="57"/>
        <w:ind w:left="339" w:right="0" w:hanging="339"/>
        <w:rPr/>
      </w:pPr>
      <w:r>
        <w:rPr>
          <w:rStyle w:val="Caractresdenotedefin"/>
        </w:rPr>
        <w:endnoteRef/>
      </w:r>
      <w:r>
        <w:rPr/>
        <w:tab/>
      </w:r>
      <w:r>
        <w:rPr/>
        <w:t>Zástupce DK pro národní akce.</w:t>
      </w:r>
    </w:p>
  </w:endnote>
  <w:endnote w:id="106">
    <w:p>
      <w:pPr>
        <w:pStyle w:val="Notedefin"/>
        <w:suppressLineNumbers/>
        <w:spacing w:before="57" w:after="57"/>
        <w:ind w:left="339" w:right="0" w:hanging="339"/>
        <w:rPr/>
      </w:pPr>
      <w:r>
        <w:rPr>
          <w:rStyle w:val="Caractresdenotedefin"/>
        </w:rPr>
        <w:endnoteRef/>
      </w:r>
      <w:r>
        <w:rPr/>
        <w:tab/>
      </w:r>
      <w:r>
        <w:rPr/>
        <w:t>Pozměňovací návrh č. 54C pracovní skupiny.</w:t>
      </w:r>
    </w:p>
  </w:endnote>
  <w:endnote w:id="107">
    <w:p>
      <w:pPr>
        <w:pStyle w:val="Notedefin"/>
        <w:suppressLineNumbers/>
        <w:spacing w:before="57" w:after="57"/>
        <w:ind w:left="339" w:right="0" w:hanging="339"/>
        <w:rPr/>
      </w:pPr>
      <w:r>
        <w:rPr>
          <w:rStyle w:val="Caractresdenotedefin"/>
        </w:rPr>
        <w:endnoteRef/>
      </w:r>
      <w:r>
        <w:rPr/>
        <w:tab/>
      </w:r>
      <w:r>
        <w:rPr/>
        <w:t>Zástupce DK pro národní akce.</w:t>
      </w:r>
    </w:p>
  </w:endnote>
  <w:endnote w:id="108">
    <w:p>
      <w:pPr>
        <w:pStyle w:val="Notedefin"/>
        <w:suppressLineNumbers/>
        <w:spacing w:before="57" w:after="57"/>
        <w:ind w:left="339" w:right="0" w:hanging="339"/>
        <w:rPr/>
      </w:pPr>
      <w:r>
        <w:rPr>
          <w:rStyle w:val="Caractresdenotedefin"/>
        </w:rPr>
        <w:endnoteRef/>
      </w:r>
      <w:r>
        <w:rPr/>
        <w:tab/>
      </w:r>
      <w:r>
        <w:rPr/>
        <w:t>Zástupce DK pro národní akce.</w:t>
      </w:r>
    </w:p>
  </w:endnote>
  <w:endnote w:id="109">
    <w:p>
      <w:pPr>
        <w:pStyle w:val="Notedefin"/>
        <w:suppressLineNumbers/>
        <w:spacing w:before="57" w:after="57"/>
        <w:ind w:left="339" w:right="0" w:hanging="339"/>
        <w:rPr/>
      </w:pPr>
      <w:r>
        <w:rPr>
          <w:rStyle w:val="Caractresdenotedefin"/>
        </w:rPr>
        <w:endnoteRef/>
      </w:r>
      <w:r>
        <w:rPr/>
        <w:tab/>
      </w:r>
      <w:r>
        <w:rPr/>
        <w:t>Pozměňovací návrh č. 15A pracovní skupiny, kompromisní znění.</w:t>
      </w:r>
    </w:p>
  </w:endnote>
  <w:endnote w:id="110">
    <w:p>
      <w:pPr>
        <w:pStyle w:val="Notedefin"/>
        <w:suppressLineNumbers/>
        <w:spacing w:before="57" w:after="57"/>
        <w:ind w:left="339" w:right="0" w:hanging="339"/>
        <w:rPr/>
      </w:pPr>
      <w:r>
        <w:rPr>
          <w:rStyle w:val="Caractresdenotedefin"/>
        </w:rPr>
        <w:endnoteRef/>
      </w:r>
      <w:r>
        <w:rPr/>
        <w:tab/>
      </w:r>
      <w:r>
        <w:rPr/>
        <w:t>Doporučení PCE 2 24, 36 a 38; národní panel BE.</w:t>
      </w:r>
    </w:p>
  </w:endnote>
  <w:endnote w:id="111">
    <w:p>
      <w:pPr>
        <w:pStyle w:val="Notedefin"/>
        <w:suppressLineNumbers/>
        <w:spacing w:before="57" w:after="57"/>
        <w:ind w:left="339" w:right="0" w:hanging="339"/>
        <w:rPr/>
      </w:pPr>
      <w:r>
        <w:rPr>
          <w:rStyle w:val="Caractresdenotedefin"/>
        </w:rPr>
        <w:endnoteRef/>
      </w:r>
      <w:r>
        <w:rPr/>
        <w:tab/>
      </w:r>
      <w:r>
        <w:rPr/>
        <w:t>Pozměňovací návrh č. 16C pracovní skupiny.</w:t>
      </w:r>
    </w:p>
  </w:endnote>
  <w:endnote w:id="112">
    <w:p>
      <w:pPr>
        <w:pStyle w:val="Notedefin"/>
        <w:suppressLineNumbers/>
        <w:spacing w:before="57" w:after="57"/>
        <w:ind w:left="339" w:right="0" w:hanging="339"/>
        <w:rPr/>
      </w:pPr>
      <w:r>
        <w:rPr>
          <w:rStyle w:val="Caractresdenotedefin"/>
        </w:rPr>
        <w:endnoteRef/>
      </w:r>
      <w:r>
        <w:rPr/>
        <w:tab/>
      </w:r>
      <w:r>
        <w:rPr/>
        <w:t>Doporučení č. 33 ECP 2; vnitrostátní panely BE, FR a NL.</w:t>
      </w:r>
    </w:p>
  </w:endnote>
  <w:endnote w:id="113">
    <w:p>
      <w:pPr>
        <w:pStyle w:val="Notedefin"/>
        <w:suppressLineNumbers/>
        <w:spacing w:before="57" w:after="57"/>
        <w:ind w:left="339" w:right="0" w:hanging="339"/>
        <w:rPr/>
      </w:pPr>
      <w:r>
        <w:rPr>
          <w:rStyle w:val="Caractresdenotedefin"/>
        </w:rPr>
        <w:endnoteRef/>
      </w:r>
      <w:r>
        <w:rPr/>
        <w:tab/>
      </w:r>
      <w:r>
        <w:rPr/>
        <w:t>Doporučení ECP č. 26 2.</w:t>
      </w:r>
    </w:p>
  </w:endnote>
  <w:endnote w:id="114">
    <w:p>
      <w:pPr>
        <w:pStyle w:val="Notedefin"/>
        <w:suppressLineNumbers/>
        <w:spacing w:before="57" w:after="57"/>
        <w:ind w:left="339" w:right="0" w:hanging="339"/>
        <w:rPr/>
      </w:pPr>
      <w:r>
        <w:rPr>
          <w:rStyle w:val="Caractresdenotedefin"/>
        </w:rPr>
        <w:endnoteRef/>
      </w:r>
      <w:r>
        <w:rPr/>
        <w:tab/>
      </w:r>
      <w:r>
        <w:rPr/>
        <w:t>Pozměňovací návrh č. 17 pracovní skupiny.</w:t>
      </w:r>
    </w:p>
  </w:endnote>
  <w:endnote w:id="115">
    <w:p>
      <w:pPr>
        <w:pStyle w:val="Notedefin"/>
        <w:suppressLineNumbers/>
        <w:spacing w:before="57" w:after="57"/>
        <w:ind w:left="339" w:right="0" w:hanging="339"/>
        <w:rPr/>
      </w:pPr>
      <w:r>
        <w:rPr>
          <w:rStyle w:val="Caractresdenotedefin"/>
        </w:rPr>
        <w:endnoteRef/>
      </w:r>
      <w:r>
        <w:rPr/>
        <w:tab/>
      </w:r>
      <w:r>
        <w:rPr/>
        <w:t>Národní panel BE.</w:t>
      </w:r>
    </w:p>
  </w:endnote>
  <w:endnote w:id="116">
    <w:p>
      <w:pPr>
        <w:pStyle w:val="Notedefin"/>
        <w:suppressLineNumbers/>
        <w:spacing w:before="57" w:after="57"/>
        <w:ind w:left="339" w:right="0" w:hanging="339"/>
        <w:rPr/>
      </w:pPr>
      <w:r>
        <w:rPr>
          <w:rStyle w:val="Caractresdenotedefin"/>
        </w:rPr>
        <w:endnoteRef/>
      </w:r>
      <w:r>
        <w:rPr/>
        <w:tab/>
      </w:r>
      <w:r>
        <w:rPr/>
        <w:t>Pozměňovací návrh pracovní skupiny č. 18A.</w:t>
      </w:r>
    </w:p>
  </w:endnote>
  <w:endnote w:id="117">
    <w:p>
      <w:pPr>
        <w:pStyle w:val="Notedefin"/>
        <w:suppressLineNumbers/>
        <w:spacing w:before="57" w:after="57"/>
        <w:ind w:left="339" w:right="0" w:hanging="339"/>
        <w:rPr/>
      </w:pPr>
      <w:r>
        <w:rPr>
          <w:rStyle w:val="Caractresdenotedefin"/>
        </w:rPr>
        <w:endnoteRef/>
      </w:r>
      <w:r>
        <w:rPr/>
        <w:tab/>
      </w:r>
      <w:r>
        <w:rPr/>
        <w:t>Doporučení ECP č. 252.</w:t>
      </w:r>
    </w:p>
  </w:endnote>
  <w:endnote w:id="118">
    <w:p>
      <w:pPr>
        <w:pStyle w:val="Notedefin"/>
        <w:suppressLineNumbers/>
        <w:spacing w:before="57" w:after="57"/>
        <w:ind w:left="339" w:right="0" w:hanging="339"/>
        <w:rPr/>
      </w:pPr>
      <w:r>
        <w:rPr>
          <w:rStyle w:val="Caractresdenotedefin"/>
        </w:rPr>
        <w:endnoteRef/>
      </w:r>
      <w:r>
        <w:rPr/>
        <w:tab/>
      </w:r>
      <w:r>
        <w:rPr/>
        <w:t>Pozměňovací návrh č. 18B pracovní skupiny.</w:t>
      </w:r>
    </w:p>
  </w:endnote>
  <w:endnote w:id="119">
    <w:p>
      <w:pPr>
        <w:pStyle w:val="Notedefin"/>
        <w:suppressLineNumbers/>
        <w:spacing w:before="57" w:after="57"/>
        <w:ind w:left="339" w:right="0" w:hanging="339"/>
        <w:rPr/>
      </w:pPr>
      <w:r>
        <w:rPr>
          <w:rStyle w:val="Caractresdenotedefin"/>
        </w:rPr>
        <w:endnoteRef/>
      </w:r>
      <w:r>
        <w:rPr/>
        <w:tab/>
      </w:r>
      <w:r>
        <w:rPr/>
        <w:t>Doporučení č. 31 ECP 2; vnitrostátní panely BE a NL.</w:t>
      </w:r>
    </w:p>
  </w:endnote>
  <w:endnote w:id="120">
    <w:p>
      <w:pPr>
        <w:pStyle w:val="Notedefin"/>
        <w:suppressLineNumbers/>
        <w:spacing w:before="57" w:after="57"/>
        <w:ind w:left="339" w:right="0" w:hanging="339"/>
        <w:rPr/>
      </w:pPr>
      <w:r>
        <w:rPr>
          <w:rStyle w:val="Caractresdenotedefin"/>
        </w:rPr>
        <w:endnoteRef/>
      </w:r>
      <w:r>
        <w:rPr/>
        <w:tab/>
      </w:r>
      <w:r>
        <w:rPr/>
        <w:t>Pozměňovací návrhy č. 19A pracovní skupiny, jejichž cílem je vytvořit vhodnější text.</w:t>
      </w:r>
    </w:p>
  </w:endnote>
  <w:endnote w:id="121">
    <w:p>
      <w:pPr>
        <w:pStyle w:val="Notedefin"/>
        <w:suppressLineNumbers/>
        <w:spacing w:before="57" w:after="57"/>
        <w:ind w:left="339" w:right="0" w:hanging="339"/>
        <w:rPr/>
      </w:pPr>
      <w:r>
        <w:rPr>
          <w:rStyle w:val="Caractresdenotedefin"/>
        </w:rPr>
        <w:endnoteRef/>
      </w:r>
      <w:r>
        <w:rPr/>
        <w:tab/>
      </w:r>
      <w:r>
        <w:rPr/>
        <w:t>Pozměňovací návrh č. 21 pracovní skupiny, kompromis.</w:t>
      </w:r>
    </w:p>
  </w:endnote>
  <w:endnote w:id="122">
    <w:p>
      <w:pPr>
        <w:pStyle w:val="Notedefin"/>
        <w:suppressLineNumbers/>
        <w:spacing w:before="57" w:after="57"/>
        <w:ind w:left="339" w:right="0" w:hanging="339"/>
        <w:rPr/>
      </w:pPr>
      <w:r>
        <w:rPr>
          <w:rStyle w:val="Caractresdenotedefin"/>
        </w:rPr>
        <w:endnoteRef/>
      </w:r>
      <w:r>
        <w:rPr/>
        <w:tab/>
      </w:r>
      <w:r>
        <w:rPr/>
        <w:t>Národní panely BE a FR.</w:t>
      </w:r>
    </w:p>
  </w:endnote>
  <w:endnote w:id="123">
    <w:p>
      <w:pPr>
        <w:pStyle w:val="Notedefin"/>
        <w:suppressLineNumbers/>
        <w:spacing w:before="57" w:after="57"/>
        <w:ind w:left="339" w:right="0" w:hanging="339"/>
        <w:rPr/>
      </w:pPr>
      <w:r>
        <w:rPr>
          <w:rStyle w:val="Caractresdenotedefin"/>
        </w:rPr>
        <w:endnoteRef/>
      </w:r>
      <w:r>
        <w:rPr/>
        <w:tab/>
      </w:r>
      <w:r>
        <w:rPr/>
        <w:t>Pozměňovací návrh č. 23B pracovní skupiny.</w:t>
      </w:r>
    </w:p>
  </w:endnote>
  <w:endnote w:id="124">
    <w:p>
      <w:pPr>
        <w:pStyle w:val="Notedefin"/>
        <w:suppressLineNumbers/>
        <w:spacing w:before="57" w:after="57"/>
        <w:ind w:left="339" w:right="0" w:hanging="339"/>
        <w:rPr/>
      </w:pPr>
      <w:r>
        <w:rPr>
          <w:rStyle w:val="Caractresdenotedefin"/>
        </w:rPr>
        <w:endnoteRef/>
      </w:r>
      <w:r>
        <w:rPr/>
        <w:tab/>
      </w:r>
      <w:r>
        <w:rPr/>
        <w:t>Doporučení 27 ECP 2; národní panel BE.</w:t>
      </w:r>
    </w:p>
  </w:endnote>
  <w:endnote w:id="125">
    <w:p>
      <w:pPr>
        <w:pStyle w:val="Notedefin"/>
        <w:suppressLineNumbers/>
        <w:spacing w:before="57" w:after="57"/>
        <w:ind w:left="339" w:right="0" w:hanging="339"/>
        <w:rPr/>
      </w:pPr>
      <w:r>
        <w:rPr>
          <w:rStyle w:val="Caractresdenotedefin"/>
        </w:rPr>
        <w:endnoteRef/>
      </w:r>
      <w:r>
        <w:rPr/>
        <w:tab/>
      </w:r>
      <w:r>
        <w:rPr/>
        <w:t>Pozměňovací návrh č. 25C pracovní skupiny.</w:t>
      </w:r>
    </w:p>
  </w:endnote>
  <w:endnote w:id="126">
    <w:p>
      <w:pPr>
        <w:pStyle w:val="Notedefin"/>
        <w:suppressLineNumbers/>
        <w:spacing w:before="57" w:after="57"/>
        <w:ind w:left="339" w:right="0" w:hanging="339"/>
        <w:rPr/>
      </w:pPr>
      <w:r>
        <w:rPr>
          <w:rStyle w:val="Caractresdenotedefin"/>
        </w:rPr>
        <w:endnoteRef/>
      </w:r>
      <w:r>
        <w:rPr/>
        <w:tab/>
      </w:r>
      <w:r>
        <w:rPr/>
        <w:t>Doporučení č. 14 ECP.</w:t>
      </w:r>
    </w:p>
  </w:endnote>
  <w:endnote w:id="127">
    <w:p>
      <w:pPr>
        <w:pStyle w:val="Notedefin"/>
        <w:suppressLineNumbers/>
        <w:spacing w:before="57" w:after="57"/>
        <w:ind w:left="339" w:right="0" w:hanging="339"/>
        <w:rPr/>
      </w:pPr>
      <w:r>
        <w:rPr>
          <w:rStyle w:val="Caractresdenotedefin"/>
        </w:rPr>
        <w:endnoteRef/>
      </w:r>
      <w:r>
        <w:rPr/>
        <w:tab/>
      </w:r>
      <w:r>
        <w:rPr/>
        <w:t>Doporučení EKP č. 18. POZN.: Zástupci občanů vysvětlili, že tento mechanismus by měl být navržen a používán s opatrností.</w:t>
      </w:r>
    </w:p>
  </w:endnote>
  <w:endnote w:id="128">
    <w:p>
      <w:pPr>
        <w:pStyle w:val="Notedefin"/>
        <w:suppressLineNumbers/>
        <w:spacing w:before="57" w:after="57"/>
        <w:ind w:left="339" w:right="0" w:hanging="339"/>
        <w:rPr/>
      </w:pPr>
      <w:r>
        <w:rPr>
          <w:rStyle w:val="Caractresdenotedefin"/>
        </w:rPr>
        <w:endnoteRef/>
      </w:r>
      <w:r>
        <w:rPr/>
        <w:tab/>
      </w:r>
      <w:r>
        <w:rPr/>
        <w:t>Pozměňovací návrhy č. 28E, 28G a 28H pracovní skupiny.</w:t>
      </w:r>
    </w:p>
  </w:endnote>
  <w:endnote w:id="129">
    <w:p>
      <w:pPr>
        <w:pStyle w:val="Notedefin"/>
        <w:suppressLineNumbers/>
        <w:spacing w:before="57" w:after="57"/>
        <w:ind w:left="339" w:right="0" w:hanging="339"/>
        <w:rPr/>
      </w:pPr>
      <w:r>
        <w:rPr>
          <w:rStyle w:val="Caractresdenotedefin"/>
        </w:rPr>
        <w:endnoteRef/>
      </w:r>
      <w:r>
        <w:rPr/>
        <w:tab/>
      </w:r>
      <w:r>
        <w:rPr/>
        <w:t>Doporučení č. 16 ECP 2; NL Národní panel č. 20, rozdělený na nadnárodní seznamy.</w:t>
      </w:r>
    </w:p>
  </w:endnote>
  <w:endnote w:id="130">
    <w:p>
      <w:pPr>
        <w:pStyle w:val="Notedefin"/>
        <w:suppressLineNumbers/>
        <w:spacing w:before="57" w:after="57"/>
        <w:ind w:left="339" w:right="0" w:hanging="339"/>
        <w:rPr/>
      </w:pPr>
      <w:r>
        <w:rPr>
          <w:rStyle w:val="Caractresdenotedefin"/>
        </w:rPr>
        <w:endnoteRef/>
      </w:r>
      <w:r>
        <w:rPr/>
        <w:tab/>
      </w:r>
      <w:r>
        <w:rPr/>
        <w:t>Na základě doporučení 16 ECP 2; diskuse v GT.</w:t>
      </w:r>
    </w:p>
  </w:endnote>
  <w:endnote w:id="131">
    <w:p>
      <w:pPr>
        <w:pStyle w:val="Notedefin"/>
        <w:suppressLineNumbers/>
        <w:spacing w:before="57" w:after="57"/>
        <w:ind w:left="339" w:right="0" w:hanging="339"/>
        <w:rPr/>
      </w:pPr>
      <w:r>
        <w:rPr>
          <w:rStyle w:val="Caractresdenotedefin"/>
        </w:rPr>
        <w:endnoteRef/>
      </w:r>
      <w:r>
        <w:rPr/>
        <w:tab/>
      </w:r>
      <w:r>
        <w:rPr/>
        <w:t>Doporučení č. 19 ECP 2 a vícejazyčná digitální platforma (MNP).</w:t>
      </w:r>
    </w:p>
  </w:endnote>
  <w:endnote w:id="132">
    <w:p>
      <w:pPr>
        <w:pStyle w:val="Notedefin"/>
        <w:suppressLineNumbers/>
        <w:spacing w:before="57" w:after="57"/>
        <w:ind w:left="339" w:right="0" w:hanging="339"/>
        <w:rPr/>
      </w:pPr>
      <w:r>
        <w:rPr>
          <w:rStyle w:val="Caractresdenotedefin"/>
        </w:rPr>
        <w:endnoteRef/>
      </w:r>
      <w:r>
        <w:rPr/>
        <w:tab/>
      </w:r>
      <w:r>
        <w:rPr/>
        <w:t>EHSV.</w:t>
      </w:r>
    </w:p>
  </w:endnote>
  <w:endnote w:id="133">
    <w:p>
      <w:pPr>
        <w:pStyle w:val="Notedefin"/>
        <w:suppressLineNumbers/>
        <w:spacing w:before="57" w:after="57"/>
        <w:ind w:left="339" w:right="0" w:hanging="339"/>
        <w:rPr/>
      </w:pPr>
      <w:r>
        <w:rPr>
          <w:rStyle w:val="Caractresdenotedefin"/>
        </w:rPr>
        <w:endnoteRef/>
      </w:r>
      <w:r>
        <w:rPr/>
        <w:tab/>
      </w:r>
      <w:r>
        <w:rPr/>
        <w:t>Pozměňovací návrh č. 32B pracovní skupiny.</w:t>
      </w:r>
    </w:p>
  </w:endnote>
  <w:endnote w:id="134">
    <w:p>
      <w:pPr>
        <w:pStyle w:val="Notedefin"/>
        <w:suppressLineNumbers/>
        <w:spacing w:before="57" w:after="57"/>
        <w:ind w:left="339" w:right="0" w:hanging="339"/>
        <w:rPr/>
      </w:pPr>
      <w:r>
        <w:rPr>
          <w:rStyle w:val="Caractresdenotedefin"/>
        </w:rPr>
        <w:endnoteRef/>
      </w:r>
      <w:r>
        <w:rPr/>
        <w:tab/>
      </w:r>
      <w:r>
        <w:rPr/>
        <w:t>Doporučení 36 ECP 2; národní panely BE a FR.</w:t>
      </w:r>
    </w:p>
  </w:endnote>
  <w:endnote w:id="135">
    <w:p>
      <w:pPr>
        <w:pStyle w:val="Notedefin"/>
        <w:suppressLineNumbers/>
        <w:spacing w:before="57" w:after="57"/>
        <w:ind w:left="339" w:right="0" w:hanging="339"/>
        <w:rPr/>
      </w:pPr>
      <w:r>
        <w:rPr>
          <w:rStyle w:val="Caractresdenotedefin"/>
        </w:rPr>
        <w:endnoteRef/>
      </w:r>
      <w:r>
        <w:rPr/>
        <w:tab/>
      </w:r>
      <w:r>
        <w:rPr/>
        <w:t>Vnitrostátní panelová komise FR („volba předsedy Evropské komise ve všeobecných volbách“); PNM (Final Kantar Report: skupina příspěvků se týká přímé volby předsedy Komise občany).</w:t>
      </w:r>
    </w:p>
  </w:endnote>
  <w:endnote w:id="136">
    <w:p>
      <w:pPr>
        <w:pStyle w:val="Notedefin"/>
        <w:suppressLineNumbers/>
        <w:spacing w:before="57" w:after="57"/>
        <w:ind w:left="339" w:right="0" w:hanging="339"/>
        <w:rPr/>
      </w:pPr>
      <w:r>
        <w:rPr>
          <w:rStyle w:val="Caractresdenotedefin"/>
        </w:rPr>
        <w:endnoteRef/>
      </w:r>
      <w:r>
        <w:rPr/>
        <w:tab/>
      </w:r>
      <w:r>
        <w:rPr/>
        <w:t>Pozměňovací návrh č. 34C pracovní skupiny.</w:t>
      </w:r>
    </w:p>
  </w:endnote>
  <w:endnote w:id="137">
    <w:p>
      <w:pPr>
        <w:pStyle w:val="Notedefin"/>
        <w:suppressLineNumbers/>
        <w:spacing w:before="57" w:after="57"/>
        <w:ind w:left="339" w:right="0" w:hanging="339"/>
        <w:rPr/>
      </w:pPr>
      <w:r>
        <w:rPr>
          <w:rStyle w:val="Caractresdenotedefin"/>
        </w:rPr>
        <w:endnoteRef/>
      </w:r>
      <w:r>
        <w:rPr/>
        <w:tab/>
      </w:r>
      <w:r>
        <w:rPr/>
        <w:t>Národní panel BE (3.2), národní panel FR (11) PNM (závěrečná zpráva Kantar: „Pokud jde o Evropský parlament, přispěvatelé nejčastěji požadují, aby mu byla dána skutečná pravomoc legislativní iniciativy“).</w:t>
      </w:r>
    </w:p>
  </w:endnote>
  <w:endnote w:id="138">
    <w:p>
      <w:pPr>
        <w:pStyle w:val="Notedefin"/>
        <w:suppressLineNumbers/>
        <w:spacing w:before="57" w:after="57"/>
        <w:ind w:left="339" w:right="0" w:hanging="339"/>
        <w:rPr/>
      </w:pPr>
      <w:r>
        <w:rPr>
          <w:rStyle w:val="Caractresdenotedefin"/>
        </w:rPr>
        <w:endnoteRef/>
      </w:r>
      <w:r>
        <w:rPr/>
        <w:tab/>
      </w:r>
      <w:r>
        <w:rPr/>
        <w:t>PNM (Final Kantar Report: „Pokud jde o Evropský parlament, (...) existují rovněž žádosti o udělení rozpočtových pravomocí“).</w:t>
      </w:r>
    </w:p>
  </w:endnote>
  <w:endnote w:id="139">
    <w:p>
      <w:pPr>
        <w:pStyle w:val="Notedefin"/>
        <w:suppressLineNumbers/>
        <w:spacing w:before="57" w:after="57"/>
        <w:ind w:left="339" w:right="0" w:hanging="339"/>
        <w:rPr/>
      </w:pPr>
      <w:r>
        <w:rPr>
          <w:rStyle w:val="Caractresdenotedefin"/>
        </w:rPr>
        <w:endnoteRef/>
      </w:r>
      <w:r>
        <w:rPr/>
        <w:tab/>
      </w:r>
      <w:r>
        <w:rPr/>
        <w:t>PNM (Final Kantar Report: Podle jiného příspěvku by strany měly být přístupnější pro lidi z odlišného kulturního nebo sociálně-ekonomického prostředí.</w:t>
      </w:r>
    </w:p>
  </w:endnote>
  <w:endnote w:id="140">
    <w:p>
      <w:pPr>
        <w:pStyle w:val="Notedefin"/>
        <w:suppressLineNumbers/>
        <w:spacing w:before="57" w:after="57"/>
        <w:ind w:left="339" w:right="0" w:hanging="339"/>
        <w:rPr/>
      </w:pPr>
      <w:r>
        <w:rPr>
          <w:rStyle w:val="Caractresdenotedefin"/>
        </w:rPr>
        <w:endnoteRef/>
      </w:r>
      <w:r>
        <w:rPr/>
        <w:tab/>
      </w:r>
      <w:r>
        <w:rPr/>
        <w:t>VR v pracovní skupině.</w:t>
      </w:r>
    </w:p>
  </w:endnote>
  <w:endnote w:id="141">
    <w:p>
      <w:pPr>
        <w:pStyle w:val="Notedefin"/>
        <w:suppressLineNumbers/>
        <w:spacing w:before="57" w:after="57"/>
        <w:ind w:left="339" w:right="0" w:hanging="339"/>
        <w:rPr/>
      </w:pPr>
      <w:r>
        <w:rPr>
          <w:rStyle w:val="Caractresdenotedefin"/>
        </w:rPr>
        <w:endnoteRef/>
      </w:r>
      <w:r>
        <w:rPr/>
        <w:tab/>
      </w:r>
      <w:r>
        <w:rPr/>
        <w:t>Pozměňovací návrh 38 pracovní skupiny, kompromisní znění.</w:t>
      </w:r>
    </w:p>
  </w:endnote>
  <w:endnote w:id="142">
    <w:p>
      <w:pPr>
        <w:pStyle w:val="Notedefin"/>
        <w:suppressLineNumbers/>
        <w:spacing w:before="57" w:after="57"/>
        <w:ind w:left="339" w:right="0" w:hanging="339"/>
        <w:rPr/>
      </w:pPr>
      <w:r>
        <w:rPr>
          <w:rStyle w:val="Caractresdenotedefin"/>
        </w:rPr>
        <w:endnoteRef/>
      </w:r>
      <w:r>
        <w:rPr/>
        <w:tab/>
      </w:r>
      <w:r>
        <w:rPr/>
        <w:t>Doporučení EKP č. 20 2.</w:t>
      </w:r>
    </w:p>
  </w:endnote>
  <w:endnote w:id="143">
    <w:p>
      <w:pPr>
        <w:pStyle w:val="Notedefin"/>
        <w:suppressLineNumbers/>
        <w:spacing w:before="57" w:after="57"/>
        <w:ind w:left="339" w:right="0" w:hanging="339"/>
        <w:rPr/>
      </w:pPr>
      <w:r>
        <w:rPr>
          <w:rStyle w:val="Caractresdenotedefin"/>
        </w:rPr>
        <w:endnoteRef/>
      </w:r>
      <w:r>
        <w:rPr/>
        <w:tab/>
      </w:r>
      <w:r>
        <w:rPr/>
        <w:t>Doporučení ECP č. 21 4.</w:t>
      </w:r>
    </w:p>
  </w:endnote>
  <w:endnote w:id="144">
    <w:p>
      <w:pPr>
        <w:pStyle w:val="Notedefin"/>
        <w:suppressLineNumbers/>
        <w:spacing w:before="57" w:after="57"/>
        <w:ind w:left="339" w:right="0" w:hanging="339"/>
        <w:rPr/>
      </w:pPr>
      <w:r>
        <w:rPr>
          <w:rStyle w:val="Caractresdenotedefin"/>
        </w:rPr>
        <w:endnoteRef/>
      </w:r>
      <w:r>
        <w:rPr/>
        <w:tab/>
      </w:r>
      <w:r>
        <w:rPr/>
        <w:t>Pozměňovací návrh č. 43 pracovní skupiny.</w:t>
      </w:r>
    </w:p>
  </w:endnote>
  <w:endnote w:id="145">
    <w:p>
      <w:pPr>
        <w:pStyle w:val="Notedefin"/>
        <w:suppressLineNumbers/>
        <w:spacing w:before="57" w:after="57"/>
        <w:ind w:left="339" w:right="0" w:hanging="339"/>
        <w:rPr/>
      </w:pPr>
      <w:r>
        <w:rPr>
          <w:rStyle w:val="Caractresdenotedefin"/>
        </w:rPr>
        <w:endnoteRef/>
      </w:r>
      <w:r>
        <w:rPr/>
        <w:tab/>
      </w:r>
      <w:r>
        <w:rPr/>
        <w:t>Doporučení 34 ECP 2; národní panel NL.</w:t>
      </w:r>
    </w:p>
  </w:endnote>
  <w:endnote w:id="146">
    <w:p>
      <w:pPr>
        <w:pStyle w:val="Notedefin"/>
        <w:suppressLineNumbers/>
        <w:spacing w:before="57" w:after="57"/>
        <w:ind w:left="339" w:right="0" w:hanging="339"/>
        <w:rPr/>
      </w:pPr>
      <w:r>
        <w:rPr>
          <w:rStyle w:val="Caractresdenotedefin"/>
        </w:rPr>
        <w:endnoteRef/>
      </w:r>
      <w:r>
        <w:rPr/>
        <w:tab/>
      </w:r>
      <w:r>
        <w:rPr/>
        <w:t>Diskuse pracovní skupiny na základě doporučení 34 EKP 2; vnitrostátní panel NL; PNM (Final Kantar Report: „Podporuje se rovněž zvyšování transparentnosti a větší účast občanů na rozhodovacím procesu EU“.</w:t>
      </w:r>
    </w:p>
  </w:endnote>
  <w:endnote w:id="147">
    <w:p>
      <w:pPr>
        <w:pStyle w:val="Notedefin"/>
        <w:suppressLineNumbers/>
        <w:spacing w:before="57" w:after="57"/>
        <w:ind w:left="339" w:right="0" w:hanging="339"/>
        <w:rPr/>
      </w:pPr>
      <w:r>
        <w:rPr>
          <w:rStyle w:val="Caractresdenotedefin"/>
        </w:rPr>
        <w:endnoteRef/>
      </w:r>
      <w:r>
        <w:rPr/>
        <w:tab/>
      </w:r>
      <w:r>
        <w:rPr/>
        <w:t>Pozměňovací návrh č. 44A pracovní skupiny.</w:t>
      </w:r>
    </w:p>
  </w:endnote>
  <w:endnote w:id="148">
    <w:p>
      <w:pPr>
        <w:pStyle w:val="Notedefin"/>
        <w:suppressLineNumbers/>
        <w:spacing w:before="57" w:after="57"/>
        <w:ind w:left="339" w:right="0" w:hanging="339"/>
        <w:rPr/>
      </w:pPr>
      <w:r>
        <w:rPr>
          <w:rStyle w:val="Caractresdenotedefin"/>
        </w:rPr>
        <w:endnoteRef/>
      </w:r>
      <w:r>
        <w:rPr/>
        <w:tab/>
      </w:r>
      <w:r>
        <w:rPr/>
        <w:t>Diskuse pracovní skupiny (prezentace vnitrostátních parlamentů a VR).</w:t>
      </w:r>
    </w:p>
  </w:endnote>
  <w:endnote w:id="149">
    <w:p>
      <w:pPr>
        <w:pStyle w:val="Notedefin"/>
        <w:suppressLineNumbers/>
        <w:spacing w:before="57" w:after="57"/>
        <w:ind w:left="339" w:right="0" w:hanging="339"/>
        <w:rPr/>
      </w:pPr>
      <w:r>
        <w:rPr>
          <w:rStyle w:val="Caractresdenotedefin"/>
        </w:rPr>
        <w:endnoteRef/>
      </w:r>
      <w:r>
        <w:rPr/>
        <w:tab/>
      </w:r>
      <w:r>
        <w:rPr/>
        <w:t>Pozměňovací návrh č. 45C pracovní skupiny.</w:t>
      </w:r>
    </w:p>
  </w:endnote>
  <w:endnote w:id="150">
    <w:p>
      <w:pPr>
        <w:pStyle w:val="Notedefin"/>
        <w:suppressLineNumbers/>
        <w:spacing w:before="57" w:after="57"/>
        <w:ind w:left="339" w:right="0" w:hanging="339"/>
        <w:rPr/>
      </w:pPr>
      <w:r>
        <w:rPr>
          <w:rStyle w:val="Caractresdenotedefin"/>
        </w:rPr>
        <w:endnoteRef/>
      </w:r>
      <w:r>
        <w:rPr/>
        <w:tab/>
      </w:r>
      <w:r>
        <w:rPr/>
        <w:t>Pozměňovací návrh č. 46B pracovní skupiny.</w:t>
      </w:r>
    </w:p>
  </w:endnote>
  <w:endnote w:id="151">
    <w:p>
      <w:pPr>
        <w:pStyle w:val="Notedefin"/>
        <w:suppressLineNumbers/>
        <w:spacing w:before="57" w:after="57"/>
        <w:ind w:left="339" w:right="0" w:hanging="339"/>
        <w:rPr/>
      </w:pPr>
      <w:r>
        <w:rPr>
          <w:rStyle w:val="Caractresdenotedefin"/>
        </w:rPr>
        <w:endnoteRef/>
      </w:r>
      <w:r>
        <w:rPr/>
        <w:tab/>
      </w:r>
      <w:r>
        <w:rPr/>
        <w:t>Doporučení EKP č. 15 2.</w:t>
      </w:r>
    </w:p>
  </w:endnote>
  <w:endnote w:id="152">
    <w:p>
      <w:pPr>
        <w:pStyle w:val="Notedefin"/>
        <w:suppressLineNumbers/>
        <w:spacing w:before="57" w:after="57"/>
        <w:ind w:left="339" w:right="0" w:hanging="339"/>
        <w:rPr/>
      </w:pPr>
      <w:r>
        <w:rPr>
          <w:rStyle w:val="Caractresdenotedefin"/>
        </w:rPr>
        <w:endnoteRef/>
      </w:r>
      <w:r>
        <w:rPr/>
        <w:tab/>
      </w:r>
      <w:r>
        <w:rPr/>
        <w:t>Diskuse pracovní skupiny na základě potřeby uvedené v doporučení 15 ECP 2 „vyjasnit funkce evropských orgánů“; PNM (Final Kantar Report: „Existují rovněž návrhy na prohloubení dvoukomorové legislativní pravomoci v EU.“)</w:t>
      </w:r>
    </w:p>
  </w:endnote>
  <w:endnote w:id="153">
    <w:p>
      <w:pPr>
        <w:pStyle w:val="Notedefin"/>
        <w:suppressLineNumbers/>
        <w:spacing w:before="57" w:after="57"/>
        <w:ind w:left="339" w:right="0" w:hanging="339"/>
        <w:rPr/>
      </w:pPr>
      <w:r>
        <w:rPr>
          <w:rStyle w:val="Caractresdenotedefin"/>
        </w:rPr>
        <w:endnoteRef/>
      </w:r>
      <w:r>
        <w:rPr/>
        <w:tab/>
      </w:r>
      <w:r>
        <w:rPr/>
        <w:t>Pozměňovací návrh č. 48B pracovní skupiny.</w:t>
      </w:r>
    </w:p>
  </w:endnote>
  <w:endnote w:id="154">
    <w:p>
      <w:pPr>
        <w:pStyle w:val="Notedefin"/>
        <w:suppressLineNumbers/>
        <w:spacing w:before="57" w:after="57"/>
        <w:ind w:left="339" w:right="0" w:hanging="339"/>
        <w:rPr/>
      </w:pPr>
      <w:r>
        <w:rPr>
          <w:rStyle w:val="Caractresdenotedefin"/>
        </w:rPr>
        <w:endnoteRef/>
      </w:r>
      <w:r>
        <w:rPr/>
        <w:tab/>
      </w:r>
      <w:r>
        <w:rPr/>
        <w:t>Doporučení EKP č. 15 2.</w:t>
      </w:r>
    </w:p>
  </w:endnote>
  <w:endnote w:id="155">
    <w:p>
      <w:pPr>
        <w:pStyle w:val="Notedefin"/>
        <w:suppressLineNumbers/>
        <w:spacing w:before="57" w:after="57"/>
        <w:ind w:left="339" w:right="0" w:hanging="339"/>
        <w:rPr/>
      </w:pPr>
      <w:r>
        <w:rPr>
          <w:rStyle w:val="Caractresdenotedefin"/>
        </w:rPr>
        <w:endnoteRef/>
      </w:r>
      <w:r>
        <w:rPr/>
        <w:tab/>
      </w:r>
      <w:r>
        <w:rPr/>
        <w:t>Diskuse v pracovní skupině.</w:t>
      </w:r>
    </w:p>
  </w:endnote>
  <w:endnote w:id="156">
    <w:p>
      <w:pPr>
        <w:pStyle w:val="Notedefin"/>
        <w:suppressLineNumbers/>
        <w:spacing w:before="57" w:after="57"/>
        <w:ind w:left="339" w:right="0" w:hanging="339"/>
        <w:rPr/>
      </w:pPr>
      <w:r>
        <w:rPr>
          <w:rStyle w:val="Caractresdenotedefin"/>
        </w:rPr>
        <w:endnoteRef/>
      </w:r>
      <w:r>
        <w:rPr/>
        <w:tab/>
      </w:r>
      <w:r>
        <w:rPr/>
        <w:t>Pozměňovací návrh č. 52A pracovní skupiny.</w:t>
      </w:r>
    </w:p>
  </w:endnote>
  <w:endnote w:id="157">
    <w:p>
      <w:pPr>
        <w:pStyle w:val="Notedefin"/>
        <w:suppressLineNumbers/>
        <w:spacing w:before="57" w:after="57"/>
        <w:ind w:left="339" w:right="0" w:hanging="339"/>
        <w:rPr/>
      </w:pPr>
      <w:r>
        <w:rPr>
          <w:rStyle w:val="Caractresdenotedefin"/>
        </w:rPr>
        <w:endnoteRef/>
      </w:r>
      <w:r>
        <w:rPr/>
        <w:tab/>
      </w:r>
      <w:r>
        <w:rPr/>
        <w:t>EHSV, kompromisní formulace.</w:t>
      </w:r>
    </w:p>
  </w:endnote>
  <w:endnote w:id="158">
    <w:p>
      <w:pPr>
        <w:pStyle w:val="Notedefin"/>
        <w:suppressLineNumbers/>
        <w:spacing w:before="57" w:after="57"/>
        <w:ind w:left="339" w:right="0" w:hanging="339"/>
        <w:rPr/>
      </w:pPr>
      <w:r>
        <w:rPr>
          <w:rStyle w:val="Caractresdenotedefin"/>
        </w:rPr>
        <w:endnoteRef/>
      </w:r>
      <w:r>
        <w:rPr/>
        <w:tab/>
      </w:r>
      <w:r>
        <w:rPr/>
        <w:t>Doporučení EKP 35, Národní panel FR a kombinované změny WG 51C a 51D.</w:t>
      </w:r>
    </w:p>
  </w:endnote>
  <w:endnote w:id="159">
    <w:p>
      <w:pPr>
        <w:pStyle w:val="Notedefin"/>
        <w:suppressLineNumbers/>
        <w:spacing w:before="57" w:after="57"/>
        <w:ind w:left="339" w:right="0" w:hanging="339"/>
        <w:rPr/>
      </w:pPr>
      <w:r>
        <w:rPr>
          <w:rStyle w:val="Caractresdenotedefin"/>
        </w:rPr>
        <w:endnoteRef/>
      </w:r>
      <w:r>
        <w:rPr/>
        <w:tab/>
      </w:r>
      <w:r>
        <w:rPr/>
        <w:t>Pozměňovací návrh č. 53D pracovní skupiny.</w:t>
      </w:r>
    </w:p>
  </w:endnote>
  <w:endnote w:id="160">
    <w:p>
      <w:pPr>
        <w:pStyle w:val="Notedefin"/>
        <w:suppressLineNumbers/>
        <w:spacing w:before="57" w:after="57"/>
        <w:ind w:left="339" w:right="0" w:hanging="339"/>
        <w:rPr/>
      </w:pPr>
      <w:r>
        <w:rPr>
          <w:rStyle w:val="Caractresdenotedefin"/>
        </w:rPr>
        <w:endnoteRef/>
      </w:r>
      <w:r>
        <w:rPr/>
        <w:tab/>
      </w:r>
      <w:r>
        <w:rPr/>
        <w:t>Diskuse v pracovní skupině; vnitrostátních parlamentů.</w:t>
      </w:r>
    </w:p>
  </w:endnote>
  <w:endnote w:id="161">
    <w:p>
      <w:pPr>
        <w:pStyle w:val="Notedefin"/>
        <w:spacing w:before="57" w:after="57"/>
        <w:rPr/>
      </w:pPr>
      <w:r>
        <w:rPr>
          <w:rStyle w:val="Caractresdenotedefin"/>
        </w:rPr>
        <w:endnoteRef/>
      </w:r>
      <w:r>
        <w:rPr/>
        <w:tab/>
      </w:r>
      <w:r>
        <w:rPr/>
        <w:t>Diskuse v pracovní skupině; VR a EHSV; Závěrečná zpráva Kantara, s. 85.</w:t>
      </w:r>
    </w:p>
  </w:endnote>
  <w:endnote w:id="162">
    <w:p>
      <w:pPr>
        <w:pStyle w:val="Notedefin"/>
        <w:suppressLineNumbers/>
        <w:spacing w:before="57" w:after="57"/>
        <w:ind w:left="339" w:right="0" w:hanging="339"/>
        <w:rPr/>
      </w:pPr>
      <w:r>
        <w:rPr>
          <w:rStyle w:val="Caractresdenotedefin"/>
        </w:rPr>
        <w:endnoteRef/>
      </w:r>
      <w:r>
        <w:rPr/>
        <w:tab/>
      </w:r>
      <w:r>
        <w:rPr/>
        <w:t>Pozměňovací návrh č. 58B pracovní skupiny.</w:t>
      </w:r>
    </w:p>
  </w:endnote>
  <w:endnote w:id="163">
    <w:p>
      <w:pPr>
        <w:pStyle w:val="Notedefin"/>
        <w:suppressLineNumbers/>
        <w:spacing w:before="57" w:after="57"/>
        <w:ind w:left="339" w:right="0" w:hanging="339"/>
        <w:rPr/>
      </w:pPr>
      <w:r>
        <w:rPr>
          <w:rStyle w:val="Caractresdenotedefin"/>
        </w:rPr>
        <w:endnoteRef/>
      </w:r>
      <w:r>
        <w:rPr/>
        <w:tab/>
      </w:r>
      <w:r>
        <w:rPr/>
        <w:t>Pozměňovací návrh č. 59B pracovní skupiny.</w:t>
      </w:r>
    </w:p>
  </w:endnote>
  <w:endnote w:id="164">
    <w:p>
      <w:pPr>
        <w:pStyle w:val="Notedefin"/>
        <w:suppressLineNumbers/>
        <w:spacing w:before="57" w:after="57"/>
        <w:ind w:left="339" w:right="0" w:hanging="339"/>
        <w:rPr/>
      </w:pPr>
      <w:r>
        <w:rPr>
          <w:rStyle w:val="Caractresdenotedefin"/>
        </w:rPr>
        <w:endnoteRef/>
      </w:r>
      <w:r>
        <w:rPr/>
        <w:tab/>
      </w:r>
      <w:r>
        <w:rPr/>
        <w:t>Diskuse v pracovní skupině; sociální partneři a další členové.</w:t>
      </w:r>
    </w:p>
  </w:endnote>
  <w:endnote w:id="165">
    <w:p>
      <w:pPr>
        <w:pStyle w:val="Notedefin"/>
        <w:suppressLineNumbers/>
        <w:spacing w:before="57" w:after="57"/>
        <w:ind w:left="339" w:right="0" w:hanging="339"/>
        <w:rPr/>
      </w:pPr>
      <w:r>
        <w:rPr>
          <w:rStyle w:val="Caractresdenotedefin"/>
        </w:rPr>
        <w:endnoteRef/>
      </w:r>
      <w:r>
        <w:rPr/>
        <w:tab/>
      </w:r>
      <w:r>
        <w:rPr/>
        <w:t>Pozměňovací návrh 63A pracovní skupiny, kompromisní znění.</w:t>
      </w:r>
    </w:p>
  </w:endnote>
  <w:endnote w:id="166">
    <w:p>
      <w:pPr>
        <w:pStyle w:val="Notedefin"/>
        <w:suppressLineNumbers/>
        <w:spacing w:before="57" w:after="57"/>
        <w:ind w:left="339" w:right="0" w:hanging="339"/>
        <w:rPr/>
      </w:pPr>
      <w:r>
        <w:rPr>
          <w:rStyle w:val="Caractresdenotedefin"/>
        </w:rPr>
        <w:endnoteRef/>
      </w:r>
      <w:r>
        <w:rPr/>
        <w:tab/>
      </w:r>
      <w:r>
        <w:rPr/>
        <w:t>Doporučení občanů, z nichž návrh vychází: Evropský panel občanů č. 4 (ECP 4) č.</w:t>
      </w:r>
      <w:r>
        <w:rPr>
          <w:vertAlign w:val="superscript"/>
        </w:rPr>
        <w:t>6</w:t>
      </w:r>
      <w:r>
        <w:rPr/>
        <w:t>, 7, 9, 28 a 30, Litva č. 9.</w:t>
      </w:r>
    </w:p>
  </w:endnote>
  <w:endnote w:id="167">
    <w:p>
      <w:pPr>
        <w:pStyle w:val="Notedefin"/>
        <w:suppressLineNumbers/>
        <w:spacing w:before="57" w:after="57"/>
        <w:ind w:left="339" w:right="0" w:hanging="339"/>
        <w:rPr/>
      </w:pPr>
      <w:r>
        <w:rPr>
          <w:rStyle w:val="Caractresdenotedefin"/>
        </w:rPr>
        <w:endnoteRef/>
      </w:r>
      <w:r>
        <w:rPr/>
        <w:tab/>
      </w:r>
      <w:r>
        <w:rPr/>
        <w:t>Doporučení občanů, z nichž návrh vychází: Evropský panel občanů č. 4 (ECP 4) č.</w:t>
      </w:r>
      <w:r>
        <w:rPr>
          <w:vertAlign w:val="superscript"/>
        </w:rPr>
        <w:t>8</w:t>
      </w:r>
      <w:r>
        <w:rPr/>
        <w:t xml:space="preserve"> a 27, Litva č. 10, Nizozemsko č. 3.</w:t>
      </w:r>
    </w:p>
  </w:endnote>
  <w:endnote w:id="168">
    <w:p>
      <w:pPr>
        <w:pStyle w:val="Notedefin"/>
        <w:suppressLineNumbers/>
        <w:spacing w:before="57" w:after="57"/>
        <w:ind w:left="339" w:right="0" w:hanging="339"/>
        <w:rPr/>
      </w:pPr>
      <w:r>
        <w:rPr>
          <w:rStyle w:val="Caractresdenotedefin"/>
        </w:rPr>
        <w:endnoteRef/>
      </w:r>
      <w:r>
        <w:rPr/>
        <w:tab/>
        <w:t xml:space="preserve"> </w:t>
      </w:r>
      <w:r>
        <w:rPr/>
        <w:t>Doporučení občanů, z nichž návrh vychází: Evropský panel občanů č. 4 (PCE 4)</w:t>
      </w:r>
      <w:r>
        <w:rPr>
          <w:vertAlign w:val="superscript"/>
        </w:rPr>
        <w:t>č.</w:t>
      </w:r>
      <w:r>
        <w:rPr/>
        <w:t xml:space="preserve"> 10, 35 a 38.</w:t>
      </w:r>
    </w:p>
  </w:endnote>
  <w:endnote w:id="169">
    <w:p>
      <w:pPr>
        <w:pStyle w:val="Notedefin"/>
        <w:suppressLineNumbers/>
        <w:spacing w:before="57" w:after="57"/>
        <w:ind w:left="339" w:right="0" w:hanging="339"/>
        <w:rPr/>
      </w:pPr>
      <w:r>
        <w:rPr>
          <w:rStyle w:val="Caractresdenotedefin"/>
        </w:rPr>
        <w:endnoteRef/>
      </w:r>
      <w:r>
        <w:rPr/>
        <w:tab/>
        <w:t xml:space="preserve"> </w:t>
      </w:r>
      <w:r>
        <w:rPr/>
        <w:t>Doporučení občanů, z nichž návrh vychází: Evropský panel občanů č. 4 (ECP 4) č.</w:t>
      </w:r>
      <w:r>
        <w:rPr>
          <w:vertAlign w:val="superscript"/>
        </w:rPr>
        <w:t>29</w:t>
      </w:r>
      <w:r>
        <w:rPr/>
        <w:t>, 31, 33, 36, 37, 38, 39 a 40, Itálie</w:t>
      </w:r>
      <w:r>
        <w:rPr>
          <w:vertAlign w:val="superscript"/>
        </w:rPr>
        <w:t>č.</w:t>
      </w:r>
      <w:r>
        <w:rPr/>
        <w:t xml:space="preserve"> 3.8, 4.4 (s. 15) a 5.6 (s. 11), Litva</w:t>
      </w:r>
      <w:r>
        <w:rPr>
          <w:vertAlign w:val="superscript"/>
        </w:rPr>
        <w:t>č.</w:t>
      </w:r>
      <w:r>
        <w:rPr/>
        <w:t xml:space="preserve"> 2 a 3, Nizozemsko č. 1 a 2.</w:t>
      </w:r>
    </w:p>
  </w:endnote>
  <w:endnote w:id="170">
    <w:p>
      <w:pPr>
        <w:pStyle w:val="Notedefin"/>
        <w:spacing w:before="57" w:after="57"/>
        <w:rPr/>
      </w:pPr>
      <w:r>
        <w:rPr>
          <w:rStyle w:val="Caractresdenotedefin"/>
        </w:rPr>
        <w:endnoteRef/>
      </w:r>
      <w:r>
        <w:rPr/>
        <w:tab/>
        <w:t xml:space="preserve"> </w:t>
      </w:r>
      <w:r>
        <w:rPr/>
        <w:t>Doporučení občanů, z nichž návrh vychází: Evropský panel občanů č. 4 (PCE 4)</w:t>
      </w:r>
      <w:r>
        <w:rPr>
          <w:vertAlign w:val="superscript"/>
        </w:rPr>
        <w:t>č.</w:t>
      </w:r>
      <w:r>
        <w:rPr/>
        <w:t xml:space="preserve"> 7 a 32, Francie č. 13.</w:t>
      </w:r>
    </w:p>
  </w:endnote>
  <w:endnote w:id="171">
    <w:p>
      <w:pPr>
        <w:pStyle w:val="Notedefin"/>
        <w:suppressLineNumbers/>
        <w:spacing w:before="57" w:after="57"/>
        <w:ind w:left="339" w:right="0" w:hanging="339"/>
        <w:rPr/>
      </w:pPr>
      <w:r>
        <w:rPr>
          <w:rStyle w:val="Caractresdenotedefin"/>
        </w:rPr>
        <w:endnoteRef/>
      </w:r>
      <w:r>
        <w:rPr/>
        <w:tab/>
        <w:t xml:space="preserve"> </w:t>
      </w:r>
      <w:r>
        <w:rPr/>
        <w:t>Francouzská PCN, změna 6.</w:t>
      </w:r>
    </w:p>
  </w:endnote>
  <w:endnote w:id="172">
    <w:p>
      <w:pPr>
        <w:pStyle w:val="Notedefin"/>
        <w:suppressLineNumbers/>
        <w:spacing w:before="57" w:after="57"/>
        <w:ind w:left="339" w:right="0" w:hanging="339"/>
        <w:rPr/>
      </w:pPr>
      <w:r>
        <w:rPr>
          <w:rStyle w:val="Caractresdenotedefin"/>
        </w:rPr>
        <w:endnoteRef/>
      </w:r>
      <w:r>
        <w:rPr/>
        <w:tab/>
      </w:r>
      <w:r>
        <w:rPr/>
        <w:t>Doporučení ECP 37 1.</w:t>
      </w:r>
    </w:p>
  </w:endnote>
  <w:endnote w:id="173">
    <w:p>
      <w:pPr>
        <w:pStyle w:val="Notedefin"/>
        <w:suppressLineNumbers/>
        <w:spacing w:before="57" w:after="57"/>
        <w:ind w:left="339" w:right="0" w:hanging="339"/>
        <w:rPr/>
      </w:pPr>
      <w:r>
        <w:rPr>
          <w:rStyle w:val="Caractresdenotedefin"/>
        </w:rPr>
        <w:endnoteRef/>
      </w:r>
      <w:r>
        <w:rPr/>
        <w:tab/>
      </w:r>
      <w:r>
        <w:rPr/>
        <w:t>Doporučení č. 3 EKP. Francouzská PCN, změna 6.</w:t>
      </w:r>
    </w:p>
  </w:endnote>
  <w:endnote w:id="174">
    <w:p>
      <w:pPr>
        <w:pStyle w:val="Notedefin"/>
        <w:suppressLineNumbers/>
        <w:spacing w:before="57" w:after="57"/>
        <w:ind w:left="339" w:right="0" w:hanging="339"/>
        <w:rPr/>
      </w:pPr>
      <w:r>
        <w:rPr>
          <w:rStyle w:val="Caractresdenotedefin"/>
        </w:rPr>
        <w:endnoteRef/>
      </w:r>
      <w:r>
        <w:rPr/>
        <w:tab/>
        <w:t xml:space="preserve"> </w:t>
      </w:r>
      <w:r>
        <w:rPr/>
        <w:t>Doporučení ECP 41 1.</w:t>
      </w:r>
    </w:p>
  </w:endnote>
  <w:endnote w:id="175">
    <w:p>
      <w:pPr>
        <w:pStyle w:val="Notedefin"/>
        <w:suppressLineNumbers/>
        <w:spacing w:before="57" w:after="57"/>
        <w:ind w:left="339" w:right="0" w:hanging="339"/>
        <w:rPr/>
      </w:pPr>
      <w:r>
        <w:rPr>
          <w:rStyle w:val="Caractresdenotedefin"/>
        </w:rPr>
        <w:endnoteRef/>
      </w:r>
      <w:r>
        <w:rPr/>
        <w:tab/>
        <w:t xml:space="preserve"> </w:t>
      </w:r>
      <w:r>
        <w:rPr/>
        <w:t>O tom podrobněji diskutuje Pracovní skupina pro evropskou demokracii. Viz doporučení č. 24 ECP 2, doporučení 1.1, 1.2 a 2.12 belgického národního kontaktního místa a doporučení italského národního kontaktního místa týkající se „politiky začleňování“.</w:t>
      </w:r>
    </w:p>
  </w:endnote>
  <w:endnote w:id="176">
    <w:p>
      <w:pPr>
        <w:pStyle w:val="Notedefin"/>
        <w:suppressLineNumbers/>
        <w:spacing w:before="57" w:after="57"/>
        <w:ind w:left="339" w:right="0" w:hanging="339"/>
        <w:rPr/>
      </w:pPr>
      <w:r>
        <w:rPr>
          <w:rStyle w:val="Caractresdenotedefin"/>
        </w:rPr>
        <w:endnoteRef/>
      </w:r>
      <w:r>
        <w:rPr/>
        <w:tab/>
      </w:r>
      <w:r>
        <w:rPr/>
        <w:t>Doporučení italského národního kontaktního místa k „politice začleňování“.</w:t>
      </w:r>
    </w:p>
  </w:endnote>
  <w:endnote w:id="177">
    <w:p>
      <w:pPr>
        <w:pStyle w:val="Notedefin"/>
        <w:suppressLineNumbers/>
        <w:spacing w:before="57" w:after="57"/>
        <w:ind w:left="339" w:right="0" w:hanging="339"/>
        <w:rPr/>
      </w:pPr>
      <w:r>
        <w:rPr>
          <w:rStyle w:val="Caractresdenotedefin"/>
        </w:rPr>
        <w:endnoteRef/>
      </w:r>
      <w:r>
        <w:rPr/>
        <w:tab/>
      </w:r>
      <w:r>
        <w:rPr/>
        <w:t>Podrobněji o tom diskutuje Pracovní skupina pro digitální transformaci. Viz doporučení č. 8 a 34 ECP 1.</w:t>
      </w:r>
    </w:p>
  </w:endnote>
  <w:endnote w:id="178">
    <w:p>
      <w:pPr>
        <w:pStyle w:val="Notedefin"/>
        <w:suppressLineNumbers/>
        <w:spacing w:before="57" w:after="57"/>
        <w:ind w:left="339" w:right="0" w:hanging="339"/>
        <w:rPr/>
      </w:pPr>
      <w:r>
        <w:rPr>
          <w:rStyle w:val="Caractresdenotedefin"/>
        </w:rPr>
        <w:endnoteRef/>
      </w:r>
      <w:r>
        <w:rPr/>
        <w:tab/>
      </w:r>
      <w:r>
        <w:rPr/>
        <w:t>Doporučení italského národního kontaktního místa „Povzbuzení mladých lidí ke studiu vědeckých předmětů“.</w:t>
      </w:r>
    </w:p>
  </w:endnote>
  <w:endnote w:id="179">
    <w:p>
      <w:pPr>
        <w:pStyle w:val="Notedefin"/>
        <w:suppressLineNumbers/>
        <w:spacing w:before="57" w:after="57"/>
        <w:ind w:left="339" w:right="0" w:hanging="339"/>
        <w:rPr/>
      </w:pPr>
      <w:r>
        <w:rPr>
          <w:rStyle w:val="Caractresdenotedefin"/>
        </w:rPr>
        <w:endnoteRef/>
      </w:r>
      <w:r>
        <w:rPr/>
        <w:tab/>
      </w:r>
      <w:r>
        <w:rPr/>
        <w:t>Doporučení PCE 33 a 48 1. Zabývá se také pracovní skupina pro digitální transformaci. Viz doporučení č. 47 ECP 1 o zdravém používání internetu.</w:t>
      </w:r>
    </w:p>
  </w:endnote>
  <w:endnote w:id="180">
    <w:p>
      <w:pPr>
        <w:pStyle w:val="Notedefin"/>
        <w:suppressLineNumbers/>
        <w:spacing w:before="57" w:after="57"/>
        <w:ind w:left="339" w:right="0" w:hanging="339"/>
        <w:rPr/>
      </w:pPr>
      <w:r>
        <w:rPr>
          <w:rStyle w:val="Caractresdenotedefin"/>
        </w:rPr>
        <w:endnoteRef/>
      </w:r>
      <w:r>
        <w:rPr/>
        <w:tab/>
      </w:r>
      <w:r>
        <w:rPr/>
        <w:t>Doporučení č. 5 ECP 1.</w:t>
      </w:r>
    </w:p>
  </w:endnote>
  <w:endnote w:id="181">
    <w:p>
      <w:pPr>
        <w:pStyle w:val="Notedefin"/>
        <w:suppressLineNumbers/>
        <w:spacing w:before="57" w:after="57"/>
        <w:ind w:left="339" w:right="0" w:hanging="339"/>
        <w:rPr/>
      </w:pPr>
      <w:r>
        <w:rPr>
          <w:rStyle w:val="Caractresdenotedefin"/>
        </w:rPr>
        <w:endnoteRef/>
      </w:r>
      <w:r>
        <w:rPr/>
        <w:tab/>
      </w:r>
      <w:r>
        <w:rPr/>
        <w:t>Doporučení č. 15 a 18 ECP 1.</w:t>
      </w:r>
    </w:p>
  </w:endnote>
  <w:endnote w:id="182">
    <w:p>
      <w:pPr>
        <w:pStyle w:val="Notedefin"/>
        <w:suppressLineNumbers/>
        <w:spacing w:before="57" w:after="57"/>
        <w:ind w:left="339" w:right="0" w:hanging="339"/>
        <w:rPr/>
      </w:pPr>
      <w:r>
        <w:rPr>
          <w:rStyle w:val="Caractresdenotedefin"/>
        </w:rPr>
        <w:endnoteRef/>
      </w:r>
      <w:r>
        <w:rPr/>
        <w:tab/>
        <w:t xml:space="preserve"> </w:t>
      </w:r>
      <w:r>
        <w:rPr/>
        <w:t>Doporučení italského národního kontaktního místa „Evropa ve světě“</w:t>
      </w:r>
    </w:p>
  </w:endnote>
  <w:endnote w:id="183">
    <w:p>
      <w:pPr>
        <w:pStyle w:val="Notedefin"/>
        <w:suppressLineNumbers/>
        <w:spacing w:before="57" w:after="57"/>
        <w:ind w:left="339" w:right="0" w:hanging="339"/>
        <w:rPr/>
      </w:pPr>
      <w:r>
        <w:rPr>
          <w:rStyle w:val="Caractresdenotedefin"/>
        </w:rPr>
        <w:endnoteRef/>
      </w:r>
      <w:r>
        <w:rPr/>
        <w:tab/>
      </w:r>
      <w:r>
        <w:rPr/>
        <w:t>Doporučení č.</w:t>
      </w:r>
      <w:r>
        <w:rPr>
          <w:vertAlign w:val="superscript"/>
        </w:rPr>
        <w:t>18</w:t>
      </w:r>
      <w:r>
        <w:rPr/>
        <w:t xml:space="preserve"> a 41 ECP 1 a doporučení italského národního kontaktního místa „Investice do odborné přípravy školitelů“.</w:t>
      </w:r>
    </w:p>
  </w:endnote>
  <w:endnote w:id="184">
    <w:p>
      <w:pPr>
        <w:pStyle w:val="Notedefin"/>
        <w:suppressLineNumbers/>
        <w:spacing w:before="57" w:after="57"/>
        <w:ind w:left="339" w:right="0" w:hanging="339"/>
        <w:rPr/>
      </w:pPr>
      <w:r>
        <w:rPr>
          <w:rStyle w:val="Caractresdenotedefin"/>
        </w:rPr>
        <w:endnoteRef/>
      </w:r>
      <w:r>
        <w:rPr/>
        <w:tab/>
      </w:r>
      <w:r>
        <w:rPr/>
        <w:t>Doporučení č. 17 PCE 1 je určeno v plném rozsahu pracovní skupině pro digitální oblast.</w:t>
      </w:r>
    </w:p>
  </w:endnote>
  <w:endnote w:id="185">
    <w:p>
      <w:pPr>
        <w:pStyle w:val="Notedefin"/>
        <w:suppressLineNumbers/>
        <w:spacing w:before="57" w:after="57"/>
        <w:ind w:left="339" w:right="0" w:hanging="339"/>
        <w:rPr/>
      </w:pPr>
      <w:r>
        <w:rPr>
          <w:rStyle w:val="Caractresdenotedefin"/>
        </w:rPr>
        <w:endnoteRef/>
      </w:r>
      <w:r>
        <w:rPr/>
        <w:tab/>
        <w:t xml:space="preserve"> </w:t>
      </w:r>
      <w:r>
        <w:rPr/>
        <w:t>Doporučení EKP č. 15 1. Doporučení německého národního kontaktního místa o „informační platformě pro výměnu znalostí a zkušeností na úrovni EU“.</w:t>
      </w:r>
    </w:p>
  </w:endnote>
  <w:endnote w:id="186">
    <w:p>
      <w:pPr>
        <w:pStyle w:val="Notedefin"/>
        <w:suppressLineNumbers/>
        <w:spacing w:before="57" w:after="57"/>
        <w:ind w:left="339" w:right="0" w:hanging="339"/>
        <w:rPr/>
      </w:pPr>
      <w:r>
        <w:rPr>
          <w:rStyle w:val="Caractresdenotedefin"/>
        </w:rPr>
        <w:endnoteRef/>
      </w:r>
      <w:r>
        <w:rPr/>
        <w:tab/>
      </w:r>
      <w:r>
        <w:rPr/>
        <w:t>Doporučení 6.1 belgického národního kontaktního místa. Francouzská PCN, změna 7.</w:t>
      </w:r>
    </w:p>
  </w:endnote>
  <w:endnote w:id="187">
    <w:p>
      <w:pPr>
        <w:pStyle w:val="Notedefin"/>
        <w:suppressLineNumbers/>
        <w:spacing w:before="57" w:after="57"/>
        <w:ind w:left="339" w:right="0" w:hanging="339"/>
        <w:rPr/>
      </w:pPr>
      <w:r>
        <w:rPr>
          <w:rStyle w:val="Caractresdenotedefin"/>
        </w:rPr>
        <w:endnoteRef/>
      </w:r>
      <w:r>
        <w:rPr/>
        <w:tab/>
        <w:t xml:space="preserve"> </w:t>
      </w:r>
      <w:r>
        <w:rPr/>
        <w:t>Doporučení 7.2 belgického národního kontaktního místa.</w:t>
      </w:r>
    </w:p>
  </w:endnote>
  <w:endnote w:id="188">
    <w:p>
      <w:pPr>
        <w:pStyle w:val="Notedefin"/>
        <w:suppressLineNumbers/>
        <w:spacing w:before="57" w:after="57"/>
        <w:ind w:left="339" w:right="0" w:hanging="339"/>
        <w:rPr/>
      </w:pPr>
      <w:r>
        <w:rPr>
          <w:rStyle w:val="Caractresdenotedefin"/>
        </w:rPr>
        <w:endnoteRef/>
      </w:r>
      <w:r>
        <w:rPr/>
        <w:tab/>
      </w:r>
      <w:r>
        <w:rPr/>
        <w:t>Doporučení č. 4 ECP 1.</w:t>
      </w:r>
    </w:p>
  </w:endnote>
  <w:endnote w:id="189">
    <w:p>
      <w:pPr>
        <w:pStyle w:val="Notedefin"/>
        <w:suppressLineNumbers/>
        <w:spacing w:before="57" w:after="57"/>
        <w:ind w:left="339" w:right="0" w:hanging="339"/>
        <w:rPr/>
      </w:pPr>
      <w:r>
        <w:rPr>
          <w:rStyle w:val="Caractresdenotedefin"/>
        </w:rPr>
        <w:endnoteRef/>
      </w:r>
      <w:r>
        <w:rPr/>
        <w:tab/>
      </w:r>
      <w:r>
        <w:rPr/>
        <w:t>Návrh na doplnění doporučení</w:t>
      </w:r>
      <w:r>
        <w:rPr>
          <w:vertAlign w:val="superscript"/>
        </w:rPr>
        <w:t>č.</w:t>
      </w:r>
      <w:r>
        <w:rPr/>
        <w:t xml:space="preserve"> 1 a 30 ECP 1, jichž se zabývá Pracovní skupina pro silnější ekonomiku, sociální spravedlnost a zaměstnanost.</w:t>
      </w:r>
    </w:p>
  </w:endnote>
  <w:endnote w:id="190">
    <w:p>
      <w:pPr>
        <w:pStyle w:val="Notedefin"/>
        <w:suppressLineNumbers/>
        <w:spacing w:before="57" w:after="57"/>
        <w:ind w:left="339" w:right="0" w:hanging="339"/>
        <w:rPr/>
      </w:pPr>
      <w:r>
        <w:rPr>
          <w:rStyle w:val="Caractresdenotedefin"/>
        </w:rPr>
        <w:endnoteRef/>
      </w:r>
      <w:r>
        <w:rPr/>
        <w:tab/>
        <w:t xml:space="preserve"> </w:t>
      </w:r>
      <w:r>
        <w:rPr/>
        <w:t>Návrh na doplnění doporučení 25 ECP 1, kterého se zabývá Pracovní skupina pro silnější ekonomiku, sociální spravedlnost a zaměstnanost.</w:t>
      </w:r>
    </w:p>
  </w:endnote>
  <w:endnote w:id="191">
    <w:p>
      <w:pPr>
        <w:pStyle w:val="Notedefin"/>
        <w:suppressLineNumbers/>
        <w:spacing w:before="57" w:after="57"/>
        <w:ind w:left="339" w:right="0" w:hanging="339"/>
        <w:rPr/>
      </w:pPr>
      <w:r>
        <w:rPr>
          <w:rStyle w:val="Caractresdenotedefin"/>
        </w:rPr>
        <w:endnoteRef/>
      </w:r>
      <w:r>
        <w:rPr/>
        <w:tab/>
        <w:t xml:space="preserve"> </w:t>
      </w:r>
      <w:r>
        <w:rPr/>
        <w:t>Doporučení ECP č. 28 4. NCP („Naše vize pro kulturu, mládež a sport“), doporučení č. 1. Francouzská PCN, změna 6.</w:t>
      </w:r>
    </w:p>
  </w:endnote>
  <w:endnote w:id="192">
    <w:p>
      <w:pPr>
        <w:pStyle w:val="Notedefin"/>
        <w:suppressLineNumbers/>
        <w:spacing w:before="57" w:after="57"/>
        <w:ind w:left="339" w:right="0" w:hanging="339"/>
        <w:rPr/>
      </w:pPr>
      <w:r>
        <w:rPr>
          <w:rStyle w:val="Caractresdenotedefin"/>
        </w:rPr>
        <w:endnoteRef/>
      </w:r>
      <w:r>
        <w:rPr/>
        <w:tab/>
        <w:t xml:space="preserve"> </w:t>
      </w:r>
      <w:r>
        <w:rPr/>
        <w:t>Doporučení č. 6 ECP 1.</w:t>
      </w:r>
    </w:p>
  </w:endnote>
  <w:endnote w:id="193">
    <w:p>
      <w:pPr>
        <w:pStyle w:val="Notedefin"/>
        <w:suppressLineNumbers/>
        <w:spacing w:before="57" w:after="57"/>
        <w:ind w:left="339" w:right="0" w:hanging="339"/>
        <w:rPr/>
      </w:pPr>
      <w:r>
        <w:rPr>
          <w:rStyle w:val="Caractresdenotedefin"/>
        </w:rPr>
        <w:endnoteRef/>
      </w:r>
      <w:r>
        <w:rPr/>
        <w:tab/>
      </w:r>
      <w:r>
        <w:rPr/>
        <w:t>Nizozemská národní kontaktní osoba („Naše vize pro kulturu, mládež a sport“), doporučení č. 2.</w:t>
      </w:r>
    </w:p>
  </w:endnote>
  <w:endnote w:id="194">
    <w:p>
      <w:pPr>
        <w:pStyle w:val="Notedefin"/>
        <w:suppressLineNumbers/>
        <w:spacing w:before="57" w:after="57"/>
        <w:ind w:left="339" w:right="0" w:hanging="339"/>
        <w:rPr/>
      </w:pPr>
      <w:r>
        <w:rPr>
          <w:rStyle w:val="Caractresdenotedefin"/>
        </w:rPr>
        <w:endnoteRef/>
      </w:r>
      <w:r>
        <w:rPr/>
        <w:tab/>
      </w:r>
      <w:r>
        <w:rPr/>
        <w:t>Doporučení ECP 36 1. Francouzská PCN, změna 6. Doporučení č. 2.10 a 2.11 belgického národního kontaktního místa. Německé národní kontaktní místo, „Vytvoření více výměnných příležitostí pro studenty v Evropě“. Nizozemská národní kontaktní místa („Naše vize pro kulturu, mládež a sport“), doporučení</w:t>
      </w:r>
      <w:r>
        <w:rPr>
          <w:vertAlign w:val="superscript"/>
        </w:rPr>
        <w:t>1</w:t>
      </w:r>
      <w:r>
        <w:rPr/>
        <w:t xml:space="preserve"> a 3. Italské národní kontaktní místo, doporučení „vytvořit úřad soutoku mezi Východem a Západem, podporovat kulturní výměny a společné kulturní iniciativy“.</w:t>
      </w:r>
    </w:p>
  </w:endnote>
  <w:endnote w:id="195">
    <w:p>
      <w:pPr>
        <w:pStyle w:val="Notedefin"/>
        <w:suppressLineNumbers/>
        <w:spacing w:before="57" w:after="57"/>
        <w:ind w:left="339" w:right="0" w:hanging="339"/>
        <w:rPr/>
      </w:pPr>
      <w:r>
        <w:rPr>
          <w:rStyle w:val="Caractresdenotedefin"/>
        </w:rPr>
        <w:endnoteRef/>
      </w:r>
      <w:r>
        <w:rPr/>
        <w:tab/>
        <w:t xml:space="preserve"> </w:t>
      </w:r>
      <w:r>
        <w:rPr>
          <w:vertAlign w:val="superscript"/>
        </w:rPr>
        <w:t>Doporučení</w:t>
      </w:r>
      <w:r>
        <w:rPr/>
        <w:t xml:space="preserve"> ECP 32 a 38 1. NCP („Naše vize pro kulturu, mládež a sport“), doporučení č. 3.</w:t>
      </w:r>
    </w:p>
  </w:endnote>
  <w:endnote w:id="196">
    <w:p>
      <w:pPr>
        <w:pStyle w:val="Notedefin"/>
        <w:suppressLineNumbers/>
        <w:spacing w:before="57" w:after="57"/>
        <w:ind w:left="339" w:right="0" w:hanging="339"/>
        <w:rPr/>
      </w:pPr>
      <w:r>
        <w:rPr>
          <w:rStyle w:val="Caractresdenotedefin"/>
        </w:rPr>
        <w:endnoteRef/>
      </w:r>
      <w:r>
        <w:rPr/>
        <w:tab/>
      </w:r>
      <w:r>
        <w:rPr/>
        <w:t>Doporučení italského národního kontaktního místa „Evropa ve světě“</w:t>
      </w:r>
    </w:p>
  </w:endnote>
  <w:endnote w:id="197">
    <w:p>
      <w:pPr>
        <w:pStyle w:val="Notedefin"/>
        <w:suppressLineNumbers/>
        <w:spacing w:before="57" w:after="57"/>
        <w:ind w:left="339" w:right="0" w:hanging="339"/>
        <w:rPr/>
      </w:pPr>
      <w:r>
        <w:rPr>
          <w:rStyle w:val="Caractresdenotedefin"/>
        </w:rPr>
        <w:endnoteRef/>
      </w:r>
      <w:r>
        <w:rPr/>
        <w:tab/>
      </w:r>
      <w:r>
        <w:rPr/>
        <w:t>Francouzská PCN, změna 7. Doporučení</w:t>
      </w:r>
      <w:r>
        <w:rPr>
          <w:vertAlign w:val="superscript"/>
        </w:rPr>
        <w:t>2.5</w:t>
      </w:r>
      <w:r>
        <w:rPr/>
        <w:t>, 6.1 a 8.7 belgického národního kontaktního místa. Italské národní kontaktní místo, doporučení „Posílení evropských kulturních hodnot a charakteristik, jakož i regionálních specifik“.</w:t>
      </w:r>
    </w:p>
  </w:endnote>
  <w:endnote w:id="198">
    <w:p>
      <w:pPr>
        <w:pStyle w:val="Notedefin"/>
        <w:suppressLineNumbers/>
        <w:spacing w:before="57" w:after="57"/>
        <w:ind w:left="339" w:right="0" w:hanging="339"/>
        <w:rPr/>
      </w:pPr>
      <w:r>
        <w:rPr>
          <w:rStyle w:val="Caractresdenotedefin"/>
        </w:rPr>
        <w:endnoteRef/>
      </w:r>
      <w:r>
        <w:rPr/>
        <w:tab/>
      </w:r>
      <w:r>
        <w:rPr/>
        <w:t>Nizozemská národní kontaktní osoba („Naše vize pro kulturu, mládež a sport“), doporučení č. 2.</w:t>
      </w:r>
    </w:p>
  </w:endnote>
  <w:endnote w:id="199">
    <w:p>
      <w:pPr>
        <w:pStyle w:val="Notedefin"/>
        <w:suppressLineNumbers/>
        <w:spacing w:before="57" w:after="57"/>
        <w:ind w:left="339" w:right="0" w:hanging="339"/>
        <w:rPr/>
      </w:pPr>
      <w:r>
        <w:rPr>
          <w:rStyle w:val="Caractresdenotedefin"/>
        </w:rPr>
        <w:endnoteRef/>
      </w:r>
      <w:r>
        <w:rPr/>
        <w:tab/>
        <w:t xml:space="preserve"> </w:t>
      </w:r>
      <w:r>
        <w:rPr/>
        <w:t>Doporučení italského národního kontaktního místa „Překročit výrobní model minulého století“</w:t>
      </w:r>
    </w:p>
  </w:endnote>
  <w:endnote w:id="200">
    <w:p>
      <w:pPr>
        <w:pStyle w:val="Notedefin"/>
        <w:suppressLineNumbers/>
        <w:spacing w:before="57" w:after="57"/>
        <w:ind w:left="339" w:right="0" w:hanging="339"/>
        <w:rPr/>
      </w:pPr>
      <w:r>
        <w:rPr>
          <w:rStyle w:val="Caractresdenotedefin"/>
        </w:rPr>
        <w:endnoteRef/>
      </w:r>
      <w:r>
        <w:rPr/>
        <w:tab/>
      </w:r>
      <w:r>
        <w:rPr/>
        <w:t>Doporučení ECP č. 29 1.</w:t>
      </w:r>
    </w:p>
  </w:endnote>
  <w:endnote w:id="201">
    <w:p>
      <w:pPr>
        <w:pStyle w:val="Notedefin"/>
        <w:suppressLineNumbers/>
        <w:spacing w:before="57" w:after="57"/>
        <w:ind w:left="339" w:right="0" w:hanging="339"/>
        <w:rPr/>
      </w:pPr>
      <w:r>
        <w:rPr>
          <w:rStyle w:val="Caractresdenotedefin"/>
        </w:rPr>
        <w:endnoteRef/>
      </w:r>
      <w:r>
        <w:rPr/>
        <w:tab/>
      </w:r>
      <w:r>
        <w:rPr/>
        <w:t>Doporučení ECP 36 1.</w:t>
      </w:r>
    </w:p>
  </w:endnote>
</w:endnotes>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Arial">
    <w:charset w:val="00"/>
    <w:family w:val="roman"/>
    <w:pitch w:val="variable"/>
  </w:font>
  <w:font w:name="Calibri">
    <w:charset w:val="00"/>
    <w:family w:val="roman"/>
    <w:pitch w:val="variable"/>
  </w:font>
  <w:font w:name="Garamond">
    <w:charset w:val="00"/>
    <w:family w:val="roman"/>
    <w:pitch w:val="variable"/>
  </w:font>
  <w:font w:name="Roboto">
    <w:charset w:val="00"/>
    <w:family w:val="roman"/>
    <w:pitch w:val="variable"/>
  </w:font>
  <w:font w:name="Wingdings">
    <w:charset w:val="00"/>
    <w:family w:val="roman"/>
    <w:pitch w:val="variable"/>
  </w:font>
  <w:font w:name="Symbol">
    <w:charset w:val="00"/>
    <w:family w:val="roman"/>
    <w:pitch w:val="variable"/>
  </w:font>
  <w:font w:name="Verdana">
    <w:charset w:val="00"/>
    <w:family w:val="roman"/>
    <w:pitch w:val="variable"/>
  </w:font>
  <w:font w:name="Cambria">
    <w:charset w:val="00"/>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pPr>
    <w:r>
      <w:rPr/>
      <w:fldChar w:fldCharType="begin"/>
    </w:r>
    <w:r>
      <w:rPr/>
      <w:instrText> PAGE </w:instrText>
    </w:r>
    <w:r>
      <w:rPr/>
      <w:fldChar w:fldCharType="separate"/>
    </w:r>
    <w:r>
      <w:rPr/>
      <w:t>2</w:t>
    </w:r>
    <w:r>
      <w:rPr/>
      <w:fldChar w:fldCharType="end"/>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pPr>
    <w:r>
      <w:rPr/>
      <w:fldChar w:fldCharType="begin"/>
    </w:r>
    <w:r>
      <w:rPr/>
      <w:instrText> PAGE </w:instrText>
    </w:r>
    <w:r>
      <w:rPr/>
      <w:fldChar w:fldCharType="separate"/>
    </w:r>
    <w:r>
      <w:rPr/>
      <w:t>287</w:t>
    </w:r>
    <w:r>
      <w:rPr/>
      <w:fldChar w:fldCharType="end"/>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Notedebasdepage"/>
        <w:suppressLineNumbers/>
        <w:spacing w:before="57" w:after="57"/>
        <w:ind w:left="339" w:right="0" w:hanging="339"/>
        <w:rPr/>
      </w:pPr>
      <w:r>
        <w:rPr>
          <w:rStyle w:val="Caractresdenotedebasdepage"/>
        </w:rPr>
        <w:footnoteRef/>
      </w:r>
      <w:r>
        <w:rPr>
          <w:rStyle w:val="Caractresdenotedebasdepage"/>
        </w:rPr>
        <w:tab/>
      </w:r>
      <w:hyperlink r:id="rId1">
        <w:r>
          <w:rPr>
            <w:rStyle w:val="LienInternet"/>
          </w:rPr>
          <w:t>https://futureu.europa.eu/</w:t>
        </w:r>
      </w:hyperlink>
      <w:r>
        <w:rPr/>
        <w:t xml:space="preserve"> </w:t>
      </w:r>
    </w:p>
  </w:footnote>
  <w:footnote w:id="3">
    <w:p>
      <w:pPr>
        <w:pStyle w:val="Notedebasdepage"/>
        <w:suppressLineNumbers/>
        <w:spacing w:before="57" w:after="57"/>
        <w:ind w:left="339" w:right="0" w:hanging="339"/>
        <w:rPr/>
      </w:pPr>
      <w:r>
        <w:rPr>
          <w:rStyle w:val="Caractresdenotedebasdepage"/>
        </w:rPr>
        <w:footnoteRef/>
      </w:r>
      <w:r>
        <w:rPr>
          <w:rStyle w:val="Caractresdenotedebasdepage"/>
        </w:rPr>
        <w:tab/>
      </w:r>
      <w:hyperlink r:id="rId2">
        <w:r>
          <w:rPr>
            <w:rStyle w:val="LienInternet"/>
          </w:rPr>
          <w:t>https://futureu.europa.eu/uploads/decidim/attachment/file/4595/Conference_Charter_fr.pdf</w:t>
        </w:r>
      </w:hyperlink>
      <w:r>
        <w:rPr/>
        <w:t xml:space="preserve"> </w:t>
      </w:r>
    </w:p>
  </w:footnote>
  <w:footnote w:id="4">
    <w:p>
      <w:pPr>
        <w:pStyle w:val="Notedebasdepage"/>
        <w:suppressLineNumbers/>
        <w:spacing w:before="57" w:after="57"/>
        <w:ind w:left="339" w:right="0" w:hanging="339"/>
        <w:rPr/>
      </w:pPr>
      <w:r>
        <w:rPr>
          <w:rStyle w:val="Caractresdenotedebasdepage"/>
        </w:rPr>
        <w:footnoteRef/>
      </w:r>
      <w:r>
        <w:rPr/>
        <w:tab/>
      </w:r>
      <w:r>
        <w:rPr/>
        <w:t xml:space="preserve">III OECD, Inovativní účast občanů a nové demokratické instituce, 2020 - </w:t>
      </w:r>
      <w:hyperlink r:id="rId3">
        <w:r>
          <w:rPr>
            <w:rStyle w:val="LienInternet"/>
          </w:rPr>
          <w:t>https://www.oecd.org/gov/open-government/innovative-citizen-participation-new-democratic-institutions-catching-the-deliberative-wave-highlights.pdf</w:t>
        </w:r>
      </w:hyperlink>
      <w:r>
        <w:rPr/>
        <w:t>.</w:t>
      </w:r>
    </w:p>
  </w:footnote>
  <w:footnote w:id="5">
    <w:p>
      <w:pPr>
        <w:pStyle w:val="Notedebasdepage"/>
        <w:suppressLineNumbers/>
        <w:spacing w:before="57" w:after="57"/>
        <w:ind w:left="339" w:right="0" w:hanging="339"/>
        <w:rPr/>
      </w:pPr>
      <w:r>
        <w:rPr>
          <w:rStyle w:val="Caractresdenotedebasdepage"/>
        </w:rPr>
        <w:footnoteRef/>
      </w:r>
      <w:r>
        <w:rPr/>
        <w:tab/>
        <w:t xml:space="preserve"> </w:t>
      </w:r>
      <w:r>
        <w:rPr/>
        <w:t xml:space="preserve">OECD, Inovativní občanská účast a nové demokratické instituce, 2020 - </w:t>
      </w:r>
      <w:hyperlink r:id="rId4">
        <w:r>
          <w:rPr>
            <w:rStyle w:val="LienInternet"/>
          </w:rPr>
          <w:t>https://www.oecd.org/gov/open-government/innovative-citizen-participation-new-democratic-institutions-catching-the-deliberative-wave-highlights.pdf</w:t>
        </w:r>
      </w:hyperlink>
      <w:r>
        <w:rPr/>
        <w:t xml:space="preserve"> </w:t>
      </w:r>
    </w:p>
  </w:footnote>
  <w:footnote w:id="6">
    <w:p>
      <w:pPr>
        <w:pStyle w:val="Normal"/>
        <w:spacing w:before="57" w:after="57"/>
        <w:rPr/>
      </w:pPr>
      <w:r>
        <w:rPr>
          <w:rStyle w:val="Caractresdenotedebasdepage"/>
        </w:rPr>
        <w:footnoteRef/>
      </w:r>
      <w:r>
        <w:rPr/>
        <w:tab/>
      </w:r>
      <w:r>
        <w:rPr/>
        <w:t>Navštivte vícejazyčnou digitální platformu a získejte přístup ke všem informacím o těchto událostech.</w:t>
      </w:r>
    </w:p>
  </w:footnote>
  <w:footnote w:id="7">
    <w:p>
      <w:pPr>
        <w:pStyle w:val="Notedebasdepage"/>
        <w:suppressLineNumbers/>
        <w:spacing w:before="57" w:after="57"/>
        <w:ind w:left="339" w:right="0" w:hanging="339"/>
        <w:rPr/>
      </w:pPr>
      <w:r>
        <w:rPr>
          <w:rStyle w:val="Caractresdenotedebasdepage"/>
        </w:rPr>
        <w:footnoteRef/>
      </w:r>
      <w:r>
        <w:rPr/>
        <w:tab/>
      </w:r>
      <w:r>
        <w:rPr/>
        <w:t>Mělo být dosaženo shody alespoň mezi zástupci Evropského parlamentu, Rady, Evropské komise a zástupců vnitrostátních parlamentů za stejných podmínek. Pokud se postoj zástupců občanů při vnitrostátních akcích a/nebo evropských či vnitrostátních panelech občanů zjevně liší, měl by být tento postoj zahrnut do této zprávy.</w:t>
      </w:r>
    </w:p>
  </w:footnote>
  <w:footnote w:id="8">
    <w:p>
      <w:pPr>
        <w:pStyle w:val="Notedebasdepage"/>
        <w:suppressLineNumbers/>
        <w:spacing w:before="57" w:after="57"/>
        <w:ind w:left="339" w:right="0" w:hanging="339"/>
        <w:rPr/>
      </w:pPr>
      <w:r>
        <w:rPr>
          <w:rStyle w:val="Caractresdenotedebasdepage"/>
        </w:rPr>
        <w:footnoteRef/>
      </w:r>
      <w:r>
        <w:rPr/>
        <w:tab/>
      </w:r>
      <w:r>
        <w:rPr/>
        <w:t>Další členové Evropské komise byli pozváni na plenární zasedání, zejména když byly projednány otázky v rámci jejich portfolií.</w:t>
      </w:r>
    </w:p>
  </w:footnote>
  <w:footnote w:id="9">
    <w:p>
      <w:pPr>
        <w:pStyle w:val="Notedebasdepage"/>
        <w:suppressLineNumbers/>
        <w:spacing w:before="57" w:after="57"/>
        <w:ind w:left="339" w:right="0" w:hanging="339"/>
        <w:rPr/>
      </w:pPr>
      <w:r>
        <w:rPr>
          <w:rStyle w:val="Caractresdenotedebasdepage"/>
        </w:rPr>
        <w:footnoteRef/>
      </w:r>
      <w:r>
        <w:rPr/>
        <w:tab/>
      </w:r>
      <w:r>
        <w:rPr/>
        <w:t>Jeden na členský stát.</w:t>
      </w:r>
    </w:p>
  </w:footnote>
  <w:footnote w:id="10">
    <w:p>
      <w:pPr>
        <w:pStyle w:val="Notedebasdepage"/>
        <w:suppressLineNumbers/>
        <w:spacing w:before="57" w:after="57"/>
        <w:ind w:left="339" w:right="0" w:hanging="339"/>
        <w:rPr/>
      </w:pPr>
      <w:r>
        <w:rPr>
          <w:rStyle w:val="Caractresdenotedebasdepage"/>
        </w:rPr>
        <w:footnoteRef/>
      </w:r>
      <w:r>
        <w:rPr/>
        <w:tab/>
      </w:r>
      <w:r>
        <w:rPr/>
        <w:t>První akce věnovaná evropským občanům se konala dne 17. června 2021 v Lisabonu v hybridním formátu před ustavujícím plenárním zasedáním dne 19. června s cílem zahájit účast občanů na konferenci.</w:t>
      </w:r>
    </w:p>
  </w:footnote>
  <w:footnote w:id="11">
    <w:p>
      <w:pPr>
        <w:pStyle w:val="Notedebasdepage"/>
        <w:suppressLineNumbers/>
        <w:spacing w:before="57" w:after="57"/>
        <w:ind w:left="339" w:right="0" w:hanging="339"/>
        <w:rPr/>
      </w:pPr>
      <w:r>
        <w:rPr>
          <w:rStyle w:val="Caractresdenotedebasdepage"/>
        </w:rPr>
        <w:footnoteRef/>
      </w:r>
      <w:r>
        <w:rPr/>
        <w:tab/>
        <w:t xml:space="preserve"> </w:t>
      </w:r>
      <w:r>
        <w:rPr/>
        <w:t>Zástupci Evropské komise vysvětlili, že by bylo nutné projít přechodným obdobím, aby se zabránilo příliš náhlému vývoji.</w:t>
      </w:r>
    </w:p>
  </w:footnote>
  <w:footnote w:id="12">
    <w:p>
      <w:pPr>
        <w:pStyle w:val="Notedebasdepage"/>
        <w:suppressLineNumbers/>
        <w:spacing w:before="57" w:after="57"/>
        <w:ind w:left="339" w:right="0" w:hanging="339"/>
        <w:rPr/>
      </w:pPr>
      <w:r>
        <w:rPr>
          <w:rStyle w:val="Caractresdenotedebasdepage"/>
        </w:rPr>
        <w:footnoteRef/>
      </w:r>
      <w:r>
        <w:rPr/>
        <w:tab/>
      </w:r>
      <w:r>
        <w:rPr/>
        <w:t xml:space="preserve">Postoj Parlamentu: nejvyšší seznam evropské politické strany s nejvyšším počtem hlasů ve volbách do Evropského parlamentu a podpora většiny poslanců EP by měl být zvolen předsedou Evropské komise. V případě, že se nevyskytne žádná koaliční většina, měla by se pozice vrátit na další vrchol seznamu. za tímto účelem by evropské politické strany mohly nominovat kandidáty na předsednictví Komise. Paulo Rangel: v zájmu posílení procesu vedoucích kandidátů je třeba změnit úlohu Evropského parlamentu a Evropské rady, což znamená změnu Smluv: předseda Komise by byl navržen Parlamentem a schválen Evropskou radou. PNM (Final Kantar Report: „skupina příspěvků zahrnuje volbu předsedy Komise a jmenování komisařů, včetně systému kandidátů na nejvyšší seznam.“ EYE, s. 23: Kandidáti na funkci předsedy Komise by neměli být voleni v zaostalých jednáních mezi vítěznými stranami. Měli bychom použít systém vedoucích kandidátů, kde každá strana před volební kampaní oznámí kandidáta, který bude předsedou Komise, pokud tato strana získá většinu. Díky aktivní účasti na kampani a přímé interakci s evropskými občany by jim budoucí předseda mohl být blíže.“ diskuse v GT. </w:t>
      </w:r>
    </w:p>
  </w:footnote>
  <w:footnote w:id="13">
    <w:p>
      <w:pPr>
        <w:pStyle w:val="Notedebasdepage"/>
        <w:suppressLineNumbers/>
        <w:spacing w:before="57" w:after="57"/>
        <w:ind w:left="339" w:right="0" w:hanging="339"/>
        <w:rPr/>
      </w:pPr>
      <w:r>
        <w:rPr>
          <w:rStyle w:val="Caractresdenotedebasdepage"/>
        </w:rPr>
        <w:footnoteRef/>
      </w:r>
      <w:r>
        <w:rPr/>
        <w:tab/>
      </w:r>
      <w:r>
        <w:rPr/>
        <w:t>Rada se domnívá, že tento návrh není založen na doporučení občanů. Není proto v souladu s dohodnutou metodikou. Viz také postoj občanské složky vyjádřený na straně 42.</w:t>
      </w:r>
    </w:p>
  </w:footnote>
  <w:footnote w:id="14">
    <w:p>
      <w:pPr>
        <w:pStyle w:val="Notedebasdepage"/>
        <w:suppressLineNumbers/>
        <w:spacing w:before="57" w:after="57"/>
        <w:ind w:left="339" w:right="0" w:hanging="339"/>
        <w:rPr/>
      </w:pPr>
      <w:r>
        <w:rPr>
          <w:rStyle w:val="Caractresdenotedebasdepage"/>
        </w:rPr>
        <w:footnoteRef/>
      </w:r>
      <w:r>
        <w:rPr>
          <w:rStyle w:val="Caractresdenotedebasdepage"/>
        </w:rPr>
        <w:tab/>
      </w:r>
      <w:hyperlink r:id="rId5">
        <w:r>
          <w:rPr>
            <w:rStyle w:val="LienInternet"/>
          </w:rPr>
          <w:t>www.participation-citoyenne.gouv.fr</w:t>
        </w:r>
      </w:hyperlink>
      <w:r>
        <w:rPr/>
        <w:t xml:space="preserve"> </w:t>
      </w:r>
    </w:p>
  </w:footnote>
  <w:footnote w:id="15">
    <w:p>
      <w:pPr>
        <w:pStyle w:val="Notedebasdepage"/>
        <w:suppressLineNumbers/>
        <w:spacing w:before="57" w:after="57"/>
        <w:ind w:left="339" w:right="0" w:hanging="339"/>
        <w:rPr/>
      </w:pPr>
      <w:r>
        <w:rPr>
          <w:rStyle w:val="Caractresdenotedebasdepage"/>
        </w:rPr>
        <w:footnoteRef/>
      </w:r>
      <w:r>
        <w:rPr/>
        <w:tab/>
        <w:t xml:space="preserve"> </w:t>
      </w:r>
      <w:hyperlink r:id="rId6">
        <w:r>
          <w:rPr>
            <w:rStyle w:val="LienInternet"/>
          </w:rPr>
          <w:t>https://futureu.europa.eu/processes?locale=fr</w:t>
        </w:r>
      </w:hyperlink>
      <w:r>
        <w:rPr/>
        <w:t xml:space="preserve"> </w:t>
      </w:r>
    </w:p>
  </w:footnote>
  <w:footnote w:id="16">
    <w:p>
      <w:pPr>
        <w:pStyle w:val="Notedebasdepage"/>
        <w:suppressLineNumbers/>
        <w:spacing w:before="57" w:after="57"/>
        <w:ind w:left="339" w:right="0" w:hanging="339"/>
        <w:rPr/>
      </w:pPr>
      <w:r>
        <w:rPr>
          <w:rStyle w:val="Caractresdenotedebasdepage"/>
        </w:rPr>
        <w:footnoteRef/>
      </w:r>
      <w:r>
        <w:rPr/>
        <w:tab/>
        <w:t xml:space="preserve"> </w:t>
      </w:r>
      <w:r>
        <w:rPr/>
        <w:t xml:space="preserve">Vzorek občanů zastupujících Vilnius, Kaunas, Klaipėda, Šiauliai a Panevėžys a okresy Vilnius, Kaunas, Klaipėda, Šiauliai, Panevėžys, Alytus, Marijampolė, Tauragė, Telšiai a Utena na základě údajů litevského statistického oddělení (Lietuvos statistikos departamentas).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Entte"/>
      <w:spacing w:before="57" w:after="57"/>
      <w:jc w:val="right"/>
      <w:rPr>
        <w:sz w:val="18"/>
      </w:rPr>
    </w:pPr>
    <w:r>
      <w:rPr>
        <w:sz w:val="18"/>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68B1DB1Entte134"/>
      <w:spacing w:before="57" w:after="57"/>
      <w:jc w:val="right"/>
      <w:rPr>
        <w:sz w:val="18"/>
      </w:rPr>
    </w:pPr>
    <w:r>
      <w:rPr/>
      <w:t>Konference o budoucnosti Evropy | Zpráva o konečných výsledcích</w:t>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pStyle w:val="Titre1"/>
      <w:numFmt w:val="none"/>
      <w:suff w:val="nothing"/>
      <w:lvlText w:val=""/>
      <w:lvlJc w:val="left"/>
      <w:pPr>
        <w:ind w:left="0" w:hanging="0"/>
      </w:pPr>
    </w:lvl>
    <w:lvl w:ilvl="1">
      <w:start w:val="1"/>
      <w:pStyle w:val="Titre2"/>
      <w:numFmt w:val="none"/>
      <w:suff w:val="nothing"/>
      <w:lvlText w:val=""/>
      <w:lvlJc w:val="left"/>
      <w:pPr>
        <w:ind w:left="0" w:hanging="0"/>
      </w:pPr>
    </w:lvl>
    <w:lvl w:ilvl="2">
      <w:start w:val="1"/>
      <w:pStyle w:val="Titre3"/>
      <w:numFmt w:val="none"/>
      <w:suff w:val="nothing"/>
      <w:lvlText w:val=""/>
      <w:lvlJc w:val="left"/>
      <w:pPr>
        <w:ind w:left="0" w:hanging="0"/>
      </w:pPr>
    </w:lvl>
    <w:lvl w:ilvl="3">
      <w:start w:val="1"/>
      <w:pStyle w:val="Titre4"/>
      <w:numFmt w:val="none"/>
      <w:suff w:val="nothing"/>
      <w:lvlText w:val=""/>
      <w:lvlJc w:val="left"/>
      <w:pPr>
        <w:ind w:left="0" w:hanging="0"/>
      </w:pPr>
    </w:lvl>
    <w:lvl w:ilvl="4">
      <w:start w:val="1"/>
      <w:pStyle w:val="Titre5"/>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2">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3">
    <w:lvl w:ilvl="0">
      <w:start w:val="1"/>
      <w:numFmt w:val="bullet"/>
      <w:lvlText w:val=""/>
      <w:lvlJc w:val="left"/>
      <w:pPr>
        <w:tabs>
          <w:tab w:val="num" w:pos="227"/>
        </w:tabs>
        <w:ind w:left="227" w:hanging="227"/>
      </w:pPr>
      <w:rPr>
        <w:rFonts w:ascii="Symbol" w:hAnsi="Symbol" w:cs="Symbol" w:hint="default"/>
        <w:rFonts w:cs="Symbol"/>
      </w:rPr>
    </w:lvl>
    <w:lvl w:ilvl="1">
      <w:start w:val="1"/>
      <w:numFmt w:val="bullet"/>
      <w:lvlText w:val=""/>
      <w:lvlJc w:val="left"/>
      <w:pPr>
        <w:tabs>
          <w:tab w:val="num" w:pos="454"/>
        </w:tabs>
        <w:ind w:left="454" w:hanging="227"/>
      </w:pPr>
      <w:rPr>
        <w:rFonts w:ascii="Symbol" w:hAnsi="Symbol" w:cs="Symbol" w:hint="default"/>
        <w:rFonts w:cs="Symbol"/>
      </w:rPr>
    </w:lvl>
    <w:lvl w:ilvl="2">
      <w:start w:val="1"/>
      <w:numFmt w:val="bullet"/>
      <w:lvlText w:val=""/>
      <w:lvlJc w:val="left"/>
      <w:pPr>
        <w:tabs>
          <w:tab w:val="num" w:pos="680"/>
        </w:tabs>
        <w:ind w:left="680" w:hanging="227"/>
      </w:pPr>
      <w:rPr>
        <w:rFonts w:ascii="Symbol" w:hAnsi="Symbol" w:cs="Symbol" w:hint="default"/>
        <w:rFonts w:cs="Symbol"/>
      </w:rPr>
    </w:lvl>
    <w:lvl w:ilvl="3">
      <w:start w:val="1"/>
      <w:numFmt w:val="bullet"/>
      <w:lvlText w:val=""/>
      <w:lvlJc w:val="left"/>
      <w:pPr>
        <w:tabs>
          <w:tab w:val="num" w:pos="907"/>
        </w:tabs>
        <w:ind w:left="907" w:hanging="227"/>
      </w:pPr>
      <w:rPr>
        <w:rFonts w:ascii="Symbol" w:hAnsi="Symbol" w:cs="Symbol" w:hint="default"/>
        <w:rFonts w:cs="Symbol"/>
      </w:rPr>
    </w:lvl>
    <w:lvl w:ilvl="4">
      <w:start w:val="1"/>
      <w:numFmt w:val="bullet"/>
      <w:lvlText w:val=""/>
      <w:lvlJc w:val="left"/>
      <w:pPr>
        <w:tabs>
          <w:tab w:val="num" w:pos="1134"/>
        </w:tabs>
        <w:ind w:left="1134" w:hanging="227"/>
      </w:pPr>
      <w:rPr>
        <w:rFonts w:ascii="Symbol" w:hAnsi="Symbol" w:cs="Symbol" w:hint="default"/>
        <w:rFonts w:cs="Symbol"/>
      </w:rPr>
    </w:lvl>
    <w:lvl w:ilvl="5">
      <w:start w:val="1"/>
      <w:numFmt w:val="bullet"/>
      <w:lvlText w:val=""/>
      <w:lvlJc w:val="left"/>
      <w:pPr>
        <w:tabs>
          <w:tab w:val="num" w:pos="1361"/>
        </w:tabs>
        <w:ind w:left="1361" w:hanging="227"/>
      </w:pPr>
      <w:rPr>
        <w:rFonts w:ascii="Symbol" w:hAnsi="Symbol" w:cs="Symbol" w:hint="default"/>
        <w:rFonts w:cs="Symbol"/>
      </w:rPr>
    </w:lvl>
    <w:lvl w:ilvl="6">
      <w:start w:val="1"/>
      <w:numFmt w:val="bullet"/>
      <w:lvlText w:val=""/>
      <w:lvlJc w:val="left"/>
      <w:pPr>
        <w:tabs>
          <w:tab w:val="num" w:pos="1587"/>
        </w:tabs>
        <w:ind w:left="1587" w:hanging="227"/>
      </w:pPr>
      <w:rPr>
        <w:rFonts w:ascii="Symbol" w:hAnsi="Symbol" w:cs="Symbol" w:hint="default"/>
        <w:rFonts w:cs="Symbol"/>
      </w:rPr>
    </w:lvl>
    <w:lvl w:ilvl="7">
      <w:start w:val="1"/>
      <w:numFmt w:val="bullet"/>
      <w:lvlText w:val=""/>
      <w:lvlJc w:val="left"/>
      <w:pPr>
        <w:tabs>
          <w:tab w:val="num" w:pos="1814"/>
        </w:tabs>
        <w:ind w:left="1814" w:hanging="227"/>
      </w:pPr>
      <w:rPr>
        <w:rFonts w:ascii="Symbol" w:hAnsi="Symbol" w:cs="Symbol" w:hint="default"/>
        <w:rFonts w:cs="Symbol"/>
      </w:rPr>
    </w:lvl>
    <w:lvl w:ilvl="8">
      <w:start w:val="1"/>
      <w:numFmt w:val="bullet"/>
      <w:lvlText w:val=""/>
      <w:lvlJc w:val="left"/>
      <w:pPr>
        <w:tabs>
          <w:tab w:val="num" w:pos="2041"/>
        </w:tabs>
        <w:ind w:left="2041" w:hanging="227"/>
      </w:pPr>
      <w:rPr>
        <w:rFonts w:ascii="Symbol" w:hAnsi="Symbol" w:cs="Symbol" w:hint="default"/>
        <w:rFonts w:cs="Symbol"/>
      </w:rPr>
    </w:lvl>
  </w:abstractNum>
  <w:num w:numId="1">
    <w:abstractNumId w:val="1"/>
  </w:num>
  <w:num w:numId="2">
    <w:abstractNumId w:val="2"/>
  </w:num>
  <w:num w:numId="3">
    <w:abstractNumId w:val="3"/>
  </w:num>
</w:numbering>
</file>

<file path=word/settings.xml><?xml version="1.0" encoding="utf-8"?>
<w:settings xmlns:w="http://schemas.openxmlformats.org/wordprocessingml/2006/main">
  <w:zoom w:percent="100"/>
  <w:defaultTabStop w:val="720"/>
  <w:autoHyphenation w:val="false"/>
  <w:evenAndOddHeaders/>
  <w:footnotePr>
    <w:numFmt w:val="upperRoman"/>
    <w:footnote w:id="0"/>
    <w:footnote w:id="1"/>
  </w:footnotePr>
  <w:endnotePr>
    <w:numFmt w:val="decimal"/>
    <w:endnote w:id="0"/>
    <w:endnote w:id="1"/>
  </w:endnotePr>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SimSun" w:cs="Mangal"/>
        <w:kern w:val="2"/>
        <w:sz w:val="24"/>
        <w:lang w:val="cs" w:eastAsia="zh-CN" w:bidi="hi-IN"/>
      </w:rPr>
    </w:rPrDefault>
    <w:pPrDefault>
      <w:pPr/>
    </w:pPrDefault>
  </w:docDefaults>
  <w:style w:type="paragraph" w:styleId="Normal">
    <w:name w:val="Normal"/>
    <w:qFormat/>
    <w:pPr>
      <w:widowControl/>
      <w:suppressAutoHyphens w:val="true"/>
      <w:overflowPunct w:val="false"/>
      <w:bidi w:val="0"/>
      <w:spacing w:before="57" w:after="57"/>
      <w:ind w:left="0" w:right="0" w:hanging="0"/>
      <w:jc w:val="left"/>
    </w:pPr>
    <w:rPr>
      <w:rFonts w:ascii="Arial" w:hAnsi="Arial" w:eastAsia="SimSun" w:cs="Mangal"/>
      <w:color w:val="00000A"/>
      <w:kern w:val="2"/>
      <w:sz w:val="22"/>
      <w:szCs w:val="20"/>
      <w:lang w:val="cs" w:eastAsia="zh-CN" w:bidi="hi-IN"/>
    </w:rPr>
  </w:style>
  <w:style w:type="paragraph" w:styleId="Titre1">
    <w:name w:val="Heading 1"/>
    <w:basedOn w:val="Titre"/>
    <w:qFormat/>
    <w:pPr>
      <w:numPr>
        <w:ilvl w:val="0"/>
        <w:numId w:val="1"/>
      </w:numPr>
      <w:spacing w:before="238" w:after="567"/>
      <w:outlineLvl w:val="0"/>
    </w:pPr>
    <w:rPr>
      <w:b w:val="false"/>
      <w:color w:val="0066B3"/>
      <w:sz w:val="64"/>
    </w:rPr>
  </w:style>
  <w:style w:type="paragraph" w:styleId="Titre2">
    <w:name w:val="Heading 2"/>
    <w:basedOn w:val="Titre"/>
    <w:qFormat/>
    <w:pPr>
      <w:numPr>
        <w:ilvl w:val="1"/>
        <w:numId w:val="1"/>
      </w:numPr>
      <w:spacing w:before="200" w:after="120"/>
      <w:outlineLvl w:val="1"/>
    </w:pPr>
    <w:rPr>
      <w:b/>
      <w:sz w:val="28"/>
    </w:rPr>
  </w:style>
  <w:style w:type="paragraph" w:styleId="Titre3">
    <w:name w:val="Heading 3"/>
    <w:basedOn w:val="Titre"/>
    <w:qFormat/>
    <w:pPr>
      <w:numPr>
        <w:ilvl w:val="2"/>
        <w:numId w:val="1"/>
      </w:numPr>
      <w:spacing w:before="140" w:after="120"/>
      <w:outlineLvl w:val="2"/>
    </w:pPr>
    <w:rPr>
      <w:b/>
      <w:sz w:val="28"/>
    </w:rPr>
  </w:style>
  <w:style w:type="paragraph" w:styleId="Titre4">
    <w:name w:val="Heading 4"/>
    <w:basedOn w:val="Titre"/>
    <w:qFormat/>
    <w:pPr>
      <w:numPr>
        <w:ilvl w:val="3"/>
        <w:numId w:val="1"/>
      </w:numPr>
      <w:spacing w:before="120" w:after="120"/>
      <w:outlineLvl w:val="3"/>
    </w:pPr>
    <w:rPr>
      <w:b/>
      <w:i/>
      <w:sz w:val="24"/>
    </w:rPr>
  </w:style>
  <w:style w:type="paragraph" w:styleId="Titre5">
    <w:name w:val="Heading 5"/>
    <w:basedOn w:val="Titre"/>
    <w:qFormat/>
    <w:pPr>
      <w:numPr>
        <w:ilvl w:val="4"/>
        <w:numId w:val="1"/>
      </w:numPr>
      <w:spacing w:before="120" w:after="60"/>
      <w:outlineLvl w:val="4"/>
    </w:pPr>
    <w:rPr>
      <w:b/>
      <w:sz w:val="22"/>
      <w:u w:val="none"/>
    </w:rPr>
  </w:style>
  <w:style w:type="character" w:styleId="Caractresdenotedebasdepage">
    <w:name w:val="Caractères de note de bas de page"/>
    <w:qFormat/>
    <w:rPr/>
  </w:style>
  <w:style w:type="character" w:styleId="Ancredenotedebasdepage">
    <w:name w:val="Ancre de note de bas de page"/>
    <w:rPr>
      <w:vertAlign w:val="superscript"/>
    </w:rPr>
  </w:style>
  <w:style w:type="character" w:styleId="LienInternet">
    <w:name w:val="Lien Internet"/>
    <w:rPr>
      <w:color w:val="000080"/>
      <w:u w:val="single"/>
    </w:rPr>
  </w:style>
  <w:style w:type="character" w:styleId="Caractresdenumrotation">
    <w:name w:val="Caractères de numérotation"/>
    <w:qFormat/>
    <w:rPr/>
  </w:style>
  <w:style w:type="character" w:styleId="Ancredenotedefin">
    <w:name w:val="Ancre de note de fin"/>
    <w:rPr>
      <w:vertAlign w:val="superscript"/>
    </w:rPr>
  </w:style>
  <w:style w:type="character" w:styleId="Caractresdenotedefin">
    <w:name w:val="Caractères de note de fin"/>
    <w:qFormat/>
    <w:rPr/>
  </w:style>
  <w:style w:type="character" w:styleId="Accentuationforte">
    <w:name w:val="Accentuation forte"/>
    <w:qFormat/>
    <w:rPr>
      <w:b/>
    </w:rPr>
  </w:style>
  <w:style w:type="character" w:styleId="Sautdindex">
    <w:name w:val="Saut d'index"/>
    <w:qFormat/>
    <w:rPr/>
  </w:style>
  <w:style w:type="character" w:styleId="ListLabel1">
    <w:name w:val="ListLabel 1"/>
    <w:qFormat/>
    <w:rPr>
      <w:rFonts w:cs="Symbol"/>
    </w:rPr>
  </w:style>
  <w:style w:type="character" w:styleId="ListLabel2">
    <w:name w:val="ListLabel 2"/>
    <w:qFormat/>
    <w:rPr>
      <w:rFonts w:cs="Symbol"/>
    </w:rPr>
  </w:style>
  <w:style w:type="character" w:styleId="ListLabel3">
    <w:name w:val="ListLabel 3"/>
    <w:qFormat/>
    <w:rPr>
      <w:rFonts w:cs="Symbol"/>
    </w:rPr>
  </w:style>
  <w:style w:type="character" w:styleId="ListLabel4">
    <w:name w:val="ListLabel 4"/>
    <w:qFormat/>
    <w:rPr>
      <w:rFonts w:cs="Symbol"/>
    </w:rPr>
  </w:style>
  <w:style w:type="character" w:styleId="ListLabel5">
    <w:name w:val="ListLabel 5"/>
    <w:qFormat/>
    <w:rPr>
      <w:rFonts w:cs="Symbol"/>
    </w:rPr>
  </w:style>
  <w:style w:type="character" w:styleId="ListLabel6">
    <w:name w:val="ListLabel 6"/>
    <w:qFormat/>
    <w:rPr>
      <w:rFonts w:cs="Symbol"/>
    </w:rPr>
  </w:style>
  <w:style w:type="character" w:styleId="ListLabel7">
    <w:name w:val="ListLabel 7"/>
    <w:qFormat/>
    <w:rPr>
      <w:rFonts w:cs="Symbol"/>
    </w:rPr>
  </w:style>
  <w:style w:type="character" w:styleId="ListLabel8">
    <w:name w:val="ListLabel 8"/>
    <w:qFormat/>
    <w:rPr>
      <w:rFonts w:cs="Symbol"/>
    </w:rPr>
  </w:style>
  <w:style w:type="character" w:styleId="ListLabel9">
    <w:name w:val="ListLabel 9"/>
    <w:qFormat/>
    <w:rPr>
      <w:rFonts w:cs="Symbol"/>
    </w:rPr>
  </w:style>
  <w:style w:type="character" w:styleId="ListLabel10">
    <w:name w:val="ListLabel 10"/>
    <w:qFormat/>
    <w:rPr>
      <w:rFonts w:ascii="Times New Roman" w:hAnsi="Times New Roman"/>
      <w:sz w:val="24"/>
    </w:rPr>
  </w:style>
  <w:style w:type="character" w:styleId="ListLabel11">
    <w:name w:val="ListLabel 11"/>
    <w:qFormat/>
    <w:rPr/>
  </w:style>
  <w:style w:type="character" w:styleId="ListLabel12">
    <w:name w:val="ListLabel 12"/>
    <w:qFormat/>
    <w:rPr/>
  </w:style>
  <w:style w:type="character" w:styleId="ListLabel13">
    <w:name w:val="ListLabel 13"/>
    <w:qFormat/>
    <w:rPr>
      <w:color w:val="0563C1"/>
    </w:rPr>
  </w:style>
  <w:style w:type="character" w:styleId="ListLabel14">
    <w:name w:val="ListLabel 14"/>
    <w:qFormat/>
    <w:rPr>
      <w:rFonts w:ascii="Times New Roman" w:hAnsi="Times New Roman"/>
      <w:b/>
      <w:color w:val="0000FF"/>
    </w:rPr>
  </w:style>
  <w:style w:type="character" w:styleId="ListLabel15">
    <w:name w:val="ListLabel 15"/>
    <w:qFormat/>
    <w:rPr>
      <w:color w:val="0000FF"/>
      <w:sz w:val="24"/>
    </w:rPr>
  </w:style>
  <w:style w:type="paragraph" w:styleId="Titre">
    <w:name w:val="Titre"/>
    <w:basedOn w:val="Normal"/>
    <w:next w:val="Corpsdetexte"/>
    <w:qFormat/>
    <w:pPr>
      <w:keepNext w:val="true"/>
      <w:spacing w:before="240" w:after="120"/>
    </w:pPr>
    <w:rPr>
      <w:rFonts w:ascii="Arial" w:hAnsi="Arial" w:eastAsia="Microsoft YaHei" w:cs="Lucida Sans"/>
      <w:sz w:val="28"/>
    </w:rPr>
  </w:style>
  <w:style w:type="paragraph" w:styleId="Corpsdetexte">
    <w:name w:val="Body Text"/>
    <w:basedOn w:val="Normal"/>
    <w:pPr>
      <w:spacing w:lineRule="auto" w:line="240" w:before="57" w:after="57"/>
    </w:pPr>
    <w:rPr/>
  </w:style>
  <w:style w:type="paragraph" w:styleId="Liste">
    <w:name w:val="List"/>
    <w:basedOn w:val="Corpsdetexte"/>
    <w:pPr/>
    <w:rPr>
      <w:rFonts w:cs="Lucida Sans"/>
    </w:rPr>
  </w:style>
  <w:style w:type="paragraph" w:styleId="Lgende">
    <w:name w:val="Caption"/>
    <w:basedOn w:val="Normal"/>
    <w:qFormat/>
    <w:pPr>
      <w:suppressLineNumbers/>
      <w:spacing w:before="120" w:after="120"/>
    </w:pPr>
    <w:rPr>
      <w:rFonts w:cs="Lucida Sans"/>
      <w:i/>
      <w:sz w:val="24"/>
    </w:rPr>
  </w:style>
  <w:style w:type="paragraph" w:styleId="Index">
    <w:name w:val="Index"/>
    <w:basedOn w:val="Normal"/>
    <w:qFormat/>
    <w:pPr>
      <w:suppressLineNumbers/>
    </w:pPr>
    <w:rPr>
      <w:rFonts w:cs="Lucida Sans"/>
    </w:rPr>
  </w:style>
  <w:style w:type="paragraph" w:styleId="Contenudecadre">
    <w:name w:val="Contenu de cadre"/>
    <w:basedOn w:val="Normal"/>
    <w:qFormat/>
    <w:pPr/>
    <w:rPr/>
  </w:style>
  <w:style w:type="paragraph" w:styleId="Entteetpieddepage">
    <w:name w:val="En-tête et pied de page"/>
    <w:basedOn w:val="Normal"/>
    <w:qFormat/>
    <w:pPr>
      <w:suppressLineNumbers/>
      <w:tabs>
        <w:tab w:val="center" w:pos="4819" w:leader="none"/>
        <w:tab w:val="right" w:pos="9638" w:leader="none"/>
      </w:tabs>
    </w:pPr>
    <w:rPr/>
  </w:style>
  <w:style w:type="paragraph" w:styleId="Entte">
    <w:name w:val="Header"/>
    <w:basedOn w:val="Entteetpieddepage"/>
    <w:pPr>
      <w:suppressLineNumbers/>
    </w:pPr>
    <w:rPr>
      <w:rFonts w:ascii="Arial" w:hAnsi="Arial"/>
      <w:sz w:val="22"/>
    </w:rPr>
  </w:style>
  <w:style w:type="paragraph" w:styleId="Pieddepage">
    <w:name w:val="Footer"/>
    <w:basedOn w:val="Entteetpieddepage"/>
    <w:pPr>
      <w:suppressLineNumbers/>
    </w:pPr>
    <w:rPr/>
  </w:style>
  <w:style w:type="paragraph" w:styleId="Titre1sansnumro">
    <w:name w:val="Titre 1 sans numéro"/>
    <w:basedOn w:val="Titre1"/>
    <w:qFormat/>
    <w:pPr>
      <w:numPr>
        <w:ilvl w:val="0"/>
        <w:numId w:val="0"/>
      </w:numPr>
      <w:ind w:left="0" w:right="0" w:hanging="0"/>
    </w:pPr>
    <w:rPr>
      <w:color w:val="0066B3"/>
    </w:rPr>
  </w:style>
  <w:style w:type="paragraph" w:styleId="Notedebasdepage">
    <w:name w:val="Footnote Text"/>
    <w:basedOn w:val="Normal"/>
    <w:pPr>
      <w:suppressLineNumbers/>
      <w:ind w:left="339" w:right="0" w:hanging="339"/>
    </w:pPr>
    <w:rPr>
      <w:sz w:val="20"/>
    </w:rPr>
  </w:style>
  <w:style w:type="paragraph" w:styleId="Alinangatif">
    <w:name w:val="Alinéa négatif"/>
    <w:basedOn w:val="Corpsdetexte"/>
    <w:qFormat/>
    <w:pPr>
      <w:tabs>
        <w:tab w:val="left" w:pos="0" w:leader="none"/>
      </w:tabs>
      <w:ind w:left="567" w:right="0" w:hanging="283"/>
    </w:pPr>
    <w:rPr/>
  </w:style>
  <w:style w:type="paragraph" w:styleId="Alineanegatifpuce">
    <w:name w:val="Alinea negatif puce"/>
    <w:basedOn w:val="Normal"/>
    <w:qFormat/>
    <w:pPr/>
    <w:rPr/>
  </w:style>
  <w:style w:type="paragraph" w:styleId="Puce3">
    <w:name w:val="List Bullet 4"/>
    <w:basedOn w:val="Liste"/>
    <w:pPr>
      <w:spacing w:before="0" w:after="120"/>
      <w:ind w:left="360" w:right="0" w:hanging="360"/>
    </w:pPr>
    <w:rPr/>
  </w:style>
  <w:style w:type="paragraph" w:styleId="Contenudetableau">
    <w:name w:val="Contenu de tableau"/>
    <w:basedOn w:val="Normal"/>
    <w:qFormat/>
    <w:pPr>
      <w:widowControl w:val="false"/>
      <w:suppressLineNumbers/>
    </w:pPr>
    <w:rPr/>
  </w:style>
  <w:style w:type="paragraph" w:styleId="Titredetableau">
    <w:name w:val="Titre de tableau"/>
    <w:basedOn w:val="Contenudetableau"/>
    <w:qFormat/>
    <w:pPr>
      <w:suppressLineNumbers/>
      <w:jc w:val="center"/>
    </w:pPr>
    <w:rPr>
      <w:b/>
    </w:rPr>
  </w:style>
  <w:style w:type="paragraph" w:styleId="Notedefin">
    <w:name w:val="Endnote Text"/>
    <w:basedOn w:val="Normal"/>
    <w:pPr>
      <w:suppressLineNumbers/>
      <w:ind w:left="339" w:right="0" w:hanging="339"/>
    </w:pPr>
    <w:rPr>
      <w:sz w:val="20"/>
    </w:rPr>
  </w:style>
  <w:style w:type="paragraph" w:styleId="StyleParDefautjustifie">
    <w:name w:val="StyleParDefaut_justifie"/>
    <w:basedOn w:val="Normal"/>
    <w:qFormat/>
    <w:pPr>
      <w:jc w:val="both"/>
    </w:pPr>
    <w:rPr/>
  </w:style>
  <w:style w:type="paragraph" w:styleId="Indexlexicaltitre">
    <w:name w:val="Index Heading"/>
    <w:basedOn w:val="Titre"/>
    <w:pPr>
      <w:suppressLineNumbers/>
      <w:ind w:left="0" w:right="0" w:hanging="0"/>
    </w:pPr>
    <w:rPr>
      <w:b/>
      <w:sz w:val="32"/>
    </w:rPr>
  </w:style>
  <w:style w:type="paragraph" w:styleId="TOAHeading">
    <w:name w:val="TOA Heading"/>
    <w:basedOn w:val="Titre"/>
    <w:qFormat/>
    <w:pPr>
      <w:suppressLineNumbers/>
      <w:ind w:left="0" w:right="0" w:hanging="0"/>
    </w:pPr>
    <w:rPr>
      <w:b/>
      <w:sz w:val="32"/>
    </w:rPr>
  </w:style>
  <w:style w:type="paragraph" w:styleId="Tabledesmatiresniveau1">
    <w:name w:val="TOC 1"/>
    <w:basedOn w:val="Index"/>
    <w:pPr>
      <w:tabs>
        <w:tab w:val="right" w:pos="9638" w:leader="dot"/>
      </w:tabs>
      <w:ind w:left="0" w:right="0" w:hanging="0"/>
    </w:pPr>
    <w:rPr/>
  </w:style>
  <w:style w:type="paragraph" w:styleId="Tabledesmatiresniveau2">
    <w:name w:val="TOC 2"/>
    <w:basedOn w:val="Index"/>
    <w:pPr>
      <w:tabs>
        <w:tab w:val="right" w:pos="9355" w:leader="dot"/>
      </w:tabs>
      <w:ind w:left="283" w:right="0" w:hanging="0"/>
    </w:pPr>
    <w:rPr/>
  </w:style>
  <w:style w:type="paragraph" w:styleId="Tabledesmatiresniveau3">
    <w:name w:val="TOC 3"/>
    <w:basedOn w:val="Index"/>
    <w:pPr>
      <w:tabs>
        <w:tab w:val="right" w:pos="9072" w:leader="dot"/>
      </w:tabs>
      <w:ind w:left="566" w:right="0" w:hanging="0"/>
    </w:pPr>
    <w:rPr/>
  </w:style>
  <w:style w:type="paragraph" w:styleId="Tabledesmatiresniveau4">
    <w:name w:val="TOC 4"/>
    <w:basedOn w:val="Index"/>
    <w:pPr>
      <w:tabs>
        <w:tab w:val="right" w:pos="8789" w:leader="dot"/>
      </w:tabs>
      <w:ind w:left="849" w:right="0" w:hanging="0"/>
    </w:pPr>
    <w:rPr/>
  </w:style>
  <w:style w:type="paragraph" w:styleId="Tabledesmatiresniveau5">
    <w:name w:val="TOC 5"/>
    <w:basedOn w:val="Index"/>
    <w:pPr>
      <w:tabs>
        <w:tab w:val="right" w:pos="8506" w:leader="dot"/>
      </w:tabs>
      <w:ind w:left="1132" w:right="0" w:hanging="0"/>
    </w:pPr>
    <w:rPr/>
  </w:style>
  <w:style w:type="paragraph" w:styleId="P68B1DB1Normal1">
    <w:name w:val="P68B1DB1-Normal1"/>
    <w:basedOn w:val="Normal"/>
    <w:qFormat/>
    <w:pPr/>
    <w:rPr>
      <w:rFonts w:ascii="Arial" w:hAnsi="Arial"/>
      <w:b/>
      <w:color w:val="000000"/>
      <w:sz w:val="76"/>
    </w:rPr>
  </w:style>
  <w:style w:type="paragraph" w:styleId="P68B1DB1Normal2">
    <w:name w:val="P68B1DB1-Normal2"/>
    <w:basedOn w:val="Normal"/>
    <w:qFormat/>
    <w:pPr/>
    <w:rPr>
      <w:rFonts w:ascii="Arial" w:hAnsi="Arial"/>
      <w:color w:val="0000BE"/>
      <w:sz w:val="44"/>
    </w:rPr>
  </w:style>
  <w:style w:type="paragraph" w:styleId="P68B1DB1Normal3">
    <w:name w:val="P68B1DB1-Normal3"/>
    <w:basedOn w:val="Normal"/>
    <w:qFormat/>
    <w:pPr/>
    <w:rPr>
      <w:color w:val="0000BE"/>
      <w:sz w:val="28"/>
    </w:rPr>
  </w:style>
  <w:style w:type="paragraph" w:styleId="P68B1DB1Normal4">
    <w:name w:val="P68B1DB1-Normal4"/>
    <w:basedOn w:val="Normal"/>
    <w:qFormat/>
    <w:pPr/>
    <w:rPr>
      <w:rFonts w:ascii="Arial" w:hAnsi="Arial"/>
      <w:color w:val="414345"/>
      <w:sz w:val="32"/>
    </w:rPr>
  </w:style>
  <w:style w:type="paragraph" w:styleId="P68B1DB1Normal5">
    <w:name w:val="P68B1DB1-Normal5"/>
    <w:basedOn w:val="Normal"/>
    <w:qFormat/>
    <w:pPr/>
    <w:rPr>
      <w:rFonts w:ascii="Arial" w:hAnsi="Arial"/>
      <w:b/>
      <w:color w:val="0000BE"/>
      <w:sz w:val="48"/>
    </w:rPr>
  </w:style>
  <w:style w:type="paragraph" w:styleId="P68B1DB1Normal6">
    <w:name w:val="P68B1DB1-Normal6"/>
    <w:basedOn w:val="Normal"/>
    <w:qFormat/>
    <w:pPr/>
    <w:rPr>
      <w:rFonts w:ascii="Times New Roman" w:hAnsi="Times New Roman"/>
      <w:b/>
      <w:sz w:val="24"/>
    </w:rPr>
  </w:style>
  <w:style w:type="paragraph" w:styleId="P68B1DB1Normal7">
    <w:name w:val="P68B1DB1-Normal7"/>
    <w:basedOn w:val="Normal"/>
    <w:qFormat/>
    <w:pPr/>
    <w:rPr>
      <w:rFonts w:ascii="Times New Roman" w:hAnsi="Times New Roman"/>
      <w:sz w:val="24"/>
    </w:rPr>
  </w:style>
  <w:style w:type="paragraph" w:styleId="P68B1DB1Contenudetableau8">
    <w:name w:val="P68B1DB1-Contenudetableau8"/>
    <w:basedOn w:val="Contenudetableau"/>
    <w:qFormat/>
    <w:pPr/>
    <w:rPr>
      <w:sz w:val="32"/>
    </w:rPr>
  </w:style>
  <w:style w:type="paragraph" w:styleId="P68B1DB1Contenudetableau9">
    <w:name w:val="P68B1DB1-Contenudetableau9"/>
    <w:basedOn w:val="Contenudetableau"/>
    <w:qFormat/>
    <w:pPr/>
    <w:rPr>
      <w:sz w:val="16"/>
    </w:rPr>
  </w:style>
  <w:style w:type="paragraph" w:styleId="P68B1DB1Contenudetableau10">
    <w:name w:val="P68B1DB1-Contenudetableau10"/>
    <w:basedOn w:val="Contenudetableau"/>
    <w:qFormat/>
    <w:pPr/>
    <w:rPr>
      <w:b/>
    </w:rPr>
  </w:style>
  <w:style w:type="paragraph" w:styleId="P68B1DB1Lgende11">
    <w:name w:val="P68B1DB1-Lgende11"/>
    <w:basedOn w:val="Lgende"/>
    <w:qFormat/>
    <w:pPr/>
    <w:rPr>
      <w:sz w:val="18"/>
    </w:rPr>
  </w:style>
  <w:style w:type="paragraph" w:styleId="P68B1DB1Corpsdetexte12">
    <w:name w:val="P68B1DB1-Corpsdetexte12"/>
    <w:basedOn w:val="Corpsdetexte"/>
    <w:qFormat/>
    <w:pPr/>
    <w:rPr>
      <w:b/>
      <w:i/>
      <w:u w:val="single"/>
    </w:rPr>
  </w:style>
  <w:style w:type="paragraph" w:styleId="P68B1DB1Normal13">
    <w:name w:val="P68B1DB1-Normal13"/>
    <w:basedOn w:val="Normal"/>
    <w:qFormat/>
    <w:pPr/>
    <w:rPr>
      <w:i/>
      <w:sz w:val="20"/>
    </w:rPr>
  </w:style>
  <w:style w:type="paragraph" w:styleId="P68B1DB1Normal14">
    <w:name w:val="P68B1DB1-Normal14"/>
    <w:basedOn w:val="Normal"/>
    <w:qFormat/>
    <w:pPr/>
    <w:rPr>
      <w:sz w:val="20"/>
    </w:rPr>
  </w:style>
  <w:style w:type="paragraph" w:styleId="P68B1DB1Normal15">
    <w:name w:val="P68B1DB1-Normal15"/>
    <w:basedOn w:val="Normal"/>
    <w:qFormat/>
    <w:pPr/>
    <w:rPr>
      <w:b/>
    </w:rPr>
  </w:style>
  <w:style w:type="paragraph" w:styleId="P68B1DB1Normal16">
    <w:name w:val="P68B1DB1-Normal16"/>
    <w:basedOn w:val="Normal"/>
    <w:qFormat/>
    <w:pPr/>
    <w:rPr>
      <w:color w:val="FFFFFF"/>
      <w:sz w:val="72"/>
    </w:rPr>
  </w:style>
  <w:style w:type="paragraph" w:styleId="P68B1DB1Normal17">
    <w:name w:val="P68B1DB1-Normal17"/>
    <w:basedOn w:val="Normal"/>
    <w:qFormat/>
    <w:pPr/>
    <w:rPr>
      <w:color w:val="FFFFFF"/>
    </w:rPr>
  </w:style>
  <w:style w:type="paragraph" w:styleId="P68B1DB1Normal18">
    <w:name w:val="P68B1DB1-Normal18"/>
    <w:basedOn w:val="Normal"/>
    <w:qFormat/>
    <w:pPr/>
    <w:rPr>
      <w:rFonts w:ascii="Calibri" w:hAnsi="Calibri"/>
      <w:sz w:val="28"/>
    </w:rPr>
  </w:style>
  <w:style w:type="paragraph" w:styleId="P68B1DB1Normal19">
    <w:name w:val="P68B1DB1-Normal19"/>
    <w:basedOn w:val="Normal"/>
    <w:qFormat/>
    <w:pPr/>
    <w:rPr>
      <w:rFonts w:ascii="Times New Roman" w:hAnsi="Times New Roman"/>
      <w:color w:val="000000"/>
      <w:sz w:val="24"/>
    </w:rPr>
  </w:style>
  <w:style w:type="paragraph" w:styleId="P68B1DB1Normal20">
    <w:name w:val="P68B1DB1-Normal20"/>
    <w:basedOn w:val="Normal"/>
    <w:qFormat/>
    <w:pPr/>
    <w:rPr>
      <w:rFonts w:ascii="Calibri" w:hAnsi="Calibri"/>
      <w:color w:val="000000"/>
      <w:sz w:val="24"/>
    </w:rPr>
  </w:style>
  <w:style w:type="paragraph" w:styleId="P68B1DB1Normal21">
    <w:name w:val="P68B1DB1-Normal21"/>
    <w:basedOn w:val="Normal"/>
    <w:qFormat/>
    <w:pPr/>
    <w:rPr>
      <w:rFonts w:ascii="Calibri" w:hAnsi="Calibri"/>
      <w:sz w:val="24"/>
    </w:rPr>
  </w:style>
  <w:style w:type="paragraph" w:styleId="P68B1DB1Contenudecadre22">
    <w:name w:val="P68B1DB1-Contenudecadre22"/>
    <w:basedOn w:val="Contenudecadre"/>
    <w:qFormat/>
    <w:pPr/>
    <w:rPr>
      <w:color w:val="FFFFFF"/>
    </w:rPr>
  </w:style>
  <w:style w:type="paragraph" w:styleId="P68B1DB1Normal23">
    <w:name w:val="P68B1DB1-Normal23"/>
    <w:basedOn w:val="Normal"/>
    <w:qFormat/>
    <w:pPr/>
    <w:rPr>
      <w:rFonts w:ascii="Times New Roman" w:hAnsi="Times New Roman"/>
      <w:color w:val="000000"/>
      <w:sz w:val="24"/>
      <w:u w:val="single"/>
    </w:rPr>
  </w:style>
  <w:style w:type="paragraph" w:styleId="P68B1DB1Normal24">
    <w:name w:val="P68B1DB1-Normal24"/>
    <w:basedOn w:val="Normal"/>
    <w:qFormat/>
    <w:pPr/>
    <w:rPr>
      <w:rFonts w:ascii="Times New Roman" w:hAnsi="Times New Roman"/>
      <w:color w:val="000000"/>
    </w:rPr>
  </w:style>
  <w:style w:type="paragraph" w:styleId="P68B1DB1style25">
    <w:name w:val="P68B1DB1-style25"/>
    <w:qFormat/>
    <w:pPr>
      <w:widowControl/>
      <w:bidi w:val="0"/>
      <w:jc w:val="left"/>
    </w:pPr>
    <w:rPr>
      <w:rFonts w:ascii="Arial" w:hAnsi="Arial" w:eastAsia="Microsoft YaHei" w:cs="Mangal"/>
      <w:color w:val="00000A"/>
      <w:kern w:val="2"/>
      <w:sz w:val="52"/>
      <w:szCs w:val="20"/>
      <w:lang w:val="cs" w:eastAsia="zh-CN" w:bidi="hi-IN"/>
    </w:rPr>
  </w:style>
  <w:style w:type="paragraph" w:styleId="P68B1DB1style26">
    <w:name w:val="P68B1DB1-style26"/>
    <w:qFormat/>
    <w:pPr>
      <w:widowControl/>
      <w:bidi w:val="0"/>
      <w:jc w:val="left"/>
    </w:pPr>
    <w:rPr>
      <w:rFonts w:ascii="Arial" w:hAnsi="Arial" w:eastAsia="Microsoft YaHei" w:cs="Mangal"/>
      <w:color w:val="00000A"/>
      <w:kern w:val="2"/>
      <w:sz w:val="36"/>
      <w:szCs w:val="20"/>
      <w:lang w:val="cs" w:eastAsia="zh-CN" w:bidi="hi-IN"/>
    </w:rPr>
  </w:style>
  <w:style w:type="paragraph" w:styleId="P68B1DB1style27">
    <w:name w:val="P68B1DB1-style27"/>
    <w:qFormat/>
    <w:pPr>
      <w:widowControl/>
      <w:bidi w:val="0"/>
      <w:jc w:val="left"/>
    </w:pPr>
    <w:rPr>
      <w:rFonts w:ascii="Arial" w:hAnsi="Arial" w:eastAsia="Microsoft YaHei" w:cs="Mangal"/>
      <w:color w:val="00000A"/>
      <w:kern w:val="2"/>
      <w:sz w:val="21"/>
      <w:szCs w:val="20"/>
      <w:lang w:val="cs" w:eastAsia="zh-CN" w:bidi="hi-IN"/>
    </w:rPr>
  </w:style>
  <w:style w:type="paragraph" w:styleId="P68B1DB1style28">
    <w:name w:val="P68B1DB1-style28"/>
    <w:qFormat/>
    <w:pPr>
      <w:widowControl/>
      <w:bidi w:val="0"/>
      <w:jc w:val="left"/>
    </w:pPr>
    <w:rPr>
      <w:rFonts w:ascii="Arial" w:hAnsi="Arial" w:eastAsia="Microsoft YaHei" w:cs="Mangal"/>
      <w:color w:val="00000A"/>
      <w:kern w:val="2"/>
      <w:sz w:val="48"/>
      <w:szCs w:val="20"/>
      <w:lang w:val="cs" w:eastAsia="zh-CN" w:bidi="hi-IN"/>
    </w:rPr>
  </w:style>
  <w:style w:type="paragraph" w:styleId="P68B1DB1style29">
    <w:name w:val="P68B1DB1-style29"/>
    <w:qFormat/>
    <w:pPr>
      <w:widowControl/>
      <w:bidi w:val="0"/>
      <w:jc w:val="left"/>
    </w:pPr>
    <w:rPr>
      <w:rFonts w:ascii="Arial" w:hAnsi="Arial" w:eastAsia="Microsoft YaHei" w:cs="Mangal"/>
      <w:color w:val="CE181E"/>
      <w:kern w:val="2"/>
      <w:sz w:val="44"/>
      <w:szCs w:val="20"/>
      <w:lang w:val="cs" w:eastAsia="zh-CN" w:bidi="hi-IN"/>
    </w:rPr>
  </w:style>
  <w:style w:type="paragraph" w:styleId="P68B1DB1style30">
    <w:name w:val="P68B1DB1-style30"/>
    <w:qFormat/>
    <w:pPr>
      <w:widowControl/>
      <w:bidi w:val="0"/>
      <w:jc w:val="left"/>
    </w:pPr>
    <w:rPr>
      <w:rFonts w:ascii="Arial" w:hAnsi="Arial" w:eastAsia="Microsoft YaHei" w:cs="Mangal"/>
      <w:color w:val="00000A"/>
      <w:kern w:val="2"/>
      <w:sz w:val="28"/>
      <w:szCs w:val="20"/>
      <w:lang w:val="cs" w:eastAsia="zh-CN" w:bidi="hi-IN"/>
    </w:rPr>
  </w:style>
  <w:style w:type="paragraph" w:styleId="P68B1DB1style31">
    <w:name w:val="P68B1DB1-style31"/>
    <w:qFormat/>
    <w:pPr>
      <w:widowControl/>
      <w:bidi w:val="0"/>
      <w:jc w:val="left"/>
    </w:pPr>
    <w:rPr>
      <w:rFonts w:ascii="Arial" w:hAnsi="Arial" w:eastAsia="Microsoft YaHei" w:cs="Mangal"/>
      <w:b/>
      <w:color w:val="00000A"/>
      <w:kern w:val="2"/>
      <w:sz w:val="36"/>
      <w:szCs w:val="20"/>
      <w:lang w:val="cs" w:eastAsia="zh-CN" w:bidi="hi-IN"/>
    </w:rPr>
  </w:style>
  <w:style w:type="paragraph" w:styleId="P68B1DB1Normal32">
    <w:name w:val="P68B1DB1-Normal32"/>
    <w:basedOn w:val="Normal"/>
    <w:qFormat/>
    <w:pPr/>
    <w:rPr>
      <w:b/>
      <w:color w:val="000000"/>
      <w:sz w:val="24"/>
    </w:rPr>
  </w:style>
  <w:style w:type="paragraph" w:styleId="P68B1DB1Normal33">
    <w:name w:val="P68B1DB1-Normal33"/>
    <w:basedOn w:val="Normal"/>
    <w:qFormat/>
    <w:pPr/>
    <w:rPr>
      <w:rFonts w:ascii="Times New Roman" w:hAnsi="Times New Roman"/>
      <w:b/>
      <w:color w:val="000000"/>
      <w:sz w:val="24"/>
    </w:rPr>
  </w:style>
  <w:style w:type="paragraph" w:styleId="P68B1DB1Normal34">
    <w:name w:val="P68B1DB1-Normal34"/>
    <w:basedOn w:val="Normal"/>
    <w:qFormat/>
    <w:pPr/>
    <w:rPr>
      <w:color w:val="000000"/>
      <w:sz w:val="24"/>
    </w:rPr>
  </w:style>
  <w:style w:type="paragraph" w:styleId="P68B1DB1Normal35">
    <w:name w:val="P68B1DB1-Normal35"/>
    <w:basedOn w:val="Normal"/>
    <w:qFormat/>
    <w:pPr/>
    <w:rPr>
      <w:b/>
      <w:color w:val="000000"/>
    </w:rPr>
  </w:style>
  <w:style w:type="paragraph" w:styleId="P68B1DB1Titre236">
    <w:name w:val="P68B1DB1-Titre236"/>
    <w:basedOn w:val="Titre2"/>
    <w:qFormat/>
    <w:pPr>
      <w:numPr>
        <w:ilvl w:val="0"/>
        <w:numId w:val="0"/>
      </w:numPr>
      <w:ind w:left="0" w:right="0" w:hanging="0"/>
    </w:pPr>
    <w:rPr>
      <w:rFonts w:ascii="Times New Roman" w:hAnsi="Times New Roman"/>
      <w:color w:val="000070"/>
      <w:sz w:val="36"/>
    </w:rPr>
  </w:style>
  <w:style w:type="paragraph" w:styleId="P68B1DB1style37">
    <w:name w:val="P68B1DB1-style37"/>
    <w:qFormat/>
    <w:pPr>
      <w:widowControl/>
      <w:bidi w:val="0"/>
      <w:jc w:val="left"/>
    </w:pPr>
    <w:rPr>
      <w:rFonts w:ascii="Arial" w:hAnsi="Arial" w:eastAsia="Microsoft YaHei" w:cs="Mangal"/>
      <w:color w:val="FFFFFF"/>
      <w:kern w:val="2"/>
      <w:sz w:val="24"/>
      <w:szCs w:val="20"/>
      <w:lang w:val="cs" w:eastAsia="zh-CN" w:bidi="hi-IN"/>
    </w:rPr>
  </w:style>
  <w:style w:type="paragraph" w:styleId="P68B1DB1style38">
    <w:name w:val="P68B1DB1-style38"/>
    <w:qFormat/>
    <w:pPr>
      <w:widowControl/>
      <w:bidi w:val="0"/>
      <w:jc w:val="left"/>
    </w:pPr>
    <w:rPr>
      <w:rFonts w:ascii="Arial" w:hAnsi="Arial" w:eastAsia="Microsoft YaHei" w:cs="Mangal"/>
      <w:color w:val="00000A"/>
      <w:kern w:val="2"/>
      <w:sz w:val="18"/>
      <w:szCs w:val="20"/>
      <w:lang w:val="cs" w:eastAsia="zh-CN" w:bidi="hi-IN"/>
    </w:rPr>
  </w:style>
  <w:style w:type="paragraph" w:styleId="P68B1DB1Normal39">
    <w:name w:val="P68B1DB1-Normal39"/>
    <w:basedOn w:val="Normal"/>
    <w:qFormat/>
    <w:pPr/>
    <w:rPr>
      <w:rFonts w:ascii="Times New Roman" w:hAnsi="Times New Roman"/>
      <w:b/>
      <w:color w:val="000000"/>
      <w:sz w:val="12"/>
    </w:rPr>
  </w:style>
  <w:style w:type="paragraph" w:styleId="P68B1DB1Normal40">
    <w:name w:val="P68B1DB1-Normal40"/>
    <w:basedOn w:val="Normal"/>
    <w:qFormat/>
    <w:pPr/>
    <w:rPr>
      <w:color w:val="273375"/>
    </w:rPr>
  </w:style>
  <w:style w:type="paragraph" w:styleId="P68B1DB1Normal41">
    <w:name w:val="P68B1DB1-Normal41"/>
    <w:basedOn w:val="Normal"/>
    <w:qFormat/>
    <w:pPr/>
    <w:rPr>
      <w:sz w:val="18"/>
    </w:rPr>
  </w:style>
  <w:style w:type="paragraph" w:styleId="P68B1DB1Normal42">
    <w:name w:val="P68B1DB1-Normal42"/>
    <w:basedOn w:val="Normal"/>
    <w:qFormat/>
    <w:pPr/>
    <w:rPr>
      <w:rFonts w:ascii="Times New Roman" w:hAnsi="Times New Roman"/>
      <w:b/>
      <w:color w:val="000000"/>
      <w:sz w:val="28"/>
    </w:rPr>
  </w:style>
  <w:style w:type="paragraph" w:styleId="P68B1DB1Normal43">
    <w:name w:val="P68B1DB1-Normal43"/>
    <w:basedOn w:val="Normal"/>
    <w:qFormat/>
    <w:pPr/>
    <w:rPr>
      <w:rFonts w:ascii="Times New Roman" w:hAnsi="Times New Roman"/>
      <w:b/>
      <w:i/>
      <w:color w:val="808080"/>
      <w:sz w:val="24"/>
    </w:rPr>
  </w:style>
  <w:style w:type="paragraph" w:styleId="P68B1DB1Normal44">
    <w:name w:val="P68B1DB1-Normal44"/>
    <w:basedOn w:val="Normal"/>
    <w:qFormat/>
    <w:pPr/>
    <w:rPr>
      <w:rFonts w:ascii="Times New Roman" w:hAnsi="Times New Roman"/>
      <w:i/>
      <w:color w:val="000000"/>
      <w:sz w:val="24"/>
    </w:rPr>
  </w:style>
  <w:style w:type="paragraph" w:styleId="P68B1DB1Normal45">
    <w:name w:val="P68B1DB1-Normal45"/>
    <w:basedOn w:val="Normal"/>
    <w:qFormat/>
    <w:pPr/>
    <w:rPr>
      <w:rFonts w:ascii="Times New Roman" w:hAnsi="Times New Roman"/>
      <w:color w:val="000000"/>
      <w:sz w:val="20"/>
    </w:rPr>
  </w:style>
  <w:style w:type="paragraph" w:styleId="P68B1DB1Normal46">
    <w:name w:val="P68B1DB1-Normal46"/>
    <w:basedOn w:val="Normal"/>
    <w:qFormat/>
    <w:pPr/>
    <w:rPr>
      <w:rFonts w:ascii="Times New Roman" w:hAnsi="Times New Roman"/>
      <w:b/>
      <w:color w:val="F79646"/>
      <w:sz w:val="24"/>
    </w:rPr>
  </w:style>
  <w:style w:type="paragraph" w:styleId="P68B1DB1Normal47">
    <w:name w:val="P68B1DB1-Normal47"/>
    <w:basedOn w:val="Normal"/>
    <w:qFormat/>
    <w:pPr/>
    <w:rPr>
      <w:rFonts w:ascii="Times New Roman" w:hAnsi="Times New Roman"/>
      <w:b/>
      <w:color w:val="1F497D"/>
      <w:sz w:val="12"/>
    </w:rPr>
  </w:style>
  <w:style w:type="paragraph" w:styleId="P68B1DB1Normal48">
    <w:name w:val="P68B1DB1-Normal48"/>
    <w:basedOn w:val="Normal"/>
    <w:qFormat/>
    <w:pPr/>
    <w:rPr>
      <w:rFonts w:ascii="Times New Roman" w:hAnsi="Times New Roman"/>
      <w:color w:val="F79646"/>
      <w:sz w:val="24"/>
    </w:rPr>
  </w:style>
  <w:style w:type="paragraph" w:styleId="P68B1DB1Normal49">
    <w:name w:val="P68B1DB1-Normal49"/>
    <w:basedOn w:val="Normal"/>
    <w:qFormat/>
    <w:pPr/>
    <w:rPr>
      <w:rFonts w:ascii="Times New Roman" w:hAnsi="Times New Roman"/>
      <w:color w:val="000000"/>
      <w:sz w:val="12"/>
    </w:rPr>
  </w:style>
  <w:style w:type="paragraph" w:styleId="P68B1DB1Normal50">
    <w:name w:val="P68B1DB1-Normal50"/>
    <w:basedOn w:val="Normal"/>
    <w:qFormat/>
    <w:pPr/>
    <w:rPr>
      <w:rFonts w:ascii="Times New Roman" w:hAnsi="Times New Roman"/>
      <w:color w:val="222222"/>
      <w:sz w:val="24"/>
    </w:rPr>
  </w:style>
  <w:style w:type="paragraph" w:styleId="P68B1DB1Normal51">
    <w:name w:val="P68B1DB1-Normal51"/>
    <w:basedOn w:val="Normal"/>
    <w:qFormat/>
    <w:pPr/>
    <w:rPr>
      <w:rFonts w:ascii="Times New Roman" w:hAnsi="Times New Roman"/>
      <w:b/>
      <w:color w:val="222222"/>
      <w:sz w:val="24"/>
    </w:rPr>
  </w:style>
  <w:style w:type="paragraph" w:styleId="P68B1DB1Normal52">
    <w:name w:val="P68B1DB1-Normal52"/>
    <w:basedOn w:val="Normal"/>
    <w:qFormat/>
    <w:pPr/>
    <w:rPr>
      <w:rFonts w:ascii="Times New Roman" w:hAnsi="Times New Roman"/>
      <w:i/>
      <w:sz w:val="24"/>
    </w:rPr>
  </w:style>
  <w:style w:type="paragraph" w:styleId="P68B1DB1Contenudetableau53">
    <w:name w:val="P68B1DB1-Contenudetableau53"/>
    <w:basedOn w:val="Contenudetableau"/>
    <w:qFormat/>
    <w:pPr/>
    <w:rPr>
      <w:color w:val="FFFFFF"/>
      <w:sz w:val="18"/>
      <w:shd w:fill="00A65D" w:val="clear"/>
    </w:rPr>
  </w:style>
  <w:style w:type="paragraph" w:styleId="P68B1DB1Contenudetableau54">
    <w:name w:val="P68B1DB1-Contenudetableau54"/>
    <w:basedOn w:val="Contenudetableau"/>
    <w:qFormat/>
    <w:pPr/>
    <w:rPr>
      <w:sz w:val="18"/>
    </w:rPr>
  </w:style>
  <w:style w:type="paragraph" w:styleId="P68B1DB1Contenudetableau55">
    <w:name w:val="P68B1DB1-Contenudetableau55"/>
    <w:basedOn w:val="Contenudetableau"/>
    <w:qFormat/>
    <w:pPr/>
    <w:rPr>
      <w:color w:val="FFFFFF"/>
      <w:sz w:val="18"/>
      <w:shd w:fill="0066B3" w:val="clear"/>
    </w:rPr>
  </w:style>
  <w:style w:type="paragraph" w:styleId="P68B1DB1Contenudetableau56">
    <w:name w:val="P68B1DB1-Contenudetableau56"/>
    <w:basedOn w:val="Contenudetableau"/>
    <w:qFormat/>
    <w:pPr/>
    <w:rPr>
      <w:color w:val="FFFFFF"/>
      <w:sz w:val="18"/>
      <w:shd w:fill="ED1C24" w:val="clear"/>
    </w:rPr>
  </w:style>
  <w:style w:type="paragraph" w:styleId="P68B1DB1Contenudetableau57">
    <w:name w:val="P68B1DB1-Contenudetableau57"/>
    <w:basedOn w:val="Contenudetableau"/>
    <w:qFormat/>
    <w:pPr/>
    <w:rPr>
      <w:rFonts w:ascii="Arial" w:hAnsi="Arial"/>
      <w:color w:val="FFFFFF"/>
      <w:sz w:val="18"/>
      <w:shd w:fill="7DA7D8" w:val="clear"/>
    </w:rPr>
  </w:style>
  <w:style w:type="paragraph" w:styleId="P68B1DB1Contenudetableau58">
    <w:name w:val="P68B1DB1-Contenudetableau58"/>
    <w:basedOn w:val="Contenudetableau"/>
    <w:qFormat/>
    <w:pPr/>
    <w:rPr>
      <w:rFonts w:ascii="Arial" w:hAnsi="Arial"/>
      <w:color w:val="FFFFFF"/>
      <w:sz w:val="18"/>
      <w:shd w:fill="A3238E" w:val="clear"/>
    </w:rPr>
  </w:style>
  <w:style w:type="paragraph" w:styleId="P68B1DB1Contenudetableau59">
    <w:name w:val="P68B1DB1-Contenudetableau59"/>
    <w:basedOn w:val="Contenudetableau"/>
    <w:qFormat/>
    <w:pPr/>
    <w:rPr>
      <w:color w:val="F58220"/>
      <w:sz w:val="18"/>
    </w:rPr>
  </w:style>
  <w:style w:type="paragraph" w:styleId="P68B1DB1Contenudetableau60">
    <w:name w:val="P68B1DB1-Contenudetableau60"/>
    <w:basedOn w:val="Contenudetableau"/>
    <w:qFormat/>
    <w:pPr/>
    <w:rPr>
      <w:rFonts w:ascii="Arial" w:hAnsi="Arial"/>
      <w:color w:val="FFFFFF"/>
      <w:sz w:val="18"/>
      <w:shd w:fill="ADC5E7" w:val="clear"/>
    </w:rPr>
  </w:style>
  <w:style w:type="paragraph" w:styleId="P68B1DB1Contenudetableau61">
    <w:name w:val="P68B1DB1-Contenudetableau61"/>
    <w:basedOn w:val="Contenudetableau"/>
    <w:qFormat/>
    <w:pPr/>
    <w:rPr>
      <w:rFonts w:ascii="Arial" w:hAnsi="Arial"/>
      <w:color w:val="FFFFFF"/>
      <w:sz w:val="18"/>
      <w:shd w:fill="21409A" w:val="clear"/>
    </w:rPr>
  </w:style>
  <w:style w:type="paragraph" w:styleId="P68B1DB1Contenudetableau62">
    <w:name w:val="P68B1DB1-Contenudetableau62"/>
    <w:basedOn w:val="Contenudetableau"/>
    <w:qFormat/>
    <w:pPr/>
    <w:rPr>
      <w:rFonts w:ascii="Arial" w:hAnsi="Arial"/>
      <w:color w:val="FFFFFF"/>
      <w:sz w:val="18"/>
      <w:shd w:fill="8CCFB7" w:val="clear"/>
    </w:rPr>
  </w:style>
  <w:style w:type="paragraph" w:styleId="P68B1DB1Contenudetableau63">
    <w:name w:val="P68B1DB1-Contenudetableau63"/>
    <w:basedOn w:val="Contenudetableau"/>
    <w:qFormat/>
    <w:pPr/>
    <w:rPr>
      <w:rFonts w:ascii="Arial" w:hAnsi="Arial"/>
      <w:color w:val="FFFFFF"/>
      <w:sz w:val="18"/>
      <w:shd w:fill="F58220" w:val="clear"/>
    </w:rPr>
  </w:style>
  <w:style w:type="paragraph" w:styleId="P68B1DB1Contenudetableau64">
    <w:name w:val="P68B1DB1-Contenudetableau64"/>
    <w:basedOn w:val="Contenudetableau"/>
    <w:qFormat/>
    <w:pPr/>
    <w:rPr>
      <w:color w:val="000000"/>
      <w:sz w:val="18"/>
    </w:rPr>
  </w:style>
  <w:style w:type="paragraph" w:styleId="P68B1DB1Normal65">
    <w:name w:val="P68B1DB1-Normal65"/>
    <w:basedOn w:val="Normal"/>
    <w:qFormat/>
    <w:pPr/>
    <w:rPr>
      <w:rFonts w:ascii="Times New Roman" w:hAnsi="Times New Roman"/>
      <w:b/>
      <w:i/>
      <w:color w:val="273375"/>
      <w:sz w:val="26"/>
    </w:rPr>
  </w:style>
  <w:style w:type="paragraph" w:styleId="P68B1DB1Normal66">
    <w:name w:val="P68B1DB1-Normal66"/>
    <w:basedOn w:val="Normal"/>
    <w:qFormat/>
    <w:pPr/>
    <w:rPr>
      <w:rFonts w:ascii="Times New Roman" w:hAnsi="Times New Roman"/>
      <w:i/>
      <w:color w:val="632423"/>
      <w:sz w:val="24"/>
    </w:rPr>
  </w:style>
  <w:style w:type="paragraph" w:styleId="P68B1DB1Normal67">
    <w:name w:val="P68B1DB1-Normal67"/>
    <w:basedOn w:val="Normal"/>
    <w:qFormat/>
    <w:pPr/>
    <w:rPr>
      <w:rFonts w:ascii="Calibri" w:hAnsi="Calibri"/>
      <w:b/>
      <w:color w:val="000000"/>
      <w:sz w:val="36"/>
    </w:rPr>
  </w:style>
  <w:style w:type="paragraph" w:styleId="P68B1DB1Normal68">
    <w:name w:val="P68B1DB1-Normal68"/>
    <w:basedOn w:val="Normal"/>
    <w:qFormat/>
    <w:pPr/>
    <w:rPr>
      <w:rFonts w:ascii="Calibri" w:hAnsi="Calibri"/>
      <w:b/>
      <w:color w:val="000000"/>
      <w:sz w:val="24"/>
    </w:rPr>
  </w:style>
  <w:style w:type="paragraph" w:styleId="P68B1DB1Normal69">
    <w:name w:val="P68B1DB1-Normal69"/>
    <w:basedOn w:val="Normal"/>
    <w:qFormat/>
    <w:pPr/>
    <w:rPr>
      <w:rFonts w:ascii="Calibri" w:hAnsi="Calibri"/>
      <w:b/>
      <w:color w:val="000000"/>
      <w:sz w:val="20"/>
    </w:rPr>
  </w:style>
  <w:style w:type="paragraph" w:styleId="P68B1DB1Normal70">
    <w:name w:val="P68B1DB1-Normal70"/>
    <w:basedOn w:val="Normal"/>
    <w:qFormat/>
    <w:pPr/>
    <w:rPr>
      <w:color w:val="000000"/>
      <w:sz w:val="44"/>
    </w:rPr>
  </w:style>
  <w:style w:type="paragraph" w:styleId="P68B1DB1Normal71">
    <w:name w:val="P68B1DB1-Normal71"/>
    <w:basedOn w:val="Normal"/>
    <w:qFormat/>
    <w:pPr/>
    <w:rPr>
      <w:color w:val="BD1271"/>
      <w:sz w:val="56"/>
    </w:rPr>
  </w:style>
  <w:style w:type="paragraph" w:styleId="P68B1DB1Normal72">
    <w:name w:val="P68B1DB1-Normal72"/>
    <w:basedOn w:val="Normal"/>
    <w:qFormat/>
    <w:pPr/>
    <w:rPr>
      <w:color w:val="BD1271"/>
      <w:sz w:val="44"/>
    </w:rPr>
  </w:style>
  <w:style w:type="paragraph" w:styleId="P68B1DB1Titre273">
    <w:name w:val="P68B1DB1-Titre273"/>
    <w:basedOn w:val="Titre2"/>
    <w:qFormat/>
    <w:pPr>
      <w:numPr>
        <w:ilvl w:val="0"/>
        <w:numId w:val="0"/>
      </w:numPr>
      <w:ind w:left="0" w:right="0" w:hanging="0"/>
    </w:pPr>
    <w:rPr>
      <w:rFonts w:ascii="Arial" w:hAnsi="Arial"/>
      <w:color w:val="BD1271"/>
      <w:sz w:val="34"/>
    </w:rPr>
  </w:style>
  <w:style w:type="paragraph" w:styleId="P68B1DB1Normal74">
    <w:name w:val="P68B1DB1-Normal74"/>
    <w:basedOn w:val="Normal"/>
    <w:qFormat/>
    <w:pPr/>
    <w:rPr>
      <w:color w:val="2E74B5"/>
    </w:rPr>
  </w:style>
  <w:style w:type="paragraph" w:styleId="P68B1DB1Normal75">
    <w:name w:val="P68B1DB1-Normal75"/>
    <w:basedOn w:val="Normal"/>
    <w:qFormat/>
    <w:pPr/>
    <w:rPr>
      <w:sz w:val="24"/>
    </w:rPr>
  </w:style>
  <w:style w:type="paragraph" w:styleId="P68B1DB1Normal76">
    <w:name w:val="P68B1DB1-Normal76"/>
    <w:basedOn w:val="Normal"/>
    <w:qFormat/>
    <w:pPr/>
    <w:rPr>
      <w:color w:val="000000"/>
    </w:rPr>
  </w:style>
  <w:style w:type="paragraph" w:styleId="P68B1DB1Titre277">
    <w:name w:val="P68B1DB1-Titre277"/>
    <w:basedOn w:val="Titre2"/>
    <w:qFormat/>
    <w:pPr>
      <w:numPr>
        <w:ilvl w:val="0"/>
        <w:numId w:val="0"/>
      </w:numPr>
      <w:ind w:left="0" w:right="0" w:hanging="0"/>
    </w:pPr>
    <w:rPr>
      <w:color w:val="BD1271"/>
    </w:rPr>
  </w:style>
  <w:style w:type="paragraph" w:styleId="P68B1DB1style78">
    <w:name w:val="P68B1DB1-style78"/>
    <w:qFormat/>
    <w:pPr>
      <w:widowControl/>
      <w:bidi w:val="0"/>
      <w:jc w:val="left"/>
    </w:pPr>
    <w:rPr>
      <w:rFonts w:ascii="Arial" w:hAnsi="Arial" w:eastAsia="Microsoft YaHei" w:cs="Mangal"/>
      <w:color w:val="00000A"/>
      <w:kern w:val="2"/>
      <w:sz w:val="24"/>
      <w:szCs w:val="20"/>
      <w:lang w:val="cs" w:eastAsia="zh-CN" w:bidi="hi-IN"/>
    </w:rPr>
  </w:style>
  <w:style w:type="paragraph" w:styleId="P68B1DB1style79">
    <w:name w:val="P68B1DB1-style79"/>
    <w:qFormat/>
    <w:pPr>
      <w:widowControl/>
      <w:bidi w:val="0"/>
      <w:jc w:val="left"/>
    </w:pPr>
    <w:rPr>
      <w:rFonts w:ascii="Arial" w:hAnsi="Arial" w:eastAsia="Microsoft YaHei" w:cs="Mangal"/>
      <w:i/>
      <w:color w:val="00000A"/>
      <w:kern w:val="2"/>
      <w:sz w:val="24"/>
      <w:szCs w:val="20"/>
      <w:lang w:val="cs" w:eastAsia="zh-CN" w:bidi="hi-IN"/>
    </w:rPr>
  </w:style>
  <w:style w:type="paragraph" w:styleId="P68B1DB1Normal80">
    <w:name w:val="P68B1DB1-Normal80"/>
    <w:basedOn w:val="Normal"/>
    <w:qFormat/>
    <w:pPr/>
    <w:rPr>
      <w:color w:val="116E9A"/>
      <w:sz w:val="24"/>
    </w:rPr>
  </w:style>
  <w:style w:type="paragraph" w:styleId="P68B1DB1Titre481">
    <w:name w:val="P68B1DB1-Titre481"/>
    <w:basedOn w:val="Titre4"/>
    <w:qFormat/>
    <w:pPr>
      <w:numPr>
        <w:ilvl w:val="0"/>
        <w:numId w:val="0"/>
      </w:numPr>
      <w:ind w:left="0" w:right="0" w:hanging="0"/>
    </w:pPr>
    <w:rPr>
      <w:color w:val="0066B3"/>
    </w:rPr>
  </w:style>
  <w:style w:type="paragraph" w:styleId="P68B1DB1Normal82">
    <w:name w:val="P68B1DB1-Normal82"/>
    <w:basedOn w:val="Normal"/>
    <w:qFormat/>
    <w:pPr/>
    <w:rPr>
      <w:color w:val="2E74B5"/>
      <w:sz w:val="24"/>
    </w:rPr>
  </w:style>
  <w:style w:type="paragraph" w:styleId="P68B1DB1Normal83">
    <w:name w:val="P68B1DB1-Normal83"/>
    <w:basedOn w:val="Normal"/>
    <w:qFormat/>
    <w:pPr/>
    <w:rPr>
      <w:b/>
      <w:color w:val="2E74B5"/>
      <w:sz w:val="24"/>
    </w:rPr>
  </w:style>
  <w:style w:type="paragraph" w:styleId="P68B1DB1Normal84">
    <w:name w:val="P68B1DB1-Normal84"/>
    <w:basedOn w:val="Normal"/>
    <w:qFormat/>
    <w:pPr/>
    <w:rPr>
      <w:b/>
      <w:sz w:val="24"/>
    </w:rPr>
  </w:style>
  <w:style w:type="paragraph" w:styleId="P68B1DB1Normal85">
    <w:name w:val="P68B1DB1-Normal85"/>
    <w:basedOn w:val="Normal"/>
    <w:qFormat/>
    <w:pPr/>
    <w:rPr>
      <w:color w:val="FFFFFF"/>
      <w:sz w:val="28"/>
    </w:rPr>
  </w:style>
  <w:style w:type="paragraph" w:styleId="P68B1DB1Normal86">
    <w:name w:val="P68B1DB1-Normal86"/>
    <w:basedOn w:val="Normal"/>
    <w:qFormat/>
    <w:pPr/>
    <w:rPr>
      <w:color w:val="2E74B5"/>
      <w:sz w:val="28"/>
    </w:rPr>
  </w:style>
  <w:style w:type="paragraph" w:styleId="P68B1DB1Titre487">
    <w:name w:val="P68B1DB1-Titre487"/>
    <w:basedOn w:val="Titre4"/>
    <w:qFormat/>
    <w:pPr>
      <w:numPr>
        <w:ilvl w:val="0"/>
        <w:numId w:val="0"/>
      </w:numPr>
      <w:ind w:left="0" w:right="0" w:hanging="0"/>
    </w:pPr>
    <w:rPr>
      <w:rFonts w:ascii="Arial" w:hAnsi="Arial"/>
      <w:color w:val="365F91"/>
    </w:rPr>
  </w:style>
  <w:style w:type="paragraph" w:styleId="P68B1DB1Normal88">
    <w:name w:val="P68B1DB1-Normal88"/>
    <w:basedOn w:val="Normal"/>
    <w:qFormat/>
    <w:pPr/>
    <w:rPr>
      <w:color w:val="000000"/>
      <w:sz w:val="18"/>
    </w:rPr>
  </w:style>
  <w:style w:type="paragraph" w:styleId="P68B1DB1Normal89">
    <w:name w:val="P68B1DB1-Normal89"/>
    <w:basedOn w:val="Normal"/>
    <w:qFormat/>
    <w:pPr/>
    <w:rPr>
      <w:b/>
      <w:color w:val="BD1271"/>
      <w:sz w:val="24"/>
    </w:rPr>
  </w:style>
  <w:style w:type="paragraph" w:styleId="P68B1DB1Normal90">
    <w:name w:val="P68B1DB1-Normal90"/>
    <w:basedOn w:val="Normal"/>
    <w:qFormat/>
    <w:pPr/>
    <w:rPr>
      <w:color w:val="000000"/>
      <w:sz w:val="16"/>
    </w:rPr>
  </w:style>
  <w:style w:type="paragraph" w:styleId="P68B1DB1Normal91">
    <w:name w:val="P68B1DB1-Normal91"/>
    <w:basedOn w:val="Normal"/>
    <w:qFormat/>
    <w:pPr/>
    <w:rPr>
      <w:color w:val="000000"/>
      <w:sz w:val="28"/>
    </w:rPr>
  </w:style>
  <w:style w:type="paragraph" w:styleId="P68B1DB1Titre392">
    <w:name w:val="P68B1DB1-Titre392"/>
    <w:basedOn w:val="Titre3"/>
    <w:qFormat/>
    <w:pPr>
      <w:numPr>
        <w:ilvl w:val="0"/>
        <w:numId w:val="0"/>
      </w:numPr>
      <w:ind w:left="0" w:right="0" w:hanging="0"/>
    </w:pPr>
    <w:rPr>
      <w:color w:val="FFFFFF"/>
      <w:shd w:fill="0066B3" w:val="clear"/>
    </w:rPr>
  </w:style>
  <w:style w:type="paragraph" w:styleId="P68B1DB1style93">
    <w:name w:val="P68B1DB1-style93"/>
    <w:qFormat/>
    <w:pPr>
      <w:widowControl/>
      <w:bidi w:val="0"/>
      <w:jc w:val="left"/>
    </w:pPr>
    <w:rPr>
      <w:rFonts w:ascii="Times New Roman" w:hAnsi="Times New Roman" w:eastAsia="Microsoft YaHei" w:cs="Mangal"/>
      <w:color w:val="00000A"/>
      <w:kern w:val="2"/>
      <w:sz w:val="26"/>
      <w:szCs w:val="20"/>
      <w:lang w:val="cs" w:eastAsia="zh-CN" w:bidi="hi-IN"/>
    </w:rPr>
  </w:style>
  <w:style w:type="paragraph" w:styleId="P68B1DB1style94">
    <w:name w:val="P68B1DB1-style94"/>
    <w:qFormat/>
    <w:pPr>
      <w:widowControl/>
      <w:bidi w:val="0"/>
      <w:jc w:val="left"/>
    </w:pPr>
    <w:rPr>
      <w:rFonts w:ascii="Arial" w:hAnsi="Arial" w:eastAsia="Microsoft YaHei" w:cs="Mangal"/>
      <w:color w:val="00000A"/>
      <w:kern w:val="2"/>
      <w:sz w:val="20"/>
      <w:szCs w:val="20"/>
      <w:lang w:val="cs" w:eastAsia="zh-CN" w:bidi="hi-IN"/>
    </w:rPr>
  </w:style>
  <w:style w:type="paragraph" w:styleId="P68B1DB1Normal95">
    <w:name w:val="P68B1DB1-Normal95"/>
    <w:basedOn w:val="Normal"/>
    <w:qFormat/>
    <w:pPr/>
    <w:rPr>
      <w:color w:val="5A5A5A"/>
      <w:sz w:val="28"/>
    </w:rPr>
  </w:style>
  <w:style w:type="paragraph" w:styleId="P68B1DB1Normal96">
    <w:name w:val="P68B1DB1-Normal96"/>
    <w:basedOn w:val="Normal"/>
    <w:qFormat/>
    <w:pPr/>
    <w:rPr>
      <w:i/>
      <w:color w:val="404040"/>
      <w:sz w:val="32"/>
    </w:rPr>
  </w:style>
  <w:style w:type="paragraph" w:styleId="P68B1DB1Normal97">
    <w:name w:val="P68B1DB1-Normal97"/>
    <w:basedOn w:val="Normal"/>
    <w:qFormat/>
    <w:pPr/>
    <w:rPr>
      <w:rFonts w:ascii="Garamond" w:hAnsi="Garamond"/>
      <w:color w:val="000000"/>
    </w:rPr>
  </w:style>
  <w:style w:type="paragraph" w:styleId="P68B1DB1Normal98">
    <w:name w:val="P68B1DB1-Normal98"/>
    <w:basedOn w:val="Normal"/>
    <w:qFormat/>
    <w:pPr/>
    <w:rPr>
      <w:color w:val="404040"/>
      <w:sz w:val="32"/>
    </w:rPr>
  </w:style>
  <w:style w:type="paragraph" w:styleId="P68B1DB1Normal99">
    <w:name w:val="P68B1DB1-Normal99"/>
    <w:basedOn w:val="Normal"/>
    <w:qFormat/>
    <w:pPr/>
    <w:rPr>
      <w:color w:val="000000"/>
      <w:sz w:val="20"/>
    </w:rPr>
  </w:style>
  <w:style w:type="paragraph" w:styleId="P68B1DB1Normal100">
    <w:name w:val="P68B1DB1-Normal100"/>
    <w:basedOn w:val="Normal"/>
    <w:qFormat/>
    <w:pPr/>
    <w:rPr>
      <w:b/>
      <w:i/>
      <w:color w:val="000000"/>
    </w:rPr>
  </w:style>
  <w:style w:type="paragraph" w:styleId="P68B1DB1Contenudetableau101">
    <w:name w:val="P68B1DB1-Contenudetableau101"/>
    <w:basedOn w:val="Contenudetableau"/>
    <w:qFormat/>
    <w:pPr/>
    <w:rPr>
      <w:rFonts w:ascii="Garamond" w:hAnsi="Garamond"/>
      <w:b/>
      <w:color w:val="000000"/>
    </w:rPr>
  </w:style>
  <w:style w:type="paragraph" w:styleId="P68B1DB1Contenudetableau102">
    <w:name w:val="P68B1DB1-Contenudetableau102"/>
    <w:basedOn w:val="Contenudetableau"/>
    <w:qFormat/>
    <w:pPr/>
    <w:rPr>
      <w:rFonts w:ascii="Garamond" w:hAnsi="Garamond"/>
      <w:color w:val="000000"/>
    </w:rPr>
  </w:style>
  <w:style w:type="paragraph" w:styleId="P68B1DB1Normal103">
    <w:name w:val="P68B1DB1-Normal103"/>
    <w:basedOn w:val="Normal"/>
    <w:qFormat/>
    <w:pPr/>
    <w:rPr>
      <w:rFonts w:ascii="Calibri" w:hAnsi="Calibri"/>
      <w:i/>
      <w:color w:val="000000"/>
      <w:sz w:val="32"/>
    </w:rPr>
  </w:style>
  <w:style w:type="paragraph" w:styleId="P68B1DB1Normal104">
    <w:name w:val="P68B1DB1-Normal104"/>
    <w:basedOn w:val="Normal"/>
    <w:qFormat/>
    <w:pPr/>
    <w:rPr>
      <w:rFonts w:ascii="Calibri" w:hAnsi="Calibri"/>
      <w:color w:val="000000"/>
      <w:sz w:val="21"/>
    </w:rPr>
  </w:style>
  <w:style w:type="paragraph" w:styleId="P68B1DB1Normal105">
    <w:name w:val="P68B1DB1-Normal105"/>
    <w:basedOn w:val="Normal"/>
    <w:qFormat/>
    <w:pPr/>
    <w:rPr>
      <w:color w:val="000000"/>
      <w:sz w:val="21"/>
    </w:rPr>
  </w:style>
  <w:style w:type="paragraph" w:styleId="P68B1DB1Normal106">
    <w:name w:val="P68B1DB1-Normal106"/>
    <w:basedOn w:val="Normal"/>
    <w:qFormat/>
    <w:pPr/>
    <w:rPr>
      <w:rFonts w:ascii="Calibri" w:hAnsi="Calibri"/>
      <w:b/>
      <w:i/>
      <w:color w:val="000000"/>
      <w:sz w:val="36"/>
    </w:rPr>
  </w:style>
  <w:style w:type="paragraph" w:styleId="P68B1DB1Normal107">
    <w:name w:val="P68B1DB1-Normal107"/>
    <w:basedOn w:val="Normal"/>
    <w:qFormat/>
    <w:pPr/>
    <w:rPr>
      <w:rFonts w:ascii="Calibri" w:hAnsi="Calibri"/>
      <w:i/>
      <w:color w:val="000000"/>
      <w:sz w:val="24"/>
    </w:rPr>
  </w:style>
  <w:style w:type="paragraph" w:styleId="P68B1DB1Normal108">
    <w:name w:val="P68B1DB1-Normal108"/>
    <w:basedOn w:val="Normal"/>
    <w:qFormat/>
    <w:pPr/>
    <w:rPr>
      <w:rFonts w:ascii="Calibri" w:hAnsi="Calibri"/>
      <w:b/>
      <w:i/>
      <w:color w:val="000000"/>
      <w:sz w:val="24"/>
    </w:rPr>
  </w:style>
  <w:style w:type="paragraph" w:styleId="P68B1DB1Normal109">
    <w:name w:val="P68B1DB1-Normal109"/>
    <w:basedOn w:val="Normal"/>
    <w:qFormat/>
    <w:pPr/>
    <w:rPr>
      <w:rFonts w:ascii="Calibri" w:hAnsi="Calibri"/>
      <w:b/>
      <w:i/>
      <w:color w:val="000000"/>
      <w:sz w:val="32"/>
    </w:rPr>
  </w:style>
  <w:style w:type="paragraph" w:styleId="P68B1DB1Normal110">
    <w:name w:val="P68B1DB1-Normal110"/>
    <w:basedOn w:val="Normal"/>
    <w:qFormat/>
    <w:pPr/>
    <w:rPr>
      <w:rFonts w:ascii="Calibri" w:hAnsi="Calibri"/>
      <w:color w:val="000000"/>
    </w:rPr>
  </w:style>
  <w:style w:type="paragraph" w:styleId="P68B1DB1Normal111">
    <w:name w:val="P68B1DB1-Normal111"/>
    <w:basedOn w:val="Normal"/>
    <w:qFormat/>
    <w:pPr/>
    <w:rPr>
      <w:rFonts w:ascii="Calibri" w:hAnsi="Calibri"/>
      <w:b/>
      <w:color w:val="000000"/>
    </w:rPr>
  </w:style>
  <w:style w:type="paragraph" w:styleId="P68B1DB1Normal112">
    <w:name w:val="P68B1DB1-Normal112"/>
    <w:basedOn w:val="Normal"/>
    <w:qFormat/>
    <w:pPr/>
    <w:rPr>
      <w:rFonts w:ascii="Times New Roman" w:hAnsi="Times New Roman"/>
      <w:color w:val="000000"/>
      <w:sz w:val="16"/>
    </w:rPr>
  </w:style>
  <w:style w:type="paragraph" w:styleId="P68B1DB1Normal113">
    <w:name w:val="P68B1DB1-Normal113"/>
    <w:basedOn w:val="Normal"/>
    <w:qFormat/>
    <w:pPr/>
    <w:rPr>
      <w:rFonts w:ascii="Calibri" w:hAnsi="Calibri"/>
      <w:i/>
      <w:color w:val="000000"/>
      <w:sz w:val="26"/>
    </w:rPr>
  </w:style>
  <w:style w:type="paragraph" w:styleId="P68B1DB1Normal114">
    <w:name w:val="P68B1DB1-Normal114"/>
    <w:basedOn w:val="Normal"/>
    <w:qFormat/>
    <w:pPr/>
    <w:rPr>
      <w:rFonts w:ascii="Calibri" w:hAnsi="Calibri"/>
      <w:b/>
      <w:color w:val="000000"/>
      <w:sz w:val="21"/>
    </w:rPr>
  </w:style>
  <w:style w:type="paragraph" w:styleId="P68B1DB1Contenudetableau115">
    <w:name w:val="P68B1DB1-Contenudetableau115"/>
    <w:basedOn w:val="Contenudetableau"/>
    <w:qFormat/>
    <w:pPr/>
    <w:rPr>
      <w:rFonts w:ascii="Times New Roman" w:hAnsi="Times New Roman"/>
      <w:color w:val="000000"/>
      <w:sz w:val="16"/>
    </w:rPr>
  </w:style>
  <w:style w:type="paragraph" w:styleId="P68B1DB1Contenudetableau116">
    <w:name w:val="P68B1DB1-Contenudetableau116"/>
    <w:basedOn w:val="Contenudetableau"/>
    <w:qFormat/>
    <w:pPr/>
    <w:rPr>
      <w:color w:val="000000"/>
      <w:sz w:val="16"/>
    </w:rPr>
  </w:style>
  <w:style w:type="paragraph" w:styleId="P68B1DB1Normal117">
    <w:name w:val="P68B1DB1-Normal117"/>
    <w:basedOn w:val="Normal"/>
    <w:qFormat/>
    <w:pPr/>
    <w:rPr>
      <w:rFonts w:ascii="Calibri" w:hAnsi="Calibri"/>
      <w:b/>
      <w:i/>
      <w:color w:val="000000"/>
      <w:sz w:val="28"/>
    </w:rPr>
  </w:style>
  <w:style w:type="paragraph" w:styleId="P68B1DB1Normal118">
    <w:name w:val="P68B1DB1-Normal118"/>
    <w:basedOn w:val="Normal"/>
    <w:qFormat/>
    <w:pPr/>
    <w:rPr>
      <w:rFonts w:ascii="Calibri" w:hAnsi="Calibri"/>
      <w:i/>
      <w:color w:val="000000"/>
      <w:sz w:val="21"/>
    </w:rPr>
  </w:style>
  <w:style w:type="paragraph" w:styleId="P68B1DB1Normal119">
    <w:name w:val="P68B1DB1-Normal119"/>
    <w:basedOn w:val="Normal"/>
    <w:qFormat/>
    <w:pPr/>
    <w:rPr>
      <w:b/>
      <w:color w:val="000000"/>
      <w:sz w:val="21"/>
    </w:rPr>
  </w:style>
  <w:style w:type="paragraph" w:styleId="P68B1DB1Normal120">
    <w:name w:val="P68B1DB1-Normal120"/>
    <w:basedOn w:val="Normal"/>
    <w:qFormat/>
    <w:pPr/>
    <w:rPr>
      <w:rFonts w:ascii="Calibri" w:hAnsi="Calibri"/>
      <w:b/>
      <w:color w:val="000000"/>
      <w:sz w:val="21"/>
    </w:rPr>
  </w:style>
  <w:style w:type="paragraph" w:styleId="P68B1DB1Contenudetableau121">
    <w:name w:val="P68B1DB1-Contenudetableau121"/>
    <w:basedOn w:val="Contenudetableau"/>
    <w:qFormat/>
    <w:pPr/>
    <w:rPr>
      <w:color w:val="000000"/>
    </w:rPr>
  </w:style>
  <w:style w:type="paragraph" w:styleId="P68B1DB1Contenudetableau122">
    <w:name w:val="P68B1DB1-Contenudetableau122"/>
    <w:basedOn w:val="Contenudetableau"/>
    <w:qFormat/>
    <w:pPr/>
    <w:rPr>
      <w:b/>
      <w:color w:val="000000"/>
    </w:rPr>
  </w:style>
  <w:style w:type="paragraph" w:styleId="P68B1DB1Normal123">
    <w:name w:val="P68B1DB1-Normal123"/>
    <w:basedOn w:val="Normal"/>
    <w:qFormat/>
    <w:pPr/>
    <w:rPr>
      <w:rFonts w:ascii="Calibri" w:hAnsi="Calibri"/>
      <w:color w:val="000000"/>
      <w:sz w:val="32"/>
    </w:rPr>
  </w:style>
  <w:style w:type="paragraph" w:styleId="P68B1DB1Normal124">
    <w:name w:val="P68B1DB1-Normal124"/>
    <w:basedOn w:val="Normal"/>
    <w:qFormat/>
    <w:pPr/>
    <w:rPr>
      <w:rFonts w:ascii="Calibri" w:hAnsi="Calibri"/>
      <w:b/>
      <w:color w:val="0070C0"/>
      <w:sz w:val="72"/>
    </w:rPr>
  </w:style>
  <w:style w:type="paragraph" w:styleId="P68B1DB1Normal125">
    <w:name w:val="P68B1DB1-Normal125"/>
    <w:basedOn w:val="Normal"/>
    <w:qFormat/>
    <w:pPr/>
    <w:rPr>
      <w:rFonts w:ascii="Calibri" w:hAnsi="Calibri"/>
      <w:b/>
      <w:color w:val="0070C0"/>
      <w:sz w:val="32"/>
    </w:rPr>
  </w:style>
  <w:style w:type="paragraph" w:styleId="P68B1DB1Normal126">
    <w:name w:val="P68B1DB1-Normal126"/>
    <w:basedOn w:val="Normal"/>
    <w:qFormat/>
    <w:pPr/>
    <w:rPr>
      <w:rFonts w:ascii="Calibri" w:hAnsi="Calibri"/>
      <w:color w:val="0070C0"/>
      <w:sz w:val="24"/>
    </w:rPr>
  </w:style>
  <w:style w:type="paragraph" w:styleId="P68B1DB1Normal127">
    <w:name w:val="P68B1DB1-Normal127"/>
    <w:basedOn w:val="Normal"/>
    <w:qFormat/>
    <w:pPr/>
    <w:rPr>
      <w:rFonts w:ascii="Calibri" w:hAnsi="Calibri"/>
    </w:rPr>
  </w:style>
  <w:style w:type="paragraph" w:styleId="P68B1DB1Contenudetableau128">
    <w:name w:val="P68B1DB1-Contenudetableau128"/>
    <w:basedOn w:val="Contenudetableau"/>
    <w:qFormat/>
    <w:pPr/>
    <w:rPr>
      <w:color w:val="000000"/>
      <w:sz w:val="14"/>
    </w:rPr>
  </w:style>
  <w:style w:type="paragraph" w:styleId="P68B1DB1Normal129">
    <w:name w:val="P68B1DB1-Normal129"/>
    <w:basedOn w:val="Normal"/>
    <w:qFormat/>
    <w:pPr/>
    <w:rPr>
      <w:rFonts w:ascii="Calibri" w:hAnsi="Calibri"/>
      <w:i/>
      <w:color w:val="000000"/>
    </w:rPr>
  </w:style>
  <w:style w:type="paragraph" w:styleId="P68B1DB1Normal130">
    <w:name w:val="P68B1DB1-Normal130"/>
    <w:basedOn w:val="Normal"/>
    <w:qFormat/>
    <w:pPr/>
    <w:rPr>
      <w:rFonts w:ascii="Calibri" w:hAnsi="Calibri"/>
      <w:color w:val="0070C0"/>
      <w:sz w:val="21"/>
    </w:rPr>
  </w:style>
  <w:style w:type="paragraph" w:styleId="P68B1DB1Normal131">
    <w:name w:val="P68B1DB1-Normal131"/>
    <w:basedOn w:val="Normal"/>
    <w:qFormat/>
    <w:pPr/>
    <w:rPr>
      <w:color w:val="0000FF"/>
      <w:sz w:val="24"/>
    </w:rPr>
  </w:style>
  <w:style w:type="paragraph" w:styleId="P68B1DB1Normal132">
    <w:name w:val="P68B1DB1-Normal132"/>
    <w:basedOn w:val="Normal"/>
    <w:qFormat/>
    <w:pPr/>
    <w:rPr>
      <w:rFonts w:ascii="Roboto" w:hAnsi="Roboto"/>
      <w:color w:val="000000"/>
      <w:sz w:val="16"/>
    </w:rPr>
  </w:style>
  <w:style w:type="paragraph" w:styleId="P68B1DB1style133">
    <w:name w:val="P68B1DB1-style133"/>
    <w:qFormat/>
    <w:pPr>
      <w:widowControl/>
      <w:bidi w:val="0"/>
      <w:jc w:val="left"/>
    </w:pPr>
    <w:rPr>
      <w:rFonts w:ascii="Times New Roman" w:hAnsi="Times New Roman" w:eastAsia="SimSun" w:cs="Mangal"/>
      <w:color w:val="00000A"/>
      <w:kern w:val="2"/>
      <w:sz w:val="20"/>
      <w:szCs w:val="20"/>
      <w:lang w:val="cs" w:eastAsia="zh-CN" w:bidi="hi-IN"/>
    </w:rPr>
  </w:style>
  <w:style w:type="paragraph" w:styleId="P68B1DB1Entte134">
    <w:name w:val="P68B1DB1-Entte134"/>
    <w:basedOn w:val="Entte"/>
    <w:qFormat/>
    <w:pPr/>
    <w:rPr>
      <w:sz w:val="18"/>
    </w:rPr>
  </w:style>
  <w:style w:type="numbering" w:styleId="Puce">
    <w:name w:val="Puce •"/>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6" Type="http://schemas.openxmlformats.org/officeDocument/2006/relationships/hyperlink" Target="https://webgate.ec.europa.eu/etranslation" TargetMode="External"/><Relationship Id="rId7" Type="http://schemas.openxmlformats.org/officeDocument/2006/relationships/hyperlink" Target="https://e-d-e.org/" TargetMode="External"/><Relationship Id="rId8" Type="http://schemas.openxmlformats.org/officeDocument/2006/relationships/hyperlink" Target="http://www.demokratio.eu/" TargetMode="External"/><Relationship Id="rId9" Type="http://schemas.openxmlformats.org/officeDocument/2006/relationships/hyperlink" Target="https://e-d-e.fr/" TargetMode="External"/><Relationship Id="rId10" Type="http://schemas.openxmlformats.org/officeDocument/2006/relationships/hyperlink" Target="http://www.europokune.eu/" TargetMode="External"/><Relationship Id="rId11"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12" Type="http://schemas.openxmlformats.org/officeDocument/2006/relationships/hyperlink" Target="https://webgate.ec.europa.eu/etranslation" TargetMode="External"/><Relationship Id="rId13" Type="http://schemas.openxmlformats.org/officeDocument/2006/relationships/hyperlink" Target="https://e-d-e.org/" TargetMode="External"/><Relationship Id="rId14" Type="http://schemas.openxmlformats.org/officeDocument/2006/relationships/hyperlink" Target="http://www.demokratio.eu/" TargetMode="External"/><Relationship Id="rId15" Type="http://schemas.openxmlformats.org/officeDocument/2006/relationships/hyperlink" Target="https://e-d-e.fr/" TargetMode="External"/><Relationship Id="rId16" Type="http://schemas.openxmlformats.org/officeDocument/2006/relationships/hyperlink" Target="http://www.europokune.eu/" TargetMode="External"/><Relationship Id="rId17" Type="http://schemas.openxmlformats.org/officeDocument/2006/relationships/image" Target="media/image4.png"/><Relationship Id="rId18" Type="http://schemas.openxmlformats.org/officeDocument/2006/relationships/header" Target="header1.xml"/><Relationship Id="rId19" Type="http://schemas.openxmlformats.org/officeDocument/2006/relationships/header" Target="header2.xml"/><Relationship Id="rId20" Type="http://schemas.openxmlformats.org/officeDocument/2006/relationships/footer" Target="footer1.xml"/><Relationship Id="rId21" Type="http://schemas.openxmlformats.org/officeDocument/2006/relationships/footer" Target="footer2.xml"/><Relationship Id="rId22" Type="http://schemas.openxmlformats.org/officeDocument/2006/relationships/image" Target="media/image5.png"/><Relationship Id="rId23" Type="http://schemas.openxmlformats.org/officeDocument/2006/relationships/hyperlink" Target="https://futureu.europa.eu/pages/information-material" TargetMode="External"/><Relationship Id="rId24" Type="http://schemas.openxmlformats.org/officeDocument/2006/relationships/hyperlink" Target="https://futureu.europa.eu/assemblies/citizens-panels" TargetMode="External"/><Relationship Id="rId25" Type="http://schemas.openxmlformats.org/officeDocument/2006/relationships/hyperlink" Target="https://futureu.europa.eu/pages/ms-section" TargetMode="External"/><Relationship Id="rId26" Type="http://schemas.openxmlformats.org/officeDocument/2006/relationships/hyperlink" Target="https://futureu.europa.eu/pages/executive-board" TargetMode="External"/><Relationship Id="rId27" Type="http://schemas.openxmlformats.org/officeDocument/2006/relationships/hyperlink" Target="https://futureu.europa.eu/rails/active_storage/blobs/eyJfcmFpbHMiOnsibWVzc2FnZSI6IkJBaHBBcEVXIiwiZXhwIjpudWxsLCJwdXIiOiJibG9iX2lkIn19--ccb2609f3433ec020b3055170aacd363d84503e7/sn03411-re01.en21(1).pdf" TargetMode="External"/><Relationship Id="rId28" Type="http://schemas.openxmlformats.org/officeDocument/2006/relationships/hyperlink" Target="https://futureu.europa.eu/rails/active_storage/blobs/eyJfcmFpbHMiOnsibWVzc2FnZSI6IkJBaHBBbjFCIiwiZXhwIjpudWxsLCJwdXIiOiJibG9iX2lkIn19--f97dae84e07fcf9ea4e9276dd4b33fb3fd823dd6/COFE Second Interim Report September Kantar final.pdf" TargetMode="External"/><Relationship Id="rId29" Type="http://schemas.openxmlformats.org/officeDocument/2006/relationships/hyperlink" Target="https://futureu.europa.eu/rails/active_storage/blobs/eyJfcmFpbHMiOnsibWVzc2FnZSI6IkJBaHBBdWlFIiwiZXhwIjpudWxsLCJwdXIiOiJibG9iX2lkIn19--3fe1bd5c838d6e007a595afd9beefa8b4df1fb3f/Kantar Third Interim Report final version EN.pdf" TargetMode="External"/><Relationship Id="rId30" Type="http://schemas.openxmlformats.org/officeDocument/2006/relationships/image" Target="media/image6.png"/><Relationship Id="rId31" Type="http://schemas.openxmlformats.org/officeDocument/2006/relationships/hyperlink" Target="https://futureu.europa.eu/?locale=fr" TargetMode="External"/><Relationship Id="rId32" Type="http://schemas.openxmlformats.org/officeDocument/2006/relationships/hyperlink" Target="https://futureu.europa.eu/?locale=fr" TargetMode="External"/><Relationship Id="rId33" Type="http://schemas.openxmlformats.org/officeDocument/2006/relationships/hyperlink" Target="https://futureu.europa.eu/pages/charter" TargetMode="External"/><Relationship Id="rId34" Type="http://schemas.openxmlformats.org/officeDocument/2006/relationships/hyperlink" Target="https://futureu.europa.eu/pages/rules-of-participation" TargetMode="External"/><Relationship Id="rId35" Type="http://schemas.openxmlformats.org/officeDocument/2006/relationships/hyperlink" Target="https://futureu.europa.eu/pages/faq" TargetMode="External"/><Relationship Id="rId36" Type="http://schemas.openxmlformats.org/officeDocument/2006/relationships/image" Target="media/image7.png"/><Relationship Id="rId37" Type="http://schemas.openxmlformats.org/officeDocument/2006/relationships/image" Target="media/image8.png"/><Relationship Id="rId38" Type="http://schemas.openxmlformats.org/officeDocument/2006/relationships/image" Target="media/image9.png"/><Relationship Id="rId39" Type="http://schemas.openxmlformats.org/officeDocument/2006/relationships/image" Target="media/image10.png"/><Relationship Id="rId40" Type="http://schemas.openxmlformats.org/officeDocument/2006/relationships/image" Target="media/image11.png"/><Relationship Id="rId41" Type="http://schemas.openxmlformats.org/officeDocument/2006/relationships/image" Target="media/image12.png"/><Relationship Id="rId42" Type="http://schemas.openxmlformats.org/officeDocument/2006/relationships/image" Target="media/image13.png"/><Relationship Id="rId43" Type="http://schemas.openxmlformats.org/officeDocument/2006/relationships/image" Target="media/image14.png"/><Relationship Id="rId44" Type="http://schemas.openxmlformats.org/officeDocument/2006/relationships/image" Target="media/image15.png"/><Relationship Id="rId45" Type="http://schemas.openxmlformats.org/officeDocument/2006/relationships/image" Target="media/image16.png"/><Relationship Id="rId46" Type="http://schemas.openxmlformats.org/officeDocument/2006/relationships/image" Target="media/image17.png"/><Relationship Id="rId47" Type="http://schemas.openxmlformats.org/officeDocument/2006/relationships/hyperlink" Target="https://futureu.europa.eu/pages/ms-section" TargetMode="External"/><Relationship Id="rId48" Type="http://schemas.openxmlformats.org/officeDocument/2006/relationships/hyperlink" Target="https://futureu.europa.eu/pages/reporting" TargetMode="External"/><Relationship Id="rId49" Type="http://schemas.openxmlformats.org/officeDocument/2006/relationships/image" Target="media/image18.png"/><Relationship Id="rId50" Type="http://schemas.openxmlformats.org/officeDocument/2006/relationships/image" Target="media/image19.png"/><Relationship Id="rId51" Type="http://schemas.openxmlformats.org/officeDocument/2006/relationships/hyperlink" Target="http://www.eye2021.eu/" TargetMode="External"/><Relationship Id="rId52" Type="http://schemas.openxmlformats.org/officeDocument/2006/relationships/image" Target="media/image20.png"/><Relationship Id="rId53" Type="http://schemas.openxmlformats.org/officeDocument/2006/relationships/hyperlink" Target="https://european-youth-event.europarl.europa.eu/wp-content/uploads/2021/10/2021_EYE_Report-Booklet_A5_20-10-Accessible.pdf" TargetMode="External"/><Relationship Id="rId54" Type="http://schemas.openxmlformats.org/officeDocument/2006/relationships/hyperlink" Target="https://search.youthideas.eu/" TargetMode="External"/><Relationship Id="rId55" Type="http://schemas.openxmlformats.org/officeDocument/2006/relationships/hyperlink" Target="https://www.eesc.europa.eu/en/agenda/our-events/events/kickoff-event-conference-future-europe" TargetMode="External"/><Relationship Id="rId56" Type="http://schemas.openxmlformats.org/officeDocument/2006/relationships/hyperlink" Target="https://www.eesc.europa.eu/en/agenda/our-events/events/connecting-eu-2021" TargetMode="External"/><Relationship Id="rId57" Type="http://schemas.openxmlformats.org/officeDocument/2006/relationships/hyperlink" Target="https://www.eesc.europa.eu/en/agenda/our-events/events/shaping-europe-together" TargetMode="External"/><Relationship Id="rId58" Type="http://schemas.openxmlformats.org/officeDocument/2006/relationships/hyperlink" Target="https://cor.europa.eu/en/our-work/Pages/EURegionalBarometer-Survey-2021.aspx" TargetMode="External"/><Relationship Id="rId59" Type="http://schemas.openxmlformats.org/officeDocument/2006/relationships/hyperlink" Target="https://futureu.europa.eu/profiles/EU_COMMITTEE_REGIONS/activity" TargetMode="External"/><Relationship Id="rId60" Type="http://schemas.openxmlformats.org/officeDocument/2006/relationships/hyperlink" Target="https://cor.europa.eu/en/news/Pages/Report-of-the-High-Level-Group-on-European-Democracy.aspx" TargetMode="External"/><Relationship Id="rId61" Type="http://schemas.openxmlformats.org/officeDocument/2006/relationships/hyperlink" Target="https://cor.europa.eu/en/engage/brochures/Documents/The Marseille Manifesto of local and regional leaders - Europe starts in its regions, cities and villages/4560 CoR Summit 2022 Manifesto EN.pdf" TargetMode="External"/><Relationship Id="rId62" Type="http://schemas.openxmlformats.org/officeDocument/2006/relationships/hyperlink" Target="https://cor.europa.eu/en/engage/brochures/Documents/Citizens, local politicians and the future of Europe/4666-final report lowres FIN.pdf" TargetMode="External"/><Relationship Id="rId63" Type="http://schemas.openxmlformats.org/officeDocument/2006/relationships/hyperlink" Target="https://urldefense.com/v3/__https:/eur01.safelinks.protection.outlook.com/?url=https*3A*2F*2Fwww.businesseurope.eu*2Fpublications*2Fconference-future-europe&amp;data=05*7C01*7Clrepetti*40etuc.org*7Cd0bf6bce94584f609b7f08da2436f672*7C7a57d45075f34a4da90dac04a367b91a*7C0*7C0*7C637862115734132632*7CUnknown*7CTWFpbGZsb3d8eyJWIjoiMC4wLjAwMDAiLCJQIjoiV2luMzIiLCJBTiI6Ik1haWwiLCJXVCI6Mn0*3D*7C3000*7C*7C*7C&amp;sdata=R0ZPyMIpzVtyVKxslbwXDoXM*2BAyxIZsOnd1d87UgzYk*3D&amp;reserved=0__;JSUlJSUlJSUlJSUlJSUlJSUlJSUlJQ!!DOxrgLBm!EVXnpmdPMnr1b8zwRLNfRbrIUw0-wYmbVL-_FRTf4p4-H6cCU3xBRXl67BONxyxUt7bSc5ygS0GnATILPoBus7eKzgaBFQ$" TargetMode="External"/><Relationship Id="rId64" Type="http://schemas.openxmlformats.org/officeDocument/2006/relationships/hyperlink" Target="https://urldefense.com/v3/__https:/eur01.safelinks.protection.outlook.com/?url=https*3A*2F*2Fsgieurope.org*2Fnews*2Fsgi-europe-contributions-to-the-digital-platform-of-the-conference-on-the-future-of-europe*2F&amp;data=05*7C01*7Clrepetti*40etuc.org*7Cd0bf6bce94584f609b7f08da2436f672*7C7a57d45075f34a4da90dac04a367b91a*7C0*7C0*7C637862115734132632*7CUnknown*7CTWFpbGZsb3d8eyJWIjoiMC4wLjAwMDAiLCJQIjoiV2luMzIiLCJBTiI6Ik1haWwiLCJXVCI6Mn0*3D*7C3000*7C*7C*7C&amp;sdata=*2FkaIN9DU1n02W6lwYRXRWxjl3k3NXQfTh4MXMd9o5ec*3D&amp;reserved=0__;JSUlJSUlJSUlJSUlJSUlJSUlJSUlJSU!!DOxrgLBm!EVXnpmdPMnr1b8zwRLNfRbrIUw0-wYmbVL-_FRTf4p4-H6cCU3xBRXl67BONxyxUt7bSc5ygS0GnATILPoBus7eSbklT4g$" TargetMode="External"/><Relationship Id="rId65" Type="http://schemas.openxmlformats.org/officeDocument/2006/relationships/hyperlink" Target="https://urldefense.com/v3/__https:/eur01.safelinks.protection.outlook.com/?url=https*3A*2F*2Fwww.smeunited.eu*2Fnews*2Fsmes-set-priorities-to-empower-the-future-of-europe&amp;data=05*7C01*7Clrepetti*40etuc.org*7Cd0bf6bce94584f609b7f08da2436f672*7C7a57d45075f34a4da90dac04a367b91a*7C0*7C0*7C637862115734132632*7CUnknown*7CTWFpbGZsb3d8eyJWIjoiMC4wLjAwMDAiLCJQIjoiV2luMzIiLCJBTiI6Ik1haWwiLCJXVCI6Mn0*3D*7C3000*7C*7C*7C&amp;sdata=UDlDXYbVN5kYwkeyMWsIBYVF*2BdigrVxYhjV2WuFcn4M*3D&amp;reserved=0__;JSUlJSUlJSUlJSUlJSUlJSUlJSUlJQ!!DOxrgLBm!EVXnpmdPMnr1b8zwRLNfRbrIUw0-wYmbVL-_FRTf4p4-H6cCU3xBRXl67BONxyxUt7bSc5ygS0GnATILPoBus7furzkJBA$" TargetMode="External"/><Relationship Id="rId66" Type="http://schemas.openxmlformats.org/officeDocument/2006/relationships/hyperlink" Target="https://urldefense.com/v3/__http:/civilsocietyeurope.eu/civil-society-convention-on-the-future-of-europe/__;!!DOxrgLBm!USrgw0ykk4Rr_7OEucFYoNO-h98D1sH5xfD-7Qmm48-t_TKrps6LcRBXC7_VkAjjVVGY7-clIExnQQ$" TargetMode="External"/><Relationship Id="rId67" Type="http://schemas.openxmlformats.org/officeDocument/2006/relationships/hyperlink" Target="https://urldefense.com/v3/__https:/europeanmovement.eu/__;!!DOxrgLBm!USrgw0ykk4Rr_7OEucFYoNO-h98D1sH5xfD-7Qmm48-t_TKrps6LcRBXC7_VkAjjVVGY7-cLezPKmw$" TargetMode="External"/><Relationship Id="rId68" Type="http://schemas.openxmlformats.org/officeDocument/2006/relationships/hyperlink" Target="https://urldefense.com/v3/__https:/europeanmovement.eu/event-category/emi-events/?content_type=event&amp;tax_id=44&amp;showpastevents=1&amp;eventdatedesc=1__;!!DOxrgLBm!USrgw0ykk4Rr_7OEucFYoNO-h98D1sH5xfD-7Qmm48-t_TKrps6LcRBXC7_VkAjjVVGY7-duHAsLmg$" TargetMode="External"/><Relationship Id="rId69" Type="http://schemas.openxmlformats.org/officeDocument/2006/relationships/hyperlink" Target="https://urldefense.com/v3/__http:/civilsocietyeurope.eu/4th-conference-on-the-future-of-europe-plenary/__;!!DOxrgLBm!USrgw0ykk4Rr_7OEucFYoNO-h98D1sH5xfD-7Qmm48-t_TKrps6LcRBXC7_VkAjjVVGY7-fF2tswkA$" TargetMode="External"/><Relationship Id="rId70" Type="http://schemas.openxmlformats.org/officeDocument/2006/relationships/hyperlink" Target="https://urldefense.com/v3/__http:/civilsocietyeurope.eu/civil-society-convention-on-the-future-of-europe/thematic-clusters/__;!!DOxrgLBm!USrgw0ykk4Rr_7OEucFYoNO-h98D1sH5xfD-7Qmm48-t_TKrps6LcRBXC7_VkAjjVVGY7-fwba3XGA$" TargetMode="External"/><Relationship Id="rId71" Type="http://schemas.openxmlformats.org/officeDocument/2006/relationships/hyperlink" Target="https://urldefense.com/v3/__https:/europeanmovement.eu/conference-on-the-future-of-europe/__;!!DOxrgLBm!USrgw0ykk4Rr_7OEucFYoNO-h98D1sH5xfD-7Qmm48-t_TKrps6LcRBXC7_VkAjjVVGY7-coTvKNzA$" TargetMode="External"/><Relationship Id="rId72" Type="http://schemas.openxmlformats.org/officeDocument/2006/relationships/image" Target="media/image21.png"/><Relationship Id="rId73" Type="http://schemas.openxmlformats.org/officeDocument/2006/relationships/image" Target="media/image22.png"/><Relationship Id="rId74" Type="http://schemas.openxmlformats.org/officeDocument/2006/relationships/image" Target="media/image23.png"/><Relationship Id="rId75" Type="http://schemas.openxmlformats.org/officeDocument/2006/relationships/image" Target="media/image24.png"/><Relationship Id="rId76" Type="http://schemas.openxmlformats.org/officeDocument/2006/relationships/image" Target="media/image25.png"/><Relationship Id="rId77" Type="http://schemas.openxmlformats.org/officeDocument/2006/relationships/image" Target="media/image26.png"/><Relationship Id="rId78" Type="http://schemas.openxmlformats.org/officeDocument/2006/relationships/image" Target="media/image27.png"/><Relationship Id="rId79" Type="http://schemas.openxmlformats.org/officeDocument/2006/relationships/image" Target="media/image28.png"/><Relationship Id="rId80" Type="http://schemas.openxmlformats.org/officeDocument/2006/relationships/image" Target="media/image29.png"/><Relationship Id="rId81" Type="http://schemas.openxmlformats.org/officeDocument/2006/relationships/image" Target="media/image30.png"/><Relationship Id="rId82" Type="http://schemas.openxmlformats.org/officeDocument/2006/relationships/image" Target="media/image31.png"/><Relationship Id="rId83" Type="http://schemas.openxmlformats.org/officeDocument/2006/relationships/image" Target="media/image32.png"/><Relationship Id="rId84" Type="http://schemas.openxmlformats.org/officeDocument/2006/relationships/image" Target="media/image33.png"/><Relationship Id="rId85" Type="http://schemas.openxmlformats.org/officeDocument/2006/relationships/hyperlink" Target="https://participation-citoyenne.gouv.fr/sites/default/files/2021-11/20211126 - COFE - Rapport final.pdf" TargetMode="External"/><Relationship Id="rId86" Type="http://schemas.openxmlformats.org/officeDocument/2006/relationships/hyperlink" Target="https://participation-citoyenne.gouv.fr/sites/default/files/2021-11/20211126 - COFE - Rapport final.pdf" TargetMode="External"/><Relationship Id="rId87" Type="http://schemas.openxmlformats.org/officeDocument/2006/relationships/image" Target="media/image34.png"/><Relationship Id="rId88" Type="http://schemas.openxmlformats.org/officeDocument/2006/relationships/image" Target="media/image35.png"/><Relationship Id="rId89" Type="http://schemas.openxmlformats.org/officeDocument/2006/relationships/image" Target="media/image36.png"/><Relationship Id="rId90" Type="http://schemas.openxmlformats.org/officeDocument/2006/relationships/image" Target="media/image37.png"/><Relationship Id="rId91" Type="http://schemas.openxmlformats.org/officeDocument/2006/relationships/image" Target="media/image38.png"/><Relationship Id="rId92" Type="http://schemas.openxmlformats.org/officeDocument/2006/relationships/image" Target="media/image39.png"/><Relationship Id="rId93" Type="http://schemas.openxmlformats.org/officeDocument/2006/relationships/image" Target="media/image40.png"/><Relationship Id="rId94" Type="http://schemas.openxmlformats.org/officeDocument/2006/relationships/image" Target="media/image41.png"/><Relationship Id="rId95" Type="http://schemas.openxmlformats.org/officeDocument/2006/relationships/image" Target="media/image42.png"/><Relationship Id="rId96" Type="http://schemas.openxmlformats.org/officeDocument/2006/relationships/image" Target="media/image43.png"/><Relationship Id="rId97" Type="http://schemas.openxmlformats.org/officeDocument/2006/relationships/image" Target="media/image44.png"/><Relationship Id="rId98" Type="http://schemas.openxmlformats.org/officeDocument/2006/relationships/image" Target="media/image45.wmf"/><Relationship Id="rId99" Type="http://schemas.openxmlformats.org/officeDocument/2006/relationships/image" Target="media/image46.png"/><Relationship Id="rId100" Type="http://schemas.openxmlformats.org/officeDocument/2006/relationships/image" Target="media/image47.png"/><Relationship Id="rId101" Type="http://schemas.openxmlformats.org/officeDocument/2006/relationships/image" Target="media/image48.png"/><Relationship Id="rId102" Type="http://schemas.openxmlformats.org/officeDocument/2006/relationships/image" Target="media/image49.png"/><Relationship Id="rId103" Type="http://schemas.openxmlformats.org/officeDocument/2006/relationships/image" Target="media/image50.png"/><Relationship Id="rId104" Type="http://schemas.openxmlformats.org/officeDocument/2006/relationships/image" Target="media/image51.png"/><Relationship Id="rId105" Type="http://schemas.openxmlformats.org/officeDocument/2006/relationships/image" Target="media/image52.png"/><Relationship Id="rId106" Type="http://schemas.openxmlformats.org/officeDocument/2006/relationships/image" Target="media/image53.png"/><Relationship Id="rId107" Type="http://schemas.openxmlformats.org/officeDocument/2006/relationships/image" Target="media/image54.png"/><Relationship Id="rId108" Type="http://schemas.openxmlformats.org/officeDocument/2006/relationships/image" Target="media/image55.png"/><Relationship Id="rId109" Type="http://schemas.openxmlformats.org/officeDocument/2006/relationships/image" Target="media/image56.png"/><Relationship Id="rId110" Type="http://schemas.openxmlformats.org/officeDocument/2006/relationships/image" Target="media/image57.png"/><Relationship Id="rId111" Type="http://schemas.openxmlformats.org/officeDocument/2006/relationships/image" Target="media/image58.png"/><Relationship Id="rId112" Type="http://schemas.openxmlformats.org/officeDocument/2006/relationships/image" Target="media/image59.png"/><Relationship Id="rId113" Type="http://schemas.openxmlformats.org/officeDocument/2006/relationships/hyperlink" Target="https://europa.eu/eurobarometer/surveys/detail/2256" TargetMode="External"/><Relationship Id="rId114" Type="http://schemas.openxmlformats.org/officeDocument/2006/relationships/hyperlink" Target="https://europa.eu/eurobarometer/surveys/detail/2256" TargetMode="External"/><Relationship Id="rId115" Type="http://schemas.openxmlformats.org/officeDocument/2006/relationships/hyperlink" Target="https://europa.eu/eurobarometer/surveys/detail/2256" TargetMode="External"/><Relationship Id="rId116" Type="http://schemas.openxmlformats.org/officeDocument/2006/relationships/hyperlink" Target="https://europa.eu/eurobarometer/surveys/detail/2532" TargetMode="External"/><Relationship Id="rId117" Type="http://schemas.openxmlformats.org/officeDocument/2006/relationships/image" Target="media/image60.png"/><Relationship Id="rId118" Type="http://schemas.openxmlformats.org/officeDocument/2006/relationships/hyperlink" Target="http://www.kijkopeuropa.nl/" TargetMode="External"/><Relationship Id="rId119" Type="http://schemas.openxmlformats.org/officeDocument/2006/relationships/image" Target="media/image61.png"/><Relationship Id="rId120" Type="http://schemas.openxmlformats.org/officeDocument/2006/relationships/hyperlink" Target="https://futureu.europa.eu/pages/belgium" TargetMode="External"/><Relationship Id="rId121" Type="http://schemas.openxmlformats.org/officeDocument/2006/relationships/hyperlink" Target="https://futureu.europa.eu/pages/bulgaria" TargetMode="External"/><Relationship Id="rId122" Type="http://schemas.openxmlformats.org/officeDocument/2006/relationships/hyperlink" Target="https://futureu.europa.eu/pages/czechia" TargetMode="External"/><Relationship Id="rId123" Type="http://schemas.openxmlformats.org/officeDocument/2006/relationships/hyperlink" Target="https://futureu.europa.eu/pages/czechia" TargetMode="External"/><Relationship Id="rId124" Type="http://schemas.openxmlformats.org/officeDocument/2006/relationships/hyperlink" Target="https://futureu.europa.eu/pages/denmark" TargetMode="External"/><Relationship Id="rId125" Type="http://schemas.openxmlformats.org/officeDocument/2006/relationships/hyperlink" Target="https://futureu.europa.eu/pages/germany" TargetMode="External"/><Relationship Id="rId126" Type="http://schemas.openxmlformats.org/officeDocument/2006/relationships/hyperlink" Target="https://futureu.europa.eu/pages/germany" TargetMode="External"/><Relationship Id="rId127" Type="http://schemas.openxmlformats.org/officeDocument/2006/relationships/hyperlink" Target="https://futureu.europa.eu/pages/estonia" TargetMode="External"/><Relationship Id="rId128" Type="http://schemas.openxmlformats.org/officeDocument/2006/relationships/hyperlink" Target="https://futureu.europa.eu/pages/ireland" TargetMode="External"/><Relationship Id="rId129" Type="http://schemas.openxmlformats.org/officeDocument/2006/relationships/hyperlink" Target="https://futureu.europa.eu/pages/greece" TargetMode="External"/><Relationship Id="rId130" Type="http://schemas.openxmlformats.org/officeDocument/2006/relationships/hyperlink" Target="https://futureu.europa.eu/pages/spain" TargetMode="External"/><Relationship Id="rId131" Type="http://schemas.openxmlformats.org/officeDocument/2006/relationships/hyperlink" Target="https://futureu.europa.eu/pages/france" TargetMode="External"/><Relationship Id="rId132" Type="http://schemas.openxmlformats.org/officeDocument/2006/relationships/hyperlink" Target="https://futureu.europa.eu/pages/croatia" TargetMode="External"/><Relationship Id="rId133" Type="http://schemas.openxmlformats.org/officeDocument/2006/relationships/hyperlink" Target="https://futureu.europa.eu/pages/italy" TargetMode="External"/><Relationship Id="rId134" Type="http://schemas.openxmlformats.org/officeDocument/2006/relationships/hyperlink" Target="https://futureu.europa.eu/pages/cyprus" TargetMode="External"/><Relationship Id="rId135" Type="http://schemas.openxmlformats.org/officeDocument/2006/relationships/hyperlink" Target="https://futureu.europa.eu/pages/latvia" TargetMode="External"/><Relationship Id="rId136" Type="http://schemas.openxmlformats.org/officeDocument/2006/relationships/hyperlink" Target="https://futureu.europa.eu/pages/lithuania" TargetMode="External"/><Relationship Id="rId137" Type="http://schemas.openxmlformats.org/officeDocument/2006/relationships/hyperlink" Target="https://futureu.europa.eu/pages/luxembourg" TargetMode="External"/><Relationship Id="rId138" Type="http://schemas.openxmlformats.org/officeDocument/2006/relationships/hyperlink" Target="https://futureu.europa.eu/pages/hungary" TargetMode="External"/><Relationship Id="rId139" Type="http://schemas.openxmlformats.org/officeDocument/2006/relationships/hyperlink" Target="https://futureu.europa.eu/pages/malta" TargetMode="External"/><Relationship Id="rId140" Type="http://schemas.openxmlformats.org/officeDocument/2006/relationships/hyperlink" Target="https://futureu.europa.eu/pages/netherlands" TargetMode="External"/><Relationship Id="rId141" Type="http://schemas.openxmlformats.org/officeDocument/2006/relationships/hyperlink" Target="https://futureu.europa.eu/pages/austria" TargetMode="External"/><Relationship Id="rId142" Type="http://schemas.openxmlformats.org/officeDocument/2006/relationships/hyperlink" Target="https://futureu.europa.eu/pages/poland" TargetMode="External"/><Relationship Id="rId143" Type="http://schemas.openxmlformats.org/officeDocument/2006/relationships/hyperlink" Target="https://futureu.europa.eu/pages/portugal" TargetMode="External"/><Relationship Id="rId144" Type="http://schemas.openxmlformats.org/officeDocument/2006/relationships/hyperlink" Target="https://futureu.europa.eu/pages/romania" TargetMode="External"/><Relationship Id="rId145" Type="http://schemas.openxmlformats.org/officeDocument/2006/relationships/hyperlink" Target="https://futureu.europa.eu/pages/slovenia" TargetMode="External"/><Relationship Id="rId146" Type="http://schemas.openxmlformats.org/officeDocument/2006/relationships/hyperlink" Target="https://futureu.europa.eu/pages/slovakia" TargetMode="External"/><Relationship Id="rId147" Type="http://schemas.openxmlformats.org/officeDocument/2006/relationships/hyperlink" Target="https://futureu.europa.eu/pages/finland" TargetMode="External"/><Relationship Id="rId148" Type="http://schemas.openxmlformats.org/officeDocument/2006/relationships/hyperlink" Target="https://futureu.europa.eu/pages/sweden" TargetMode="External"/><Relationship Id="rId149"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0"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1"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2" Type="http://schemas.openxmlformats.org/officeDocument/2006/relationships/image" Target="media/image62.png"/><Relationship Id="rId153" Type="http://schemas.openxmlformats.org/officeDocument/2006/relationships/footnotes" Target="footnotes.xml"/><Relationship Id="rId154" Type="http://schemas.openxmlformats.org/officeDocument/2006/relationships/endnotes" Target="endnotes.xml"/><Relationship Id="rId155" Type="http://schemas.openxmlformats.org/officeDocument/2006/relationships/comments" Target="comments.xml"/><Relationship Id="rId156" Type="http://schemas.openxmlformats.org/officeDocument/2006/relationships/numbering" Target="numbering.xml"/><Relationship Id="rId157" Type="http://schemas.openxmlformats.org/officeDocument/2006/relationships/fontTable" Target="fontTable.xml"/><Relationship Id="rId158" Type="http://schemas.openxmlformats.org/officeDocument/2006/relationships/settings" Target="settings.xml"/>
</Relationships>
</file>

<file path=word/_rels/endnotes.xml.rels><?xml version="1.0" encoding="UTF-8"?>
<Relationships xmlns="http://schemas.openxmlformats.org/package/2006/relationships"><Relationship Id="rId1" Type="http://schemas.openxmlformats.org/officeDocument/2006/relationships/hyperlink" Target="https://futureu.europa.eu/processes/EUInTheWorld/f/16/proposals/197870?locale=fr" TargetMode="External"/>
</Relationships>
</file>

<file path=word/_rels/footnotes.xml.rels><?xml version="1.0" encoding="UTF-8"?>
<Relationships xmlns="http://schemas.openxmlformats.org/package/2006/relationships"><Relationship Id="rId1" Type="http://schemas.openxmlformats.org/officeDocument/2006/relationships/hyperlink" Target="https://futureu.europa.eu/" TargetMode="External"/><Relationship Id="rId2" Type="http://schemas.openxmlformats.org/officeDocument/2006/relationships/hyperlink" Target="https://futureu.europa.eu/uploads/decidim/attachment/file/4595/Conference_Charter_fr.pdf" TargetMode="External"/><Relationship Id="rId3" Type="http://schemas.openxmlformats.org/officeDocument/2006/relationships/hyperlink" Target="https://www.oecd.org/gov/open-government/innovative-citizen-participation-new-democratic-institutions-catching-the-deliberative-wave-highlights.pdf" TargetMode="External"/><Relationship Id="rId4" Type="http://schemas.openxmlformats.org/officeDocument/2006/relationships/hyperlink" Target="https://www.oecd.org/gov/open-government/innovative-citizen-participation-new-democratic-institutions-catching-the-deliberative-wave-highlights.pdf" TargetMode="External"/><Relationship Id="rId5" Type="http://schemas.openxmlformats.org/officeDocument/2006/relationships/hyperlink" Target="http://www.participation-citoyenne.gouv.fr/" TargetMode="External"/><Relationship Id="rId6" Type="http://schemas.openxmlformats.org/officeDocument/2006/relationships/hyperlink" Target="https://futureu.europa.eu/processes?locale=fr" TargetMode="External"/>
</Relationships>
</file>

<file path=docProps/app.xml><?xml version="1.0" encoding="utf-8"?>
<Properties xmlns="http://schemas.openxmlformats.org/officeDocument/2006/extended-properties" xmlns:vt="http://schemas.openxmlformats.org/officeDocument/2006/docPropsVTypes">
  <Template/>
  <TotalTime>2158</TotalTime>
  <Application>LibreOffice/6.0.2.1$Windows_x86 LibreOffice_project/f7f06a8f319e4b62f9bc5095aa112a65d2f3ac89</Application>
  <Pages>293</Pages>
  <Words>96202</Words>
  <Characters>572300</Characters>
  <CharactersWithSpaces>665369</CharactersWithSpaces>
  <Paragraphs>6026</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2022-05-31T09:31:16Z</dcterms:created>
  <dc:creator>Pierre Dieumegard</dc:creator>
  <dc:description/>
  <dc:language>fr-FR</dc:language>
  <cp:lastModifiedBy>Pierre Dieumegard</cp:lastModifiedBy>
  <dcterms:modified xsi:type="dcterms:W3CDTF">2022-09-01T16:00:00Z</dcterms:modified>
  <cp:revision>68</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ies>
</file>