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rFonts w:ascii="Arial" w:hAnsi="Arial"/>
        </w:rPr>
      </w:pPr>
      <w:r>
        <w:rPr>
          <w:position w:val="6"/>
        </w:rPr>
        <w:t xml:space="preserve">Конференция на </w:t>
      </w:r>
      <w:r>
        <w:rPr/>
        <w:br/>
        <w:t>бъдещето на Европа</w:t>
      </w:r>
    </w:p>
    <w:p>
      <w:pPr>
        <w:pStyle w:val="P68B1DB1Normal2"/>
        <w:widowControl w:val="false"/>
        <w:spacing w:lineRule="exact" w:line="557"/>
        <w:ind w:left="56" w:right="1390" w:firstLine="8"/>
        <w:jc w:val="left"/>
        <w:rPr>
          <w:rFonts w:ascii="Arial" w:hAnsi="Arial"/>
          <w:color w:val="0000BE"/>
          <w:sz w:val="44"/>
        </w:rPr>
      </w:pPr>
      <w:r>
        <w:rPr/>
        <w:t xml:space="preserve">ДОКЛАД ЗА ОКОНЧАТЕЛНИТЕ РЕЗУЛТАТИ </w:t>
      </w:r>
    </w:p>
    <w:p>
      <w:pPr>
        <w:pStyle w:val="P68B1DB1Normal3"/>
        <w:widowControl w:val="false"/>
        <w:spacing w:lineRule="exact" w:line="557"/>
        <w:ind w:left="56" w:right="1390" w:hanging="0"/>
        <w:jc w:val="left"/>
        <w:rPr>
          <w:rFonts w:ascii="Roboto" w:hAnsi="Roboto"/>
          <w:color w:val="0000BE"/>
          <w:sz w:val="28"/>
        </w:rPr>
      </w:pPr>
      <w:r>
        <w:rPr/>
        <w:t>май 2022</w:t>
      </w:r>
      <w:r>
        <w:rPr>
          <w:rFonts w:ascii="Roboto" w:hAnsi="Roboto"/>
        </w:rPr>
        <w:t xml:space="preserve"> </w:t>
      </w:r>
    </w:p>
    <w:p>
      <w:pPr>
        <w:pStyle w:val="Normal"/>
        <w:rPr/>
      </w:pPr>
      <w:r>
        <w:rPr/>
        <w:drawing>
          <wp:anchor behindDoc="0" distT="0" distB="0" distL="0" distR="0" simplePos="0" locked="0" layoutInCell="1" allowOverlap="1" relativeHeight="63">
            <wp:simplePos x="0" y="0"/>
            <wp:positionH relativeFrom="column">
              <wp:posOffset>88265</wp:posOffset>
            </wp:positionH>
            <wp:positionV relativeFrom="paragraph">
              <wp:posOffset>52070</wp:posOffset>
            </wp:positionV>
            <wp:extent cx="5660390" cy="4556125"/>
            <wp:effectExtent l="0" t="0" r="0" b="0"/>
            <wp:wrapTopAndBottom/>
            <wp:docPr id="1" name="Снимка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нимка 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pPr>
      <w:r>
        <w:rPr/>
      </w:r>
    </w:p>
    <w:p>
      <w:pPr>
        <w:pStyle w:val="Normal"/>
        <w:widowControl w:val="false"/>
        <w:spacing w:lineRule="exact" w:line="576"/>
        <w:ind w:left="51" w:right="0" w:hanging="0"/>
        <w:jc w:val="left"/>
        <w:rPr>
          <w:rFonts w:ascii="Arial" w:hAnsi="Arial"/>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5890" cy="1109980"/>
                <wp:effectExtent l="0" t="0" r="0" b="0"/>
                <wp:wrapSquare wrapText="bothSides"/>
                <wp:docPr id="2" name="Рамка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4" name="Снимка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нимка 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Конференция за</w:t>
                            </w:r>
                            <w:r>
                              <w:rPr>
                                <w:b/>
                              </w:rPr>
                              <w:t>бъдещето</w:t>
                            </w:r>
                            <w:r>
                              <w:rPr/>
                              <w:t xml:space="preserve"> на</w:t>
                            </w:r>
                            <w:r>
                              <w:rPr>
                                <w:b/>
                              </w:rPr>
                              <w:t>Европа</w:t>
                            </w:r>
                          </w:p>
                        </w:txbxContent>
                      </wps:txbx>
                      <wps:bodyPr lIns="54000" rIns="54000" tIns="54000" bIns="54000">
                        <a:noAutofit/>
                      </wps:bodyPr>
                    </wps:wsp>
                  </a:graphicData>
                </a:graphic>
              </wp:anchor>
            </w:drawing>
          </mc:Choice>
          <mc:Fallback>
            <w:pict>
              <v:rect id="shape_0" ID="Рамка1" fillcolor="white" stroked="f" style="position:absolute;margin-left:251.95pt;margin-top:17.3pt;width:210.6pt;height:87.3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5" name="Снимка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нимка 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Конференция за</w:t>
                      </w:r>
                      <w:r>
                        <w:rPr>
                          <w:b/>
                        </w:rPr>
                        <w:t>бъдещето</w:t>
                      </w:r>
                      <w:r>
                        <w:rPr/>
                        <w:t xml:space="preserve"> на</w:t>
                      </w:r>
                      <w:r>
                        <w:rPr>
                          <w:b/>
                        </w:rPr>
                        <w:t>Европа</w:t>
                      </w:r>
                    </w:p>
                  </w:txbxContent>
                </v:textbox>
              </v:rect>
            </w:pict>
          </mc:Fallback>
        </mc:AlternateContent>
      </w:r>
      <w:r>
        <w:rPr>
          <w:b/>
          <w:color w:val="0000BE"/>
          <w:sz w:val="48"/>
        </w:rPr>
        <w:t>Бъдещето</w:t>
      </w:r>
      <w:r>
        <w:rPr>
          <w:color w:val="0000BE"/>
          <w:sz w:val="48"/>
        </w:rPr>
        <w:t xml:space="preserve"> е</w:t>
      </w:r>
      <w:r>
        <w:rPr/>
        <w:t xml:space="preserve"> </w:t>
      </w:r>
    </w:p>
    <w:p>
      <w:pPr>
        <w:pStyle w:val="P68B1DB1Normal5"/>
        <w:widowControl w:val="false"/>
        <w:spacing w:lineRule="exact" w:line="576"/>
        <w:ind w:left="51" w:right="0" w:hanging="0"/>
        <w:jc w:val="left"/>
        <w:rPr>
          <w:rFonts w:ascii="Arial" w:hAnsi="Arial"/>
        </w:rPr>
      </w:pPr>
      <w:r>
        <w:rPr/>
        <w:t>във вашите ръце</w:t>
      </w:r>
    </w:p>
    <w:p>
      <w:pPr>
        <w:pStyle w:val="Normal"/>
        <w:rPr/>
      </w:pPr>
      <w:r>
        <w:rPr/>
      </w:r>
      <w:r>
        <w:br w:type="page"/>
      </w:r>
    </w:p>
    <w:p>
      <w:pPr>
        <w:pStyle w:val="Normal"/>
        <w:rPr/>
      </w:pPr>
      <w:r>
        <w:rPr/>
        <mc:AlternateContent>
          <mc:Choice Requires="wps">
            <w:drawing>
              <wp:anchor behindDoc="0" distT="72390" distB="72390" distL="72390" distR="72390" simplePos="0" locked="0" layoutInCell="1" allowOverlap="1" relativeHeight="62">
                <wp:simplePos x="0" y="0"/>
                <wp:positionH relativeFrom="column">
                  <wp:posOffset>4445</wp:posOffset>
                </wp:positionH>
                <wp:positionV relativeFrom="paragraph">
                  <wp:posOffset>85725</wp:posOffset>
                </wp:positionV>
                <wp:extent cx="6020435" cy="8688070"/>
                <wp:effectExtent l="0" t="0" r="0" b="0"/>
                <wp:wrapSquare wrapText="bothSides"/>
                <wp:docPr id="6" name="Рамка16"/>
                <a:graphic xmlns:a="http://schemas.openxmlformats.org/drawingml/2006/main">
                  <a:graphicData uri="http://schemas.microsoft.com/office/word/2010/wordprocessingShape">
                    <wps:wsp>
                      <wps:cNvSpPr/>
                      <wps:spPr>
                        <a:xfrm>
                          <a:off x="0" y="0"/>
                          <a:ext cx="6019920" cy="868752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rFonts w:ascii="Times New Roman" w:hAnsi="Times New Roman"/>
                                <w:b/>
                                <w:b/>
                                <w:sz w:val="24"/>
                              </w:rPr>
                            </w:pPr>
                            <w:r>
                              <w:rPr>
                                <w:color w:val="auto"/>
                              </w:rPr>
                              <w:t>Документ, изготвен от Pierre Dieumegard</w:t>
                            </w:r>
                            <w:r>
                              <w:rPr>
                                <w:color w:val="auto"/>
                              </w:rPr>
                              <w:drawing>
                                <wp:inline distT="0" distB="0" distL="0" distR="0">
                                  <wp:extent cx="2494280" cy="765175"/>
                                  <wp:effectExtent l="0" t="0" r="0" b="0"/>
                                  <wp:docPr id="8" name="Снимка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нимка 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за Европа-Демокрация-Есперанто</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Целта на този „временен“ документ е да се даде възможност на повече хора в Европейския съюз да разберат документите, изготвени за Европейския съюз (и финансирани от техните вноски). </w:t>
                            </w:r>
                            <w:hyperlink r:id="rId5">
                              <w:r>
                                <w:rPr>
                                  <w:rStyle w:val="LienInternet"/>
                                  <w:rFonts w:ascii="Times New Roman" w:hAnsi="Times New Roman"/>
                                  <w:color w:val="auto"/>
                                  <w:sz w:val="24"/>
                                </w:rPr>
                                <w:t xml:space="preserve">Оригиналният документ нафренски език във формат PDF </w:t>
                              </w:r>
                            </w:hyperlink>
                            <w:r>
                              <w:rPr>
                                <w:rFonts w:ascii="Times New Roman" w:hAnsi="Times New Roman"/>
                                <w:color w:val="auto"/>
                                <w:sz w:val="24"/>
                              </w:rPr>
                              <w:t xml:space="preserve">е форматиран с помощта на софтуера Libre Office. Преводът на всички официални езици на Европейския съюз се извършва чрез </w:t>
                            </w:r>
                            <w:hyperlink r:id="rId6">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Свършихме тази работа поради необходимостта от по-добро многоезичие в Европейския съюз: без преводи голяма част от населението е изключено от дебата. </w:t>
                            </w:r>
                            <w:r>
                              <w:rPr>
                                <w:b/>
                                <w:color w:val="auto"/>
                              </w:rPr>
                              <w:t>Желателно е администрацията на Европейския съюз да поеме превода на важни документи, така че всички европейци да могат да разберат за какво става въпрос и да обсъдят заедно общото си бъдеще.</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За добра пряка комуникация между европейските граждани, за надеждни преводи международният език на есперанто би бил много полезен поради своята простота, редовност и прецизност.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В интернет: </w:t>
                            </w:r>
                          </w:p>
                          <w:p>
                            <w:pPr>
                              <w:pStyle w:val="Normal"/>
                              <w:rPr/>
                            </w:pPr>
                            <w:r>
                              <w:rPr>
                                <w:rFonts w:ascii="Times New Roman" w:hAnsi="Times New Roman"/>
                                <w:color w:val="auto"/>
                                <w:sz w:val="24"/>
                              </w:rPr>
                              <w:t xml:space="preserve"> </w:t>
                            </w:r>
                            <w:r>
                              <w:rPr>
                                <w:rFonts w:ascii="Times New Roman" w:hAnsi="Times New Roman"/>
                                <w:color w:val="auto"/>
                                <w:sz w:val="24"/>
                              </w:rPr>
                              <w:t>Федерация E</w:t>
                            </w:r>
                            <w:r>
                              <w:rPr>
                                <w:rFonts w:ascii="Times New Roman" w:hAnsi="Times New Roman"/>
                                <w:color w:val="auto"/>
                                <w:sz w:val="24"/>
                              </w:rPr>
                              <w:t>ŭ</w:t>
                            </w:r>
                            <w:r>
                              <w:rPr>
                                <w:rFonts w:ascii="Times New Roman" w:hAnsi="Times New Roman"/>
                                <w:color w:val="auto"/>
                                <w:sz w:val="24"/>
                              </w:rPr>
                              <w:t xml:space="preserve">ropo-Demokratio-Esperanto:   </w:t>
                            </w:r>
                            <w:hyperlink r:id="rId7">
                              <w:r>
                                <w:rPr>
                                  <w:rStyle w:val="LienInternet"/>
                                  <w:rFonts w:ascii="Times New Roman" w:hAnsi="Times New Roman"/>
                                  <w:color w:val="auto"/>
                                  <w:sz w:val="24"/>
                                </w:rPr>
                                <w:t>https://e-d-e.org/</w:t>
                              </w:r>
                            </w:hyperlink>
                            <w:r>
                              <w:rPr>
                                <w:rFonts w:ascii="Times New Roman" w:hAnsi="Times New Roman"/>
                                <w:color w:val="auto"/>
                                <w:sz w:val="24"/>
                              </w:rPr>
                              <w:t xml:space="preserve"> (или </w:t>
                            </w:r>
                            <w:hyperlink r:id="rId8">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Асоциация Европа-Демокрация-Есперанто (Франция):   </w:t>
                            </w:r>
                            <w:hyperlink r:id="rId9">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Европейски документи на всички официални езици: </w:t>
                            </w:r>
                            <w:hyperlink r:id="rId10">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В сравнение с оригиналния документ има някои промени (подобрения?): </w:t>
                            </w:r>
                          </w:p>
                          <w:p>
                            <w:pPr>
                              <w:pStyle w:val="P68B1DB1Normal7"/>
                              <w:rPr>
                                <w:rFonts w:ascii="Times New Roman" w:hAnsi="Times New Roman"/>
                                <w:sz w:val="24"/>
                              </w:rPr>
                            </w:pPr>
                            <w:r>
                              <w:rPr>
                                <w:color w:val="auto"/>
                              </w:rPr>
                              <w:t>някои правописни грешки са коригирани. Може би има и други грешки?</w:t>
                            </w:r>
                          </w:p>
                          <w:p>
                            <w:pPr>
                              <w:pStyle w:val="P68B1DB1Normal7"/>
                              <w:rPr>
                                <w:rFonts w:ascii="Times New Roman" w:hAnsi="Times New Roman"/>
                                <w:sz w:val="24"/>
                              </w:rPr>
                            </w:pPr>
                            <w:r>
                              <w:rPr>
                                <w:color w:val="auto"/>
                              </w:rPr>
                              <w:t xml:space="preserve">— </w:t>
                            </w:r>
                            <w:r>
                              <w:rPr>
                                <w:color w:val="auto"/>
                              </w:rPr>
                              <w:t>оформлението е хармонизирано и всички страници са номерирани по подходящ начин (първоначалният документ е съпоставяне на отделни PDF файлове с независими номера).</w:t>
                            </w:r>
                          </w:p>
                          <w:p>
                            <w:pPr>
                              <w:pStyle w:val="P68B1DB1Normal7"/>
                              <w:rPr>
                                <w:rFonts w:ascii="Times New Roman" w:hAnsi="Times New Roman"/>
                                <w:sz w:val="24"/>
                              </w:rPr>
                            </w:pPr>
                            <w:r>
                              <w:rPr>
                                <w:color w:val="auto"/>
                              </w:rPr>
                              <w:t xml:space="preserve">— </w:t>
                            </w:r>
                            <w:r>
                              <w:rPr>
                                <w:color w:val="auto"/>
                              </w:rPr>
                              <w:t>крайните бележки са трансформирани в бележки в края на секцията (в долната част на страниците).</w:t>
                            </w:r>
                          </w:p>
                          <w:p>
                            <w:pPr>
                              <w:pStyle w:val="P68B1DB1Normal7"/>
                              <w:spacing w:before="57" w:after="57"/>
                              <w:rPr>
                                <w:color w:val="auto"/>
                              </w:rPr>
                            </w:pPr>
                            <w:r>
                              <w:rPr>
                                <w:color w:val="auto"/>
                              </w:rPr>
                              <w:t xml:space="preserve">— </w:t>
                            </w:r>
                            <w:r>
                              <w:rPr>
                                <w:color w:val="auto"/>
                              </w:rPr>
                              <w:t>документите, първоначално под формата на изображения, са трансформирани в таблици, за да бъдат лесно преведени.</w:t>
                            </w:r>
                          </w:p>
                        </w:txbxContent>
                      </wps:txbx>
                      <wps:bodyPr lIns="54000" rIns="54000" tIns="54000" bIns="54000">
                        <a:noAutofit/>
                      </wps:bodyPr>
                    </wps:wsp>
                  </a:graphicData>
                </a:graphic>
              </wp:anchor>
            </w:drawing>
          </mc:Choice>
          <mc:Fallback>
            <w:pict>
              <v:rect id="shape_0" ID="Рамка16" fillcolor="white" stroked="t" style="position:absolute;margin-left:0.35pt;margin-top:6.75pt;width:473.95pt;height:684pt">
                <w10:wrap type="square"/>
                <v:fill o:detectmouseclick="t" type="solid" color2="black"/>
                <v:stroke color="black" weight="720" joinstyle="round" endcap="flat"/>
                <v:textbox>
                  <w:txbxContent>
                    <w:p>
                      <w:pPr>
                        <w:pStyle w:val="P68B1DB1Normal6"/>
                        <w:spacing w:before="57" w:after="57"/>
                        <w:rPr>
                          <w:rFonts w:ascii="Times New Roman" w:hAnsi="Times New Roman"/>
                          <w:b/>
                          <w:b/>
                          <w:sz w:val="24"/>
                        </w:rPr>
                      </w:pPr>
                      <w:r>
                        <w:rPr>
                          <w:color w:val="auto"/>
                        </w:rPr>
                        <w:t>Документ, изготвен от Pierre Dieumegard</w:t>
                      </w:r>
                      <w:r>
                        <w:rPr>
                          <w:color w:val="auto"/>
                        </w:rPr>
                        <w:drawing>
                          <wp:inline distT="0" distB="0" distL="0" distR="0">
                            <wp:extent cx="2494280" cy="765175"/>
                            <wp:effectExtent l="0" t="0" r="0" b="0"/>
                            <wp:docPr id="9" name="Снимка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нимка 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за Европа-Демокрация-Есперанто</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Целта на този „временен“ документ е да се даде възможност на повече хора в Европейския съюз да разберат документите, изготвени за Европейския съюз (и финансирани от техните вноски). </w:t>
                      </w:r>
                      <w:hyperlink r:id="rId11">
                        <w:r>
                          <w:rPr>
                            <w:rStyle w:val="LienInternet"/>
                            <w:rFonts w:ascii="Times New Roman" w:hAnsi="Times New Roman"/>
                            <w:color w:val="auto"/>
                            <w:sz w:val="24"/>
                          </w:rPr>
                          <w:t xml:space="preserve">Оригиналният документ нафренски език във формат PDF </w:t>
                        </w:r>
                      </w:hyperlink>
                      <w:r>
                        <w:rPr>
                          <w:rFonts w:ascii="Times New Roman" w:hAnsi="Times New Roman"/>
                          <w:color w:val="auto"/>
                          <w:sz w:val="24"/>
                        </w:rPr>
                        <w:t xml:space="preserve">е форматиран с помощта на софтуера Libre Office. Преводът на всички официални езици на Европейския съюз се извършва чрез </w:t>
                      </w:r>
                      <w:hyperlink r:id="rId12">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Свършихме тази работа поради необходимостта от по-добро многоезичие в Европейския съюз: без преводи голяма част от населението е изключено от дебата. </w:t>
                      </w:r>
                      <w:r>
                        <w:rPr>
                          <w:b/>
                          <w:color w:val="auto"/>
                        </w:rPr>
                        <w:t>Желателно е администрацията на Европейския съюз да поеме превода на важни документи, така че всички европейци да могат да разберат за какво става въпрос и да обсъдят заедно общото си бъдеще.</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За добра пряка комуникация между европейските граждани, за надеждни преводи международният език на есперанто би бил много полезен поради своята простота, редовност и прецизност.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В интернет: </w:t>
                      </w:r>
                    </w:p>
                    <w:p>
                      <w:pPr>
                        <w:pStyle w:val="Normal"/>
                        <w:rPr/>
                      </w:pPr>
                      <w:r>
                        <w:rPr>
                          <w:rFonts w:ascii="Times New Roman" w:hAnsi="Times New Roman"/>
                          <w:color w:val="auto"/>
                          <w:sz w:val="24"/>
                        </w:rPr>
                        <w:t xml:space="preserve"> </w:t>
                      </w:r>
                      <w:r>
                        <w:rPr>
                          <w:rFonts w:ascii="Times New Roman" w:hAnsi="Times New Roman"/>
                          <w:color w:val="auto"/>
                          <w:sz w:val="24"/>
                        </w:rPr>
                        <w:t>Федерация E</w:t>
                      </w:r>
                      <w:r>
                        <w:rPr>
                          <w:rFonts w:ascii="Times New Roman" w:hAnsi="Times New Roman"/>
                          <w:color w:val="auto"/>
                          <w:sz w:val="24"/>
                        </w:rPr>
                        <w:t>ŭ</w:t>
                      </w:r>
                      <w:r>
                        <w:rPr>
                          <w:rFonts w:ascii="Times New Roman" w:hAnsi="Times New Roman"/>
                          <w:color w:val="auto"/>
                          <w:sz w:val="24"/>
                        </w:rPr>
                        <w:t xml:space="preserve">ropo-Demokratio-Esperanto:   </w:t>
                      </w:r>
                      <w:hyperlink r:id="rId13">
                        <w:r>
                          <w:rPr>
                            <w:rStyle w:val="LienInternet"/>
                            <w:rFonts w:ascii="Times New Roman" w:hAnsi="Times New Roman"/>
                            <w:color w:val="auto"/>
                            <w:sz w:val="24"/>
                          </w:rPr>
                          <w:t>https://e-d-e.org/</w:t>
                        </w:r>
                      </w:hyperlink>
                      <w:r>
                        <w:rPr>
                          <w:rFonts w:ascii="Times New Roman" w:hAnsi="Times New Roman"/>
                          <w:color w:val="auto"/>
                          <w:sz w:val="24"/>
                        </w:rPr>
                        <w:t xml:space="preserve"> (или </w:t>
                      </w:r>
                      <w:hyperlink r:id="rId14">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Асоциация Европа-Демокрация-Есперанто (Франция):   </w:t>
                      </w:r>
                      <w:hyperlink r:id="rId15">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Европейски документи на всички официални езици: </w:t>
                      </w:r>
                      <w:hyperlink r:id="rId16">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В сравнение с оригиналния документ има някои промени (подобрения?): </w:t>
                      </w:r>
                    </w:p>
                    <w:p>
                      <w:pPr>
                        <w:pStyle w:val="P68B1DB1Normal7"/>
                        <w:rPr>
                          <w:rFonts w:ascii="Times New Roman" w:hAnsi="Times New Roman"/>
                          <w:sz w:val="24"/>
                        </w:rPr>
                      </w:pPr>
                      <w:r>
                        <w:rPr>
                          <w:color w:val="auto"/>
                        </w:rPr>
                        <w:t>някои правописни грешки са коригирани. Може би има и други грешки?</w:t>
                      </w:r>
                    </w:p>
                    <w:p>
                      <w:pPr>
                        <w:pStyle w:val="P68B1DB1Normal7"/>
                        <w:rPr>
                          <w:rFonts w:ascii="Times New Roman" w:hAnsi="Times New Roman"/>
                          <w:sz w:val="24"/>
                        </w:rPr>
                      </w:pPr>
                      <w:r>
                        <w:rPr>
                          <w:color w:val="auto"/>
                        </w:rPr>
                        <w:t xml:space="preserve">— </w:t>
                      </w:r>
                      <w:r>
                        <w:rPr>
                          <w:color w:val="auto"/>
                        </w:rPr>
                        <w:t>оформлението е хармонизирано и всички страници са номерирани по подходящ начин (първоначалният документ е съпоставяне на отделни PDF файлове с независими номера).</w:t>
                      </w:r>
                    </w:p>
                    <w:p>
                      <w:pPr>
                        <w:pStyle w:val="P68B1DB1Normal7"/>
                        <w:rPr>
                          <w:rFonts w:ascii="Times New Roman" w:hAnsi="Times New Roman"/>
                          <w:sz w:val="24"/>
                        </w:rPr>
                      </w:pPr>
                      <w:r>
                        <w:rPr>
                          <w:color w:val="auto"/>
                        </w:rPr>
                        <w:t xml:space="preserve">— </w:t>
                      </w:r>
                      <w:r>
                        <w:rPr>
                          <w:color w:val="auto"/>
                        </w:rPr>
                        <w:t>крайните бележки са трансформирани в бележки в края на секцията (в долната част на страниците).</w:t>
                      </w:r>
                    </w:p>
                    <w:p>
                      <w:pPr>
                        <w:pStyle w:val="P68B1DB1Normal7"/>
                        <w:spacing w:before="57" w:after="57"/>
                        <w:rPr>
                          <w:color w:val="auto"/>
                        </w:rPr>
                      </w:pPr>
                      <w:r>
                        <w:rPr>
                          <w:color w:val="auto"/>
                        </w:rPr>
                        <w:t xml:space="preserve">— </w:t>
                      </w:r>
                      <w:r>
                        <w:rPr>
                          <w:color w:val="auto"/>
                        </w:rPr>
                        <w:t>документите, първоначално под формата на изображения, са трансформирани в таблици, за да бъдат лесно преведени.</w:t>
                      </w:r>
                    </w:p>
                  </w:txbxContent>
                </v:textbox>
              </v:rect>
            </w:pict>
          </mc:Fallback>
        </mc:AlternateContent>
      </w:r>
    </w:p>
    <w:p>
      <w:pPr>
        <w:pStyle w:val="Normal"/>
        <w:rPr/>
      </w:pPr>
      <w:r>
        <w:rPr/>
      </w:r>
      <w:r>
        <w:br w:type="page"/>
      </w:r>
    </w:p>
    <w:sdt>
      <w:sdtPr>
        <w:docPartObj>
          <w:docPartGallery w:val="Table of Contents"/>
          <w:docPartUnique w:val="true"/>
        </w:docPartObj>
      </w:sdtPr>
      <w:sdtContent>
        <w:p>
          <w:pPr>
            <w:pStyle w:val="TOAHeading"/>
            <w:rPr/>
          </w:pPr>
          <w:r>
            <w:rPr/>
            <w:t>Съдържание</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I. Архитектурата на конференцията</w:t>
              <w:tab/>
              <w:t>7</w:t>
            </w:r>
          </w:hyperlink>
        </w:p>
        <w:p>
          <w:pPr>
            <w:pStyle w:val="Tabledesmatiresniveau2"/>
            <w:tabs>
              <w:tab w:val="right" w:pos="9638" w:leader="dot"/>
            </w:tabs>
            <w:rPr/>
          </w:pPr>
          <w:hyperlink w:anchor="__RefHeading___Toc298048_1346298689">
            <w:r>
              <w:rPr>
                <w:rStyle w:val="Sautdindex"/>
              </w:rPr>
              <w:t>1. Съвместна декларация</w:t>
              <w:tab/>
              <w:t>8</w:t>
            </w:r>
          </w:hyperlink>
        </w:p>
        <w:p>
          <w:pPr>
            <w:pStyle w:val="Tabledesmatiresniveau2"/>
            <w:tabs>
              <w:tab w:val="right" w:pos="9638" w:leader="dot"/>
            </w:tabs>
            <w:rPr/>
          </w:pPr>
          <w:hyperlink w:anchor="__RefHeading___Toc298050_1346298689">
            <w:r>
              <w:rPr>
                <w:rStyle w:val="Sautdindex"/>
              </w:rPr>
              <w:t>2. Правилник за дейността</w:t>
              <w:tab/>
              <w:t>9</w:t>
            </w:r>
          </w:hyperlink>
        </w:p>
        <w:p>
          <w:pPr>
            <w:pStyle w:val="Tabledesmatiresniveau2"/>
            <w:tabs>
              <w:tab w:val="right" w:pos="9638" w:leader="dot"/>
            </w:tabs>
            <w:rPr/>
          </w:pPr>
          <w:hyperlink w:anchor="__RefHeading___Toc298052_1346298689">
            <w:r>
              <w:rPr>
                <w:rStyle w:val="Sautdindex"/>
              </w:rPr>
              <w:t>3. Събития, свързани с конференцията</w:t>
              <w:tab/>
              <w:t>9</w:t>
            </w:r>
          </w:hyperlink>
        </w:p>
        <w:p>
          <w:pPr>
            <w:pStyle w:val="Tabledesmatiresniveau2"/>
            <w:tabs>
              <w:tab w:val="right" w:pos="9638" w:leader="dot"/>
            </w:tabs>
            <w:rPr/>
          </w:pPr>
          <w:hyperlink w:anchor="__RefHeading___Toc298054_1346298689">
            <w:r>
              <w:rPr>
                <w:rStyle w:val="Sautdindex"/>
              </w:rPr>
              <w:t>4. Внедряване на многоезичната цифрова платформа</w:t>
              <w:tab/>
              <w:t>9</w:t>
            </w:r>
          </w:hyperlink>
        </w:p>
        <w:p>
          <w:pPr>
            <w:pStyle w:val="Tabledesmatiresniveau2"/>
            <w:tabs>
              <w:tab w:val="right" w:pos="9638" w:leader="dot"/>
            </w:tabs>
            <w:rPr/>
          </w:pPr>
          <w:hyperlink w:anchor="__RefHeading___Toc298056_1346298689">
            <w:r>
              <w:rPr>
                <w:rStyle w:val="Sautdindex"/>
              </w:rPr>
              <w:t>5. Европейски граждански панели</w:t>
              <w:tab/>
              <w:t>10</w:t>
            </w:r>
          </w:hyperlink>
        </w:p>
        <w:p>
          <w:pPr>
            <w:pStyle w:val="Tabledesmatiresniveau2"/>
            <w:tabs>
              <w:tab w:val="right" w:pos="9638" w:leader="dot"/>
            </w:tabs>
            <w:rPr/>
          </w:pPr>
          <w:hyperlink w:anchor="__RefHeading___Toc298058_1346298689">
            <w:r>
              <w:rPr>
                <w:rStyle w:val="Sautdindex"/>
              </w:rPr>
              <w:t>6. Национални граждански панели</w:t>
              <w:tab/>
              <w:t>10</w:t>
            </w:r>
          </w:hyperlink>
        </w:p>
        <w:p>
          <w:pPr>
            <w:pStyle w:val="Tabledesmatiresniveau1"/>
            <w:tabs>
              <w:tab w:val="right" w:pos="9638" w:leader="dot"/>
            </w:tabs>
            <w:rPr/>
          </w:pPr>
          <w:hyperlink w:anchor="__RefHeading___Toc298188_1346298689">
            <w:r>
              <w:rPr>
                <w:rStyle w:val="Sautdindex"/>
              </w:rPr>
              <w:t>НЕ, НЕ, НЕ, НЕ. Принос на гражданите към конференцията</w:t>
              <w:tab/>
              <w:t>11</w:t>
            </w:r>
          </w:hyperlink>
        </w:p>
        <w:p>
          <w:pPr>
            <w:pStyle w:val="Tabledesmatiresniveau2"/>
            <w:tabs>
              <w:tab w:val="right" w:pos="9638" w:leader="dot"/>
            </w:tabs>
            <w:rPr/>
          </w:pPr>
          <w:hyperlink w:anchor="__RefHeading___Toc298190_1346298689">
            <w:r>
              <w:rPr>
                <w:rStyle w:val="Sautdindex"/>
              </w:rPr>
              <w:t>A. Многоезична цифрова платформа</w:t>
              <w:tab/>
              <w:t>12</w:t>
            </w:r>
          </w:hyperlink>
        </w:p>
        <w:p>
          <w:pPr>
            <w:pStyle w:val="Tabledesmatiresniveau2"/>
            <w:tabs>
              <w:tab w:val="right" w:pos="9638" w:leader="dot"/>
            </w:tabs>
            <w:rPr/>
          </w:pPr>
          <w:hyperlink w:anchor="__RefHeading___Toc298192_1346298689">
            <w:r>
              <w:rPr>
                <w:rStyle w:val="Sautdindex"/>
              </w:rPr>
              <w:t>Б. Граждански панели</w:t>
              <w:tab/>
              <w:t>17</w:t>
            </w:r>
          </w:hyperlink>
        </w:p>
        <w:p>
          <w:pPr>
            <w:pStyle w:val="Tabledesmatiresniveau2"/>
            <w:tabs>
              <w:tab w:val="right" w:pos="9638" w:leader="dot"/>
            </w:tabs>
            <w:rPr/>
          </w:pPr>
          <w:hyperlink w:anchor="__RefHeading___Toc298228_1346298689">
            <w:r>
              <w:rPr>
                <w:rStyle w:val="Sautdindex"/>
              </w:rPr>
              <w:t>В. В. Събития, организирани в рамките на конференцията</w:t>
              <w:tab/>
              <w:t>28</w:t>
            </w:r>
          </w:hyperlink>
        </w:p>
        <w:p>
          <w:pPr>
            <w:pStyle w:val="Tabledesmatiresniveau1"/>
            <w:tabs>
              <w:tab w:val="right" w:pos="9638" w:leader="dot"/>
            </w:tabs>
            <w:rPr/>
          </w:pPr>
          <w:hyperlink w:anchor="__RefHeading___Toc298238_1346298689">
            <w:r>
              <w:rPr>
                <w:rStyle w:val="Sautdindex"/>
              </w:rPr>
              <w:t>НА ТРЕТО МЯСТО. Пленарна асамблея на Конференцията</w:t>
              <w:tab/>
              <w:t>37</w:t>
            </w:r>
          </w:hyperlink>
        </w:p>
        <w:p>
          <w:pPr>
            <w:pStyle w:val="Tabledesmatiresniveau2"/>
            <w:tabs>
              <w:tab w:val="right" w:pos="9638" w:leader="dot"/>
            </w:tabs>
            <w:rPr/>
          </w:pPr>
          <w:hyperlink w:anchor="__RefHeading___Toc298240_1346298689">
            <w:r>
              <w:rPr>
                <w:rStyle w:val="Sautdindex"/>
              </w:rPr>
              <w:t>A. Роля и функциониране на пленарната асамблея</w:t>
              <w:tab/>
              <w:t>38</w:t>
            </w:r>
          </w:hyperlink>
        </w:p>
        <w:p>
          <w:pPr>
            <w:pStyle w:val="Tabledesmatiresniveau2"/>
            <w:tabs>
              <w:tab w:val="right" w:pos="9638" w:leader="dot"/>
            </w:tabs>
            <w:rPr/>
          </w:pPr>
          <w:hyperlink w:anchor="__RefHeading___Toc298242_1346298689">
            <w:r>
              <w:rPr>
                <w:rStyle w:val="Sautdindex"/>
              </w:rPr>
              <w:t>Б. Работни групи</w:t>
              <w:tab/>
              <w:t>39</w:t>
            </w:r>
          </w:hyperlink>
        </w:p>
        <w:p>
          <w:pPr>
            <w:pStyle w:val="Tabledesmatiresniveau2"/>
            <w:tabs>
              <w:tab w:val="right" w:pos="9638" w:leader="dot"/>
            </w:tabs>
            <w:rPr/>
          </w:pPr>
          <w:hyperlink w:anchor="__RefHeading___Toc298244_1346298689">
            <w:r>
              <w:rPr>
                <w:rStyle w:val="Sautdindex"/>
              </w:rPr>
              <w:t>В. Хронологично резюме</w:t>
              <w:tab/>
              <w:t>40</w:t>
            </w:r>
          </w:hyperlink>
        </w:p>
        <w:p>
          <w:pPr>
            <w:pStyle w:val="Tabledesmatiresniveau1"/>
            <w:tabs>
              <w:tab w:val="right" w:pos="9638" w:leader="dot"/>
            </w:tabs>
            <w:rPr/>
          </w:pPr>
          <w:hyperlink w:anchor="__RefHeading___Toc298246_1346298689">
            <w:r>
              <w:rPr>
                <w:rStyle w:val="Sautdindex"/>
              </w:rPr>
              <w:t>НА 4-ТИ ПЪТ. Предложенията на Пленарната асамблея</w:t>
              <w:tab/>
              <w:t>46</w:t>
            </w:r>
          </w:hyperlink>
        </w:p>
        <w:p>
          <w:pPr>
            <w:pStyle w:val="Tabledesmatiresniveau2"/>
            <w:tabs>
              <w:tab w:val="right" w:pos="9638" w:leader="dot"/>
            </w:tabs>
            <w:rPr/>
          </w:pPr>
          <w:hyperlink w:anchor="__RefHeading___Toc298248_1346298689">
            <w:r>
              <w:rPr>
                <w:rStyle w:val="Sautdindex"/>
              </w:rPr>
              <w:t>Изменение на климата и околна среда</w:t>
              <w:tab/>
              <w:t>47</w:t>
            </w:r>
          </w:hyperlink>
        </w:p>
        <w:p>
          <w:pPr>
            <w:pStyle w:val="Tabledesmatiresniveau2"/>
            <w:tabs>
              <w:tab w:val="right" w:pos="9638" w:leader="dot"/>
            </w:tabs>
            <w:rPr/>
          </w:pPr>
          <w:hyperlink w:anchor="__RefHeading___Toc298272_1346298689">
            <w:r>
              <w:rPr>
                <w:rStyle w:val="Sautdindex"/>
              </w:rPr>
              <w:t>„</w:t>
            </w:r>
            <w:r>
              <w:rPr>
                <w:rStyle w:val="Sautdindex"/>
              </w:rPr>
              <w:t>Здраве“</w:t>
              <w:tab/>
              <w:t>53</w:t>
            </w:r>
          </w:hyperlink>
        </w:p>
        <w:p>
          <w:pPr>
            <w:pStyle w:val="Tabledesmatiresniveau2"/>
            <w:tabs>
              <w:tab w:val="right" w:pos="9638" w:leader="dot"/>
            </w:tabs>
            <w:rPr/>
          </w:pPr>
          <w:hyperlink w:anchor="__RefHeading___Toc298288_1346298689">
            <w:r>
              <w:rPr>
                <w:rStyle w:val="Sautdindex"/>
              </w:rPr>
              <w:t>По-силна икономика, социална справедливост и заетост</w:t>
              <w:tab/>
              <w:t>57</w:t>
            </w:r>
          </w:hyperlink>
        </w:p>
        <w:p>
          <w:pPr>
            <w:pStyle w:val="Tabledesmatiresniveau2"/>
            <w:tabs>
              <w:tab w:val="right" w:pos="9638" w:leader="dot"/>
            </w:tabs>
            <w:rPr/>
          </w:pPr>
          <w:hyperlink w:anchor="__RefHeading___Toc298302_1346298689">
            <w:r>
              <w:rPr>
                <w:rStyle w:val="Sautdindex"/>
              </w:rPr>
              <w:t>„</w:t>
            </w:r>
            <w:r>
              <w:rPr>
                <w:rStyle w:val="Sautdindex"/>
              </w:rPr>
              <w:t>ЕС в света“</w:t>
              <w:tab/>
              <w:t>67</w:t>
            </w:r>
          </w:hyperlink>
        </w:p>
        <w:p>
          <w:pPr>
            <w:pStyle w:val="Tabledesmatiresniveau2"/>
            <w:tabs>
              <w:tab w:val="right" w:pos="9638" w:leader="dot"/>
            </w:tabs>
            <w:rPr/>
          </w:pPr>
          <w:hyperlink w:anchor="__RefHeading___Toc298320_1346298689">
            <w:r>
              <w:rPr>
                <w:rStyle w:val="Sautdindex"/>
              </w:rPr>
              <w:t>Ценности и права, върховенство на закона, сигурност</w:t>
              <w:tab/>
              <w:t>74</w:t>
            </w:r>
          </w:hyperlink>
        </w:p>
        <w:p>
          <w:pPr>
            <w:pStyle w:val="Tabledesmatiresniveau2"/>
            <w:tabs>
              <w:tab w:val="right" w:pos="9638" w:leader="dot"/>
            </w:tabs>
            <w:rPr/>
          </w:pPr>
          <w:hyperlink w:anchor="__RefHeading___Toc298334_1346298689">
            <w:r>
              <w:rPr>
                <w:rStyle w:val="Sautdindex"/>
              </w:rPr>
              <w:t>„</w:t>
            </w:r>
            <w:r>
              <w:rPr>
                <w:rStyle w:val="Sautdindex"/>
              </w:rPr>
              <w:t>Цифрова трансформация“</w:t>
              <w:tab/>
              <w:t>79</w:t>
            </w:r>
          </w:hyperlink>
        </w:p>
        <w:p>
          <w:pPr>
            <w:pStyle w:val="Tabledesmatiresniveau2"/>
            <w:tabs>
              <w:tab w:val="right" w:pos="9638" w:leader="dot"/>
            </w:tabs>
            <w:rPr/>
          </w:pPr>
          <w:hyperlink w:anchor="__RefHeading___Toc298346_1346298689">
            <w:r>
              <w:rPr>
                <w:rStyle w:val="Sautdindex"/>
              </w:rPr>
              <w:t>„</w:t>
            </w:r>
            <w:r>
              <w:rPr>
                <w:rStyle w:val="Sautdindex"/>
              </w:rPr>
              <w:t>Европейска демокрация“</w:t>
              <w:tab/>
              <w:t>85</w:t>
            </w:r>
          </w:hyperlink>
        </w:p>
        <w:p>
          <w:pPr>
            <w:pStyle w:val="Tabledesmatiresniveau2"/>
            <w:tabs>
              <w:tab w:val="right" w:pos="9638" w:leader="dot"/>
            </w:tabs>
            <w:rPr/>
          </w:pPr>
          <w:hyperlink w:anchor="__RefHeading___Toc298358_1346298689">
            <w:r>
              <w:rPr>
                <w:rStyle w:val="Sautdindex"/>
              </w:rPr>
              <w:t>„</w:t>
            </w:r>
            <w:r>
              <w:rPr>
                <w:rStyle w:val="Sautdindex"/>
              </w:rPr>
              <w:t>Миграция“</w:t>
              <w:tab/>
              <w:t>91</w:t>
            </w:r>
          </w:hyperlink>
        </w:p>
        <w:p>
          <w:pPr>
            <w:pStyle w:val="Tabledesmatiresniveau2"/>
            <w:tabs>
              <w:tab w:val="right" w:pos="9638" w:leader="dot"/>
            </w:tabs>
            <w:rPr/>
          </w:pPr>
          <w:hyperlink w:anchor="__RefHeading___Toc298370_1346298689">
            <w:r>
              <w:rPr>
                <w:rStyle w:val="Sautdindex"/>
              </w:rPr>
              <w:t>Образование, култура, младеж и спорт</w:t>
              <w:tab/>
              <w:t>95</w:t>
            </w:r>
          </w:hyperlink>
        </w:p>
        <w:p>
          <w:pPr>
            <w:pStyle w:val="Tabledesmatiresniveau1"/>
            <w:tabs>
              <w:tab w:val="right" w:pos="9638" w:leader="dot"/>
            </w:tabs>
            <w:rPr/>
          </w:pPr>
          <w:hyperlink w:anchor="__RefHeading___Toc298380_1346298689">
            <w:r>
              <w:rPr>
                <w:rStyle w:val="Sautdindex"/>
              </w:rPr>
              <w:t>Заключителни съображения на Изпълнителния съвет</w:t>
              <w:tab/>
              <w:t>100</w:t>
            </w:r>
          </w:hyperlink>
        </w:p>
        <w:p>
          <w:pPr>
            <w:pStyle w:val="Tabledesmatiresniveau1"/>
            <w:tabs>
              <w:tab w:val="right" w:pos="9638" w:leader="dot"/>
            </w:tabs>
            <w:rPr/>
          </w:pPr>
          <w:hyperlink w:anchor="__RefHeading___Toc297141_1346298689">
            <w:r>
              <w:rPr>
                <w:rStyle w:val="Sautdindex"/>
              </w:rPr>
              <w:t>Приложение I — Препоръки на четирите европейски граждански панела</w:t>
              <w:tab/>
              <w:t>103</w:t>
            </w:r>
          </w:hyperlink>
        </w:p>
        <w:p>
          <w:pPr>
            <w:pStyle w:val="Tabledesmatiresniveau2"/>
            <w:tabs>
              <w:tab w:val="right" w:pos="9638" w:leader="dot"/>
            </w:tabs>
            <w:rPr/>
          </w:pPr>
          <w:hyperlink w:anchor="__RefHeading___Toc297143_1346298689">
            <w:r>
              <w:rPr>
                <w:rStyle w:val="Sautdindex"/>
              </w:rPr>
              <w:t>Европейски граждански панел 1: По-силна икономика, социална справедливост и заетост/Образование, култура, младеж и спорт/цифрова трансформация</w:t>
              <w:tab/>
              <w:t>104</w:t>
            </w:r>
          </w:hyperlink>
        </w:p>
        <w:p>
          <w:pPr>
            <w:pStyle w:val="Tabledesmatiresniveau2"/>
            <w:tabs>
              <w:tab w:val="right" w:pos="9638" w:leader="dot"/>
            </w:tabs>
            <w:rPr/>
          </w:pPr>
          <w:hyperlink w:anchor="__RefHeading___Toc297195_1346298689">
            <w:r>
              <w:rPr>
                <w:rStyle w:val="Sautdindex"/>
              </w:rPr>
              <w:t>Европейски граждански панел 2: „Европейска демокрация; ценности и права, върховенство на закона, сигурност</w:t>
              <w:tab/>
              <w:t>123</w:t>
            </w:r>
          </w:hyperlink>
        </w:p>
        <w:p>
          <w:pPr>
            <w:pStyle w:val="Tabledesmatiresniveau2"/>
            <w:tabs>
              <w:tab w:val="right" w:pos="9638" w:leader="dot"/>
            </w:tabs>
            <w:rPr/>
          </w:pPr>
          <w:hyperlink w:anchor="__RefHeading___Toc297245_1346298689">
            <w:r>
              <w:rPr>
                <w:rStyle w:val="Sautdindex"/>
              </w:rPr>
              <w:t>Европейски граждански панел 3: Изменение на климата и околна среда/Здравеопазване</w:t>
              <w:tab/>
              <w:t>137</w:t>
            </w:r>
          </w:hyperlink>
        </w:p>
        <w:p>
          <w:pPr>
            <w:pStyle w:val="Tabledesmatiresniveau2"/>
            <w:tabs>
              <w:tab w:val="right" w:pos="9638" w:leader="dot"/>
            </w:tabs>
            <w:rPr/>
          </w:pPr>
          <w:hyperlink w:anchor="__RefHeading___Toc297297_1346298689">
            <w:r>
              <w:rPr>
                <w:rStyle w:val="Sautdindex"/>
              </w:rPr>
              <w:t>Европейски граждански панел 4: „ЕС в света/Миграция“</w:t>
              <w:tab/>
              <w:t>156</w:t>
            </w:r>
          </w:hyperlink>
        </w:p>
        <w:p>
          <w:pPr>
            <w:pStyle w:val="Tabledesmatiresniveau1"/>
            <w:tabs>
              <w:tab w:val="right" w:pos="9638" w:leader="dot"/>
            </w:tabs>
            <w:rPr/>
          </w:pPr>
          <w:hyperlink w:anchor="__RefHeading___Toc297345_1346298689">
            <w:r>
              <w:rPr>
                <w:rStyle w:val="Sautdindex"/>
              </w:rPr>
              <w:t>II A — Национални комитети: Белгия</w:t>
              <w:tab/>
              <w:t>170</w:t>
            </w:r>
          </w:hyperlink>
        </w:p>
        <w:p>
          <w:pPr>
            <w:pStyle w:val="Tabledesmatiresniveau1"/>
            <w:tabs>
              <w:tab w:val="right" w:pos="9638" w:leader="dot"/>
            </w:tabs>
            <w:rPr/>
          </w:pPr>
          <w:hyperlink w:anchor="__RefHeading___Toc297349_1346298689">
            <w:r>
              <w:rPr>
                <w:rStyle w:val="Sautdindex"/>
              </w:rPr>
              <w:t>II Б Национални комитети: Франция</w:t>
              <w:tab/>
              <w:t>186</w:t>
            </w:r>
          </w:hyperlink>
        </w:p>
        <w:p>
          <w:pPr>
            <w:pStyle w:val="Tabledesmatiresniveau2"/>
            <w:tabs>
              <w:tab w:val="right" w:pos="9638" w:leader="dot"/>
            </w:tabs>
            <w:rPr/>
          </w:pPr>
          <w:hyperlink w:anchor="__RefHeading___Toc300448_1346298689">
            <w:r>
              <w:rPr>
                <w:rStyle w:val="Sautdindex"/>
              </w:rPr>
              <w:t>Въведение</w:t>
              <w:tab/>
              <w:t>189</w:t>
            </w:r>
          </w:hyperlink>
        </w:p>
        <w:p>
          <w:pPr>
            <w:pStyle w:val="Tabledesmatiresniveau2"/>
            <w:tabs>
              <w:tab w:val="right" w:pos="9638" w:leader="dot"/>
            </w:tabs>
            <w:rPr/>
          </w:pPr>
          <w:hyperlink w:anchor="__RefHeading___Toc300450_1346298689">
            <w:r>
              <w:rPr>
                <w:rStyle w:val="Sautdindex"/>
              </w:rPr>
              <w:t>Представяне на основните резултати</w:t>
              <w:tab/>
              <w:t>192</w:t>
            </w:r>
          </w:hyperlink>
        </w:p>
        <w:p>
          <w:pPr>
            <w:pStyle w:val="Tabledesmatiresniveau2"/>
            <w:tabs>
              <w:tab w:val="right" w:pos="9638" w:leader="dot"/>
            </w:tabs>
            <w:rPr/>
          </w:pPr>
          <w:hyperlink w:anchor="__RefHeading___Toc300452_1346298689">
            <w:r>
              <w:rPr>
                <w:rStyle w:val="Sautdindex"/>
              </w:rPr>
              <w:t>Представяне на групите от регионални конференции</w:t>
              <w:tab/>
              <w:t>194</w:t>
            </w:r>
          </w:hyperlink>
        </w:p>
        <w:p>
          <w:pPr>
            <w:pStyle w:val="Tabledesmatiresniveau2"/>
            <w:tabs>
              <w:tab w:val="right" w:pos="9638" w:leader="dot"/>
            </w:tabs>
            <w:rPr/>
          </w:pPr>
          <w:hyperlink w:anchor="__RefHeading___Toc300454_1346298689">
            <w:r>
              <w:rPr>
                <w:rStyle w:val="Sautdindex"/>
              </w:rPr>
              <w:t>Методологически ангажименти и предубеждения</w:t>
              <w:tab/>
              <w:t>197</w:t>
            </w:r>
          </w:hyperlink>
        </w:p>
        <w:p>
          <w:pPr>
            <w:pStyle w:val="Tabledesmatiresniveau2"/>
            <w:tabs>
              <w:tab w:val="right" w:pos="9638" w:leader="dot"/>
            </w:tabs>
            <w:rPr/>
          </w:pPr>
          <w:hyperlink w:anchor="__RefHeading___Toc297351_1346298689">
            <w:r>
              <w:rPr>
                <w:rStyle w:val="Sautdindex"/>
              </w:rPr>
              <w:t>Втора част: представяне на резултатите от консултацията „Думи за младежта“</w:t>
              <w:tab/>
              <w:t>216</w:t>
            </w:r>
          </w:hyperlink>
        </w:p>
        <w:p>
          <w:pPr>
            <w:pStyle w:val="Tabledesmatiresniveau2"/>
            <w:tabs>
              <w:tab w:val="right" w:pos="9638" w:leader="dot"/>
            </w:tabs>
            <w:rPr/>
          </w:pPr>
          <w:hyperlink w:anchor="__RefHeading___Toc300458_1346298689">
            <w:r>
              <w:rPr>
                <w:rStyle w:val="Sautdindex"/>
              </w:rPr>
              <w:t>Заключение</w:t>
              <w:tab/>
              <w:t>220</w:t>
            </w:r>
          </w:hyperlink>
        </w:p>
        <w:p>
          <w:pPr>
            <w:pStyle w:val="Tabledesmatiresniveau1"/>
            <w:tabs>
              <w:tab w:val="right" w:pos="9638" w:leader="dot"/>
            </w:tabs>
            <w:rPr/>
          </w:pPr>
          <w:hyperlink w:anchor="__RefHeading___Toc297353_1346298689">
            <w:r>
              <w:rPr>
                <w:rStyle w:val="Sautdindex"/>
              </w:rPr>
              <w:t>II В Национални комитети: Германия</w:t>
              <w:tab/>
              <w:t>221</w:t>
            </w:r>
          </w:hyperlink>
        </w:p>
        <w:p>
          <w:pPr>
            <w:pStyle w:val="Tabledesmatiresniveau1"/>
            <w:tabs>
              <w:tab w:val="right" w:pos="9638" w:leader="dot"/>
            </w:tabs>
            <w:rPr/>
          </w:pPr>
          <w:hyperlink w:anchor="__RefHeading___Toc297355_1346298689">
            <w:r>
              <w:rPr>
                <w:rStyle w:val="Sautdindex"/>
              </w:rPr>
              <w:t>II Г Национални комитети: Италия</w:t>
              <w:tab/>
              <w:t>227</w:t>
            </w:r>
          </w:hyperlink>
        </w:p>
        <w:p>
          <w:pPr>
            <w:pStyle w:val="Tabledesmatiresniveau2"/>
            <w:tabs>
              <w:tab w:val="right" w:pos="9638" w:leader="dot"/>
            </w:tabs>
            <w:rPr/>
          </w:pPr>
          <w:hyperlink w:anchor="__RefHeading___Toc300314_1346298689">
            <w:r>
              <w:rPr>
                <w:rStyle w:val="Sautdindex"/>
              </w:rPr>
              <w:t>4. Работна програма</w:t>
              <w:tab/>
              <w:t>233</w:t>
            </w:r>
          </w:hyperlink>
        </w:p>
        <w:p>
          <w:pPr>
            <w:pStyle w:val="Tabledesmatiresniveau2"/>
            <w:tabs>
              <w:tab w:val="right" w:pos="9638" w:leader="dot"/>
            </w:tabs>
            <w:rPr/>
          </w:pPr>
          <w:hyperlink w:anchor="__RefHeading___Toc300322_1346298689">
            <w:r>
              <w:rPr>
                <w:rStyle w:val="Sautdindex"/>
              </w:rPr>
              <w:t>6. Окончателна оценка от участниците</w:t>
              <w:tab/>
              <w:t>242</w:t>
            </w:r>
          </w:hyperlink>
        </w:p>
        <w:p>
          <w:pPr>
            <w:pStyle w:val="Tabledesmatiresniveau1"/>
            <w:tabs>
              <w:tab w:val="right" w:pos="9638" w:leader="dot"/>
            </w:tabs>
            <w:rPr/>
          </w:pPr>
          <w:hyperlink w:anchor="__RefHeading___Toc298382_1346298689">
            <w:r>
              <w:rPr>
                <w:rStyle w:val="Sautdindex"/>
              </w:rPr>
              <w:t>II Д Национални комитети: Литва</w:t>
              <w:tab/>
              <w:t>245</w:t>
            </w:r>
          </w:hyperlink>
        </w:p>
        <w:p>
          <w:pPr>
            <w:pStyle w:val="Tabledesmatiresniveau1"/>
            <w:tabs>
              <w:tab w:val="right" w:pos="9638" w:leader="dot"/>
            </w:tabs>
            <w:rPr/>
          </w:pPr>
          <w:hyperlink w:anchor="__RefHeading___Toc297357_1346298689">
            <w:r>
              <w:rPr>
                <w:rStyle w:val="Sautdindex"/>
              </w:rPr>
              <w:t>II Е Национални комитети: Нидерландия</w:t>
              <w:tab/>
              <w:t>254</w:t>
            </w:r>
          </w:hyperlink>
        </w:p>
        <w:p>
          <w:pPr>
            <w:pStyle w:val="Tabledesmatiresniveau1"/>
            <w:tabs>
              <w:tab w:val="right" w:pos="9638" w:leader="dot"/>
            </w:tabs>
            <w:rPr/>
          </w:pPr>
          <w:hyperlink w:anchor="__RefHeading___Toc297359_1346298689">
            <w:r>
              <w:rPr>
                <w:rStyle w:val="Sautdindex"/>
              </w:rPr>
              <w:t>III — Позоваване на резултатите от национални събития</w:t>
              <w:tab/>
              <w:t>309</w:t>
            </w:r>
          </w:hyperlink>
        </w:p>
        <w:p>
          <w:pPr>
            <w:pStyle w:val="Tabledesmatiresniveau1"/>
            <w:tabs>
              <w:tab w:val="right" w:pos="9638" w:leader="dot"/>
            </w:tabs>
            <w:rPr/>
          </w:pPr>
          <w:hyperlink w:anchor="__RefHeading___Toc344888_2081073262">
            <w:r>
              <w:rPr>
                <w:rStyle w:val="Sautdindex"/>
              </w:rPr>
              <w:t>IV — Позоваване на доклада на многоезичната цифрова платформа</w:t>
              <w:tab/>
              <w:t>310</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p>
    <w:p>
      <w:pPr>
        <w:pStyle w:val="Normal"/>
        <w:rPr/>
      </w:pPr>
      <w:r>
        <w:rPr/>
      </w:r>
      <w:r>
        <w:br w:type="page"/>
      </w:r>
    </w:p>
    <w:p>
      <w:pPr>
        <w:pStyle w:val="Normal"/>
        <w:spacing w:before="13643" w:after="57"/>
        <w:rPr/>
      </w:pPr>
      <w:r>
        <w:rPr/>
        <w:drawing>
          <wp:anchor behindDoc="0" distT="0" distB="0" distL="0" distR="0" simplePos="0" locked="0" layoutInCell="1" allowOverlap="1" relativeHeight="65">
            <wp:simplePos x="0" y="0"/>
            <wp:positionH relativeFrom="column">
              <wp:align>center</wp:align>
            </wp:positionH>
            <wp:positionV relativeFrom="paragraph">
              <wp:posOffset>635</wp:posOffset>
            </wp:positionV>
            <wp:extent cx="6120130" cy="8663305"/>
            <wp:effectExtent l="0" t="0" r="0" b="0"/>
            <wp:wrapSquare wrapText="largest"/>
            <wp:docPr id="10" name="Снимка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нимка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pPr>
      <w:r>
        <w:rPr/>
        <w:t>Въведение</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pPr>
      <w:r>
        <w:rPr/>
        <w:t>На 10 март 2021 г. председателят на Европейския парламент Дейвид Сасоли, министър-председател на Португалия Антонио Коста, от името на Съвета на ЕС, и председателят на Европейската комисия Урсула фон дер Лайен подписаха съвместната декларация относно Конференцията за бъдещето на Европа. Ангажиментът, който те поеха, беше прост: тя беше ориентирана към гражданите дейност, основана на подход „отдолу-нагоре“, за да се гарантира, че всички европейци имат думата в това, което очакват от Европейския съюз, и играят по-голяма роля в оформянето на бъдещето на Съюза. Тяхната задача, от друга страна, беше изключително трудна: целта беше за първи път да се организира транснационално, многоезично и междуинституционално упражняване на съвещателна демокрация с участието на хиляди европейски граждани, както и политически участници, социални партньори, представители на гражданското общество и ключови заинтересовани страни по смисъла на член 16 от Процедурния правилник на конференцията.</w:t>
      </w:r>
    </w:p>
    <w:p>
      <w:pPr>
        <w:pStyle w:val="Normal"/>
        <w:rPr/>
      </w:pPr>
      <w:r>
        <w:rPr/>
        <w:t>На 9 май 2022 г., след месеци на интензивни обсъждания, Конференцията приключи работата си, като представи на трите институции на ЕС доклад за окончателните си резултати с 49 предложения. Тези предложения съответстват на очакванията на европейските граждани по девет теми: По-силна икономика, социална справедливост и заетост; Образование, култура, младеж и спорт; Дигитална трансформация; Европейска демокрация; Ценности и права, върховенство на закона, сигурност; Изменението на климата и околната среда; Здраве; ЕС в света; и миграцията. Всички тези теми са изложени в настоящия окончателен доклад, който има за цел също така да направи преглед на различните дейности, предприети в контекста на този уникален процес — Конференцията за бъдещето на Европа.</w:t>
      </w:r>
    </w:p>
    <w:p>
      <w:pPr>
        <w:pStyle w:val="Corpsdetexte"/>
        <w:rPr/>
      </w:pPr>
      <w:r>
        <w:rPr/>
        <w:t>Ръководена от трима съпредседатели (Ги Верхофстад за Европейския парламент; Ana Paula Zacarias, Gašper Dovžan и Clément Beaune, последователно за Съвета на ЕС; и Дубравка Шуица за Европейската комисия) и ръководена от изпълнителен съвет (съставен еднакво от представители на трите институции, както и наблюдатели от основните заинтересовани страни), конференцията беше безпрецедентен опит в транснационалната съвещателна демокрация. Тя също така показа своята историческа значимост и значение в контекста на пандемията от COVID-19 и руската агресия срещу Украйна. Конференцията за бъдещето на Европа доведе до създаването на многоезична цифрова платформа за европейските граждани, която да допринася на всичките 24 езика на ЕС, както и до организирането на четири европейски граждански панела, шест национални граждански панела, хиляди национални и местни прояви и седем пленарни асамблеи на конференцията. То е резултат от безпрецедентната готовност на институциите на ЕС, държавите членки, но и най-вече на европейските граждани, да обсъдят приоритетите на Европейския съюз и предизвикателствата, пред които е изправен, и да възприемат нов подход към европейския проект.</w:t>
      </w:r>
    </w:p>
    <w:p>
      <w:pPr>
        <w:pStyle w:val="Corpsdetexte"/>
        <w:rPr/>
      </w:pPr>
      <w:r>
        <w:rPr/>
        <w:t>Това обаче е само началото. В съответствие с учредителния текст на конференцията трите институции ще разгледат бързо начините за ефективно прилагане на настоящия доклад, всяка от тях в рамките на своята компетентност и в съответствие с Договорите. Определянето на трите институции в това отношение е от първостепенно значение.</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pPr>
      <w:bookmarkStart w:id="0" w:name="__RefHeading___Toc298046_1346298689"/>
      <w:bookmarkEnd w:id="0"/>
      <w:r>
        <w:rPr/>
        <w:t>I. Архитектурата на конференцията</w:t>
      </w:r>
    </w:p>
    <w:p>
      <w:pPr>
        <w:pStyle w:val="Corpsdetexte"/>
        <w:rPr>
          <w:sz w:val="40"/>
        </w:rPr>
      </w:pPr>
      <w:r>
        <w:rPr>
          <w:sz w:val="40"/>
        </w:rPr>
        <w:t>Конференцията за бъдещето на Европа</w:t>
      </w:r>
      <w:r>
        <w:rPr>
          <w:rStyle w:val="Ancredenotedebasdepage"/>
          <w:rStyle w:val="Ancredenotedebasdepage"/>
          <w:sz w:val="40"/>
        </w:rPr>
        <w:footnoteReference w:id="2"/>
      </w:r>
      <w:r>
        <w:rPr>
          <w:sz w:val="40"/>
        </w:rPr>
        <w:t xml:space="preserve"> беше нов и иновативен процес, който откри ново пространство за дебат с гражданите, за да се разгледат приоритетите и предизвикателствата пред Европа, с цел да се установи демократичната легитимност на европейския проект и да се насърчи придържането на гражданите към нашите общи ценности и цели. Конференцията беше ориентирана към гражданите дейност, основана на подход „отдолу-нагоре“, чиято цел е да се гарантира, че европейците имат думата в това, което очакват от Европейския съюз. Това беше съвместна инициатива на Европейския парламент, Съвета и Европейската комисия, действащи на равни начала с държавите членки на Европейския съюз.</w:t>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Titre2"/>
        <w:numPr>
          <w:ilvl w:val="1"/>
          <w:numId w:val="2"/>
        </w:numPr>
        <w:rPr/>
      </w:pPr>
      <w:bookmarkStart w:id="1" w:name="__RefHeading___Toc298048_1346298689"/>
      <w:bookmarkEnd w:id="1"/>
      <w:r>
        <w:rPr/>
        <w:t>1. Съвместна декларация</w:t>
      </w:r>
    </w:p>
    <w:p>
      <w:pPr>
        <w:pStyle w:val="Normal"/>
        <w:rPr/>
      </w:pPr>
      <w:r>
        <w:rPr/>
      </w:r>
    </w:p>
    <w:p>
      <w:pPr>
        <w:pStyle w:val="Normal"/>
        <w:rPr/>
      </w:pPr>
      <w:r>
        <w:rPr/>
        <w:t>На 10 март 2021 г. съвместната декларация относно Конференцията за бъдещето на Европа („Съвместната декларация“) беше подписана от покойния председател на Европейския парламент Дейвид Сасоли, министър-председател на Португалия Антонио Коста, от името на Съвета на ЕС, и председателя на Европейската комисия Урсула фон дер Лайен, с което проправя пътя за това безпрецедентно, открито и приобщаващо европейско демократично упражнение, което дава централно място на гражданите.</w:t>
      </w:r>
    </w:p>
    <w:p>
      <w:pPr>
        <w:pStyle w:val="Normal"/>
        <w:rPr/>
      </w:pPr>
      <w:r>
        <w:rPr/>
        <w:t>Конференцията беше поставена под ръководството на председателите на трите институции, действащи като съвместно председателство. Съвместното председателство беше подпомагано от изпълнителен съвет, председателстван съвместно от по един член от всяка от трите институции на ЕС.</w:t>
      </w:r>
    </w:p>
    <w:p>
      <w:pPr>
        <w:pStyle w:val="Normal"/>
        <w:rPr/>
      </w:pPr>
      <w:r>
        <w:rPr/>
        <w:t xml:space="preserve">В съответствие със Съвместната декларация бяха създадени следните структури: </w:t>
      </w:r>
    </w:p>
    <w:p>
      <w:pPr>
        <w:pStyle w:val="Alineanegatifpuce"/>
        <w:numPr>
          <w:ilvl w:val="0"/>
          <w:numId w:val="3"/>
        </w:numPr>
        <w:rPr/>
      </w:pPr>
      <w:r>
        <w:rPr/>
        <w:t>изпълнителен съвет, който ръководи организацията на конференцията. Тя се състои от представители на трите институции на ЕС (съответно трима членове и четирима наблюдатели), както и наблюдатели от президентската тройка на Конференцията на органите по общностни въпроси (COSAC) на националните парламенти на Европейския съюз. Комитетът на регионите, Европейският икономически и социален комитет и представителите на социалните партньори бяха поканени като наблюдатели;</w:t>
      </w:r>
    </w:p>
    <w:p>
      <w:pPr>
        <w:pStyle w:val="Alineanegatifpuce"/>
        <w:numPr>
          <w:ilvl w:val="0"/>
          <w:numId w:val="3"/>
        </w:numPr>
        <w:rPr/>
      </w:pPr>
      <w:r>
        <w:rPr/>
        <w:t>съвместен секретариат, осигуряващ равно представителство на трите институции, които подкрепиха работата на Изпълнителния съвет. По-специално екипът, ръководен от трима съпредседатели на трите институции, ръководи организацията и подготовката на заседанията на Изпълнителния съвет, пленарните асамблеи на конференцията и европейските граждански панели. В сътрудничество с доставчиците на услуги тя отговаряше за управлението на многоезичната цифрова платформа и за докладването на ключовите етапи по време на целия процес.</w:t>
        <w:br/>
        <w:t xml:space="preserve">Уникалният състав на този екип даде възможност за постоянна колегиалност на работата и осигури синергии и повишаване на ефективността във всички области; </w:t>
      </w:r>
    </w:p>
    <w:p>
      <w:pPr>
        <w:pStyle w:val="Alineanegatifpuce"/>
        <w:numPr>
          <w:ilvl w:val="0"/>
          <w:numId w:val="3"/>
        </w:numPr>
        <w:rPr/>
      </w:pPr>
      <w:r>
        <w:rPr/>
        <w:t>пленарна асамблея на конференцията (за повече информация вж. глава III), която даде възможност за обсъждане на препоръките, отправени от националните и европейските граждански групи, групирани по теми, при пълно зачитане на ценностите на ЕС и Хартата на конференцията</w:t>
      </w:r>
      <w:r>
        <w:rPr>
          <w:rStyle w:val="Ancredenotedebasdepage"/>
          <w:rStyle w:val="Ancredenotedebasdepage"/>
        </w:rPr>
        <w:footnoteReference w:id="3"/>
      </w:r>
      <w:r>
        <w:rPr/>
        <w:t>, без предварително да се определя резултатът от дебатите или техният обхват да се ограничава до предварително определени области на политиката. По целесъобразност бяха обсъдени и мненията, събрани на многоезичната цифрова платформа. Създадени са девет тематични работни групи, които да предоставят информация за подготовката на разискванията и предложенията в пленарната зала.</w:t>
      </w:r>
    </w:p>
    <w:p>
      <w:pPr>
        <w:pStyle w:val="Alineanegatifpuce"/>
        <w:numPr>
          <w:ilvl w:val="0"/>
          <w:numId w:val="0"/>
        </w:numPr>
        <w:ind w:left="0" w:right="0" w:hanging="0"/>
        <w:rPr/>
      </w:pPr>
      <w:r>
        <w:rPr/>
      </w:r>
      <w:r>
        <w:br w:type="page"/>
      </w:r>
    </w:p>
    <w:p>
      <w:pPr>
        <w:pStyle w:val="Titre2"/>
        <w:numPr>
          <w:ilvl w:val="1"/>
          <w:numId w:val="2"/>
        </w:numPr>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Снимка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нимка 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t>2</w:t>
      </w:r>
      <w:r>
        <w:rPr/>
        <w:t>. Правилник за дейността</w:t>
      </w:r>
    </w:p>
    <w:p>
      <w:pPr>
        <w:pStyle w:val="Normal"/>
        <w:rPr/>
      </w:pPr>
      <w:r>
        <w:rPr/>
        <w:t>На 9 май 2021 г. Изпълнителният съвет одобри процедурния правилник на конференцията, изготвен в съответствие със Съвместната декларация относно Конференцията за бъдещето на Европа, в която се определят основите и принципите на конференцията.</w:t>
      </w:r>
    </w:p>
    <w:p>
      <w:pPr>
        <w:pStyle w:val="Normal"/>
        <w:rPr/>
      </w:pPr>
      <w:r>
        <w:rPr/>
        <w:t>Процедурният правилник определя рамката за работата на различните конферентни структури и техните взаимодействия.</w:t>
      </w:r>
    </w:p>
    <w:p>
      <w:pPr>
        <w:pStyle w:val="Titre2"/>
        <w:numPr>
          <w:ilvl w:val="1"/>
          <w:numId w:val="2"/>
        </w:numPr>
        <w:rPr/>
      </w:pPr>
      <w:bookmarkStart w:id="3" w:name="__RefHeading___Toc298052_1346298689"/>
      <w:bookmarkEnd w:id="3"/>
      <w:r>
        <w:rPr/>
        <w:t>3. Събития, свързани с конференцията</w:t>
      </w:r>
    </w:p>
    <w:p>
      <w:pPr>
        <w:pStyle w:val="Corpsdetexte"/>
        <w:rPr/>
      </w:pPr>
      <w:r>
        <w:rPr/>
        <w:t>Съгласно съвместната декларация всяка държава членка или институция на ЕС би могла да организира прояви под егидата на конференцията в зависимост от своите национални или институционални особености и да даде допълнителен принос към конференцията (за повече информация вж. глава II.В).</w:t>
      </w:r>
    </w:p>
    <w:p>
      <w:pPr>
        <w:pStyle w:val="Corpsdetexte"/>
        <w:rPr/>
      </w:pPr>
      <w:r>
        <w:rPr/>
        <w:t>Поради това институциите и органите на ЕС, държавите членки, регионалните и местните органи, организираното гражданско общество, социалните партньори и гражданите бяха приканени да организират прояви в партньорство с гражданското общество и заинтересованите страни на европейско, национално, регионално и местно равнище в широк спектър от формати в цяла Европа и да публикуват резултатите от тези прояви на цифровата платформа. Бяха проведени няколко хиляди такива събития, в които участваха около 650 000 участници.</w:t>
      </w:r>
    </w:p>
    <w:p>
      <w:pPr>
        <w:pStyle w:val="Titre2"/>
        <w:numPr>
          <w:ilvl w:val="1"/>
          <w:numId w:val="2"/>
        </w:numPr>
        <w:rPr/>
      </w:pPr>
      <w:bookmarkStart w:id="4" w:name="__RefHeading___Toc298054_1346298689"/>
      <w:bookmarkEnd w:id="4"/>
      <w:r>
        <w:rPr/>
        <w:t>4.</w:t>
        <w:tab/>
        <w:t>Внедряване на многоезичната цифрова платформа</w:t>
      </w:r>
    </w:p>
    <w:p>
      <w:pPr>
        <w:pStyle w:val="Normal"/>
        <w:rPr/>
      </w:pPr>
      <w:r>
        <w:rPr/>
        <w:t>Многоезичната цифрова платформа (за повече информация вж. глава II.A) е създадена, за да даде възможност на гражданите да споделят своите идеи и да изпращат мнения онлайн в съответствие със съвместната декларация. Той беше основният център за принос и информация за гражданите относно различните части на конференцията и интерактивен инструмент за споделяне и обсъждане на идеите и приноса на множеството прояви, организирани в контекста на конференцията. Платформата стартира официално на 19 април 2021 г. В платформата са публикувани над 17 000 идеи.</w:t>
      </w:r>
    </w:p>
    <w:p>
      <w:pPr>
        <w:pStyle w:val="Corpsdetexte"/>
        <w:rPr/>
      </w:pPr>
      <w:r>
        <w:rPr/>
        <w:t>По време на конференцията бяха изготвени доклади относно представените на платформата мнения.</w:t>
      </w:r>
    </w:p>
    <w:p>
      <w:pPr>
        <w:pStyle w:val="Normal"/>
        <w:rPr/>
      </w:pPr>
      <w:r>
        <w:rPr/>
        <w:t>Мненията, събрани чрез платформата, бяха взети предвид от европейските граждански панели и бяха обсъдени и обсъдени на пленарното заседание на конференцията.</w:t>
      </w:r>
    </w:p>
    <w:p>
      <w:pPr>
        <w:pStyle w:val="Titre2"/>
        <w:numPr>
          <w:ilvl w:val="1"/>
          <w:numId w:val="2"/>
        </w:numPr>
        <w:rPr/>
      </w:pPr>
      <w:bookmarkStart w:id="5" w:name="__RefHeading___Toc298056_1346298689"/>
      <w:bookmarkEnd w:id="5"/>
      <w:r>
        <w:rPr/>
        <w:t>5.</w:t>
        <w:tab/>
        <w:t>Европейски граждански панели</w:t>
      </w:r>
    </w:p>
    <w:p>
      <w:pPr>
        <w:pStyle w:val="Normal"/>
        <w:rPr/>
      </w:pPr>
      <w:r>
        <w:rPr/>
        <w:t>В съответствие със съвместната декларация европейските граждански панели, организирани около основните теми на конференцията, бяха централен и особено иновативен елемент на конференцията (за повече информация вж. глава II.Б).</w:t>
      </w:r>
    </w:p>
    <w:p>
      <w:pPr>
        <w:pStyle w:val="Normal"/>
        <w:rPr/>
      </w:pPr>
      <w:r>
        <w:rPr/>
        <w:t>Общо 800 избрани на случаен принцип граждани, представляващи социологическото и географското многообразие на ЕС, и групирани в четири групи от 200 граждани, се срещнаха за три съвещателни сесии на група. Европейските граждански панели отправиха препоръки, които бяха включени в общите разисквания на конференцията, по-специално по време на пленарните заседания на конференцията.</w:t>
      </w:r>
    </w:p>
    <w:p>
      <w:pPr>
        <w:pStyle w:val="Normal"/>
        <w:rPr/>
      </w:pPr>
      <w:r>
        <w:rPr/>
        <w:t>Съпредседателите на Изпълнителния съвет съвместно установиха практическите условия за организирането на европейските граждански панели в съответствие със Съвместната декларация и процедурния правилник и информираха предварително Изпълнителния съвет.</w:t>
      </w:r>
    </w:p>
    <w:p>
      <w:pPr>
        <w:pStyle w:val="Normal"/>
        <w:rPr/>
      </w:pPr>
      <w:r>
        <w:rPr/>
        <w:t>Изпълнителният съвет е редовно информиран за напредъка в създаването и организирането на европейски граждански панели.</w:t>
      </w:r>
    </w:p>
    <w:p>
      <w:pPr>
        <w:pStyle w:val="Normal"/>
        <w:rPr/>
      </w:pPr>
      <w:r>
        <w:rPr/>
      </w:r>
    </w:p>
    <w:p>
      <w:pPr>
        <w:pStyle w:val="Titre2"/>
        <w:numPr>
          <w:ilvl w:val="1"/>
          <w:numId w:val="2"/>
        </w:numPr>
        <w:rPr/>
      </w:pPr>
      <w:bookmarkStart w:id="6" w:name="__RefHeading___Toc298058_1346298689"/>
      <w:bookmarkEnd w:id="6"/>
      <w:r>
        <w:rPr/>
        <w:t>6.</w:t>
        <w:tab/>
        <w:t>Национални граждански панели</w:t>
      </w:r>
    </w:p>
    <w:p>
      <w:pPr>
        <w:pStyle w:val="Normal"/>
        <w:rPr/>
      </w:pPr>
      <w:r>
        <w:rPr/>
        <w:t>Съгласно съвместната декларация държавите членки могат да организират национални групи. За да се подпомогнат държавите членки, които планират да организират национални граждански панели, съпредседателите одобриха насоки, които бяха предадени на Изпълнителния съвет на 26 май 2021 г., за да се гарантира, че националните панели са организирани в съответствие със същите принципи като европейските граждански панели. Тези насоки включват принципи на добро обсъждане въз основа на насоките на ОИСР</w:t>
      </w:r>
      <w:r>
        <w:rPr>
          <w:rStyle w:val="Ancredenotedebasdepage"/>
          <w:rStyle w:val="Ancredenotedebasdepage"/>
        </w:rPr>
        <w:footnoteReference w:id="4"/>
      </w:r>
      <w:r>
        <w:rPr/>
        <w:t>. Всяка държава членка може да реши дали да организира група от национални граждани. Общо шест държави членки организираха една (Белгия, Франция, Германия, Италия, Литва и Нидерландия).</w:t>
      </w:r>
    </w:p>
    <w:p>
      <w:pPr>
        <w:pStyle w:val="Normal"/>
        <w:rPr/>
      </w:pPr>
      <w:r>
        <w:rPr/>
        <w:t>В съответствие със съвместната декларация препоръките на националните граждански панели бяха представени и обсъдени на пленарните заседания на Конференцията успоредно с препоръките на европейските граждански панели.</w:t>
      </w:r>
    </w:p>
    <w:p>
      <w:pPr>
        <w:pStyle w:val="Normal"/>
        <w:rPr/>
      </w:pPr>
      <w:r>
        <w:rPr/>
      </w:r>
      <w:r>
        <w:br w:type="page"/>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pPr>
      <w:bookmarkStart w:id="7" w:name="__RefHeading___Toc298188_1346298689"/>
      <w:bookmarkEnd w:id="7"/>
      <w:r>
        <w:rPr/>
        <w:t>НЕ, НЕ, НЕ, НЕ. Принос на гражданите към конференцията</w:t>
      </w:r>
    </w:p>
    <w:p>
      <w:pPr>
        <w:pStyle w:val="Normal"/>
        <w:rPr/>
      </w:pPr>
      <w:r>
        <w:rPr/>
      </w:r>
      <w:r>
        <w:br w:type="page"/>
      </w:r>
    </w:p>
    <w:p>
      <w:pPr>
        <w:pStyle w:val="Titre2"/>
        <w:numPr>
          <w:ilvl w:val="1"/>
          <w:numId w:val="2"/>
        </w:numPr>
        <w:rPr/>
      </w:pPr>
      <w:bookmarkStart w:id="8" w:name="__RefHeading___Toc298190_1346298689"/>
      <w:bookmarkEnd w:id="8"/>
      <w:r>
        <w:rPr/>
        <w:t>A. Многоезична цифрова платформа</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Многоезичната цифрова платформа стартира на 19 април 2021 г. и беше централното звено за контакт на конференцията. Чрез нея всички имаха възможност да участват в конференцията: всички граждани в ЕС и на други места, гражданското общество, социалните партньори и различни други заинтересовани страни.</w:t>
      </w:r>
    </w:p>
    <w:p>
      <w:pPr>
        <w:pStyle w:val="Normal"/>
        <w:rPr/>
      </w:pPr>
      <w:r>
        <w:rPr/>
        <w:t>Платформата е разработена специално за конференцията, като се използва европейски свободен софтуер, посветен на участието на гражданите. В такъв мащаб и ниво на интерактивност и многоезичие, това постижение беше първо, не само европейско, но и глобално. Всички отговори бяха достъпни на всички 24 официални езика на ЕС чрез машинен превод. Дебатът беше структуриран около десет теми: „Изменение на климата и околна среда„, „Здравеопазване„, „По-силна икономика, социална справедливост и заетост„, „ЕС в света“, „стойности и права, върховенство на закона, сигурност„, „цифрова трансформация„, „европейска демокрация„, „Миграция“, „Образование, култура, младеж и спорт„и „Други идеи“.</w:t>
      </w:r>
    </w:p>
    <w:p>
      <w:pPr>
        <w:pStyle w:val="Normal"/>
        <w:rPr/>
      </w:pPr>
      <w:r>
        <w:rPr/>
        <w:t>Беше възможно да се участва в платформата по няколко различни начина.</w:t>
      </w:r>
    </w:p>
    <w:p>
      <w:pPr>
        <w:pStyle w:val="Normal"/>
        <w:rPr/>
      </w:pPr>
      <w:r>
        <w:rPr/>
        <w:t>Всеки, който иска, може да сподели идеите си по една от десетте теми. Възможно е да се коментират и идеите на другите. По този начин платформата направи възможен истински общоевропейски дебат между гражданите.</w:t>
      </w:r>
    </w:p>
    <w:p>
      <w:pPr>
        <w:pStyle w:val="Normal"/>
        <w:rPr/>
      </w:pPr>
      <w:r>
        <w:rPr/>
        <w:t>Участниците биха могли също така да подкрепят идеи, като посочват, че подкрепят входящите данни от друг потребител.</w:t>
      </w:r>
    </w:p>
    <w:p>
      <w:pPr>
        <w:pStyle w:val="Normal"/>
        <w:rPr/>
      </w:pPr>
      <w:r>
        <w:rPr/>
        <w:t xml:space="preserve">Друг важен начин да допринесете за конференцията беше да организирате събития (виртуални, лице в лице или хибрид), да ги обявите на платформата, да докладвате за резултатите от тях и да ги свържете с идеи. На организаторите на </w:t>
      </w:r>
      <w:hyperlink r:id="rId23">
        <w:r>
          <w:rPr>
            <w:rStyle w:val="LienInternet"/>
          </w:rPr>
          <w:t>платформата бяха предоставениръководства и информационни материали</w:t>
        </w:r>
      </w:hyperlink>
      <w:r>
        <w:rPr/>
        <w:t xml:space="preserve"> с цел популяризиране на приобщаващия характер на проявите.</w:t>
      </w:r>
    </w:p>
    <w:p>
      <w:pPr>
        <w:pStyle w:val="Normal"/>
        <w:rPr/>
      </w:pPr>
      <w:r>
        <w:rPr/>
        <w:t>Платформата изигра основна роля за прозрачността на целия процес и по отношение на достъпа на цялата информация, свързана с конференцията. Това беше мястото, където всеки можеше да намери информация за методите на работа и организацията на самата конференция, например относно самия процес на конференцията (заседателната сесия на конференцията и нейните работни групи</w:t>
      </w:r>
      <w:hyperlink r:id="rId24">
        <w:r>
          <w:rPr>
            <w:rStyle w:val="LienInternet"/>
          </w:rPr>
          <w:t>, европейските граждански панели</w:t>
        </w:r>
      </w:hyperlink>
      <w:r>
        <w:rPr/>
        <w:t xml:space="preserve">, </w:t>
      </w:r>
      <w:hyperlink r:id="rId25">
        <w:r>
          <w:rPr>
            <w:rStyle w:val="LienInternet"/>
          </w:rPr>
          <w:t>националните панели и прояви и</w:t>
        </w:r>
      </w:hyperlink>
      <w:r>
        <w:rPr/>
        <w:t xml:space="preserve"> </w:t>
      </w:r>
      <w:hyperlink r:id="rId26">
        <w:r>
          <w:rPr>
            <w:rStyle w:val="LienInternet"/>
          </w:rPr>
          <w:t>Изпълнителният съвет</w:t>
        </w:r>
      </w:hyperlink>
      <w:r>
        <w:rPr/>
        <w:t>). Разискванията в пленарната зала и нейните работни групи се излъчваха на живо по интернет, както и заседанията на европейските граждански панели. Цялата тази информация ще остане на разположение на платформата.</w:t>
      </w:r>
    </w:p>
    <w:p>
      <w:pPr>
        <w:pStyle w:val="Normal"/>
        <w:rPr/>
      </w:pPr>
      <w:r>
        <w:rPr/>
        <w:t>По време на работата бяха направени подобрения в платформата, когато това е възможно, чрез добавяне на функции или визуални медии, например. С течение на времето платформата стана по-достъпна и за хората с увреждания.</w:t>
      </w:r>
    </w:p>
    <w:p>
      <w:pPr>
        <w:pStyle w:val="Normal"/>
        <w:rPr/>
      </w:pPr>
      <w:r>
        <w:rPr/>
        <w:t>Всички отговори на платформата бяха публични: всеки може да получи достъп до тях, както и до файлове със свободно достъпни данни, свързани с цифровата платформа, което гарантира пълна прозрачност. За да улесни събирането и анализа на мненията, Съвместният изследователски център на Комисията е разработил автоматизиран инструмент за анализ на текст и платформа за анализ, които позволяват многоезичен превод и задълбочен анализ на съдържанието на платформата. Платформата за анализ е инструмент, който се оказа от съществено значение за предоставянето на редовни доклади с еднакво ниво на качество на всички езици. Освен това „данните“, организирани през март 2022 г. от Европейската комисия, насърчиха нови подходи в анализа на сериите от свободно достъпни данни и допринесоха за прозрачността на процеса на анализ на данните.</w:t>
      </w:r>
    </w:p>
    <w:p>
      <w:pPr>
        <w:pStyle w:val="Normal"/>
        <w:rPr/>
      </w:pPr>
      <w:r>
        <w:rPr/>
        <w:t>За да се направи преглед на отговорите на платформата, външният доставчик на услуги е изготвил доклади, които са публикувани на самата платформа.</w:t>
      </w:r>
    </w:p>
    <w:p>
      <w:pPr>
        <w:pStyle w:val="Normal"/>
        <w:rPr/>
      </w:pPr>
      <w:hyperlink r:id="rId27">
        <w:r>
          <w:rPr>
            <w:rStyle w:val="LienInternet"/>
          </w:rPr>
          <w:t>Първият междинен доклад</w:t>
        </w:r>
      </w:hyperlink>
      <w:r>
        <w:rPr/>
        <w:t xml:space="preserve"> беше публикуван през септември: тя е съсредоточена върху приноса</w:t>
      </w:r>
    </w:p>
    <w:p>
      <w:pPr>
        <w:pStyle w:val="Normal"/>
        <w:rPr/>
      </w:pPr>
      <w:r>
        <w:rPr/>
        <w:t xml:space="preserve">доставени до 2 август 2021 г. </w:t>
      </w:r>
      <w:hyperlink r:id="rId28">
        <w:r>
          <w:rPr>
            <w:rStyle w:val="LienInternet"/>
          </w:rPr>
          <w:t>Вторият междинен доклад</w:t>
        </w:r>
      </w:hyperlink>
      <w:r>
        <w:rPr/>
        <w:t xml:space="preserve">беше публикуван в средата на октомври 2021 г. и обхваща приноса, представен до 7 септември 2021 г. </w:t>
      </w:r>
      <w:hyperlink r:id="rId29">
        <w:r>
          <w:rPr>
            <w:rStyle w:val="LienInternet"/>
          </w:rPr>
          <w:t>Третият междинен доклад</w:t>
        </w:r>
      </w:hyperlink>
      <w:r>
        <w:rPr/>
        <w:t xml:space="preserve"> беше публикуван през декември 2021 г. и обхвана вноските до 3 ноември 2021 г. Тъй като работата по конференцията навлизаше в заключителната си фаза, последният доклад, който вдъхнови работата на пленарните асамблеи на конференцията, беше публикуван в средата на март 2022 г., като беше взет предвид приносът, представен на цифровата платформа до 20 февруари 2022 г. Този календар беше ясно обявен на платформата и на други места, което доведе до увеличаване на вноските през януари и февруари 2022 г. Мненията, получени до 9 май, ще бъдат разгледани в допълнителния доклад. Едновременно с докладите от септември, декември 2021 г. и март 2022 г. бяха предоставени и допълнителни доклади относно представените на платформата мнения по държави членки.</w:t>
      </w:r>
    </w:p>
    <w:p>
      <w:pPr>
        <w:pStyle w:val="Normal"/>
        <w:rPr/>
      </w:pPr>
      <w:r>
        <w:rPr/>
        <w:t xml:space="preserve">Основният акцент в тези доклади беше върху качествен анализ на публикуваните на платформата мнения, за да се осигури общ преглед на обхвата и разнообразието от идеи, предложени </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Снимка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нимка 5" descr=""/>
                    <pic:cNvPicPr>
                      <a:picLocks noChangeAspect="1" noChangeArrowheads="1"/>
                    </pic:cNvPicPr>
                  </pic:nvPicPr>
                  <pic:blipFill>
                    <a:blip r:embed="rId30"/>
                    <a:stretch>
                      <a:fillRect/>
                    </a:stretch>
                  </pic:blipFill>
                  <pic:spPr bwMode="auto">
                    <a:xfrm>
                      <a:off x="0" y="0"/>
                      <a:ext cx="5779135" cy="3321685"/>
                    </a:xfrm>
                    <a:prstGeom prst="rect">
                      <a:avLst/>
                    </a:prstGeom>
                  </pic:spPr>
                </pic:pic>
              </a:graphicData>
            </a:graphic>
          </wp:anchor>
        </w:drawing>
      </w:r>
      <w:r>
        <w:rPr/>
        <w:t>н</w:t>
      </w:r>
      <w:r>
        <w:rPr/>
        <w:t>а платформата и обсъдени по време на проявите. За тази цел изследователски екип извърши ръчен текстов анализ и обединяване на приноса, като използва аналитични инструменти, предоставени от Съвместния изследователски център на Комисията. Това дава възможност да се идентифицират общи теми и подкатегории на предмета, които са описани подробно под всяка тема и синтезирани в концептуални схеми, които им позволяват да бъдат визуализирани бързо. За да се допълни този качествен подход с количествени елементи, теми, подтеми или идеи, които често се връщат или които са били силно коментирани или подкрепяни, бяха споменати във всеки от докладите. Целта беше да се отрази състоянието на дискусиите на различните етапи на конференцията, включително високото ниво на интерес или дебат, генерирани от определени идеи. Докладите също така предоставиха преглед на социално-демографските данни на участниците. Участниците бяха помолени да предоставят информация за своята държава на пребиваване, ниво на образование, възраст, пол и професионален статус; незадължителният характер на тази информация обаче ограничава яснотата, която може да бъде очертана по отношение на профила на участниците. Например 26,9 % от всички вноски са от участници, които не са посочили своята държава на пребиваване.</w:t>
      </w:r>
    </w:p>
    <w:p>
      <w:pPr>
        <w:pStyle w:val="Normal"/>
        <w:rPr/>
      </w:pPr>
      <w:r>
        <w:rPr/>
      </w:r>
      <w:r>
        <w:br w:type="page"/>
      </w:r>
    </w:p>
    <w:p>
      <w:pPr>
        <w:pStyle w:val="Normal"/>
        <w:rPr/>
      </w:pPr>
      <w:r>
        <w:rPr/>
        <w:t>От стартирането на платформата темата „Европейска демокрация“ е тази, за която са записани най-голям брой приноси (идеи, коментари и събития). На второ място е темата „Изменение на климата и околна среда“. Отговорите, представени в рамките на „Други идеи„, се нареждат на трето място преди „Цели и права, върховенство на закона, сигурност„и „По-силна икономика, социална справедливост и заетост“.</w:t>
      </w:r>
    </w:p>
    <w:p>
      <w:pPr>
        <w:pStyle w:val="Normal"/>
        <w:rPr/>
      </w:pPr>
      <w:r>
        <w:rPr/>
        <w:t>Докладите относно мненията, събрани на платформата, включително концептуалните схеми, дадоха ценен принос за работата на европейските граждански панели. В началото на всяка от трите панелни сесии основните констатации от доклада и концептуалните схеми бяха представени на групите, които получиха връзки към пълните доклади. Ето колко идеи, които се появиха на платформата, са отразени в препоръките, направени от европейските граждански панели.</w:t>
      </w:r>
    </w:p>
    <w:p>
      <w:pPr>
        <w:pStyle w:val="Normal"/>
        <w:spacing w:before="2802" w:after="57"/>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6310" cy="1779905"/>
                <wp:effectExtent l="0" t="0" r="0" b="0"/>
                <wp:wrapSquare wrapText="bothSides"/>
                <wp:docPr id="13" name="Рамка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Какво се случва на конференцията за бъдещето на Европа?</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участници в конференцията</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участници в събитието</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идеи</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коментари</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събития</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одобрения</w:t>
                                  </w:r>
                                </w:p>
                              </w:tc>
                            </w:tr>
                          </w:tbl>
                          <w:p>
                            <w:pPr>
                              <w:pStyle w:val="Contenudecadre"/>
                              <w:spacing w:before="57" w:after="57"/>
                              <w:rPr/>
                            </w:pPr>
                            <w:r>
                              <w:rPr>
                                <w:color w:val="auto"/>
                              </w:rPr>
                              <w:t xml:space="preserve">Състояние на участие към 20 април 2022 г. (източник: </w:t>
                            </w:r>
                            <w:hyperlink r:id="rId31">
                              <w:r>
                                <w:rPr>
                                  <w:rStyle w:val="LienInternet"/>
                                  <w:color w:val="auto"/>
                                </w:rPr>
                                <w:t>Конференция за бъдещето на Европа (europa.eu</w:t>
                              </w:r>
                            </w:hyperlink>
                            <w:r>
                              <w:rPr>
                                <w:color w:val="auto"/>
                              </w:rPr>
                              <w:t>)</w:t>
                            </w:r>
                          </w:p>
                        </w:txbxContent>
                      </wps:txbx>
                      <wps:bodyPr lIns="54000" rIns="54000" tIns="54000" bIns="54000">
                        <a:noAutofit/>
                      </wps:bodyPr>
                    </wps:wsp>
                  </a:graphicData>
                </a:graphic>
              </wp:anchor>
            </w:drawing>
          </mc:Choice>
          <mc:Fallback>
            <w:pict>
              <v:rect id="shape_0" ID="Рамка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Какво се случва на конференцията за бъдещето на Европа?</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участници в конференцията</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участници в събитието</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идеи</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коментари</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събития</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одобрения</w:t>
                            </w:r>
                          </w:p>
                        </w:tc>
                      </w:tr>
                    </w:tbl>
                    <w:p>
                      <w:pPr>
                        <w:pStyle w:val="Contenudecadre"/>
                        <w:spacing w:before="57" w:after="57"/>
                        <w:rPr/>
                      </w:pPr>
                      <w:r>
                        <w:rPr>
                          <w:color w:val="auto"/>
                        </w:rPr>
                        <w:t xml:space="preserve">Състояние на участие към 20 април 2022 г. (източник: </w:t>
                      </w:r>
                      <w:hyperlink r:id="rId32">
                        <w:r>
                          <w:rPr>
                            <w:rStyle w:val="LienInternet"/>
                            <w:color w:val="auto"/>
                          </w:rPr>
                          <w:t>Конференция за бъдещето на Европа (europa.eu</w:t>
                        </w:r>
                      </w:hyperlink>
                      <w:r>
                        <w:rPr>
                          <w:color w:val="auto"/>
                        </w:rPr>
                        <w:t>)</w:t>
                      </w:r>
                    </w:p>
                  </w:txbxContent>
                </v:textbox>
              </v:rect>
            </w:pict>
          </mc:Fallback>
        </mc:AlternateContent>
      </w:r>
      <w:r>
        <w:rPr/>
        <w:t>Докладите бяха обсъдени и на пленарните заседания на Конференцията, като се започне от пленарната сесия на 23 октомври 2021 г., както и на предишни заседания на работните групи. Поради това приносът на платформата продължи да обогатява предложенията, разработени на пленарното заседание на конференцията.</w:t>
      </w:r>
    </w:p>
    <w:p>
      <w:pPr>
        <w:pStyle w:val="Normal"/>
        <w:rPr/>
      </w:pPr>
      <w:r>
        <w:rPr/>
        <w:t>Към 20 април 2022 г. близо пет милиона уникални посетители са посетили многоезичната цифрова платформа, на която са били активни повече от 50 000 участници, 17 000 идеи са били обсъдени и повече от 6000 регистрирани събития. Зад тези цифри стоят хиляди ангажирани граждани, които споделят и обсъждат много идеи и организират множество оригинални и иновативни събития в различните държави членки.</w:t>
      </w:r>
    </w:p>
    <w:p>
      <w:pPr>
        <w:pStyle w:val="Normal"/>
        <w:rPr/>
      </w:pPr>
      <w:r>
        <w:rPr/>
        <w:t xml:space="preserve">За да се гарантира, че платформата е място, където гражданите от всички сфери на живота и от всички краища на Европа се чувстват комфортно и насърчавани да допринасят за дебата, всички, които използват платформата, трябваше да се присъединят към </w:t>
      </w:r>
      <w:hyperlink r:id="rId33">
        <w:r>
          <w:rPr>
            <w:rStyle w:val="LienInternet"/>
          </w:rPr>
          <w:t>Хартата на конференцията</w:t>
        </w:r>
      </w:hyperlink>
      <w:r>
        <w:rPr/>
        <w:t xml:space="preserve"> и </w:t>
      </w:r>
      <w:hyperlink r:id="rId34">
        <w:r>
          <w:rPr>
            <w:rStyle w:val="LienInternet"/>
          </w:rPr>
          <w:t>правилата за участие</w:t>
        </w:r>
      </w:hyperlink>
      <w:r>
        <w:rPr/>
        <w:t>. Създаден е екип за модериране, който работи по време на конференцията под надзора на съвместния секретариат от името на Изпълнителния съвет, за да се гарантира спазването на Хартата и правилата за участие. Не е имало предварително модериране на съдържанието. Когато даден принос е скрит, потребителят получава съобщение от екипа за модериране, в което обяснява причината. Подробности за принципите и процеса на модериране бяха предоставени в раздел</w:t>
      </w:r>
      <w:hyperlink r:id="rId35">
        <w:r>
          <w:rPr>
            <w:rStyle w:val="LienInternet"/>
          </w:rPr>
          <w:t>Често задавани въпроси</w:t>
        </w:r>
      </w:hyperlink>
      <w:r>
        <w:rPr/>
        <w:t xml:space="preserve"> (ЧЗВ) на платформата.</w:t>
      </w:r>
    </w:p>
    <w:p>
      <w:pPr>
        <w:pStyle w:val="Normal"/>
        <w:rPr/>
      </w:pPr>
      <w:r>
        <w:rPr/>
        <w:t>Между 19 април 2021 г. и 20 април 2022 г. бяха прикрити 430 идеи (2,4 %), 312 коментара (1,4 %) и 396 събития (6,0 %). Около 71 % от идеите са маскирани, защото не съдържат предложения, независимо дали са спам, потребителски заявки или защото съдържат лична информация или неподходящо свързано изображение; около 17 % от скритите идеи са дублирани. Само 11 % от скритите идеи се дължат на обидно съдържание. По-голямата част от събитията, 76 %, са маскирани, защото са дублирани или защото информацията за събитието е непълна, по искане на организаторите или защото не са свързани с конференцията.</w:t>
      </w:r>
    </w:p>
    <w:p>
      <w:pPr>
        <w:pStyle w:val="Normal"/>
        <w:rPr/>
      </w:pPr>
      <w:r>
        <w:rPr/>
        <w:t>Възможността за принос към платформата остана отворена до 9 май 2022 г. След тази дата е предвиден допълнителен доклад, за да се допълни обобщението на всички мнения, получени по време на конференцията.</w:t>
      </w:r>
    </w:p>
    <w:p>
      <w:pPr>
        <w:pStyle w:val="Normal"/>
        <w:rPr/>
      </w:pPr>
      <w:r>
        <w:rPr/>
        <w:t>Участието в платформата продължи да се увеличава по време на конференцията, но остана неравномерно в отделните държави членки и социално-демографските профили на участниците. Като цяло платформата предостави новаторско пространство за обсъждане, което даде възможност на няколко хиляди граждани и различни заинтересовани страни от цяла Европа и извън нея да участват в многоезичен онлайн дебат по европейски въпроси във всички държави членки. Тя се оказа ценен инструмент за съвещателна демокрация на равнище ЕС.</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Снимка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нимка 6" descr=""/>
                    <pic:cNvPicPr>
                      <a:picLocks noChangeAspect="1" noChangeArrowheads="1"/>
                    </pic:cNvPicPr>
                  </pic:nvPicPr>
                  <pic:blipFill>
                    <a:blip r:embed="rId36"/>
                    <a:stretch>
                      <a:fillRect/>
                    </a:stretch>
                  </pic:blipFill>
                  <pic:spPr bwMode="auto">
                    <a:xfrm>
                      <a:off x="0" y="0"/>
                      <a:ext cx="5691505" cy="4577080"/>
                    </a:xfrm>
                    <a:prstGeom prst="rect">
                      <a:avLst/>
                    </a:prstGeom>
                  </pic:spPr>
                </pic:pic>
              </a:graphicData>
            </a:graphic>
          </wp:anchor>
        </w:drawing>
      </w:r>
    </w:p>
    <w:p>
      <w:pPr>
        <w:pStyle w:val="Normal"/>
        <w:rPr/>
      </w:pPr>
      <w:r>
        <w:rPr/>
      </w:r>
      <w:r>
        <w:br w:type="page"/>
      </w:r>
    </w:p>
    <w:p>
      <w:pPr>
        <w:pStyle w:val="Titre2"/>
        <w:numPr>
          <w:ilvl w:val="1"/>
          <w:numId w:val="2"/>
        </w:numPr>
        <w:rPr/>
      </w:pPr>
      <w:bookmarkStart w:id="9" w:name="__RefHeading___Toc298192_1346298689"/>
      <w:bookmarkEnd w:id="9"/>
      <w:r>
        <w:rPr/>
        <w:t>Б. Граждански панели</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10" w:name="__RefHeading___Toc298194_1346298689"/>
      <w:bookmarkEnd w:id="10"/>
      <w:r>
        <w:rPr/>
        <w:t>1. Европейски граждански панели</w:t>
      </w:r>
    </w:p>
    <w:p>
      <w:pPr>
        <w:pStyle w:val="Corpsdetexte"/>
        <w:rPr/>
      </w:pPr>
      <w:r>
        <w:rPr/>
        <w:t>Европейските граждански панели бяха един от основните стълбове на конференцията с националните панели, многоезичната цифрова платформа и пленарната сесия на конференцията. Те са в основата на Конференцията за бъдещето на Европа и събраха около 800 граждани от всички среди и региони на Европейския съюз. Въпреки че концепцията за граждански панели или асамблеи се използва от десетилетия на общинско равнище и става все по-видима на национално или регионално равнище, общоевропейското измерение остава до голяма степен неизследвано в тази област. Европейските граждански панели бяха първият транснационален и многоезичен опит от такъв мащаб и равнище на амбиция. Забележителната система за тълкуване, която съпътстваше процеса, доведе до приобщаващ, уважителен и ефективен диалог между заинтересованите страни, който гарантира зачитането на многоезичието.</w:t>
      </w:r>
    </w:p>
    <w:p>
      <w:pPr>
        <w:pStyle w:val="Corpsdetexte"/>
        <w:rPr/>
      </w:pPr>
      <w:r>
        <w:rPr/>
        <w:t>Европейските граждански панели бяха организирани от трите институции въз основа на съвместната декларация, Правилника за дейността и договореностите, установени от съпредседателите, под надзора на Изпълнителния съвет. Те бяха подкрепени от консорциум от външни доставчици на услуги, съставен от различни експерти в областта на съвещателната демокрация и екип за логистична подкрепа. Изпълнителният съвет беше информиран за работата на комисиите, бяха предвидени актуализирани практически договорености и адаптира предварителния график на заседанията на европейските граждански панели по време на процеса, ако е необходимо.</w:t>
      </w:r>
    </w:p>
    <w:p>
      <w:pPr>
        <w:pStyle w:val="Corpsdetexte"/>
        <w:rPr/>
      </w:pPr>
      <w:r>
        <w:rPr/>
        <w:t>Участниците в европейските граждански панели бяха избрани през лятото на 2021 г. Гражданите на ЕС бяха избрани на случаен принцип (с които се свързаха 27-те национални института за проучване, координирани от външен доставчик на услуги), с цел да се създадат „панели“, които са представителни за многообразието на ЕС, въз основа на пет критерия: пол, възраст, географски произход (националност, както и градска/селска среда), социално-икономически произход и равнище на образование. Броят на гражданите на държава членка е изчислен в съответствие с принципа на регресивна пропорционалност, прилаган към състава на Европейския парламент, като се има предвид, че всяка група следва да включва най-малко един гражданин и по един гражданин от държава членка. Като се има предвид, че конференцията обърна специално внимание на младите хора, една трета от гражданите във всеки панел бяха на възраст между 16 и 24 години. За всяка група от 200 души бяха избрани още 50 граждани, които да създадат резерв.</w:t>
      </w:r>
    </w:p>
    <w:p>
      <w:pPr>
        <w:pStyle w:val="Corpsdetexte"/>
        <w:rPr/>
      </w:pPr>
      <w:r>
        <w:rPr/>
        <w:t>Бяха организирани четири европейски граждански панела. За всяка от тях темите за обсъждане съответстваха на темите, набелязани в многоезичната цифрова платформа, и бяха групирани, както следва:</w:t>
      </w:r>
    </w:p>
    <w:p>
      <w:pPr>
        <w:pStyle w:val="Puce3"/>
        <w:rPr/>
      </w:pPr>
      <w:r>
        <w:rPr/>
        <w:t>1. По-силна икономика, социална справедливост и заетост; образование, култура, младеж и спорт; дигитална трансформация;</w:t>
      </w:r>
    </w:p>
    <w:p>
      <w:pPr>
        <w:pStyle w:val="Puce3"/>
        <w:rPr/>
      </w:pPr>
      <w:r>
        <w:rPr/>
        <w:t>2. Европейска демокрация; ценности и права, върховенство на закона, сигурност;</w:t>
      </w:r>
    </w:p>
    <w:p>
      <w:pPr>
        <w:pStyle w:val="Puce3"/>
        <w:rPr/>
      </w:pPr>
      <w:r>
        <w:rPr/>
        <w:t>3.Изменение на климата и околна среда; здраве;</w:t>
      </w:r>
    </w:p>
    <w:p>
      <w:pPr>
        <w:pStyle w:val="Puce3"/>
        <w:tabs>
          <w:tab w:val="clear" w:pos="720"/>
        </w:tabs>
        <w:rPr/>
      </w:pPr>
      <w:r>
        <w:rPr/>
        <w:t>4.ЕС в света; миграциите са.</w:t>
      </w:r>
    </w:p>
    <w:p>
      <w:pPr>
        <w:pStyle w:val="Corpsdetexte"/>
        <w:rPr/>
      </w:pPr>
      <w:r>
        <w:rPr/>
        <w:t>Всяка група се събира в продължение на три уикенда. Първата серия от сесии се проведе в Страсбург, втората онлайн и третата — в четири града (Дъблин, Флоренция, Варшава/Натолин и Маастрихт), в публични висши учебни заведения и с подкрепата на местните власти.</w:t>
      </w:r>
    </w:p>
    <w:p>
      <w:pPr>
        <w:pStyle w:val="Titre4"/>
        <w:numPr>
          <w:ilvl w:val="3"/>
          <w:numId w:val="2"/>
        </w:numPr>
        <w:rPr/>
      </w:pPr>
      <w:bookmarkStart w:id="11" w:name="__RefHeading___Toc298196_1346298689"/>
      <w:bookmarkEnd w:id="11"/>
      <w:r>
        <w:rPr/>
        <w:t>ПЪРВИ КРЪГ ОТ ПАНЕЛНИ СЕСИИ</w:t>
      </w:r>
    </w:p>
    <w:p>
      <w:pPr>
        <w:pStyle w:val="Corpsdetexte"/>
        <w:rPr/>
      </w:pPr>
      <w:r>
        <w:rPr/>
        <w:t>За първата сесия на всяка група участниците се срещнаха физически в Страсбург. Целта на заседанието беше да се определи дневният ред на разискванията. Гражданите, участващи в панелите, започнаха с отразяване и развиване на визията си за Европа, като се започне от празна страница и се набележат въпросите, които ще бъдат обсъдени, в рамките на основните теми на панела. След това те приоритизират темите, върху които желаят да се съсредоточат по-задълбочено, за да отправят конкретни препоръки към институциите на ЕС за последващи действия. Дискусиите и колективната работа се проведоха в следните два формата:</w:t>
      </w:r>
    </w:p>
    <w:p>
      <w:pPr>
        <w:pStyle w:val="Alineanegatifpuce"/>
        <w:numPr>
          <w:ilvl w:val="0"/>
          <w:numId w:val="3"/>
        </w:numPr>
        <w:rPr/>
      </w:pPr>
      <w:r>
        <w:rPr/>
        <w:t xml:space="preserve"> </w:t>
      </w:r>
      <w:r>
        <w:rPr/>
        <w:t>в подгрупи, съставени от 12 до 14 граждани. Във всяка подгрупа се говорят четири до пет езика, в които гражданите могат да се изразяват на собствения си език. Работата на подгрупите се ръководи от професионални посредници, избрани от консорциума от външни доставчици на услуги.</w:t>
      </w:r>
    </w:p>
    <w:p>
      <w:pPr>
        <w:pStyle w:val="Alineanegatifpuce"/>
        <w:numPr>
          <w:ilvl w:val="0"/>
          <w:numId w:val="3"/>
        </w:numPr>
        <w:spacing w:before="3929" w:after="57"/>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3455" cy="2495550"/>
                <wp:effectExtent l="0" t="0" r="0" b="0"/>
                <wp:wrapSquare wrapText="bothSides"/>
                <wp:docPr id="16" name="Рамка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СЕСИЯ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ДЕН 1 </w:t>
                                  </w:r>
                                </w:p>
                                <w:p>
                                  <w:pPr>
                                    <w:pStyle w:val="P68B1DB1Contenudetableau9"/>
                                    <w:spacing w:before="57" w:after="57"/>
                                    <w:jc w:val="center"/>
                                    <w:rPr>
                                      <w:sz w:val="16"/>
                                    </w:rPr>
                                  </w:pPr>
                                  <w:r>
                                    <w:rPr/>
                                    <w:t>Ново заседание за панела и подготовка за уикенда</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ДЕН 2 </w:t>
                                  </w:r>
                                </w:p>
                                <w:p>
                                  <w:pPr>
                                    <w:pStyle w:val="P68B1DB1Contenudetableau9"/>
                                    <w:spacing w:before="57" w:after="57"/>
                                    <w:jc w:val="center"/>
                                    <w:rPr>
                                      <w:sz w:val="16"/>
                                    </w:rPr>
                                  </w:pPr>
                                  <w:r>
                                    <w:rPr/>
                                    <w:t>Експертен принос, идентифициране на проблеми, производство на насоки</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ДЕН 3 </w:t>
                                  </w:r>
                                </w:p>
                                <w:p>
                                  <w:pPr>
                                    <w:pStyle w:val="P68B1DB1Contenudetableau9"/>
                                    <w:spacing w:before="57" w:after="57"/>
                                    <w:jc w:val="center"/>
                                    <w:rPr>
                                      <w:sz w:val="16"/>
                                    </w:rPr>
                                  </w:pPr>
                                  <w:r>
                                    <w:rPr/>
                                    <w:t>Финализиране на насоките, заключителни бележки</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Принос от експерти по подтеми</w:t>
                                  </w:r>
                                </w:p>
                              </w:tc>
                              <w:tc>
                                <w:tcPr>
                                  <w:tcW w:w="3120" w:type="dxa"/>
                                  <w:gridSpan w:val="2"/>
                                  <w:tcBorders/>
                                  <w:shd w:fill="0000FF" w:val="clear"/>
                                </w:tcPr>
                                <w:p>
                                  <w:pPr>
                                    <w:pStyle w:val="P68B1DB1Contenudetableau9"/>
                                    <w:spacing w:before="57" w:after="57"/>
                                    <w:jc w:val="center"/>
                                    <w:rPr>
                                      <w:sz w:val="16"/>
                                    </w:rPr>
                                  </w:pPr>
                                  <w:r>
                                    <w:rPr/>
                                    <w:t>Допълнителна информация от експерти</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Добре дошъл, </w:t>
                                  </w:r>
                                </w:p>
                                <w:p>
                                  <w:pPr>
                                    <w:pStyle w:val="P68B1DB1Contenudetableau9"/>
                                    <w:spacing w:before="57" w:after="57"/>
                                    <w:jc w:val="center"/>
                                    <w:rPr>
                                      <w:sz w:val="16"/>
                                    </w:rPr>
                                  </w:pPr>
                                  <w:r>
                                    <w:rPr/>
                                    <w:t xml:space="preserve">Думи към посланиците на гражданите за обратна връзка, </w:t>
                                    <w:br/>
                                    <w:t>Актуализация на платформата, Програма</w:t>
                                  </w:r>
                                </w:p>
                              </w:tc>
                              <w:tc>
                                <w:tcPr>
                                  <w:tcW w:w="3120" w:type="dxa"/>
                                  <w:gridSpan w:val="2"/>
                                  <w:tcBorders/>
                                  <w:shd w:fill="00FF00" w:val="clear"/>
                                </w:tcPr>
                                <w:p>
                                  <w:pPr>
                                    <w:pStyle w:val="P68B1DB1Contenudetableau9"/>
                                    <w:spacing w:before="57" w:after="57"/>
                                    <w:jc w:val="center"/>
                                    <w:rPr>
                                      <w:sz w:val="16"/>
                                    </w:rPr>
                                  </w:pPr>
                                  <w:r>
                                    <w:rPr/>
                                    <w:t>Изготвяне на насоки</w:t>
                                  </w:r>
                                </w:p>
                              </w:tc>
                              <w:tc>
                                <w:tcPr>
                                  <w:tcW w:w="3120" w:type="dxa"/>
                                  <w:gridSpan w:val="2"/>
                                  <w:tcBorders/>
                                  <w:shd w:fill="00FF00" w:val="clear"/>
                                </w:tcPr>
                                <w:p>
                                  <w:pPr>
                                    <w:pStyle w:val="P68B1DB1Contenudetableau9"/>
                                    <w:spacing w:before="57" w:after="57"/>
                                    <w:jc w:val="center"/>
                                    <w:rPr>
                                      <w:sz w:val="16"/>
                                    </w:rPr>
                                  </w:pPr>
                                  <w:r>
                                    <w:rPr/>
                                    <w:t xml:space="preserve"> </w:t>
                                  </w:r>
                                  <w:r>
                                    <w:rPr/>
                                    <w:t>Финализиране на насоките</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Споделяне на определени насоки, </w:t>
                                    <w:br/>
                                    <w:t>Заключителни бележки</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Пленарна сесия</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Пленарна сесия по темата</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Сесия на подгрупата</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wps:txbx>
                      <wps:bodyPr lIns="54000" rIns="54000" tIns="54000" bIns="54000">
                        <a:noAutofit/>
                      </wps:bodyPr>
                    </wps:wsp>
                  </a:graphicData>
                </a:graphic>
              </wp:anchor>
            </w:drawing>
          </mc:Choice>
          <mc:Fallback>
            <w:pict>
              <v:rect id="shape_0" ID="Рамка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СЕСИЯ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ДЕН 1 </w:t>
                            </w:r>
                          </w:p>
                          <w:p>
                            <w:pPr>
                              <w:pStyle w:val="P68B1DB1Contenudetableau9"/>
                              <w:spacing w:before="57" w:after="57"/>
                              <w:jc w:val="center"/>
                              <w:rPr>
                                <w:sz w:val="16"/>
                              </w:rPr>
                            </w:pPr>
                            <w:r>
                              <w:rPr/>
                              <w:t>Ново заседание за панела и подготовка за уикенда</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ДЕН 2 </w:t>
                            </w:r>
                          </w:p>
                          <w:p>
                            <w:pPr>
                              <w:pStyle w:val="P68B1DB1Contenudetableau9"/>
                              <w:spacing w:before="57" w:after="57"/>
                              <w:jc w:val="center"/>
                              <w:rPr>
                                <w:sz w:val="16"/>
                              </w:rPr>
                            </w:pPr>
                            <w:r>
                              <w:rPr/>
                              <w:t>Експертен принос, идентифициране на проблеми, производство на насоки</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ДЕН 3 </w:t>
                            </w:r>
                          </w:p>
                          <w:p>
                            <w:pPr>
                              <w:pStyle w:val="P68B1DB1Contenudetableau9"/>
                              <w:spacing w:before="57" w:after="57"/>
                              <w:jc w:val="center"/>
                              <w:rPr>
                                <w:sz w:val="16"/>
                              </w:rPr>
                            </w:pPr>
                            <w:r>
                              <w:rPr/>
                              <w:t>Финализиране на насоките, заключителни бележки</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Принос от експерти по подтеми</w:t>
                            </w:r>
                          </w:p>
                        </w:tc>
                        <w:tc>
                          <w:tcPr>
                            <w:tcW w:w="3120" w:type="dxa"/>
                            <w:gridSpan w:val="2"/>
                            <w:tcBorders/>
                            <w:shd w:fill="0000FF" w:val="clear"/>
                          </w:tcPr>
                          <w:p>
                            <w:pPr>
                              <w:pStyle w:val="P68B1DB1Contenudetableau9"/>
                              <w:spacing w:before="57" w:after="57"/>
                              <w:jc w:val="center"/>
                              <w:rPr>
                                <w:sz w:val="16"/>
                              </w:rPr>
                            </w:pPr>
                            <w:r>
                              <w:rPr/>
                              <w:t>Допълнителна информация от експерти</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Добре дошъл, </w:t>
                            </w:r>
                          </w:p>
                          <w:p>
                            <w:pPr>
                              <w:pStyle w:val="P68B1DB1Contenudetableau9"/>
                              <w:spacing w:before="57" w:after="57"/>
                              <w:jc w:val="center"/>
                              <w:rPr>
                                <w:sz w:val="16"/>
                              </w:rPr>
                            </w:pPr>
                            <w:r>
                              <w:rPr/>
                              <w:t xml:space="preserve">Думи към посланиците на гражданите за обратна връзка, </w:t>
                              <w:br/>
                              <w:t>Актуализация на платформата, Програма</w:t>
                            </w:r>
                          </w:p>
                        </w:tc>
                        <w:tc>
                          <w:tcPr>
                            <w:tcW w:w="3120" w:type="dxa"/>
                            <w:gridSpan w:val="2"/>
                            <w:tcBorders/>
                            <w:shd w:fill="00FF00" w:val="clear"/>
                          </w:tcPr>
                          <w:p>
                            <w:pPr>
                              <w:pStyle w:val="P68B1DB1Contenudetableau9"/>
                              <w:spacing w:before="57" w:after="57"/>
                              <w:jc w:val="center"/>
                              <w:rPr>
                                <w:sz w:val="16"/>
                              </w:rPr>
                            </w:pPr>
                            <w:r>
                              <w:rPr/>
                              <w:t>Изготвяне на насоки</w:t>
                            </w:r>
                          </w:p>
                        </w:tc>
                        <w:tc>
                          <w:tcPr>
                            <w:tcW w:w="3120" w:type="dxa"/>
                            <w:gridSpan w:val="2"/>
                            <w:tcBorders/>
                            <w:shd w:fill="00FF00" w:val="clear"/>
                          </w:tcPr>
                          <w:p>
                            <w:pPr>
                              <w:pStyle w:val="P68B1DB1Contenudetableau9"/>
                              <w:spacing w:before="57" w:after="57"/>
                              <w:jc w:val="center"/>
                              <w:rPr>
                                <w:sz w:val="16"/>
                              </w:rPr>
                            </w:pPr>
                            <w:r>
                              <w:rPr/>
                              <w:t xml:space="preserve"> </w:t>
                            </w:r>
                            <w:r>
                              <w:rPr/>
                              <w:t>Финализиране на насоките</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Споделяне на определени насоки, </w:t>
                              <w:br/>
                              <w:t>Заключителни бележки</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Пленарна сесия</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Пленарна сесия по темата</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Сесия на подгрупата</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v:textbox>
              </v:rect>
            </w:pict>
          </mc:Fallback>
        </mc:AlternateContent>
      </w:r>
      <w:r>
        <w:rPr/>
        <w:t xml:space="preserve"> </w:t>
      </w:r>
      <w:r>
        <w:rPr/>
        <w:t>в пленарна зала, с всички участници. Пленарните сесии бяха водени от двама основни модератори. Приоритетните теми, произтичащи от обсъжданията, бяха разделени на „ос„(съответстващи на тематичните клъстери) и „подоси“ и послужиха като основа за втората серия от сесии. За тази цел участниците получиха обща информация по темите, както и съответните данни, включително анализи и концептуални схеми, от първия междинен доклад на многоезичната цифрова платформа и презентации от външни експерти на високо равнище.</w:t>
      </w:r>
    </w:p>
    <w:p>
      <w:pPr>
        <w:pStyle w:val="Corpsdetexte"/>
        <w:rPr/>
      </w:pPr>
      <w:r>
        <w:rPr/>
        <w:t>По време на първите сесии 20-те лица, поканени да представляват всяка от комисиите на пленарното заседание, бяха избрани измежду доброволните граждани; по този начин той е бил наблюдаван за разнообразието от възраст и пол.</w:t>
      </w:r>
    </w:p>
    <w:p>
      <w:pPr>
        <w:pStyle w:val="Titre4"/>
        <w:numPr>
          <w:ilvl w:val="3"/>
          <w:numId w:val="2"/>
        </w:numPr>
        <w:rPr/>
      </w:pPr>
      <w:bookmarkStart w:id="12" w:name="__RefHeading___Toc298198_1346298689"/>
      <w:bookmarkEnd w:id="12"/>
      <w:r>
        <w:rPr/>
        <w:t>ВТОРИ КРЪГ ОТ ПАНЕЛНИ СЕСИИ</w:t>
      </w:r>
    </w:p>
    <w:p>
      <w:pPr>
        <w:pStyle w:val="Corpsdetexte"/>
        <w:rPr/>
      </w:pPr>
      <w:r>
        <w:rPr/>
        <w:t>Европейските граждански панели продължиха работата си, като заседаваха онлайн през ноември. За тази цел е въведен специален режим: студио в Брюксел беше домакин на основните модерационни и пленарни сесии, а участващите граждани от целия ЕС биха могли да се намесват чрез система за връзка и устен превод.</w:t>
      </w:r>
    </w:p>
    <w:p>
      <w:pPr>
        <w:pStyle w:val="Corpsdetexte"/>
        <w:rPr/>
      </w:pPr>
      <w:r>
        <w:rPr/>
        <w:t>Във втория кръг от сесиите, с подкрепата на експерти и проверители на факти, гражданите идентифицираха и обсъдиха редица конкретни въпроси и разработиха насоки за всяка от тематичните оси, които бяха определили по време на първата сесия. Особено внимание бе отделено на баланса между половете и географския баланс в рамките на експертната група и че всеки от тези експерти, чрез своя принос, информира задълбочено гражданите, като съобщава факти и/или напредък в дебата и се въздържа от изразяване на лични мнения. На гражданите бяха предоставени и междинните доклади на многоезичната цифрова платформа.</w:t>
      </w:r>
    </w:p>
    <w:p>
      <w:pPr>
        <w:pStyle w:val="Corpsdetexte"/>
        <w:rPr/>
      </w:pPr>
      <w:r>
        <w:rPr/>
        <w:t>По този начин те успяха да идентифицират и обсъдят въпроси, свързани с възложените им теми, въз основа на приноса на експертите по обхванатите теми и техните собствени знания и опит по време на обсъжданията, проведени по време на втория кръг от сесиите. Проблемите са дефинирани като проблеми, изискващи решения, или ситуации, изискващи промяна.</w:t>
      </w:r>
    </w:p>
    <w:p>
      <w:pPr>
        <w:pStyle w:val="Corpsdetexte"/>
        <w:rPr/>
      </w:pPr>
      <w:r>
        <w:rPr/>
        <w:t>След това гражданите разгледаха тези въпроси, като разработиха насоки — първата стъпка към формулирането на препоръки, което беше целта на третата серия от сесии. Гражданите също бяха помолени да обосноват тези насоки.</w:t>
      </w:r>
    </w:p>
    <w:p>
      <w:pPr>
        <w:pStyle w:val="Corpsdetexte"/>
        <w:rPr/>
      </w:pPr>
      <w:r>
        <w:rPr/>
        <w:t>Дискусиите и колективната работа се проведоха в три формата:</w:t>
      </w:r>
    </w:p>
    <w:p>
      <w:pPr>
        <w:pStyle w:val="Alineanegatifpuce"/>
        <w:numPr>
          <w:ilvl w:val="0"/>
          <w:numId w:val="3"/>
        </w:numPr>
        <w:spacing w:before="4842" w:after="57"/>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7745" cy="3075305"/>
                <wp:effectExtent l="0" t="0" r="0" b="0"/>
                <wp:wrapSquare wrapText="bothSides"/>
                <wp:docPr id="18" name="Рамка 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СЕСИЯ 3</w:t>
                                  </w:r>
                                </w:p>
                              </w:tc>
                            </w:tr>
                            <w:tr>
                              <w:trPr/>
                              <w:tc>
                                <w:tcPr>
                                  <w:tcW w:w="3138" w:type="dxa"/>
                                  <w:tcBorders/>
                                  <w:shd w:fill="0000FF" w:val="clear"/>
                                </w:tcPr>
                                <w:p>
                                  <w:pPr>
                                    <w:pStyle w:val="P68B1DB1Contenudetableau10"/>
                                    <w:spacing w:before="57" w:after="57"/>
                                    <w:jc w:val="center"/>
                                    <w:rPr>
                                      <w:b/>
                                      <w:b/>
                                    </w:rPr>
                                  </w:pPr>
                                  <w:r>
                                    <w:rPr/>
                                    <w:t xml:space="preserve">ДЕН 1 </w:t>
                                  </w:r>
                                </w:p>
                                <w:p>
                                  <w:pPr>
                                    <w:pStyle w:val="Contenudetableau"/>
                                    <w:spacing w:before="57" w:after="57"/>
                                    <w:jc w:val="center"/>
                                    <w:rPr/>
                                  </w:pPr>
                                  <w:r>
                                    <w:rPr/>
                                    <w:t>Повторно свързване, приоритизиране и започване на работа</w:t>
                                  </w:r>
                                </w:p>
                              </w:tc>
                              <w:tc>
                                <w:tcPr>
                                  <w:tcW w:w="3138" w:type="dxa"/>
                                  <w:tcBorders/>
                                  <w:shd w:fill="0000FF" w:val="clear"/>
                                </w:tcPr>
                                <w:p>
                                  <w:pPr>
                                    <w:pStyle w:val="P68B1DB1Contenudetableau10"/>
                                    <w:spacing w:before="57" w:after="57"/>
                                    <w:jc w:val="center"/>
                                    <w:rPr>
                                      <w:b/>
                                      <w:b/>
                                    </w:rPr>
                                  </w:pPr>
                                  <w:r>
                                    <w:rPr/>
                                    <w:t xml:space="preserve">ДЕН 2 </w:t>
                                  </w:r>
                                </w:p>
                                <w:p>
                                  <w:pPr>
                                    <w:pStyle w:val="Contenudetableau"/>
                                    <w:jc w:val="center"/>
                                    <w:rPr/>
                                  </w:pPr>
                                  <w:r>
                                    <w:rPr/>
                                    <w:t xml:space="preserve">Преобразуване на насоките </w:t>
                                  </w:r>
                                </w:p>
                                <w:p>
                                  <w:pPr>
                                    <w:pStyle w:val="Contenudetableau"/>
                                    <w:spacing w:before="57" w:after="57"/>
                                    <w:jc w:val="center"/>
                                    <w:rPr/>
                                  </w:pPr>
                                  <w:r>
                                    <w:rPr/>
                                    <w:t>заключителни препоръки</w:t>
                                  </w:r>
                                </w:p>
                              </w:tc>
                              <w:tc>
                                <w:tcPr>
                                  <w:tcW w:w="3138" w:type="dxa"/>
                                  <w:tcBorders/>
                                  <w:shd w:fill="0000FF" w:val="clear"/>
                                </w:tcPr>
                                <w:p>
                                  <w:pPr>
                                    <w:pStyle w:val="P68B1DB1Contenudetableau10"/>
                                    <w:spacing w:before="57" w:after="57"/>
                                    <w:jc w:val="center"/>
                                    <w:rPr>
                                      <w:b/>
                                      <w:b/>
                                    </w:rPr>
                                  </w:pPr>
                                  <w:r>
                                    <w:rPr/>
                                    <w:t xml:space="preserve">ДЕН 3 </w:t>
                                  </w:r>
                                </w:p>
                                <w:p>
                                  <w:pPr>
                                    <w:pStyle w:val="Contenudetableau"/>
                                    <w:spacing w:before="57" w:after="57"/>
                                    <w:jc w:val="center"/>
                                    <w:rPr/>
                                  </w:pPr>
                                  <w:r>
                                    <w:rPr/>
                                    <w:t>Гласуване на окончателните препоръки</w:t>
                                  </w:r>
                                </w:p>
                              </w:tc>
                            </w:tr>
                            <w:tr>
                              <w:trPr/>
                              <w:tc>
                                <w:tcPr>
                                  <w:tcW w:w="3138" w:type="dxa"/>
                                  <w:tcBorders/>
                                  <w:shd w:fill="800000" w:val="clear"/>
                                </w:tcPr>
                                <w:p>
                                  <w:pPr>
                                    <w:pStyle w:val="Contenudetableau"/>
                                    <w:spacing w:before="57" w:after="57"/>
                                    <w:jc w:val="center"/>
                                    <w:rPr/>
                                  </w:pPr>
                                  <w:r>
                                    <w:rPr/>
                                    <w:t>Посрещане и цели на уикенда</w:t>
                                  </w:r>
                                </w:p>
                              </w:tc>
                              <w:tc>
                                <w:tcPr>
                                  <w:tcW w:w="3138" w:type="dxa"/>
                                  <w:tcBorders/>
                                  <w:shd w:fill="00FF00" w:val="clear"/>
                                </w:tcPr>
                                <w:p>
                                  <w:pPr>
                                    <w:pStyle w:val="Contenudetableau"/>
                                    <w:spacing w:before="57" w:after="57"/>
                                    <w:jc w:val="center"/>
                                    <w:rPr/>
                                  </w:pPr>
                                  <w:r>
                                    <w:rPr/>
                                    <w:t>Превръщане на насоките в препоръки</w:t>
                                  </w:r>
                                </w:p>
                              </w:tc>
                              <w:tc>
                                <w:tcPr>
                                  <w:tcW w:w="3138" w:type="dxa"/>
                                  <w:tcBorders/>
                                  <w:shd w:fill="800000" w:val="clear"/>
                                </w:tcPr>
                                <w:p>
                                  <w:pPr>
                                    <w:pStyle w:val="Contenudetableau"/>
                                    <w:spacing w:before="57" w:after="57"/>
                                    <w:jc w:val="center"/>
                                    <w:rPr/>
                                  </w:pPr>
                                  <w:r>
                                    <w:rPr/>
                                    <w:t>Гласуване на окончателните препоръки</w:t>
                                  </w:r>
                                </w:p>
                              </w:tc>
                            </w:tr>
                            <w:tr>
                              <w:trPr/>
                              <w:tc>
                                <w:tcPr>
                                  <w:tcW w:w="3138" w:type="dxa"/>
                                  <w:tcBorders/>
                                  <w:shd w:fill="0000FF" w:val="clear"/>
                                </w:tcPr>
                                <w:p>
                                  <w:pPr>
                                    <w:pStyle w:val="Contenudetableau"/>
                                    <w:spacing w:before="57" w:after="57"/>
                                    <w:jc w:val="center"/>
                                    <w:rPr/>
                                  </w:pPr>
                                  <w:r>
                                    <w:rPr/>
                                    <w:t xml:space="preserve">Отворен форум, </w:t>
                                  </w:r>
                                </w:p>
                                <w:p>
                                  <w:pPr>
                                    <w:pStyle w:val="Contenudetableau"/>
                                    <w:spacing w:before="57" w:after="57"/>
                                    <w:jc w:val="center"/>
                                    <w:rPr/>
                                  </w:pPr>
                                  <w:r>
                                    <w:rPr/>
                                    <w:t>Четене и приоритизиране на насоките</w:t>
                                  </w:r>
                                </w:p>
                              </w:tc>
                              <w:tc>
                                <w:tcPr>
                                  <w:tcW w:w="3138" w:type="dxa"/>
                                  <w:tcBorders/>
                                  <w:shd w:fill="00FF00" w:val="clear"/>
                                </w:tcPr>
                                <w:p>
                                  <w:pPr>
                                    <w:pStyle w:val="Contenudetableau"/>
                                    <w:spacing w:before="57" w:after="57"/>
                                    <w:jc w:val="center"/>
                                    <w:rPr/>
                                  </w:pPr>
                                  <w:r>
                                    <w:rPr/>
                                    <w:t>Обратна връзка с други групи, финализиране на препоръките</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Превръщане на насоките в препоръки</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Пленарна сесия</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Отворен форум</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Работа на подгрупи</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wps:txbx>
                      <wps:bodyPr lIns="54000" rIns="54000" tIns="54000" bIns="54000">
                        <a:noAutofit/>
                      </wps:bodyPr>
                    </wps:wsp>
                  </a:graphicData>
                </a:graphic>
              </wp:anchor>
            </w:drawing>
          </mc:Choice>
          <mc:Fallback>
            <w:pict>
              <v:rect id="shape_0" ID="Рамка 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СЕСИЯ 3</w:t>
                            </w:r>
                          </w:p>
                        </w:tc>
                      </w:tr>
                      <w:tr>
                        <w:trPr/>
                        <w:tc>
                          <w:tcPr>
                            <w:tcW w:w="3138" w:type="dxa"/>
                            <w:tcBorders/>
                            <w:shd w:fill="0000FF" w:val="clear"/>
                          </w:tcPr>
                          <w:p>
                            <w:pPr>
                              <w:pStyle w:val="P68B1DB1Contenudetableau10"/>
                              <w:spacing w:before="57" w:after="57"/>
                              <w:jc w:val="center"/>
                              <w:rPr>
                                <w:b/>
                                <w:b/>
                              </w:rPr>
                            </w:pPr>
                            <w:r>
                              <w:rPr/>
                              <w:t xml:space="preserve">ДЕН 1 </w:t>
                            </w:r>
                          </w:p>
                          <w:p>
                            <w:pPr>
                              <w:pStyle w:val="Contenudetableau"/>
                              <w:spacing w:before="57" w:after="57"/>
                              <w:jc w:val="center"/>
                              <w:rPr/>
                            </w:pPr>
                            <w:r>
                              <w:rPr/>
                              <w:t>Повторно свързване, приоритизиране и започване на работа</w:t>
                            </w:r>
                          </w:p>
                        </w:tc>
                        <w:tc>
                          <w:tcPr>
                            <w:tcW w:w="3138" w:type="dxa"/>
                            <w:tcBorders/>
                            <w:shd w:fill="0000FF" w:val="clear"/>
                          </w:tcPr>
                          <w:p>
                            <w:pPr>
                              <w:pStyle w:val="P68B1DB1Contenudetableau10"/>
                              <w:spacing w:before="57" w:after="57"/>
                              <w:jc w:val="center"/>
                              <w:rPr>
                                <w:b/>
                                <w:b/>
                              </w:rPr>
                            </w:pPr>
                            <w:r>
                              <w:rPr/>
                              <w:t xml:space="preserve">ДЕН 2 </w:t>
                            </w:r>
                          </w:p>
                          <w:p>
                            <w:pPr>
                              <w:pStyle w:val="Contenudetableau"/>
                              <w:jc w:val="center"/>
                              <w:rPr/>
                            </w:pPr>
                            <w:r>
                              <w:rPr/>
                              <w:t xml:space="preserve">Преобразуване на насоките </w:t>
                            </w:r>
                          </w:p>
                          <w:p>
                            <w:pPr>
                              <w:pStyle w:val="Contenudetableau"/>
                              <w:spacing w:before="57" w:after="57"/>
                              <w:jc w:val="center"/>
                              <w:rPr/>
                            </w:pPr>
                            <w:r>
                              <w:rPr/>
                              <w:t>заключителни препоръки</w:t>
                            </w:r>
                          </w:p>
                        </w:tc>
                        <w:tc>
                          <w:tcPr>
                            <w:tcW w:w="3138" w:type="dxa"/>
                            <w:tcBorders/>
                            <w:shd w:fill="0000FF" w:val="clear"/>
                          </w:tcPr>
                          <w:p>
                            <w:pPr>
                              <w:pStyle w:val="P68B1DB1Contenudetableau10"/>
                              <w:spacing w:before="57" w:after="57"/>
                              <w:jc w:val="center"/>
                              <w:rPr>
                                <w:b/>
                                <w:b/>
                              </w:rPr>
                            </w:pPr>
                            <w:r>
                              <w:rPr/>
                              <w:t xml:space="preserve">ДЕН 3 </w:t>
                            </w:r>
                          </w:p>
                          <w:p>
                            <w:pPr>
                              <w:pStyle w:val="Contenudetableau"/>
                              <w:spacing w:before="57" w:after="57"/>
                              <w:jc w:val="center"/>
                              <w:rPr/>
                            </w:pPr>
                            <w:r>
                              <w:rPr/>
                              <w:t>Гласуване на окончателните препоръки</w:t>
                            </w:r>
                          </w:p>
                        </w:tc>
                      </w:tr>
                      <w:tr>
                        <w:trPr/>
                        <w:tc>
                          <w:tcPr>
                            <w:tcW w:w="3138" w:type="dxa"/>
                            <w:tcBorders/>
                            <w:shd w:fill="800000" w:val="clear"/>
                          </w:tcPr>
                          <w:p>
                            <w:pPr>
                              <w:pStyle w:val="Contenudetableau"/>
                              <w:spacing w:before="57" w:after="57"/>
                              <w:jc w:val="center"/>
                              <w:rPr/>
                            </w:pPr>
                            <w:r>
                              <w:rPr/>
                              <w:t>Посрещане и цели на уикенда</w:t>
                            </w:r>
                          </w:p>
                        </w:tc>
                        <w:tc>
                          <w:tcPr>
                            <w:tcW w:w="3138" w:type="dxa"/>
                            <w:tcBorders/>
                            <w:shd w:fill="00FF00" w:val="clear"/>
                          </w:tcPr>
                          <w:p>
                            <w:pPr>
                              <w:pStyle w:val="Contenudetableau"/>
                              <w:spacing w:before="57" w:after="57"/>
                              <w:jc w:val="center"/>
                              <w:rPr/>
                            </w:pPr>
                            <w:r>
                              <w:rPr/>
                              <w:t>Превръщане на насоките в препоръки</w:t>
                            </w:r>
                          </w:p>
                        </w:tc>
                        <w:tc>
                          <w:tcPr>
                            <w:tcW w:w="3138" w:type="dxa"/>
                            <w:tcBorders/>
                            <w:shd w:fill="800000" w:val="clear"/>
                          </w:tcPr>
                          <w:p>
                            <w:pPr>
                              <w:pStyle w:val="Contenudetableau"/>
                              <w:spacing w:before="57" w:after="57"/>
                              <w:jc w:val="center"/>
                              <w:rPr/>
                            </w:pPr>
                            <w:r>
                              <w:rPr/>
                              <w:t>Гласуване на окончателните препоръки</w:t>
                            </w:r>
                          </w:p>
                        </w:tc>
                      </w:tr>
                      <w:tr>
                        <w:trPr/>
                        <w:tc>
                          <w:tcPr>
                            <w:tcW w:w="3138" w:type="dxa"/>
                            <w:tcBorders/>
                            <w:shd w:fill="0000FF" w:val="clear"/>
                          </w:tcPr>
                          <w:p>
                            <w:pPr>
                              <w:pStyle w:val="Contenudetableau"/>
                              <w:spacing w:before="57" w:after="57"/>
                              <w:jc w:val="center"/>
                              <w:rPr/>
                            </w:pPr>
                            <w:r>
                              <w:rPr/>
                              <w:t xml:space="preserve">Отворен форум, </w:t>
                            </w:r>
                          </w:p>
                          <w:p>
                            <w:pPr>
                              <w:pStyle w:val="Contenudetableau"/>
                              <w:spacing w:before="57" w:after="57"/>
                              <w:jc w:val="center"/>
                              <w:rPr/>
                            </w:pPr>
                            <w:r>
                              <w:rPr/>
                              <w:t>Четене и приоритизиране на насоките</w:t>
                            </w:r>
                          </w:p>
                        </w:tc>
                        <w:tc>
                          <w:tcPr>
                            <w:tcW w:w="3138" w:type="dxa"/>
                            <w:tcBorders/>
                            <w:shd w:fill="00FF00" w:val="clear"/>
                          </w:tcPr>
                          <w:p>
                            <w:pPr>
                              <w:pStyle w:val="Contenudetableau"/>
                              <w:spacing w:before="57" w:after="57"/>
                              <w:jc w:val="center"/>
                              <w:rPr/>
                            </w:pPr>
                            <w:r>
                              <w:rPr/>
                              <w:t>Обратна връзка с други групи, финализиране на препоръките</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Превръщане на насоките в препоръки</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Пленарна сесия</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Отворен форум</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Работа на подгрупи</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v:textbox>
              </v:rect>
            </w:pict>
          </mc:Fallback>
        </mc:AlternateContent>
      </w:r>
      <w:r>
        <w:rPr/>
        <w:t xml:space="preserve"> </w:t>
      </w:r>
      <w:r>
        <w:rPr/>
        <w:t>в подгрупи. Всяка от петнадесетте подгрупи се състои от дванадесет до четиринадесет граждани. Във всяка подгрупа бяха използвани четири до пет езика, за да се даде възможност на гражданите да се изразяват на собствения си език или на език, на който се чувстват комфортно. Всяка подгрупа имаше професионален посредник от консорциума от външни доставчици на услуги.</w:t>
      </w:r>
    </w:p>
    <w:p>
      <w:pPr>
        <w:pStyle w:val="Alineanegatifpuce"/>
        <w:numPr>
          <w:ilvl w:val="0"/>
          <w:numId w:val="3"/>
        </w:numPr>
        <w:rPr/>
      </w:pPr>
      <w:r>
        <w:rPr/>
        <w:t xml:space="preserve"> </w:t>
      </w:r>
      <w:r>
        <w:rPr/>
        <w:t>по време на пленарната сесия, посветена на работния поток. Всяка пленарна сесия, посветена на дадена работна ос, обединява подгрупите, работещи по една и съща тематична ос. Пленарните сесии, посветени на работно направление, бяха улеснени от професионални посредници, като устният превод обхваща всички езици, изисквани от участниците.</w:t>
      </w:r>
    </w:p>
    <w:p>
      <w:pPr>
        <w:pStyle w:val="Alineanegatifpuce"/>
        <w:numPr>
          <w:ilvl w:val="0"/>
          <w:numId w:val="3"/>
        </w:numPr>
        <w:rPr/>
      </w:pPr>
      <w:r>
        <w:rPr/>
        <w:t xml:space="preserve"> </w:t>
      </w:r>
      <w:r>
        <w:rPr/>
        <w:t>на пленарно заседание, заедно с всички участващи граждани, да се представи и закрие сесията. Пленарните сесии бяха водени от двама основни модератори на консорциума с устен превод на 24-те официални езика на ЕС.</w:t>
      </w:r>
    </w:p>
    <w:p>
      <w:pPr>
        <w:pStyle w:val="Alineanegatifpuce"/>
        <w:numPr>
          <w:ilvl w:val="0"/>
          <w:numId w:val="0"/>
        </w:numPr>
        <w:ind w:left="0" w:right="0" w:hanging="0"/>
        <w:rPr/>
      </w:pPr>
      <w:r>
        <w:rPr/>
      </w:r>
      <w:r>
        <w:br w:type="page"/>
      </w:r>
    </w:p>
    <w:p>
      <w:pPr>
        <w:pStyle w:val="Titre4"/>
        <w:numPr>
          <w:ilvl w:val="3"/>
          <w:numId w:val="2"/>
        </w:numPr>
        <w:rPr/>
      </w:pPr>
      <w:bookmarkStart w:id="13" w:name="__RefHeading___Toc298200_1346298689"/>
      <w:bookmarkEnd w:id="13"/>
      <w:r>
        <w:rPr/>
        <w:t>ТРЕТИ КРЪГ ОТ СЕСИИТЕ НА ПАНЕЛА</w:t>
      </w:r>
    </w:p>
    <w:p>
      <w:pPr>
        <w:pStyle w:val="Corpsdetexte"/>
        <w:rPr/>
      </w:pPr>
      <w:r>
        <w:rPr/>
        <w:t>Третият и последен кръг от панелни сесии се проведе лично в образователни институции в четири държави членки. Поради пандемията от COVID-19 и свързаните с нея мерки в Ирландия и Нидерландия третата сесия на комисии 1 (По-силна икономика, социална справедливост и заетост); образование, култура, младеж и спорт; цифрова трансформация) и 4 (ЕС в света; миграцията) трябваше да бъде отложена за февруари 2022 г. в консултация с националните органи и асоциираните партньори.</w:t>
      </w:r>
    </w:p>
    <w:p>
      <w:pPr>
        <w:pStyle w:val="Corpsdetexte"/>
        <w:rPr/>
      </w:pPr>
      <w:r>
        <w:rPr/>
        <w:t xml:space="preserve">Дискусиите и колективната работа се проведоха в следните формати: </w:t>
      </w:r>
    </w:p>
    <w:p>
      <w:pPr>
        <w:pStyle w:val="Alineanegatifpuce"/>
        <w:numPr>
          <w:ilvl w:val="0"/>
          <w:numId w:val="3"/>
        </w:numPr>
        <w:rPr/>
      </w:pPr>
      <w:r>
        <w:rPr/>
        <w:t xml:space="preserve"> </w:t>
      </w:r>
      <w:r>
        <w:rPr/>
        <w:t>в пленарна зала с всички участници, в началото на сесията за представяне на програмата и в края на сесията, както е обяснено по-долу. Пленарните сесии бяха водени от двама основни модератори на групата за обсъждане с устен превод на 24-те официални езика на ЕС.</w:t>
      </w:r>
    </w:p>
    <w:p>
      <w:pPr>
        <w:pStyle w:val="Alineanegatifpuce"/>
        <w:numPr>
          <w:ilvl w:val="0"/>
          <w:numId w:val="3"/>
        </w:numPr>
        <w:rPr/>
      </w:pPr>
      <w:r>
        <w:rPr/>
        <w:t xml:space="preserve"> </w:t>
      </w:r>
      <w:r>
        <w:rPr/>
        <w:t>Гражданите започнаха да разглеждат всички насоки, разработени от панела по време на втората сесия като част от „отворен форум“. След това всеки гражданин даде приоритет на максимум десет ориентации за всяка ос на работа. След като този процес на приоритизиране приключи на равнище панел, гражданите се присъединиха към подгрупата, в която вече са работили по време на втората сесия, и заедно взеха под внимание насоките на групата, които са получили приоритет от останалата част от групата — възможност да сравнят този избор със собствената си оценка. За изготвянето на препоръките всяка подгрупа получи ориентировъчен диапазон от броя на препоръките, които трябва да бъдат изготвени: от едно до три, с максимум пет.</w:t>
      </w:r>
    </w:p>
    <w:p>
      <w:pPr>
        <w:pStyle w:val="Alineanegatifpuce"/>
        <w:numPr>
          <w:ilvl w:val="0"/>
          <w:numId w:val="3"/>
        </w:numPr>
        <w:rPr/>
      </w:pPr>
      <w:r>
        <w:rPr/>
        <w:t xml:space="preserve"> </w:t>
      </w:r>
      <w:r>
        <w:rPr/>
        <w:t xml:space="preserve">Всяка от 15-те подгрупи работи за разработване на насоки за препоръки. Гражданите обсъдиха насоките, които са получили най-голяма подкрепа (по реда на приоритета им) и започнаха процеса на изготвяне на препоръките. </w:t>
      </w:r>
    </w:p>
    <w:p>
      <w:pPr>
        <w:pStyle w:val="Normal"/>
        <w:rPr/>
      </w:pPr>
      <w:r>
        <w:rPr/>
        <w:t>По време на третата серия от сесии експертният опит и информацията не бяха доведени до пряко взаимодействие с гражданите, а чрез специално разработена система, „Ресурсно-информационна точка“. Тази система беше използвана за централизиране на всички искания за информация и проверка на фактите на място и за предоставяне на кратки и фактически отговори от експерти и проверители на факти на подгрупите. Тази система е разработена така, че да гарантира, че приносът на експертите и проверителите на факти се изготвя в съответствие с най-високите стандарти за качество и да се избегне неправомерно влияние на този етап от процеса. На гражданите бяха предоставени и междинните доклади на многоезичната цифрова платформа.</w:t>
      </w:r>
    </w:p>
    <w:p>
      <w:pPr>
        <w:pStyle w:val="Corpsdetexte"/>
        <w:rPr/>
      </w:pPr>
      <w:r>
        <w:rPr/>
        <w:t>По време на работата на подгрупата бяха организирани сесии за обратна връзка, за да се помогне на участниците да разберат работата на другите подгрупи и да се засилят препоръките им.</w:t>
      </w:r>
    </w:p>
    <w:p>
      <w:pPr>
        <w:pStyle w:val="Corpsdetexte"/>
        <w:rPr/>
      </w:pPr>
      <w:r>
        <w:rPr/>
        <w:t>След това препоръките на всяка подгрупа бяха гласувани от комисията в последния ден от сесията. Преди гласуването всички участници получиха документ, съдържащ всички проектопрепоръки, изготвени в предходния ден, за да могат да ги прочетат на собствения си език (автоматичен превод от английски език). Всяка препоръка беше прочетена на английски език в пленарна зала, за да се даде възможност на гражданите да чуят устен превод едновременно. Една след друга препоръките бяха поставени на гласуване от участниците чрез онлайн формуляр.</w:t>
      </w:r>
    </w:p>
    <w:p>
      <w:pPr>
        <w:pStyle w:val="Corpsdetexte"/>
        <w:rPr/>
      </w:pPr>
      <w:r>
        <w:rPr/>
        <w:t>Въз основа на резултатите от окончателните гласувания препоръките бяха класифицирани, както следва:</w:t>
      </w:r>
    </w:p>
    <w:p>
      <w:pPr>
        <w:pStyle w:val="Corpsdetexte"/>
        <w:rPr/>
      </w:pPr>
      <w:r>
        <w:rPr/>
        <w:t>Препоръките, които са получили 70 % или повече от подадените гласове, са приети от комитета; препоръките, които не са достигнали този праг, бяха счетени за непотвърдени от експертната група. Общо европейските граждански панели приеха 178 препоръки.</w:t>
      </w:r>
    </w:p>
    <w:p>
      <w:pPr>
        <w:pStyle w:val="Corpsdetexte"/>
        <w:rPr/>
      </w:pPr>
      <w:r>
        <w:rPr/>
        <w:t>Процедурата за гласуване беше контролирана от комисия за гласуване, съставена от двама граждани, които са предложили да изпълняват тази роля.</w:t>
      </w:r>
    </w:p>
    <w:p>
      <w:pPr>
        <w:pStyle w:val="Titre4"/>
        <w:numPr>
          <w:ilvl w:val="3"/>
          <w:numId w:val="2"/>
        </w:numPr>
        <w:rPr/>
      </w:pPr>
      <w:bookmarkStart w:id="14" w:name="__RefHeading___Toc298202_1346298689"/>
      <w:bookmarkEnd w:id="14"/>
      <w:r>
        <w:rPr/>
        <w:t>ПРЕДСТАВИТЕЛИ НА ЕВРОПЕЙСКИТЕ ГРАЖДАНСКИ ПАНЕЛИ В ПЛЕНАРНАТА ЗАЛА</w:t>
      </w:r>
    </w:p>
    <w:p>
      <w:pPr>
        <w:pStyle w:val="Corpsdetexte"/>
        <w:rPr/>
      </w:pPr>
      <w:r>
        <w:rPr/>
        <w:t>Препоръките, приети от четирите европейски граждански панела, бяха представени и обсъдени от 80-те представители на европейските граждански панели на пленарното заседание на конференцията и в работните групи на 21—22 януари 2022 г. (панели 2 и 3) и 11—12 март 2022 г. (пакети 1 и 4). 80-те представители на европейските граждански панели (средно 70 на място и 10 онлайн) продължиха да популяризират и обясняват препоръките на европейските граждански панели на три последователни заседания на Пленарната асамблея и работните групи (на 25—26 март, 8—9 април и 29—30 април).</w:t>
      </w:r>
    </w:p>
    <w:p>
      <w:pPr>
        <w:pStyle w:val="Corpsdetexte"/>
        <w:rPr/>
      </w:pPr>
      <w:r>
        <w:rPr/>
        <w:t>Те също така проведоха редовен обмен на мнения по време на заседания в рамките на „гражданския компонент“ (в рамките на подготвителните онлайн заседания и пленарните заседания на място), помежду си и с 27-те представители на национални прояви и/или национални панели. На 23 април представители на европейските граждански панели се срещнаха онлайн с всички свои колеги, за да обяснят как препоръките са били обсъдени и включени в предложенията за пленарни заседания, както и да получат обратна информация от други участници в панела. Група от членове на съвместния секретариат и консорциумът подкрепиха компонента на гражданите по време на пленарното заседание.</w:t>
      </w:r>
    </w:p>
    <w:p>
      <w:pPr>
        <w:pStyle w:val="Titre4"/>
        <w:numPr>
          <w:ilvl w:val="3"/>
          <w:numId w:val="2"/>
        </w:numPr>
        <w:rPr/>
      </w:pPr>
      <w:bookmarkStart w:id="15" w:name="__RefHeading___Toc298204_1346298689"/>
      <w:bookmarkEnd w:id="15"/>
      <w:r>
        <w:rPr/>
        <w:t>ПРОЗРАЧНОСТ НА ПРОЦЕСА</w:t>
      </w:r>
    </w:p>
    <w:p>
      <w:pPr>
        <w:pStyle w:val="Corpsdetexte"/>
        <w:rPr/>
      </w:pPr>
      <w:r>
        <w:rPr/>
        <w:t xml:space="preserve"> </w:t>
      </w:r>
      <w:r>
        <w:rPr/>
        <w:t>Целият процес беше проведен по прозрачен начин. Пленарните заседания на европейските граждански панели бяха излъчвани на живо, а документите, получени от техните обсъждания и разисквания, бяха предоставени на обществеността на многоезичната цифрова платформа. Окончателният доклад за всяка от сесиите на панела е на разположение на платформата, заедно с препоръките. Докладите съдържат и информация за всички експерти, подкрепили работата на групите.</w:t>
      </w:r>
    </w:p>
    <w:p>
      <w:pPr>
        <w:pStyle w:val="Corpsdetexte"/>
        <w:rPr/>
      </w:pPr>
      <w:r>
        <w:rPr/>
        <w:t>Като истинска демократична иновация европейските граждански панели получиха голямо внимание от научната общност. Изследователите имаха възможност да присъстват на заседанията на европейските граждански панели и да наблюдават поведението, в съответствие с определени правила, на извършената работа и неприкосновеността на личния живот на участниците.</w:t>
      </w:r>
    </w:p>
    <w:p>
      <w:pPr>
        <w:pStyle w:val="Corpsdetexte"/>
        <w:rPr/>
      </w:pPr>
      <w:r>
        <w:rPr/>
      </w:r>
      <w:r>
        <w:br w:type="page"/>
      </w:r>
    </w:p>
    <w:p>
      <w:pPr>
        <w:pStyle w:val="Titre4"/>
        <w:numPr>
          <w:ilvl w:val="3"/>
          <w:numId w:val="2"/>
        </w:numPr>
        <w:rPr/>
      </w:pPr>
      <w:bookmarkStart w:id="16" w:name="__RefHeading___Toc298206_1346298689"/>
      <w:bookmarkEnd w:id="16"/>
      <w:r>
        <w:rPr/>
        <w:t xml:space="preserve">Панел 1 </w:t>
        <w:br/>
        <w:t>По-силна икономика, социална справедливост и заетост; образование, култура, младеж и спорт; дигитална трансформация</w:t>
      </w:r>
    </w:p>
    <w:p>
      <w:pPr>
        <w:pStyle w:val="Corpsdetexte"/>
        <w:rPr/>
      </w:pPr>
      <w:r>
        <w:rPr/>
        <w:t>Първата сесия на експертната група на тема „По-силна икономика, социална справедливост и заетост; образование, култура, младеж и спорт; цифрова трансформация“ се проведе от 17 до 19 септември 2021 г. в Страсбург. Тази група разгледа бъдещето на нашите икономики и работни места, особено след пандемията, като обърна необходимото внимание на свързаните със социалната справедливост въпроси. Той също така разгледа възможностите и предизвикателствата на цифровата трансформация, една от най-важните теми за обсъждане сред тези, свързани с бъдещето.</w:t>
      </w:r>
    </w:p>
    <w:p>
      <w:pPr>
        <w:pStyle w:val="Corpsdetexte"/>
        <w:spacing w:before="3316" w:after="57"/>
        <w:rPr/>
      </w:pPr>
      <w:r>
        <mc:AlternateContent>
          <mc:Choice Requires="wps">
            <w:drawing>
              <wp:anchor behindDoc="0" distT="0" distB="0" distL="0" distR="0" simplePos="0" locked="0" layoutInCell="1" allowOverlap="1" relativeHeight="48">
                <wp:simplePos x="0" y="0"/>
                <wp:positionH relativeFrom="column">
                  <wp:posOffset>476885</wp:posOffset>
                </wp:positionH>
                <wp:positionV relativeFrom="paragraph">
                  <wp:posOffset>23768685</wp:posOffset>
                </wp:positionV>
                <wp:extent cx="6120765" cy="2106295"/>
                <wp:effectExtent l="0" t="0" r="0" b="0"/>
                <wp:wrapSquare wrapText="largest"/>
                <wp:docPr id="20" name="Рамка 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color w:val="auto"/>
                              </w:rPr>
                            </w:pPr>
                            <w:r>
                              <w:rPr>
                                <w:color w:val="auto"/>
                              </w:rPr>
                              <w:drawing>
                                <wp:inline distT="0" distB="0" distL="0" distR="0">
                                  <wp:extent cx="6120130" cy="2105660"/>
                                  <wp:effectExtent l="0" t="0" r="0" b="0"/>
                                  <wp:docPr id="22" name="Снимка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нимка 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Снимка: група 1 на европейските граждани </w:t>
                              <w:tab/>
                              <w:t>Снимка: панел 2 на европейските граждани</w:t>
                            </w:r>
                          </w:p>
                        </w:txbxContent>
                      </wps:txbx>
                      <wps:bodyPr lIns="0" rIns="0" tIns="0" bIns="0">
                        <a:noAutofit/>
                      </wps:bodyPr>
                    </wps:wsp>
                  </a:graphicData>
                </a:graphic>
              </wp:anchor>
            </w:drawing>
          </mc:Choice>
          <mc:Fallback>
            <w:pict>
              <v:rect id="shape_0" ID="Рамка 5" fillcolor="white" stroked="f" style="position:absolute;margin-left:37.55pt;margin-top:1871.55pt;width:481.85pt;height:165.75pt">
                <w10:wrap type="square"/>
                <v:fill o:detectmouseclick="t" type="solid" color2="black"/>
                <v:stroke color="#3465a4" joinstyle="round" endcap="flat"/>
                <v:textbox>
                  <w:txbxContent>
                    <w:p>
                      <w:pPr>
                        <w:pStyle w:val="P68B1DB1Lgende11"/>
                        <w:spacing w:before="120" w:after="120"/>
                        <w:jc w:val="left"/>
                        <w:rPr>
                          <w:color w:val="auto"/>
                        </w:rPr>
                      </w:pPr>
                      <w:r>
                        <w:rPr>
                          <w:color w:val="auto"/>
                        </w:rPr>
                        <w:drawing>
                          <wp:inline distT="0" distB="0" distL="0" distR="0">
                            <wp:extent cx="6120130" cy="2105660"/>
                            <wp:effectExtent l="0" t="0" r="0" b="0"/>
                            <wp:docPr id="23" name="Снимка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нимка 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Снимка: група 1 на европейските граждани </w:t>
                        <w:tab/>
                        <w:t>Снимка: панел 2 на европейските граждани</w:t>
                      </w:r>
                    </w:p>
                  </w:txbxContent>
                </v:textbox>
              </v:rect>
            </w:pict>
          </mc:Fallback>
        </mc:AlternateContent>
      </w:r>
      <w:r>
        <w:rPr/>
        <w:t>Панелът обсъди и бъдещето на Европа в областта на младежта, спорта, културата и образованието. Гражданите, участващи в панела, бяха приветствани от съпредседателя Ги Верхофстад. Работата на първата сесия приключи с одобряването на петте направления на работа: „Работа в Европа„, „Икономика за бъдещето„, „Общество на справедливостта„, „Обучение в Европа“ и „Етична и безопасна цифрова трансформация“.</w:t>
      </w:r>
    </w:p>
    <w:p>
      <w:pPr>
        <w:pStyle w:val="Corpsdetexte"/>
        <w:rPr/>
      </w:pPr>
      <w:r>
        <w:rPr/>
        <w:t>От 5 до 7 ноември 2021 г. 1 група заседава за втори път, този път във виртуален формат, и продължи разискванията на първата сесия. По време на втората сесия членовете на комисията представиха „насоки“ за разработване на конкретни препоръки (на третата си сесия) за всяка от петте оси, определени по време на първата сесия. Общо гражданите, участващи в панел 1, са създали 142 групи за ориентиране.</w:t>
      </w:r>
    </w:p>
    <w:p>
      <w:pPr>
        <w:pStyle w:val="Corpsdetexte"/>
        <w:rPr/>
      </w:pPr>
      <w:r>
        <w:rPr/>
        <w:t>От 25 до 27 февруари 2022 г. гражданите, участващи в панел 1, заседаваха за трети път, като продължиха обсъжданията, проведени по време на сесии 1 и 2. За тази последна сесия участниците в панел 1 бяха домакини в Дъблинския замък от Института по международни и европейски въпроси (IIEA), с възможност да участват онлайн.</w:t>
      </w:r>
    </w:p>
    <w:p>
      <w:pPr>
        <w:pStyle w:val="Corpsdetexte"/>
        <w:rPr/>
      </w:pPr>
      <w:r>
        <w:rPr/>
        <w:t>въз основа на насоките, които бяха разработили на втората сесия като основа за тяхната работа, гражданите разработиха и одобриха 48 окончателни препоръки.</w:t>
      </w:r>
    </w:p>
    <w:p>
      <w:pPr>
        <w:pStyle w:val="Titre4"/>
        <w:numPr>
          <w:ilvl w:val="3"/>
          <w:numId w:val="2"/>
        </w:numPr>
        <w:rPr/>
      </w:pPr>
      <w:bookmarkStart w:id="17" w:name="__RefHeading___Toc298208_1346298689"/>
      <w:bookmarkEnd w:id="17"/>
      <w:r>
        <w:rPr/>
        <w:t xml:space="preserve">Панел 2 </w:t>
        <w:br/>
        <w:t>Европейска демокрация; ценности и права, върховенство на закона, сигурност</w:t>
      </w:r>
    </w:p>
    <w:p>
      <w:pPr>
        <w:pStyle w:val="Corpsdetexte"/>
        <w:rPr/>
      </w:pPr>
      <w:r>
        <w:rPr/>
        <w:t>Сесия 1 на експертната група на тема „Европейска демокрация; ценности и права, върховенство на закона, сигурност“ се проведе от 24 до 26 септември в Страсбург. Групата се съсредоточи върху въпроси, свързани с демокрацията, като изборите, участието извън изборните периоди, усещането за дистанция между гражданите и техните избрани представители, свободата на медиите и дезинформацията. В него бяха разгледани и въпроси, свързани с основните права и ценности, принципите на правовата държава и борбата срещу всички форми на дискриминация. В същото време той се съсредоточи върху вътрешната сигурност на ЕС, като например защитата на европейците от терористични актове и други престъпления. Ораторите бяха приветствани от съпредседателя Гашпер Довжан.</w:t>
      </w:r>
    </w:p>
    <w:p>
      <w:pPr>
        <w:pStyle w:val="Corpsdetexte"/>
        <w:rPr/>
      </w:pPr>
      <w:r>
        <w:rPr/>
        <w:t>Работата на тази първа сесия приключи с одобряването на петте направления на работа: „Гарантиране на зачитането на правата и недискриминацията„, „Защита на демокрацията и принципите на правовата държава„, „Реформиране на ЕС„, „Изграждане на европейска идентичност“ и „Укрепване на участието на гражданите“.</w:t>
      </w:r>
    </w:p>
    <w:p>
      <w:pPr>
        <w:pStyle w:val="Corpsdetexte"/>
        <w:rPr/>
      </w:pPr>
      <w:r>
        <w:rPr/>
        <w:t>От 12 до 14 ноември 2021 г. панел 2 заседава за втори път във виртуален формат и продължи разискванията на първата сесия. По време на втората сесия членовете на комисията представиха „насоки“ за разработване на конкретни препоръки (на третата си сесия) за всяка от петте оси, определени по време на първата сесия. Като цяло гражданите, участващи в панел 2, изготвиха 124 групи за ориентиране.</w:t>
      </w:r>
    </w:p>
    <w:p>
      <w:pPr>
        <w:pStyle w:val="Corpsdetexte"/>
        <w:rPr/>
      </w:pPr>
      <w:r>
        <w:rPr/>
        <w:t>От 10 до 12 декември 2021 г. гражданите, участващи в панел 2, се срещнаха за заключителната си сесия, организирана в Европейския университетски институт във Флоренция, с възможност да участват онлайн. Въз основа на насоките, които бяха разработили на втората сесия като основа за тяхната работа, гражданите разработиха и одобриха 39 окончателни препоръки.</w:t>
      </w:r>
    </w:p>
    <w:p>
      <w:pPr>
        <w:pStyle w:val="Titre4"/>
        <w:numPr>
          <w:ilvl w:val="3"/>
          <w:numId w:val="2"/>
        </w:numPr>
        <w:rPr/>
      </w:pPr>
      <w:bookmarkStart w:id="18" w:name="__RefHeading___Toc298210_1346298689"/>
      <w:bookmarkEnd w:id="18"/>
      <w:r>
        <w:rPr/>
        <w:t>Панел 3 Изменение на климата и околна среда; здраве</w:t>
      </w:r>
    </w:p>
    <w:p>
      <w:pPr>
        <w:pStyle w:val="Corpsdetexte"/>
        <w:rPr/>
      </w:pPr>
      <w:r>
        <w:rPr/>
        <w:t>Панела „Изменение на климата и околна среда“; здравеопазване“ проведе първата си сесия от 1</w:t>
      </w:r>
      <w:r>
        <w:rPr>
          <w:vertAlign w:val="superscript"/>
        </w:rPr>
        <w:t>до</w:t>
      </w:r>
      <w:r>
        <w:rPr/>
        <w:t xml:space="preserve"> 3 октомври в Страсбург. Групата се съсредоточи върху последиците от изменението на климата, екологичните въпроси и новите здравни предизвикателства за Европейския съюз. Той обхвана също така целите и стратегиите на ЕС, като селското стопанство, транспорта и мобилността, енергетиката и прехода към общества след въглерода, научните изследвания, здравните системи, ответните действия при здравни кризи, превенцията и здравословния начин на живот. Работата на тази първа сесия приключи с одобрението на петте области на работа: „По-добър начин на живот„, „Защита на околната среда и здравето„, „Преориентиране на нашата икономика и потребление„, „Към устойчиво общество“ и „Грижа за всички“. Окончателният доклад от сесията е достъпен на многоезичната цифрова платформа.</w:t>
      </w:r>
    </w:p>
    <w:p>
      <w:pPr>
        <w:pStyle w:val="Corpsdetexte"/>
        <w:rPr/>
      </w:pPr>
      <w:r>
        <w:rPr/>
        <w:t>От 19 до 21 ноември 2021 г. 3 група заседава за втори път, този път във виртуален формат, за да продължи разискванията на първата сесия. По време на втората сесия членовете на комисията представиха „насоки“ за разработване на конкретни препоръки (на третата си сесия) за всяка от петте оси, определени по време на първата сесия. Общо гражданите, участващи в панел 3, изготвиха 130 групи за ориентиране.</w:t>
      </w:r>
    </w:p>
    <w:p>
      <w:pPr>
        <w:pStyle w:val="Corpsdetexte"/>
        <w:rPr/>
      </w:pPr>
      <w:r>
        <w:rPr/>
        <w:t>От 7 до 9 януари 2022 г. гражданите на панел 3 се събраха за заключителната сесия, която организираха в Колежа на Европа в Натолин и Двореца на културата и науката, с подкрепата на град Варшава. Възможно е да участвате онлайн. Въз основа на насоките, които бяха разработили на втората сесия като основа за тяхната работа, гражданите разработиха и одобриха 51 окончателни препоръки.</w:t>
      </w:r>
    </w:p>
    <w:p>
      <w:pPr>
        <w:pStyle w:val="Titre4"/>
        <w:numPr>
          <w:ilvl w:val="3"/>
          <w:numId w:val="2"/>
        </w:numPr>
        <w:rPr/>
      </w:pPr>
      <w:bookmarkStart w:id="19" w:name="__RefHeading___Toc298212_1346298689"/>
      <w:bookmarkEnd w:id="19"/>
      <w:r>
        <w:rPr/>
        <w:t>Панел 4 ЕС в света; миграция</w:t>
      </w:r>
    </w:p>
    <w:p>
      <w:pPr>
        <w:pStyle w:val="Corpsdetexte"/>
        <w:rPr/>
      </w:pPr>
      <w:r>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1165" cy="2242185"/>
                <wp:effectExtent l="0" t="0" r="0" b="0"/>
                <wp:wrapSquare wrapText="largest"/>
                <wp:docPr id="24" name="Рамка 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3905"/>
                                  <wp:effectExtent l="0" t="0" r="0" b="0"/>
                                  <wp:docPr id="26" name="Снимка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нимка 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Снимка: панел 3 на европейските граждани</w:t>
                            </w:r>
                          </w:p>
                        </w:txbxContent>
                      </wps:txbx>
                      <wps:bodyPr lIns="0" rIns="0" tIns="0" bIns="0">
                        <a:noAutofit/>
                      </wps:bodyPr>
                    </wps:wsp>
                  </a:graphicData>
                </a:graphic>
              </wp:anchor>
            </w:drawing>
          </mc:Choice>
          <mc:Fallback>
            <w:pict>
              <v:rect id="shape_0" ID="Рамка 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3905"/>
                            <wp:effectExtent l="0" t="0" r="0" b="0"/>
                            <wp:docPr id="27" name="Снимка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нимка 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Снимка: панел 3 на европейските граждани</w:t>
                      </w:r>
                    </w:p>
                  </w:txbxContent>
                </v:textbox>
              </v:rect>
            </w:pict>
          </mc:Fallback>
        </mc:AlternateContent>
      </w:r>
    </w:p>
    <w:p>
      <w:pPr>
        <w:pStyle w:val="Corpsdetexte"/>
        <w:rPr/>
      </w:pPr>
      <w:r>
        <w:rPr/>
        <w:t>Четвъртата група, озаглавена „ЕС в света“; миграцията“ се срещна за първи път от 15 до 17 октомври в Страсбург, по време на която участниците обсъдиха по-специално ролята на ЕС на международната сцена.</w:t>
      </w:r>
    </w:p>
    <w:p>
      <w:pPr>
        <w:pStyle w:val="Corpsdetexte"/>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0480" cy="2101215"/>
                <wp:effectExtent l="0" t="0" r="0" b="0"/>
                <wp:wrapTopAndBottom/>
                <wp:docPr id="28" name="Рамка 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6445"/>
                                  <wp:effectExtent l="0" t="0" r="0" b="0"/>
                                  <wp:docPr id="30" name="Снимка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нимка 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Снимка: група 4 на европейските граждани</w:t>
                              <w:br/>
                            </w:r>
                          </w:p>
                        </w:txbxContent>
                      </wps:txbx>
                      <wps:bodyPr lIns="0" rIns="0" tIns="0" bIns="0">
                        <a:noAutofit/>
                      </wps:bodyPr>
                    </wps:wsp>
                  </a:graphicData>
                </a:graphic>
              </wp:anchor>
            </w:drawing>
          </mc:Choice>
          <mc:Fallback>
            <w:pict>
              <v:rect id="shape_0" ID="Рамка 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6445"/>
                            <wp:effectExtent l="0" t="0" r="0" b="0"/>
                            <wp:docPr id="31" name="Снимка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нимка 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Снимка: група 4 на европейските граждани</w:t>
                        <w:br/>
                      </w:r>
                    </w:p>
                  </w:txbxContent>
                </v:textbox>
              </v:rect>
            </w:pict>
          </mc:Fallback>
        </mc:AlternateContent>
      </w:r>
      <w:r>
        <w:rPr/>
        <w:t>По-специално бяха обсъдени целите и стратегиите на ЕС в областта на сигурността, отбраната, търговската политика, хуманитарната помощ и сътрудничеството за развитие, външната политика, политиката на съседство на ЕС и разширяването, както и как ЕС следва да се справи с миграцията. Съпредседателят Дубравка Шуица приветства гражданите. Работата на тази първа сесия приключи с одобряването на петте направления на работа: „Самодостатъчност и стабилност„, „ЕС като международен партньор„, „Силен ЕС в свят в мир„, „Миграция от човешка гледна точка“ и „Отговорност и солидарност в целия ЕС“. Окончателният доклад от сесията е достъпен на многоезичната цифрова платформа.</w:t>
      </w:r>
    </w:p>
    <w:p>
      <w:pPr>
        <w:pStyle w:val="Corpsdetexte"/>
        <w:rPr/>
      </w:pPr>
      <w:r>
        <w:rPr/>
        <w:t>От 16 до 28 ноември 2021 г. панел 4 проведе втората си онлайн сесия въз основа на работата, извършена по време на първата сесия. По време на втората сесия членовете на комисията представиха „насоки“ за разработване на конкретни препоръки (на третата си сесия) за всяка от петте оси, определени по време на първата сесия. Като цяло гражданите, участващи в група 4, изготвиха 95 групи за ориентиране.</w:t>
      </w:r>
    </w:p>
    <w:p>
      <w:pPr>
        <w:pStyle w:val="Corpsdetexte"/>
        <w:rPr/>
      </w:pPr>
      <w:r>
        <w:rPr/>
        <w:t>От 11 до 13 февруари 2022 г. 4 граждани на панела се събраха за заключителната си сесия, организирана в Изложбения и конферентен център в Маастрихт (MECC) от Studio Europa Maastricht, в сътрудничество с Университета в Маастрихт и Европейския институт по публична администрация (IEAP). Възможно е да участвате онлайн.</w:t>
      </w:r>
    </w:p>
    <w:p>
      <w:pPr>
        <w:pStyle w:val="Corpsdetexte"/>
        <w:rPr/>
      </w:pPr>
      <w:r>
        <w:rPr/>
        <w:t>въз основа на насоките, които бяха разработили на втората сесия като основа за тяхната работа, гражданите разработиха и одобриха 40 окончателни препоръки.</w:t>
      </w:r>
    </w:p>
    <w:p>
      <w:pPr>
        <w:pStyle w:val="Normal"/>
        <w:rPr/>
      </w:pPr>
      <w:r>
        <w:rPr/>
      </w:r>
    </w:p>
    <w:p>
      <w:pPr>
        <w:pStyle w:val="Titre3"/>
        <w:numPr>
          <w:ilvl w:val="2"/>
          <w:numId w:val="2"/>
        </w:numPr>
        <w:rPr/>
      </w:pPr>
      <w:bookmarkStart w:id="20" w:name="__RefHeading___Toc298214_1346298689"/>
      <w:bookmarkEnd w:id="20"/>
      <w:r>
        <w:rPr/>
        <w:t>2.</w:t>
        <w:tab/>
        <w:t>Национални граждански панели</w:t>
      </w:r>
    </w:p>
    <w:p>
      <w:pPr>
        <w:pStyle w:val="Corpsdetexte"/>
        <w:rPr/>
      </w:pPr>
      <w:r>
        <w:rPr/>
        <w:t>В съответствие със съвместната декларация на пленарното заседание на конференцията бяха обсъдени препоръки от национални и европейски граждански групи, групирани по теми. С цел подпомагане на държавите членки, които планират да организират национални граждански панели, съпредседателите одобриха насоки и ги препратиха на Изпълнителния съвет на 26 май 2021 г. Те следваха същите принципи като европейските граждански панели и включиха принципи на добро обсъждане въз основа на доклад на ОИСР</w:t>
      </w:r>
      <w:r>
        <w:rPr>
          <w:rStyle w:val="Ancredenotedebasdepage"/>
          <w:rStyle w:val="Ancredenotedebasdepage"/>
        </w:rPr>
        <w:footnoteReference w:id="5"/>
      </w:r>
      <w:r>
        <w:rPr/>
        <w:t>.</w:t>
      </w:r>
    </w:p>
    <w:p>
      <w:pPr>
        <w:pStyle w:val="Corpsdetexte"/>
        <w:rPr/>
      </w:pPr>
      <w:r>
        <w:rPr/>
        <w:t>Шест държави членки — Белгия, Франция, Германия, Италия, Литва и Нидерландия — организираха групи от национални граждани при спазване на принципите, изложени в настоящите насоки. Препоръките, направени от тези национални граждански панели, бяха представени и обсъдени на пленарните заседания през януари и март, както и в пленарните работни групи, успоредно с препоръките на европейските граждански панели по същите теми.</w:t>
      </w:r>
    </w:p>
    <w:p>
      <w:pPr>
        <w:pStyle w:val="Titre4"/>
        <w:numPr>
          <w:ilvl w:val="3"/>
          <w:numId w:val="2"/>
        </w:numPr>
        <w:rPr/>
      </w:pPr>
      <w:bookmarkStart w:id="21" w:name="__RefHeading___Toc298216_1346298689"/>
      <w:bookmarkEnd w:id="21"/>
      <w:r>
        <w:rPr/>
        <w:t>1)</w:t>
        <w:tab/>
        <w:t>БЕЛГИЯ</w:t>
      </w:r>
    </w:p>
    <w:p>
      <w:pPr>
        <w:pStyle w:val="Normal"/>
        <w:rPr/>
      </w:pPr>
      <w:r>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3205" cy="2115185"/>
                <wp:effectExtent l="0" t="0" r="0" b="0"/>
                <wp:wrapSquare wrapText="largest"/>
                <wp:docPr id="32" name="Рамка 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34" name="Снимка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нимка 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Снимка: Белгийски граждански панел</w:t>
                            </w:r>
                          </w:p>
                        </w:txbxContent>
                      </wps:txbx>
                      <wps:bodyPr lIns="0" rIns="0" tIns="0" bIns="0">
                        <a:noAutofit/>
                      </wps:bodyPr>
                    </wps:wsp>
                  </a:graphicData>
                </a:graphic>
              </wp:anchor>
            </w:drawing>
          </mc:Choice>
          <mc:Fallback>
            <w:pict>
              <v:rect id="shape_0" ID="Рамка 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35" name="Снимка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нимка 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Снимка: Белгийски граждански панел</w:t>
                      </w:r>
                    </w:p>
                  </w:txbxContent>
                </v:textbox>
              </v:rect>
            </w:pict>
          </mc:Fallback>
        </mc:AlternateContent>
      </w:r>
    </w:p>
    <w:p>
      <w:pPr>
        <w:pStyle w:val="Corpsdetexte"/>
        <w:rPr/>
      </w:pPr>
      <w:r>
        <w:rPr/>
        <w:t>През октомври 2021 г. група от граждани събра в продължение на три уикенда 50 произволно избрани граждани, представляващи населението като цяло, за да обсъдят темата за европейската демокрация и как гражданите могат да участват в по-голяма степен в европейските въпроси.</w:t>
      </w:r>
    </w:p>
    <w:p>
      <w:pPr>
        <w:pStyle w:val="Corpsdetexte"/>
        <w:rPr/>
      </w:pPr>
      <w:r>
        <w:rPr/>
        <w:t>Този панел беше организиран под егидата на Sophie Wilmès, заместник министър-председател и министър на външните работи и европейските въпроси на Белгия.</w:t>
      </w:r>
    </w:p>
    <w:p>
      <w:pPr>
        <w:pStyle w:val="Corpsdetexte"/>
        <w:rPr/>
      </w:pPr>
      <w:r>
        <w:rPr/>
        <w:t>Гражданите отправиха препоръки по пет теми, които са избрали, а именно:</w:t>
      </w:r>
    </w:p>
    <w:p>
      <w:pPr>
        <w:pStyle w:val="Alineanegatifpuce"/>
        <w:numPr>
          <w:ilvl w:val="0"/>
          <w:numId w:val="3"/>
        </w:numPr>
        <w:rPr/>
      </w:pPr>
      <w:r>
        <w:rPr/>
        <w:t xml:space="preserve"> </w:t>
      </w:r>
      <w:r>
        <w:rPr/>
        <w:t>подобряване на комуникацията относно Европейския съюз,</w:t>
      </w:r>
    </w:p>
    <w:p>
      <w:pPr>
        <w:pStyle w:val="Alineanegatifpuce"/>
        <w:numPr>
          <w:ilvl w:val="0"/>
          <w:numId w:val="3"/>
        </w:numPr>
        <w:rPr/>
      </w:pPr>
      <w:r>
        <w:rPr/>
        <w:t xml:space="preserve"> </w:t>
      </w:r>
      <w:r>
        <w:rPr/>
        <w:t>идентифициране и борба с дезинформацията за ЕС,</w:t>
      </w:r>
    </w:p>
    <w:p>
      <w:pPr>
        <w:pStyle w:val="Alineanegatifpuce"/>
        <w:numPr>
          <w:ilvl w:val="0"/>
          <w:numId w:val="3"/>
        </w:numPr>
        <w:rPr/>
      </w:pPr>
      <w:r>
        <w:rPr/>
        <w:t xml:space="preserve"> </w:t>
      </w:r>
      <w:r>
        <w:rPr/>
        <w:t>гражданските панели като инструмент за участие,</w:t>
      </w:r>
    </w:p>
    <w:p>
      <w:pPr>
        <w:pStyle w:val="Alineanegatifpuce"/>
        <w:numPr>
          <w:ilvl w:val="0"/>
          <w:numId w:val="3"/>
        </w:numPr>
        <w:rPr/>
      </w:pPr>
      <w:r>
        <w:rPr/>
        <w:t xml:space="preserve"> </w:t>
      </w:r>
      <w:r>
        <w:rPr/>
        <w:t>референдумът по европейските въпроси,</w:t>
      </w:r>
    </w:p>
    <w:p>
      <w:pPr>
        <w:pStyle w:val="Alineanegatifpuce"/>
        <w:numPr>
          <w:ilvl w:val="0"/>
          <w:numId w:val="3"/>
        </w:numPr>
        <w:rPr/>
      </w:pPr>
      <w:r>
        <w:rPr/>
        <w:t xml:space="preserve"> </w:t>
      </w:r>
      <w:r>
        <w:rPr/>
        <w:t>подобряване на съществуващите инструменти за участие в Европейския съюз.</w:t>
      </w:r>
    </w:p>
    <w:p>
      <w:pPr>
        <w:pStyle w:val="Corpsdetexte"/>
        <w:rPr/>
      </w:pPr>
      <w:r>
        <w:rPr/>
        <w:t>Работата на белгийския граждански панел доведе до 115 препоръки, които бяха изготвени, обсъдени и гласувани от 50-те избрани на случаен принцип белгийски граждани.</w:t>
      </w:r>
    </w:p>
    <w:p>
      <w:pPr>
        <w:pStyle w:val="Corpsdetexte"/>
        <w:rPr/>
      </w:pPr>
      <w:r>
        <w:rPr/>
      </w:r>
    </w:p>
    <w:p>
      <w:pPr>
        <w:pStyle w:val="Titre4"/>
        <w:numPr>
          <w:ilvl w:val="3"/>
          <w:numId w:val="2"/>
        </w:numPr>
        <w:rPr/>
      </w:pPr>
      <w:bookmarkStart w:id="22" w:name="__RefHeading___Toc298218_1346298689"/>
      <w:bookmarkEnd w:id="22"/>
      <w:r>
        <w:rPr/>
        <w:t>2)</w:t>
        <w:tab/>
        <w:t>ГЕРМАНИЯ</w:t>
      </w:r>
    </w:p>
    <w:p>
      <w:pPr>
        <w:pStyle w:val="Corpsdetexte"/>
        <w:rPr/>
      </w:pPr>
      <w:r>
        <w:rPr/>
        <w:t>През януари 2022 г. германското външно министерство организира група от национални граждани. 100 избрани на случаен принцип граждани, представителни за населението, участваха в този онлайн панел.</w:t>
      </w:r>
    </w:p>
    <w:p>
      <w:pPr>
        <w:pStyle w:val="Corpsdetexte"/>
        <w:rPr/>
      </w:pPr>
      <w:r>
        <w:rPr/>
        <w:t>На 5 и 8 януари 2022 г. бяха организирани пет семинара за стартиране онлайн, всеки от които събра 20 участници по следните теми:</w:t>
      </w:r>
    </w:p>
    <w:p>
      <w:pPr>
        <w:pStyle w:val="Corpsdetexte"/>
        <w:rPr/>
      </w:pPr>
      <w:r>
        <w:rPr/>
        <w:t>ролята на Европа в света, климата и околната среда,</w:t>
      </w:r>
    </w:p>
    <w:p>
      <w:pPr>
        <w:pStyle w:val="Corpsdetexte"/>
        <w:rPr/>
      </w:pPr>
      <w:r>
        <w:rPr/>
        <w:t>принципите на правовата държава и ценностите,</w:t>
      </w:r>
    </w:p>
    <w:p>
      <w:pPr>
        <w:pStyle w:val="Corpsdetexte"/>
        <w:rPr/>
      </w:pPr>
      <w:r>
        <w:rPr/>
        <w:t>по-силна икономика и социална справедливост.</w:t>
      </w:r>
    </w:p>
    <w:p>
      <w:pPr>
        <w:pStyle w:val="Corpsdetexte"/>
        <w:rPr/>
      </w:pPr>
      <w:r>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1165" cy="2132965"/>
                <wp:effectExtent l="0" t="0" r="0" b="0"/>
                <wp:wrapSquare wrapText="largest"/>
                <wp:docPr id="36" name="Рамка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1900555"/>
                                  <wp:effectExtent l="0" t="0" r="0" b="0"/>
                                  <wp:docPr id="38" name="Снимка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нимка 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Снимка: Германски граждански панел</w:t>
                            </w:r>
                          </w:p>
                        </w:txbxContent>
                      </wps:txbx>
                      <wps:bodyPr lIns="0" rIns="0" tIns="0" bIns="0">
                        <a:noAutofit/>
                      </wps:bodyPr>
                    </wps:wsp>
                  </a:graphicData>
                </a:graphic>
              </wp:anchor>
            </w:drawing>
          </mc:Choice>
          <mc:Fallback>
            <w:pict>
              <v:rect id="shape_0" ID="Рамка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1900555"/>
                            <wp:effectExtent l="0" t="0" r="0" b="0"/>
                            <wp:docPr id="39" name="Снимка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Снимка 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Снимка: Германски граждански панел</w:t>
                      </w:r>
                    </w:p>
                  </w:txbxContent>
                </v:textbox>
              </v:rect>
            </w:pict>
          </mc:Fallback>
        </mc:AlternateContent>
      </w:r>
    </w:p>
    <w:p>
      <w:pPr>
        <w:pStyle w:val="Corpsdetexte"/>
        <w:rPr/>
      </w:pPr>
      <w:r>
        <w:rPr/>
        <w:t>100 избрани на случаен принцип граждани се срещнаха на 15 и 16 януари 2022 г., за да обсъдят предизвикателствата, свързани с тези въпроси и възможните решения, и приеха своите препоръки. Участниците разработиха две конкретни предложения за всяка от горепосочените теми.</w:t>
      </w:r>
    </w:p>
    <w:p>
      <w:pPr>
        <w:pStyle w:val="Corpsdetexte"/>
        <w:rPr/>
      </w:pPr>
      <w:r>
        <w:rPr/>
        <w:t>Резултатите бяха представени на 16 януари на заключителна онлайн конференция, на която присъстваха Аналена Баербок, министър на външните работи на Германия, и Анна Люрман, заместник-министър на Европа и климата.</w:t>
      </w:r>
    </w:p>
    <w:p>
      <w:pPr>
        <w:pStyle w:val="Corpsdetexte"/>
        <w:rPr/>
      </w:pPr>
      <w:r>
        <w:rPr/>
      </w:r>
    </w:p>
    <w:p>
      <w:pPr>
        <w:pStyle w:val="Titre4"/>
        <w:numPr>
          <w:ilvl w:val="3"/>
          <w:numId w:val="2"/>
        </w:numPr>
        <w:rPr/>
      </w:pPr>
      <w:bookmarkStart w:id="23" w:name="__RefHeading___Toc298220_1346298689"/>
      <w:bookmarkEnd w:id="23"/>
      <w:r>
        <w:rPr/>
        <w:t>3)</w:t>
        <w:tab/>
        <w:t>ФРАНЦИЯ</w:t>
      </w:r>
    </w:p>
    <w:p>
      <w:pPr>
        <w:pStyle w:val="Corpsdetexte"/>
        <w:rPr/>
      </w:pPr>
      <w:r>
        <w:rPr/>
        <w:t>Във Франция гражданските панели бяха организирани от френското Министерство на Европа и външните работи с подкрепата на Министерството на отношенията с парламента и гражданското участие.</w:t>
      </w:r>
    </w:p>
    <w:p>
      <w:pPr>
        <w:pStyle w:val="Normal"/>
        <w:rPr/>
      </w:pPr>
      <w:r>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1165" cy="2244090"/>
                <wp:effectExtent l="0" t="0" r="0" b="0"/>
                <wp:wrapSquare wrapText="largest"/>
                <wp:docPr id="40" name="Рамка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42" name="Снимка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Снимка 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Снимка: панел на френските граждани</w:t>
                            </w:r>
                          </w:p>
                        </w:txbxContent>
                      </wps:txbx>
                      <wps:bodyPr lIns="0" rIns="0" tIns="0" bIns="0">
                        <a:noAutofit/>
                      </wps:bodyPr>
                    </wps:wsp>
                  </a:graphicData>
                </a:graphic>
              </wp:anchor>
            </w:drawing>
          </mc:Choice>
          <mc:Fallback>
            <w:pict>
              <v:rect id="shape_0" ID="Рамка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43" name="Снимка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Снимка 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Снимка: панел на френските граждани</w:t>
                      </w:r>
                    </w:p>
                  </w:txbxContent>
                </v:textbox>
              </v:rect>
            </w:pict>
          </mc:Fallback>
        </mc:AlternateContent>
      </w:r>
    </w:p>
    <w:p>
      <w:pPr>
        <w:pStyle w:val="Corpsdetexte"/>
        <w:rPr/>
      </w:pPr>
      <w:r>
        <w:rPr/>
        <w:t>Осемнадесет граждански панела бяха организирани през септември и началото на октомври 2021 г. във всички региони на Франция, метрополните и отвъдморските региони. Всяка група събра между 30 и 50 произволно избрани граждани, представителни за многообразието на населението на регионите. Общо над 700 граждани участваха в панелите. Работата на регионалните групи доведе до списък от 101 стремежа, с 515 изменения и 1 301 конкретни предложения.</w:t>
      </w:r>
    </w:p>
    <w:p>
      <w:pPr>
        <w:pStyle w:val="Corpsdetexte"/>
        <w:rPr/>
      </w:pPr>
      <w:r>
        <mc:AlternateContent>
          <mc:Choice Requires="wps">
            <w:drawing>
              <wp:anchor behindDoc="0" distT="0" distB="0" distL="0" distR="0" simplePos="0" locked="0" layoutInCell="1" allowOverlap="1" relativeHeight="30">
                <wp:simplePos x="0" y="0"/>
                <wp:positionH relativeFrom="column">
                  <wp:posOffset>82550</wp:posOffset>
                </wp:positionH>
                <wp:positionV relativeFrom="paragraph">
                  <wp:posOffset>2325370</wp:posOffset>
                </wp:positionV>
                <wp:extent cx="2806700" cy="2136140"/>
                <wp:effectExtent l="0" t="0" r="0" b="0"/>
                <wp:wrapSquare wrapText="largest"/>
                <wp:docPr id="44" name="Рамка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40890"/>
                                  <wp:effectExtent l="0" t="0" r="0" b="0"/>
                                  <wp:docPr id="46" name="Снимка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Снимка 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Снимка: Италиански граждански панел</w:t>
                            </w:r>
                          </w:p>
                        </w:txbxContent>
                      </wps:txbx>
                      <wps:bodyPr lIns="0" rIns="0" tIns="0" bIns="0">
                        <a:noAutofit/>
                      </wps:bodyPr>
                    </wps:wsp>
                  </a:graphicData>
                </a:graphic>
              </wp:anchor>
            </w:drawing>
          </mc:Choice>
          <mc:Fallback>
            <w:pict>
              <v:rect id="shape_0" ID="Рамка10" fillcolor="white" stroked="f" style="position:absolute;margin-left:6.5pt;margin-top:183.1pt;width:220.9pt;height:168.1pt">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40890"/>
                            <wp:effectExtent l="0" t="0" r="0" b="0"/>
                            <wp:docPr id="47" name="Снимка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Снимка 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Снимка: Италиански граждански панел</w:t>
                      </w:r>
                    </w:p>
                  </w:txbxContent>
                </v:textbox>
              </v:rect>
            </w:pict>
          </mc:Fallback>
        </mc:AlternateContent>
      </w:r>
      <w:r>
        <w:rPr/>
        <w:t>Общо 100 граждани, представляващи панелите, се срещнаха в Париж на 16—17 октомври 2021 г. за Националната конференция за обобщаване, за да изготвят и приемат препоръките. Като част от този процес бяха набелязани общо 14 приоритетни препоръки. Що се отнася до деветте теми на конференцията, препоръките бяха представени на френското правителство, включително на държавния секретар Клемент Боун, и представляваха приноса на френското правителство към конференцията.</w:t>
      </w:r>
    </w:p>
    <w:p>
      <w:pPr>
        <w:pStyle w:val="Titre4"/>
        <w:numPr>
          <w:ilvl w:val="3"/>
          <w:numId w:val="2"/>
        </w:numPr>
        <w:rPr/>
      </w:pPr>
      <w:bookmarkStart w:id="24" w:name="__RefHeading___Toc298222_1346298689"/>
      <w:bookmarkEnd w:id="24"/>
      <w:r>
        <w:rPr/>
        <w:t>4)</w:t>
        <w:tab/>
        <w:t>ИТАЛИЯ</w:t>
      </w:r>
    </w:p>
    <w:p>
      <w:pPr>
        <w:pStyle w:val="Corpsdetexte"/>
        <w:rPr/>
      </w:pPr>
      <w:r>
        <w:rPr/>
        <w:t>През март 2022 г. бе организирана гражданска група от независима трета страна под надзора на италианския отдел по европейски политики на председателството на Съвета на министрите.</w:t>
      </w:r>
    </w:p>
    <w:p>
      <w:pPr>
        <w:pStyle w:val="Corpsdetexte"/>
        <w:rPr/>
      </w:pPr>
      <w:r>
        <w:rPr/>
      </w:r>
    </w:p>
    <w:p>
      <w:pPr>
        <w:pStyle w:val="Corpsdetexte"/>
        <w:rPr/>
      </w:pPr>
      <w:r>
        <w:rPr/>
        <w:t>В него участваха общо 55 избрани на случаен принцип граждани, представляващи италианското общество и неговите региони. Участниците бяха избрани на случаен принцип, за да се гарантира наличието на различен пол, възраст, социален произход, място на пребиваване и професионален статус.</w:t>
      </w:r>
    </w:p>
    <w:p>
      <w:pPr>
        <w:pStyle w:val="Corpsdetexte"/>
        <w:rPr/>
      </w:pPr>
      <w:r>
        <w:rPr/>
        <w:t>Гражданите се срещнаха онлайн на 11 и 12 март 2022 г., за да обсъдят две теми на конференцията:</w:t>
      </w:r>
    </w:p>
    <w:p>
      <w:pPr>
        <w:pStyle w:val="Alineanegatifpuce"/>
        <w:numPr>
          <w:ilvl w:val="0"/>
          <w:numId w:val="3"/>
        </w:numPr>
        <w:rPr/>
      </w:pPr>
      <w:r>
        <w:rPr/>
        <w:t xml:space="preserve"> „</w:t>
      </w:r>
      <w:r>
        <w:rPr/>
        <w:t>По-силна икономика, социална справедливост и заетост“, и</w:t>
      </w:r>
    </w:p>
    <w:p>
      <w:pPr>
        <w:pStyle w:val="Alineanegatifpuce"/>
        <w:numPr>
          <w:ilvl w:val="0"/>
          <w:numId w:val="3"/>
        </w:numPr>
        <w:rPr/>
      </w:pPr>
      <w:r>
        <w:rPr/>
        <w:t xml:space="preserve"> „</w:t>
      </w:r>
      <w:r>
        <w:rPr/>
        <w:t>Европа в света“.</w:t>
      </w:r>
    </w:p>
    <w:p>
      <w:pPr>
        <w:pStyle w:val="Corpsdetexte"/>
        <w:rPr/>
      </w:pPr>
      <w:r>
        <w:rPr/>
        <w:t>На 12 март 2022 г. експертната група прие общо 58 препоръки, включително 33 относно „По-силна икономика, социална справедливост и заетост„и 25 относно „Глобална Европа“. В последния ден участниците извършиха проверка и валидиране на първия проект на препоръките, направени по време на първия етап от работата.</w:t>
      </w:r>
    </w:p>
    <w:p>
      <w:pPr>
        <w:pStyle w:val="Corpsdetexte"/>
        <w:rPr/>
      </w:pPr>
      <w:r>
        <w:rPr/>
      </w:r>
    </w:p>
    <w:p>
      <w:pPr>
        <w:pStyle w:val="Titre4"/>
        <w:numPr>
          <w:ilvl w:val="3"/>
          <w:numId w:val="2"/>
        </w:numPr>
        <w:rPr/>
      </w:pPr>
      <w:bookmarkStart w:id="25" w:name="__RefHeading___Toc298224_1346298689"/>
      <w:bookmarkEnd w:id="25"/>
      <w:r>
        <w:rPr/>
        <w:t>5)</w:t>
        <w:tab/>
        <w:t>ЛИТВА</w:t>
      </w:r>
    </w:p>
    <w:p>
      <w:pPr>
        <w:pStyle w:val="Corpsdetexte"/>
        <w:rPr/>
      </w:pPr>
      <w:r>
        <w:rPr/>
        <w:t>От името на Министерството на външните работи през януари 2022 г. независима трета страна организира национална гражданска комисия.</w:t>
      </w:r>
    </w:p>
    <w:p>
      <w:pPr>
        <w:pStyle w:val="Corpsdetexte"/>
        <w:rPr/>
      </w:pPr>
      <w:r>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1165" cy="2247265"/>
                <wp:effectExtent l="0" t="0" r="0" b="0"/>
                <wp:wrapSquare wrapText="largest"/>
                <wp:docPr id="48" name="Рамка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8985"/>
                                  <wp:effectExtent l="0" t="0" r="0" b="0"/>
                                  <wp:docPr id="50" name="Снимка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нимка 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Снимка: Литовски граждански панел</w:t>
                            </w:r>
                          </w:p>
                        </w:txbxContent>
                      </wps:txbx>
                      <wps:bodyPr lIns="0" rIns="0" tIns="0" bIns="0">
                        <a:noAutofit/>
                      </wps:bodyPr>
                    </wps:wsp>
                  </a:graphicData>
                </a:graphic>
              </wp:anchor>
            </w:drawing>
          </mc:Choice>
          <mc:Fallback>
            <w:pict>
              <v:rect id="shape_0" ID="Рамка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8985"/>
                            <wp:effectExtent l="0" t="0" r="0" b="0"/>
                            <wp:docPr id="51" name="Снимка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Снимка 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Снимка: Литовски граждански панел</w:t>
                      </w:r>
                    </w:p>
                  </w:txbxContent>
                </v:textbox>
              </v:rect>
            </w:pict>
          </mc:Fallback>
        </mc:AlternateContent>
      </w:r>
    </w:p>
    <w:p>
      <w:pPr>
        <w:pStyle w:val="Corpsdetexte"/>
        <w:rPr/>
      </w:pPr>
      <w:r>
        <w:rPr/>
        <w:t>Тя събра общо 25 избрани на случаен принцип граждани на възраст от 18 до 65 години, представителни за различните социално-икономически групи и региони на Литва.</w:t>
      </w:r>
    </w:p>
    <w:p>
      <w:pPr>
        <w:pStyle w:val="Corpsdetexte"/>
        <w:rPr/>
      </w:pPr>
      <w:r>
        <w:rPr/>
        <w:t>На 4 януари 2022 г. беше организирана онлайн сесия по откриването, а гражданите обсъдиха две теми:</w:t>
      </w:r>
    </w:p>
    <w:p>
      <w:pPr>
        <w:pStyle w:val="Alineanegatifpuce"/>
        <w:numPr>
          <w:ilvl w:val="0"/>
          <w:numId w:val="3"/>
        </w:numPr>
        <w:rPr/>
      </w:pPr>
      <w:r>
        <w:rPr/>
        <w:t xml:space="preserve"> </w:t>
      </w:r>
      <w:r>
        <w:rPr/>
        <w:t>ролята и правомощията на ЕС във външната политика;</w:t>
      </w:r>
    </w:p>
    <w:p>
      <w:pPr>
        <w:pStyle w:val="Alineanegatifpuce"/>
        <w:numPr>
          <w:ilvl w:val="0"/>
          <w:numId w:val="3"/>
        </w:numPr>
        <w:rPr/>
      </w:pPr>
      <w:r>
        <w:rPr/>
        <w:t xml:space="preserve"> </w:t>
      </w:r>
      <w:r>
        <w:rPr/>
        <w:t>икономическата роля на ЕС.</w:t>
      </w:r>
    </w:p>
    <w:p>
      <w:pPr>
        <w:pStyle w:val="Normal"/>
        <w:rPr/>
      </w:pPr>
      <w:r>
        <w:rPr/>
      </w:r>
    </w:p>
    <w:p>
      <w:pPr>
        <w:pStyle w:val="Corpsdetexte"/>
        <w:rPr/>
      </w:pPr>
      <w:r>
        <w:rPr/>
        <w:t>На 15 януари 2022 г. участниците се срещнаха лично, за да формулират основните заключения от обсъжданията си. На 25 януари 2022 г. те приеха 21 препоръки на виртуална сесия, 10 от които бяха съсредоточени върху ролята и компетенциите на ЕС във външната политика и 11 — върху икономическата роля на ЕС.</w:t>
      </w:r>
    </w:p>
    <w:p>
      <w:pPr>
        <w:pStyle w:val="Corpsdetexte"/>
        <w:rPr/>
      </w:pPr>
      <w:r>
        <w:rPr/>
      </w:r>
    </w:p>
    <w:p>
      <w:pPr>
        <w:pStyle w:val="Titre4"/>
        <w:numPr>
          <w:ilvl w:val="3"/>
          <w:numId w:val="2"/>
        </w:numPr>
        <w:rPr/>
      </w:pPr>
      <w:bookmarkStart w:id="26" w:name="__RefHeading___Toc298226_1346298689"/>
      <w:bookmarkEnd w:id="26"/>
      <w:r>
        <w:rPr/>
        <w:t>6)</w:t>
        <w:tab/>
        <w:t>НИДЕРЛАНДИЯ</w:t>
      </w:r>
    </w:p>
    <w:p>
      <w:pPr>
        <w:pStyle w:val="Corpsdetexte"/>
        <w:rPr/>
      </w:pPr>
      <w:r>
        <w:rPr/>
        <w:t>Гражданският панел беше организиран от независима трета страна, като диалозите, озаглавени „Визиите на Европа“, започнаха на</w:t>
      </w:r>
      <w:r>
        <w:rPr>
          <w:vertAlign w:val="superscript"/>
        </w:rPr>
        <w:t>1</w:t>
      </w:r>
      <w:r>
        <w:rPr/>
        <w:t xml:space="preserve"> септември. Те бяха разделени на няколко части.</w:t>
      </w:r>
    </w:p>
    <w:p>
      <w:pPr>
        <w:pStyle w:val="Corpsdetexte"/>
        <w:rPr/>
      </w:pPr>
      <w:r>
        <w:rPr/>
        <w:t>Стартирана на</w:t>
      </w:r>
      <w:r>
        <w:rPr>
          <w:vertAlign w:val="superscript"/>
        </w:rPr>
        <w:t>1</w:t>
      </w:r>
      <w:r>
        <w:rPr/>
        <w:t xml:space="preserve"> септември 2021 г., онлайн секцията включваше куестове и</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Снимка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Снимка 16" descr=""/>
                    <pic:cNvPicPr>
                      <a:picLocks noChangeAspect="1" noChangeArrowheads="1"/>
                    </pic:cNvPicPr>
                  </pic:nvPicPr>
                  <pic:blipFill>
                    <a:blip r:embed="rId45"/>
                    <a:stretch>
                      <a:fillRect/>
                    </a:stretch>
                  </pic:blipFill>
                  <pic:spPr bwMode="auto">
                    <a:xfrm>
                      <a:off x="0" y="0"/>
                      <a:ext cx="3610610" cy="2474595"/>
                    </a:xfrm>
                    <a:prstGeom prst="rect">
                      <a:avLst/>
                    </a:prstGeom>
                  </pic:spPr>
                </pic:pic>
              </a:graphicData>
            </a:graphic>
          </wp:anchor>
        </w:drawing>
      </w:r>
      <w:r>
        <w:rPr/>
        <w:t>о</w:t>
      </w:r>
      <w:r>
        <w:rPr/>
        <w:t>простен инструмент за подбор, които позволяват на гражданите да изразят своите предпочитания, желания и препоръки по деветте теми на конференцията. Въпросникът беше раздаден на избрана представителна и приобщаваща група от 4000 граждани.</w:t>
      </w:r>
    </w:p>
    <w:p>
      <w:pPr>
        <w:pStyle w:val="Corpsdetexte"/>
        <w:rPr/>
      </w:pPr>
      <w:r>
        <w:rPr/>
      </w:r>
    </w:p>
    <w:p>
      <w:pPr>
        <w:pStyle w:val="Corpsdetexte"/>
        <w:rPr/>
      </w:pPr>
      <w:r>
        <w:rPr/>
        <w:t>През октомври и ноември 2021 г. бяха проведени задълбочени дебати онлайн и офлайн с гражданите, по-специално с цел достигане до младите хора и труднодостъпните целеви групи.</w:t>
      </w:r>
    </w:p>
    <w:p>
      <w:pPr>
        <w:pStyle w:val="Corpsdetexte"/>
        <w:rPr/>
      </w:pPr>
      <w:r>
        <w:rPr/>
        <w:t>Публикувани са два доклада, озаглавени „Нашата визия за Европа“; становища, идеи и препоръки (Elze kijk op Europa; Meningen, ideeën en Aanbevelingen) и обединяване на 30-те препоръки, направени от гражданите по деветте теми на конференцията.</w:t>
      </w:r>
    </w:p>
    <w:p>
      <w:pPr>
        <w:pStyle w:val="Corpsdetexte"/>
        <w:rPr/>
      </w:pPr>
      <w:r>
        <w:rPr/>
        <mc:AlternateContent>
          <mc:Choice Requires="wps">
            <w:drawing>
              <wp:anchor behindDoc="0" distT="0" distB="0" distL="0" distR="0" simplePos="0" locked="0" layoutInCell="1" allowOverlap="1" relativeHeight="66">
                <wp:simplePos x="0" y="0"/>
                <wp:positionH relativeFrom="column">
                  <wp:posOffset>25400</wp:posOffset>
                </wp:positionH>
                <wp:positionV relativeFrom="paragraph">
                  <wp:posOffset>591820</wp:posOffset>
                </wp:positionV>
                <wp:extent cx="2971165" cy="2225675"/>
                <wp:effectExtent l="0" t="0" r="0" b="0"/>
                <wp:wrapSquare wrapText="largest"/>
                <wp:docPr id="53" name="Рамка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t>Холандски граждански</w:t>
                            </w:r>
                            <w:r>
                              <w:rPr>
                                <w:color w:val="auto"/>
                              </w:rPr>
                              <w:drawing>
                                <wp:inline distT="0" distB="0" distL="0" distR="0">
                                  <wp:extent cx="2970530" cy="2017395"/>
                                  <wp:effectExtent l="0" t="0" r="0" b="0"/>
                                  <wp:docPr id="55" name="Снимка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Снимка 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панел</w:t>
                            </w:r>
                          </w:p>
                        </w:txbxContent>
                      </wps:txbx>
                      <wps:bodyPr lIns="0" rIns="0" tIns="0" bIns="0">
                        <a:noAutofit/>
                      </wps:bodyPr>
                    </wps:wsp>
                  </a:graphicData>
                </a:graphic>
              </wp:anchor>
            </w:drawing>
          </mc:Choice>
          <mc:Fallback>
            <w:pict>
              <v:rect id="shape_0" ID="Рамка12" fillcolor="white" stroked="f" style="position:absolute;margin-left:2pt;margin-top:46.6pt;width:233.85pt;height:175.15pt">
                <w10:wrap type="square"/>
                <v:fill o:detectmouseclick="t" type="solid" color2="black"/>
                <v:stroke color="#3465a4" joinstyle="round" endcap="flat"/>
                <v:textbox>
                  <w:txbxContent>
                    <w:p>
                      <w:pPr>
                        <w:pStyle w:val="P68B1DB1Lgende11"/>
                        <w:spacing w:before="120" w:after="120"/>
                        <w:rPr>
                          <w:color w:val="auto"/>
                        </w:rPr>
                      </w:pPr>
                      <w:r>
                        <w:rPr>
                          <w:color w:val="auto"/>
                        </w:rPr>
                        <w:t>Холандски граждански</w:t>
                      </w:r>
                      <w:r>
                        <w:rPr>
                          <w:color w:val="auto"/>
                        </w:rPr>
                        <w:drawing>
                          <wp:inline distT="0" distB="0" distL="0" distR="0">
                            <wp:extent cx="2970530" cy="2017395"/>
                            <wp:effectExtent l="0" t="0" r="0" b="0"/>
                            <wp:docPr id="56" name="Снимка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Снимка 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панел</w:t>
                      </w:r>
                    </w:p>
                  </w:txbxContent>
                </v:textbox>
              </v:rect>
            </w:pict>
          </mc:Fallback>
        </mc:AlternateContent>
      </w:r>
    </w:p>
    <w:p>
      <w:pPr>
        <w:pStyle w:val="Normal"/>
        <w:rPr/>
      </w:pPr>
      <w:r>
        <w:rPr/>
      </w:r>
      <w:r>
        <w:br w:type="page"/>
      </w:r>
    </w:p>
    <w:p>
      <w:pPr>
        <w:pStyle w:val="Titre2"/>
        <w:numPr>
          <w:ilvl w:val="1"/>
          <w:numId w:val="2"/>
        </w:numPr>
        <w:rPr/>
      </w:pPr>
      <w:bookmarkStart w:id="27" w:name="__RefHeading___Toc298228_1346298689"/>
      <w:bookmarkEnd w:id="27"/>
      <w:r>
        <w:rPr/>
        <w:t>В. В.</w:t>
        <w:tab/>
        <w:t>Събития, организирани в рамките на конференцията</w:t>
      </w:r>
    </w:p>
    <w:p>
      <w:pPr>
        <w:pStyle w:val="Titre3"/>
        <w:numPr>
          <w:ilvl w:val="2"/>
          <w:numId w:val="2"/>
        </w:numPr>
        <w:rPr/>
      </w:pPr>
      <w:bookmarkStart w:id="28" w:name="__RefHeading___Toc298230_1346298689"/>
      <w:bookmarkEnd w:id="28"/>
      <w:r>
        <w:rPr/>
        <w:t>1.</w:t>
        <w:tab/>
        <w:t>Национални събития</w:t>
      </w:r>
    </w:p>
    <w:p>
      <w:pPr>
        <w:pStyle w:val="Corpsdetexte"/>
        <w:rPr/>
      </w:pPr>
      <w:r>
        <w:rPr/>
        <w:t xml:space="preserve">Държавите членки допринесоха за конференцията чрез широк спектър от прояви и инициативи. В тези прояви участваха няколко хиляди граждани от целия ЕС. В </w:t>
      </w:r>
      <w:hyperlink r:id="rId47">
        <w:r>
          <w:rPr>
            <w:rStyle w:val="LienInternet"/>
          </w:rPr>
          <w:t>специална функция</w:t>
        </w:r>
      </w:hyperlink>
      <w:r>
        <w:rPr/>
        <w:t xml:space="preserve"> от многоезичната цифрова платформа се прави преглед на основните дейности, които органите на държавите членки са организирали или подкрепили. Проявите бяха представени на пленарните асамблеи на конференцията на 23 октомври 2021 г. и 25 март 2022 г. от представители на национални прояви и/или от национални граждански панели, но те също така допринесоха за конференцията чрез </w:t>
      </w:r>
      <w:hyperlink r:id="rId48">
        <w:r>
          <w:rPr>
            <w:rStyle w:val="LienInternet"/>
          </w:rPr>
          <w:t>докладите на Платформата</w:t>
        </w:r>
      </w:hyperlink>
      <w:r>
        <w:rPr/>
        <w:t>, като по този начин обогатиха дебата на европейско равнище.</w:t>
      </w:r>
    </w:p>
    <w:p>
      <w:pPr>
        <w:pStyle w:val="Corpsdetexte"/>
        <w:rPr/>
      </w:pPr>
      <w:r>
        <w:rPr/>
        <w:t xml:space="preserve"> </w:t>
      </w:r>
      <w:r>
        <w:rPr/>
        <w:t>Основната цел на тези прояви и инициативи беше да се вслушват в гражданите и да ги включат в дебатите за Европейския съюз. Приобщаването и диалогът с гражданите също бяха приоритет, като бяха положени усилия за включване на хора, които обикновено не участват в дебати, свързани с ЕС.</w:t>
      </w:r>
    </w:p>
    <w:p>
      <w:pPr>
        <w:pStyle w:val="Corpsdetexte"/>
        <w:rPr/>
      </w:pPr>
      <w:r>
        <w:rPr/>
        <w:t>Бяха проведени различни видове прояви, съчетаващи централизирани и децентрализирани подходи, включително с различни форми на подкрепа за инициативи „отдолу-нагоре“. Дейностите и проявите в държавите членки бяха организирани от различни институции и участници, включително национални, регионални и местни органи, организации на гражданското общество, социални партньори, сдружения и граждани. В някои случаи неправителствени организации, културни институции, мозъчни тръстове, университети и научноизследователски институти също участваха активно в организирането на събития на конференцията. В много от тези дейности и събития е поставен специален акцент върху участието на по-младото поколение.</w:t>
      </w:r>
    </w:p>
    <w:p>
      <w:pPr>
        <w:pStyle w:val="Corpsdetexte"/>
        <w:rPr/>
      </w:pPr>
      <w:r>
        <w:rPr/>
        <w:drawing>
          <wp:anchor behindDoc="0" distT="0" distB="0" distL="0" distR="0" simplePos="0" locked="0" layoutInCell="1" allowOverlap="1" relativeHeight="67">
            <wp:simplePos x="0" y="0"/>
            <wp:positionH relativeFrom="column">
              <wp:posOffset>31750</wp:posOffset>
            </wp:positionH>
            <wp:positionV relativeFrom="paragraph">
              <wp:posOffset>123190</wp:posOffset>
            </wp:positionV>
            <wp:extent cx="2518410" cy="7244080"/>
            <wp:effectExtent l="0" t="0" r="0" b="0"/>
            <wp:wrapTopAndBottom/>
            <wp:docPr id="57" name="Снимка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Снимка 17" descr=""/>
                    <pic:cNvPicPr>
                      <a:picLocks noChangeAspect="1" noChangeArrowheads="1"/>
                    </pic:cNvPicPr>
                  </pic:nvPicPr>
                  <pic:blipFill>
                    <a:blip r:embed="rId49"/>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pPr>
      <w:bookmarkStart w:id="29" w:name="__RefHeading___Toc298232_1346298689"/>
      <w:bookmarkEnd w:id="29"/>
      <w:r>
        <w:rPr/>
        <w:t>Преглед на основните прояви и инициативи в държавите членки:</w:t>
      </w:r>
    </w:p>
    <w:p>
      <w:pPr>
        <w:pStyle w:val="P68B1DB1Corpsdetexte12"/>
        <w:rPr>
          <w:b/>
          <w:b/>
          <w:i/>
          <w:i/>
          <w:u w:val="single"/>
        </w:rPr>
      </w:pPr>
      <w:r>
        <w:rPr/>
        <w:t>1 Белгия</w:t>
      </w:r>
    </w:p>
    <w:p>
      <w:pPr>
        <w:pStyle w:val="Corpsdetexte"/>
        <w:rPr/>
      </w:pPr>
      <w:r>
        <w:rPr/>
        <w:t>Няколко събития бяха организирани от федералните и регионалните власти. Проведени бяха няколко дебата с гражданите, например относно ЕС по света и относно изменението на климата и околната среда. Проведе се и структуриран диалог с гражданите относно „Живот в граничен регион„и хакатон относно „Въздействието на здравословния начин на живот и изменението на климата върху качеството на живот„и „пречки пред младежката заетост“.</w:t>
      </w:r>
    </w:p>
    <w:p>
      <w:pPr>
        <w:pStyle w:val="Corpsdetexte"/>
        <w:rPr/>
      </w:pPr>
      <w:r>
        <w:rPr/>
        <w:t>Освен това беше организирана проява, посветена на цифровизацията и устойчивата икономика, и се проведоха редица дебати между млади хора и политици на тема „Европа ви слуша“.</w:t>
      </w:r>
    </w:p>
    <w:p>
      <w:pPr>
        <w:pStyle w:val="P68B1DB1Corpsdetexte12"/>
        <w:rPr>
          <w:b/>
          <w:b/>
          <w:i/>
          <w:i/>
          <w:u w:val="single"/>
        </w:rPr>
      </w:pPr>
      <w:r>
        <w:rPr/>
        <w:t>2 България</w:t>
      </w:r>
    </w:p>
    <w:p>
      <w:pPr>
        <w:pStyle w:val="Corpsdetexte"/>
        <w:rPr/>
      </w:pPr>
      <w:r>
        <w:rPr/>
        <w:t>Българското учение започна на церемония под надслов „Как да чуем гласа на гражданите чрез Конференцията за бъдещето на Европа?“ с участието на публични власти и представители на гражданите. Като част от организираните събития беше установен диалог по демографията и демокрацията.</w:t>
      </w:r>
    </w:p>
    <w:p>
      <w:pPr>
        <w:pStyle w:val="Corpsdetexte"/>
        <w:rPr/>
      </w:pPr>
      <w:r>
        <w:rPr/>
        <w:t>Няколко местни прояви се проведоха в големи университетски градове с помощта на центрове Europe Direct.</w:t>
      </w:r>
    </w:p>
    <w:p>
      <w:pPr>
        <w:pStyle w:val="P68B1DB1Corpsdetexte12"/>
        <w:rPr>
          <w:b/>
          <w:b/>
          <w:i/>
          <w:i/>
          <w:u w:val="single"/>
        </w:rPr>
      </w:pPr>
      <w:r>
        <w:rPr/>
        <w:t>3 Чешка република</w:t>
      </w:r>
    </w:p>
    <w:p>
      <w:pPr>
        <w:pStyle w:val="Corpsdetexte"/>
        <w:rPr/>
      </w:pPr>
      <w:r>
        <w:rPr/>
        <w:t>Чешката република организира централни дискусии с широката общественост и информационни прояви за съответните заинтересовани страни. Тези събития бяха допълнени от младежки събития и събития с международно участие. По-специално беше организирано транснационално събитие с участието на германски и чешки граждани. В цялата страна се проведоха няколко регионални дебата, както и регионални семинари за ученици от средните училища на тема „Декларация за Европа“.</w:t>
      </w:r>
    </w:p>
    <w:p>
      <w:pPr>
        <w:pStyle w:val="Normal"/>
        <w:rPr/>
      </w:pPr>
      <w:r>
        <w:rPr/>
      </w:r>
    </w:p>
    <w:p>
      <w:pPr>
        <w:pStyle w:val="P68B1DB1Corpsdetexte12"/>
        <w:tabs>
          <w:tab w:val="left" w:pos="1391" w:leader="none"/>
        </w:tabs>
        <w:rPr>
          <w:b/>
          <w:b/>
          <w:i/>
          <w:i/>
          <w:u w:val="single"/>
        </w:rPr>
      </w:pPr>
      <w:r>
        <w:rPr/>
        <w:t>4 Дания</w:t>
      </w:r>
    </w:p>
    <w:p>
      <w:pPr>
        <w:pStyle w:val="Corpsdetexte"/>
        <w:rPr/>
      </w:pPr>
      <w:r>
        <w:rPr/>
        <w:t>Беше организиран широк и приобщаващ национален дебат, в който гражданското общество и други неправителствени участници изиграха централна роля. Определен резерв от публични средства е предоставен на група от различни организации, включително неправителствени организации, медии, младежки организации, културни институции, мозъчни тръстове и изследователски институти в подкрепа на дебати и инициативи, създадени от неправителствени организации. Проведени са над 180 дебата, около половината от които са насочени специално към младите хора. Освен това правителството и парламентът организираха поредица от официални прояви, като например граждански консултации и дебати.</w:t>
      </w:r>
    </w:p>
    <w:p>
      <w:pPr>
        <w:pStyle w:val="P68B1DB1Corpsdetexte12"/>
        <w:rPr>
          <w:b/>
          <w:b/>
          <w:i/>
          <w:i/>
          <w:u w:val="single"/>
        </w:rPr>
      </w:pPr>
      <w:r>
        <w:rPr/>
        <w:t>5 Германия</w:t>
      </w:r>
    </w:p>
    <w:p>
      <w:pPr>
        <w:pStyle w:val="Corpsdetexte"/>
        <w:rPr/>
      </w:pPr>
      <w:r>
        <w:rPr/>
        <w:t>Събитията в Германия включваха федералното правителство, Бундестага, федералните провинции и гражданското общество. В допълнение към събитията, организирани от федералното правителство, повече от 50 регионални прояви бяха организирани от шестнадесетте федерални провинции на Германия и около 300 от гражданското общество.</w:t>
      </w:r>
    </w:p>
    <w:p>
      <w:pPr>
        <w:pStyle w:val="Corpsdetexte"/>
        <w:rPr/>
      </w:pPr>
      <w:r>
        <w:rPr/>
        <w:t>Трансграничните прояви и диалози със студенти и млади хора бяха централен елемент на много инициативи, поставяйки младите хора в челните редици на дискусиите, насочени към оформяне на бъдещето на Европа.</w:t>
      </w:r>
    </w:p>
    <w:p>
      <w:pPr>
        <w:pStyle w:val="P68B1DB1Corpsdetexte12"/>
        <w:rPr>
          <w:b/>
          <w:b/>
          <w:i/>
          <w:i/>
          <w:u w:val="single"/>
        </w:rPr>
      </w:pPr>
      <w:r>
        <w:rPr/>
        <w:t>6 Естония</w:t>
      </w:r>
    </w:p>
    <w:p>
      <w:pPr>
        <w:pStyle w:val="Corpsdetexte"/>
        <w:rPr/>
      </w:pPr>
      <w:r>
        <w:rPr/>
        <w:t>Различни прояви, семинари и дебати бяха организирани от държавния канцлер в сътрудничество с Представителството на Европейската комисия в Естония, Министерството на външните работи и други министерства, както и с гражданското общество и младежките организации, наред с другото. По-специално беше проведена дискусия за гимназисти по ключови въпроси, свързани с изменението на климата, енергийните политики и конференцията като цяло. Започна и дискусия на тема „Естонска дипломация за постигане на целите в областта на климата“.</w:t>
      </w:r>
    </w:p>
    <w:p>
      <w:pPr>
        <w:pStyle w:val="P68B1DB1Corpsdetexte12"/>
        <w:rPr>
          <w:b/>
          <w:b/>
          <w:i/>
          <w:i/>
          <w:u w:val="single"/>
        </w:rPr>
      </w:pPr>
      <w:r>
        <w:rPr/>
        <w:t>7 Ирландия</w:t>
      </w:r>
    </w:p>
    <w:p>
      <w:pPr>
        <w:pStyle w:val="Corpsdetexte"/>
        <w:rPr/>
      </w:pPr>
      <w:r>
        <w:rPr/>
        <w:t>Приобщаването и диалогът с цялото население, особено с младите хора, бяха основната тема на дейностите, организирани в Ирландия.</w:t>
      </w:r>
    </w:p>
    <w:p>
      <w:pPr>
        <w:pStyle w:val="Corpsdetexte"/>
        <w:rPr/>
      </w:pPr>
      <w:r>
        <w:rPr/>
        <w:t>В сътрудничество с Европейското движение Ирландия (EMI) през 2021 г. и 2022 г. беше стартирана програма за регионални и секторни ангажименти. Първата фаза на регионалните срещи се проведе през юни и юли под формата на виртуални консултации. Втората фаза на регионалните прояви беше под формата на преки публични срещи за началото на 2022 г. От юли е в ход програма за събития, ръководени от правителството.</w:t>
      </w:r>
    </w:p>
    <w:p>
      <w:pPr>
        <w:pStyle w:val="P68B1DB1Corpsdetexte12"/>
        <w:rPr>
          <w:b/>
          <w:b/>
          <w:i/>
          <w:i/>
          <w:u w:val="single"/>
        </w:rPr>
      </w:pPr>
      <w:r>
        <w:rPr/>
        <w:t>8 Гърция</w:t>
      </w:r>
    </w:p>
    <w:p>
      <w:pPr>
        <w:pStyle w:val="Corpsdetexte"/>
        <w:rPr/>
      </w:pPr>
      <w:r>
        <w:rPr/>
        <w:t>Министерството на външните работи отговаря за координирането на националния диалог. Централните и местните правителствени агенции и гражданското общество бяха силно насърчавани да организират дискусии и други прояви. Например се проведоха прояви относно евро-средиземноморското сътрудничество, Западните Балкани, демографското предизвикателство, миграцията и демокрацията, в които участваха граждани и различни заинтересовани страни.</w:t>
      </w:r>
    </w:p>
    <w:p>
      <w:pPr>
        <w:pStyle w:val="P68B1DB1Corpsdetexte12"/>
        <w:rPr>
          <w:b/>
          <w:b/>
          <w:i/>
          <w:i/>
          <w:u w:val="single"/>
        </w:rPr>
      </w:pPr>
      <w:r>
        <w:rPr/>
        <w:t>9 Испания</w:t>
      </w:r>
    </w:p>
    <w:p>
      <w:pPr>
        <w:pStyle w:val="Corpsdetexte"/>
        <w:rPr/>
      </w:pPr>
      <w:r>
        <w:rPr/>
        <w:t>Испанската рамка включваше шест прояви на национално равнище (напр. консултация с испански граждани относно бъдещето на Европа) и около 20 на регионално равнище. Беше организирана и проява с участието на португалски и испански граждани за обсъждане на ключови теми от интерес за бъдещето на техните региони и за ЕС. На регионално и местно равнище властите организираха прояви по няколко теми, като например трансграничното сътрудничество, въздействието на демографските промени, устойчивия транспорт и мобилност, изменението на климата, миграцията и бъдещето на най-отдалечените региони.</w:t>
      </w:r>
    </w:p>
    <w:p>
      <w:pPr>
        <w:pStyle w:val="Normal"/>
        <w:rPr/>
      </w:pPr>
      <w:r>
        <w:rPr/>
      </w:r>
    </w:p>
    <w:p>
      <w:pPr>
        <w:pStyle w:val="P68B1DB1Corpsdetexte12"/>
        <w:rPr>
          <w:b/>
          <w:b/>
          <w:i/>
          <w:i/>
          <w:u w:val="single"/>
        </w:rPr>
      </w:pPr>
      <w:r>
        <w:rPr/>
        <w:t>10 Франция</w:t>
      </w:r>
    </w:p>
    <w:p>
      <w:pPr>
        <w:pStyle w:val="Corpsdetexte"/>
        <w:rPr/>
      </w:pPr>
      <w:r>
        <w:rPr/>
        <w:t>Френското правителство проведе обширна онлайн консултация за младите хора от май до юли 2021 г. Петдесет хиляди млади французи изразиха своите виждания, подкрепяйки шестнадесет основни идеи за бъдещето на Европа. Резултатите от тази дейност бяха обобщени, заедно с резултатите от френския граждански панел, в окончателен доклад, който представлява приносът на Франция към конференцията. Френското правителство също така насърчи всички френски участници, които желаят да направят това (асоциации, местни органи, длъжностни лица на изборни длъжности, представители на гражданското общество) да организират прояви.</w:t>
      </w:r>
    </w:p>
    <w:p>
      <w:pPr>
        <w:pStyle w:val="P68B1DB1Corpsdetexte12"/>
        <w:rPr>
          <w:b/>
          <w:b/>
          <w:i/>
          <w:i/>
          <w:u w:val="single"/>
        </w:rPr>
      </w:pPr>
      <w:r>
        <w:rPr/>
        <w:t>11 Хърватия</w:t>
      </w:r>
    </w:p>
    <w:p>
      <w:pPr>
        <w:pStyle w:val="Corpsdetexte"/>
        <w:rPr/>
      </w:pPr>
      <w:r>
        <w:rPr/>
        <w:t>Създадена е работна група за координация на дейностите, която е събрала идеи и планове за извършване на дейности на национално равнище. Министерства, централни държавни служби, агенции за регионално развитие, университети, НПО и институти организираха прояви под формата на конференции, граждански диалози и дебати с гражданите, обществени дискусии и образователни семинари, със специален акцент върху младите хора.</w:t>
      </w:r>
    </w:p>
    <w:p>
      <w:pPr>
        <w:pStyle w:val="Corpsdetexte"/>
        <w:rPr/>
      </w:pPr>
      <w:r>
        <w:rPr/>
        <w:t>Обхванатите теми включват миграцията, демографията, неутралността по отношение на климата и кръговата икономика. Някои прояви бяха организирани с други държави членки и съседни държави извън ЕС.</w:t>
      </w:r>
    </w:p>
    <w:p>
      <w:pPr>
        <w:pStyle w:val="P68B1DB1Corpsdetexte12"/>
        <w:rPr>
          <w:b/>
          <w:b/>
          <w:i/>
          <w:i/>
          <w:u w:val="single"/>
        </w:rPr>
      </w:pPr>
      <w:r>
        <w:rPr/>
        <w:t>12 Италия</w:t>
      </w:r>
    </w:p>
    <w:p>
      <w:pPr>
        <w:pStyle w:val="Corpsdetexte"/>
        <w:rPr/>
      </w:pPr>
      <w:r>
        <w:rPr/>
        <w:t>Бяха организирани няколко прояви, насочени по-специално към младите хора, за да се достигне до възможно най-голям брой граждани, включително с активната подкрепа на местните власти. Беше стартирана медийна кампания за повишаване на осведомеността за тези събития във възможно най-голяма степен. Тези дейности включват Младежки форум ЕС-Балкан, организиран с млади хора от Западните Балкани, Младежки форум „Медицински диалози„, в който участват млади хора от южното съседство, както и конкурси за средни и студенти на тема „Европа е във вашите ръце“.</w:t>
      </w:r>
    </w:p>
    <w:p>
      <w:pPr>
        <w:pStyle w:val="P68B1DB1Corpsdetexte12"/>
        <w:rPr>
          <w:b/>
          <w:b/>
          <w:i/>
          <w:i/>
          <w:u w:val="single"/>
        </w:rPr>
      </w:pPr>
      <w:r>
        <w:rPr/>
        <w:t>13 Кипър</w:t>
      </w:r>
    </w:p>
    <w:p>
      <w:pPr>
        <w:pStyle w:val="Corpsdetexte"/>
        <w:rPr/>
      </w:pPr>
      <w:r>
        <w:rPr/>
        <w:t>Бяха организирани редица дейности, насочени към младежта, с участието на много участници. Проведе се първа проява, включваща дискусия с по-младото поколение относно техните очаквания, притеснения и визия за Европа и Кипър в рамките на ЕС. Проведе се и открит диалог относно ролята на младите хора в дебата за Европа и проблемите, пред които са изправени на национално и европейско равнище. Беше проведена и проява за обсъждане на бъдещето на европейската сигурност и отбрана.</w:t>
      </w:r>
    </w:p>
    <w:p>
      <w:pPr>
        <w:pStyle w:val="P68B1DB1Corpsdetexte12"/>
        <w:rPr>
          <w:b/>
          <w:b/>
          <w:i/>
          <w:i/>
          <w:u w:val="single"/>
        </w:rPr>
      </w:pPr>
      <w:r>
        <w:rPr/>
        <w:t>14 Латвия</w:t>
      </w:r>
    </w:p>
    <w:p>
      <w:pPr>
        <w:pStyle w:val="Corpsdetexte"/>
        <w:rPr/>
      </w:pPr>
      <w:r>
        <w:rPr/>
        <w:t>Организирани са няколко събития, включително национална онлайн дискусия със студенти на тема „Бъдещето е във вашите ръце“ по икономически, социални и свързани със сигурността въпроси. Бяха създадени национално проучване и дискусии в мозъчни тръстове, за да се събере общественото мнение относно вижданията на гражданите относно бъдещите приоритети на Европейския съюз по всички теми на конференцията. Бяха проведени регионални дискусии лице в лице, за да се повиши осведомеността за конференцията сред хората на възраст 55 и повече години и бяха проведени преки дискусии с ученици от средните училища.</w:t>
      </w:r>
    </w:p>
    <w:p>
      <w:pPr>
        <w:pStyle w:val="P68B1DB1Corpsdetexte12"/>
        <w:rPr>
          <w:b/>
          <w:b/>
          <w:i/>
          <w:i/>
          <w:u w:val="single"/>
        </w:rPr>
      </w:pPr>
      <w:r>
        <w:rPr/>
        <w:t>15 Литва</w:t>
      </w:r>
    </w:p>
    <w:p>
      <w:pPr>
        <w:pStyle w:val="Corpsdetexte"/>
        <w:rPr/>
      </w:pPr>
      <w:r>
        <w:rPr/>
        <w:t>Проявите бяха организирани предимно на децентрализирана основа и акцентът беше поставен върху различните региони на Литва и младите хора (напр. в рамките на младежкия дебат в балтийските държави). Проведени бяха поредица от граждански диалози (относно демокрацията, цифровизацията, изменението на климата и др.), транснационални диалози (напр. с Франция, Ирландия и Италия) и прояви на гражданското общество. Освен това училищата бяха насърчени да разгледат въпроса за бъдещето на Европа.</w:t>
      </w:r>
    </w:p>
    <w:p>
      <w:pPr>
        <w:pStyle w:val="Normal"/>
        <w:rPr/>
      </w:pPr>
      <w:r>
        <w:rPr/>
      </w:r>
    </w:p>
    <w:p>
      <w:pPr>
        <w:pStyle w:val="P68B1DB1Corpsdetexte12"/>
        <w:rPr>
          <w:b/>
          <w:b/>
          <w:i/>
          <w:i/>
          <w:u w:val="single"/>
        </w:rPr>
      </w:pPr>
      <w:r>
        <w:rPr/>
        <w:t>16 Люксембург</w:t>
      </w:r>
    </w:p>
    <w:p>
      <w:pPr>
        <w:pStyle w:val="Corpsdetexte"/>
        <w:rPr/>
      </w:pPr>
      <w:r>
        <w:rPr/>
        <w:t>На национално равнище бяха организирани редица прояви с отворен, приобщаващ и прозрачен подход. Например, парламентът организира редица събития в нови формати, като например „бистротски разговори“. Също така беше организиран хакатон за студенти и млади предприемачи, за да се обсъдят цифровият компас и промишлената стратегия на ЕС.</w:t>
      </w:r>
    </w:p>
    <w:p>
      <w:pPr>
        <w:pStyle w:val="Corpsdetexte"/>
        <w:rPr/>
      </w:pPr>
      <w:r>
        <w:rPr/>
        <w:t>Освен това се проведе тринационален обмен между ученици от германските, френските и люксембургските гимназии.</w:t>
      </w:r>
    </w:p>
    <w:p>
      <w:pPr>
        <w:pStyle w:val="P68B1DB1Corpsdetexte12"/>
        <w:rPr>
          <w:b/>
          <w:b/>
          <w:i/>
          <w:i/>
          <w:u w:val="single"/>
        </w:rPr>
      </w:pPr>
      <w:r>
        <w:rPr/>
        <w:t>17 Унгария</w:t>
      </w:r>
    </w:p>
    <w:p>
      <w:pPr>
        <w:pStyle w:val="Corpsdetexte"/>
        <w:rPr/>
      </w:pPr>
      <w:r>
        <w:rPr/>
        <w:t>Бяха организирани широк спектър от събития в обществото (повече от 800). Институционалните прояви включват международни конференции на високо равнище, организирани от няколко министерства (напр. относно разширяването на ЕС и програмата в областта на цифровите технологии) и кръгли маси със студенти и младежки организации (напр. относно европейската интеграция). Няколко организации проведоха панели за обсъждане на следните теми: институциите на ЕС; по-силна икономика, социална справедливост и заетост, цифрова трансформация, образование, култура, младеж и спорт; ценностите и правата, принципите на правовата държава и сигурността; НПО; миграция; както и демографията, семейството, здравето, изменението на климата и околната среда.</w:t>
      </w:r>
    </w:p>
    <w:p>
      <w:pPr>
        <w:pStyle w:val="P68B1DB1Corpsdetexte12"/>
        <w:rPr>
          <w:b/>
          <w:b/>
          <w:i/>
          <w:i/>
          <w:u w:val="single"/>
        </w:rPr>
      </w:pPr>
      <w:r>
        <w:rPr/>
        <w:t>18 Малта</w:t>
      </w:r>
    </w:p>
    <w:p>
      <w:pPr>
        <w:pStyle w:val="Corpsdetexte"/>
        <w:rPr/>
      </w:pPr>
      <w:r>
        <w:rPr/>
        <w:t>След началото на проявата беше създаден Национален координационен комитет, който да популяризира инициативата чрез различни канали за комуникация и да помага за насочването на дебата чрез национални и местни прояви.</w:t>
      </w:r>
    </w:p>
    <w:p>
      <w:pPr>
        <w:pStyle w:val="Corpsdetexte"/>
        <w:rPr/>
      </w:pPr>
      <w:r>
        <w:rPr/>
        <w:t>Тематични публични диалози (напр. относно здравеопазването, европейските ценности и бъдещето на труда за справедливо общество), пресконференции, консултации със заинтересовани страни от съответните сектори и интерактивни сесии с деца и ученици бяха организирани във физически или хибриден формат.</w:t>
      </w:r>
    </w:p>
    <w:p>
      <w:pPr>
        <w:pStyle w:val="Corpsdetexte"/>
        <w:rPr/>
      </w:pPr>
      <w:r>
        <w:rPr/>
      </w:r>
    </w:p>
    <w:p>
      <w:pPr>
        <w:pStyle w:val="P68B1DB1Corpsdetexte12"/>
        <w:rPr>
          <w:b/>
          <w:b/>
          <w:i/>
          <w:i/>
          <w:u w:val="single"/>
        </w:rPr>
      </w:pPr>
      <w:r>
        <w:rPr/>
        <w:t>19 Холандия</w:t>
      </w:r>
    </w:p>
    <w:p>
      <w:pPr>
        <w:pStyle w:val="Corpsdetexte"/>
        <w:rPr/>
      </w:pPr>
      <w:r>
        <w:rPr/>
        <w:t>В Нидерландия акцентът беше поставен върху организирането на националния граждански панел „Визии на Европа — Кийк оп Европа“, който се проведе както онлайн, така и лице в лице. Тя се основаваше на двуетапен подход: първата беше да се съберат разсъжденията и мненията на гражданите относно „какво“, а именно това, което те очакват и искат; втората фаза след това се опита да разбере техните основни възгледи (защо и „как“) чрез групови диалози.</w:t>
      </w:r>
    </w:p>
    <w:p>
      <w:pPr>
        <w:pStyle w:val="Corpsdetexte"/>
        <w:rPr/>
      </w:pPr>
      <w:r>
        <w:rPr/>
      </w:r>
    </w:p>
    <w:p>
      <w:pPr>
        <w:pStyle w:val="P68B1DB1Corpsdetexte12"/>
        <w:rPr>
          <w:b/>
          <w:b/>
          <w:i/>
          <w:i/>
          <w:u w:val="single"/>
        </w:rPr>
      </w:pPr>
      <w:r>
        <w:rPr/>
        <w:t>20 Австрия</w:t>
      </w:r>
    </w:p>
    <w:p>
      <w:pPr>
        <w:pStyle w:val="Corpsdetexte"/>
        <w:rPr/>
      </w:pPr>
      <w:r>
        <w:rPr/>
        <w:t>Дискусиите се проведоха в различни формати на федерално, регионално и местно равнище. „Бъдещите лаборатории„и „бъдещите диалози“ позволиха задълбочен обмен с експерти на високо равнище по различни теми и търсене на по-всеобхватни решения за бъдещето. Освен това редица прояви бяха организирани от и за австрийските общински съветници, отговарящи за европейските въпроси. Няколко събития бяха насочени директно към младите хора и студентите.</w:t>
      </w:r>
    </w:p>
    <w:p>
      <w:pPr>
        <w:pStyle w:val="P68B1DB1Corpsdetexte12"/>
        <w:rPr>
          <w:b/>
          <w:b/>
          <w:i/>
          <w:i/>
          <w:u w:val="single"/>
        </w:rPr>
      </w:pPr>
      <w:r>
        <w:rPr/>
        <w:t>21 Полша</w:t>
      </w:r>
    </w:p>
    <w:p>
      <w:pPr>
        <w:pStyle w:val="Corpsdetexte"/>
        <w:rPr/>
      </w:pPr>
      <w:r>
        <w:rPr/>
        <w:t>Събитията бяха организирани главно като част от децентрализиран подход. На регионално равнище регионалните центрове за международен дебат организираха публични прояви в 16-те полски региона във физически и виртуален формат. Темите за обсъждане обхванаха тематичните области на конференцията, като солидарността по време на криза, селското стопанство и новите технологии.</w:t>
      </w:r>
    </w:p>
    <w:p>
      <w:pPr>
        <w:pStyle w:val="Corpsdetexte"/>
        <w:rPr/>
      </w:pPr>
      <w:r>
        <w:rPr/>
        <w:t>Проведе се и национален дебат относно климата, цифровизацията, вътрешния пазар, здравеопазването, ЕС в света и миграцията.</w:t>
      </w:r>
    </w:p>
    <w:p>
      <w:pPr>
        <w:pStyle w:val="P68B1DB1Corpsdetexte12"/>
        <w:rPr>
          <w:b/>
          <w:b/>
          <w:i/>
          <w:i/>
          <w:u w:val="single"/>
        </w:rPr>
      </w:pPr>
      <w:r>
        <w:rPr/>
        <w:t>22 Португалия</w:t>
      </w:r>
    </w:p>
    <w:p>
      <w:pPr>
        <w:pStyle w:val="Corpsdetexte"/>
        <w:rPr/>
      </w:pPr>
      <w:r>
        <w:rPr/>
        <w:t>След първата гражданска проява в Лисабон, която постави началото на участието на гражданите в конференцията, бяха организирани много прояви в партньорство с местните власти, университети, училища, социални партньори, младежки организации и местни организации на гражданското общество, наред с другото. Например с Испания беше организирана транснационална проява за обсъждане на ключови теми от интерес за бъдещето на регионите на двете страни и на ЕС. Освен това се проведоха децентрализирани национални прояви по различни теми като миграцията и международните партньорства, бъдещето на европейската демокрация и цифровата трансформация.</w:t>
      </w:r>
    </w:p>
    <w:p>
      <w:pPr>
        <w:pStyle w:val="P68B1DB1Corpsdetexte12"/>
        <w:rPr>
          <w:b/>
          <w:b/>
          <w:i/>
          <w:i/>
          <w:u w:val="single"/>
        </w:rPr>
      </w:pPr>
      <w:r>
        <w:rPr/>
        <w:t>23 Румъния</w:t>
      </w:r>
    </w:p>
    <w:p>
      <w:pPr>
        <w:pStyle w:val="Corpsdetexte"/>
        <w:rPr/>
      </w:pPr>
      <w:r>
        <w:rPr/>
        <w:t>Проявите бяха организирани основно или съвместно организирани от администрацията и по-специално от институтите, с активното участие на гражданското общество и младежките организации.</w:t>
      </w:r>
    </w:p>
    <w:p>
      <w:pPr>
        <w:pStyle w:val="Corpsdetexte"/>
        <w:rPr/>
      </w:pPr>
      <w:r>
        <w:rPr/>
        <w:t>Обсъжданията бяха съсредоточени върху широк кръг от теми, като например цифровия преход, образованието, здравеопазването, околната среда, устойчивото развитие, икономиката, селското стопанство и стратегическите партньорства на ЕС. Събитията се проведоха в столицата и на местно ниво, като участваха всички възрастови групи.</w:t>
      </w:r>
    </w:p>
    <w:p>
      <w:pPr>
        <w:pStyle w:val="P68B1DB1Corpsdetexte12"/>
        <w:rPr>
          <w:b/>
          <w:b/>
          <w:i/>
          <w:i/>
          <w:u w:val="single"/>
        </w:rPr>
      </w:pPr>
      <w:r>
        <w:rPr/>
        <w:t>24 Словения</w:t>
      </w:r>
    </w:p>
    <w:p>
      <w:pPr>
        <w:pStyle w:val="Corpsdetexte"/>
        <w:rPr/>
      </w:pPr>
      <w:r>
        <w:rPr/>
        <w:t>Идеята беше да се насърчи широк дебат, в който гражданското общество изигра централна роля, както и участието на младите хора в частност.</w:t>
      </w:r>
    </w:p>
    <w:p>
      <w:pPr>
        <w:pStyle w:val="Corpsdetexte"/>
        <w:rPr/>
      </w:pPr>
      <w:r>
        <w:rPr/>
        <w:t>Правителството организира стартова проява, която беше последвана от няколко инициативи, като например Стратегическия форум „Блед“, чиято основна тема беше бъдещето на Европа, със специален акцент върху разширяването на ЕС и Западните Балкани. Други прояви бяха съсредоточени върху теми като паричната политика, неутралността по отношение на климата, младежта и ролята на ЕС в многополюсната международна среда.</w:t>
      </w:r>
    </w:p>
    <w:p>
      <w:pPr>
        <w:pStyle w:val="P68B1DB1Corpsdetexte12"/>
        <w:rPr>
          <w:b/>
          <w:b/>
          <w:i/>
          <w:i/>
          <w:u w:val="single"/>
        </w:rPr>
      </w:pPr>
      <w:r>
        <w:rPr/>
        <w:t>25 Словакия</w:t>
      </w:r>
    </w:p>
    <w:p>
      <w:pPr>
        <w:pStyle w:val="Corpsdetexte"/>
        <w:rPr/>
      </w:pPr>
      <w:r>
        <w:rPr/>
        <w:t>Организираните прояви бяха организирани около два основни стълба. Първият стълб беше проектът „WeAreEU“, насочен към широката общественост, включително дискусии със студенти и обществени консултации, както и поредица от регионални събития, организирани като част от пътното изложение WeAreEU. Вторият стълб беше националната конвенция за ЕС, съсредоточена върху експертни становища и анализи по теми като единния пазар, дезинформацията и популизма, както и цифровия и екологичния преход.</w:t>
      </w:r>
    </w:p>
    <w:p>
      <w:pPr>
        <w:pStyle w:val="P68B1DB1Corpsdetexte12"/>
        <w:rPr>
          <w:b/>
          <w:b/>
          <w:i/>
          <w:i/>
          <w:u w:val="single"/>
        </w:rPr>
      </w:pPr>
      <w:r>
        <w:rPr/>
        <w:t>26 Финландия</w:t>
      </w:r>
    </w:p>
    <w:p>
      <w:pPr>
        <w:pStyle w:val="Corpsdetexte"/>
        <w:rPr/>
      </w:pPr>
      <w:r>
        <w:rPr/>
        <w:t>Правителството организира поредица от регионални консултации, включително „събитието на най-северната конференция в ЕС“, по различни теми като устойчивия растеж, образованието и върховенството на закона. Беше проведено и проучване, което да послужи за основа на дискусията.</w:t>
      </w:r>
    </w:p>
    <w:p>
      <w:pPr>
        <w:pStyle w:val="Corpsdetexte"/>
        <w:spacing w:before="6264" w:after="57"/>
        <w:rPr/>
      </w:pPr>
      <w:r>
        <w:rPr/>
        <w:t xml:space="preserve">Прояви бяха организирани от правителството в сътрудничество с градове, местни власти, университети, НПО и младежки организации, както и с финландския парламент, Европейския парламент и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Снимка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Снимка 18" descr=""/>
                    <pic:cNvPicPr>
                      <a:picLocks noChangeAspect="1" noChangeArrowheads="1"/>
                    </pic:cNvPicPr>
                  </pic:nvPicPr>
                  <pic:blipFill>
                    <a:blip r:embed="rId50"/>
                    <a:stretch>
                      <a:fillRect/>
                    </a:stretch>
                  </pic:blipFill>
                  <pic:spPr bwMode="auto">
                    <a:xfrm>
                      <a:off x="0" y="0"/>
                      <a:ext cx="6120130" cy="3977640"/>
                    </a:xfrm>
                    <a:prstGeom prst="rect">
                      <a:avLst/>
                    </a:prstGeom>
                  </pic:spPr>
                </pic:pic>
              </a:graphicData>
            </a:graphic>
          </wp:anchor>
        </w:drawing>
      </w:r>
      <w:r>
        <w:rPr/>
        <w:t>и</w:t>
      </w:r>
      <w:r>
        <w:rPr/>
        <w:t>нформационните бюра на Европейската комисия във Финландия.</w:t>
      </w:r>
    </w:p>
    <w:p>
      <w:pPr>
        <w:pStyle w:val="Normal"/>
        <w:rPr/>
      </w:pPr>
      <w:r>
        <w:rPr/>
      </w:r>
    </w:p>
    <w:p>
      <w:pPr>
        <w:pStyle w:val="P68B1DB1Corpsdetexte12"/>
        <w:rPr>
          <w:b/>
          <w:b/>
          <w:i/>
          <w:i/>
          <w:u w:val="single"/>
        </w:rPr>
      </w:pPr>
      <w:r>
        <w:rPr/>
        <w:t>27 Швеция</w:t>
      </w:r>
    </w:p>
    <w:p>
      <w:pPr>
        <w:pStyle w:val="Corpsdetexte"/>
        <w:rPr/>
      </w:pPr>
      <w:r>
        <w:rPr/>
        <w:t>Проявите бяха организирани предимно на децентрализирана основа като съвместно учение между правителството, националния парламент, политическите партии, социалните партньори, местните и регионалните представители, организациите на гражданското общество и други заинтересовани участници в обществото.</w:t>
      </w:r>
    </w:p>
    <w:p>
      <w:pPr>
        <w:pStyle w:val="Corpsdetexte"/>
        <w:rPr/>
      </w:pPr>
      <w:r>
        <w:rPr/>
        <w:t>Например шведският министър по европейските въпроси обсъди бъдещето на Европа с ученици от различни училища и участва в срещи на общинско равнище, за да обсъди бъдещето на Европа и демокрацията с гражданите. Цифровите медии бяха използвани и за участие в диалози с гражданите, например чрез сесии с въпроси и отговори.</w:t>
      </w:r>
    </w:p>
    <w:p>
      <w:pPr>
        <w:pStyle w:val="Corpsdetexte"/>
        <w:rPr/>
      </w:pPr>
      <w:r>
        <w:rPr/>
        <w:t>Описанията по-горе не са изчерпателни. Повече информация за националните прояви можете да намерите в специален раздел на многоезичната цифрова платформа.</w:t>
      </w:r>
    </w:p>
    <w:p>
      <w:pPr>
        <w:pStyle w:val="Corpsdetexte"/>
        <w:rPr/>
      </w:pPr>
      <w:r>
        <w:rPr/>
      </w:r>
    </w:p>
    <w:p>
      <w:pPr>
        <w:pStyle w:val="Corpsdetexte"/>
        <w:rPr/>
      </w:pPr>
      <w:r>
        <w:rPr/>
      </w:r>
      <w:r>
        <w:br w:type="page"/>
      </w:r>
    </w:p>
    <w:p>
      <w:pPr>
        <w:pStyle w:val="Titre3"/>
        <w:numPr>
          <w:ilvl w:val="2"/>
          <w:numId w:val="2"/>
        </w:numPr>
        <w:rPr/>
      </w:pPr>
      <w:bookmarkStart w:id="30" w:name="__RefHeading___Toc298234_1346298689"/>
      <w:bookmarkEnd w:id="30"/>
      <w:r>
        <w:rPr/>
        <w:t>2.</w:t>
        <w:tab/>
        <w:t xml:space="preserve">Среща на младите европейци </w:t>
      </w:r>
    </w:p>
    <w:p>
      <w:pPr>
        <w:pStyle w:val="Normal"/>
        <w:rPr/>
      </w:pPr>
      <w:hyperlink r:id="rId51">
        <w:r>
          <w:rPr>
            <w:rStyle w:val="LienInternet"/>
          </w:rPr>
          <w:t>Европейската младежка проява (EYE 2021)</w:t>
        </w:r>
      </w:hyperlink>
      <w:r>
        <w:rPr/>
        <w:t xml:space="preserve"> се проведе на 8—9 октомври 2021 г. и събра 10 000 млади хора онлайн и Европейския парламент в Страсбург, за да оформят и обменят идеи за бъдещето на Европа. EYE </w:t>
      </w:r>
      <w:r>
        <w:rPr>
          <w:i/>
        </w:rPr>
        <w:t>беше уникална възможност за младите хора на възраст от 16 до 30 години да взаимодействат лично и онлайн, да се вдъхновяват взаимно и да обменят мнения с експерти, активисти, влиятелни личности и лица, отговорни за вземането на решения, в самото сърце на европейската демокрация</w:t>
      </w:r>
      <w:r>
        <w:rPr/>
        <w:t>.</w:t>
      </w:r>
    </w:p>
    <w:p>
      <w:pPr>
        <w:pStyle w:val="Normal"/>
        <w:spacing w:before="6132" w:after="57"/>
        <w:rPr/>
      </w:pPr>
      <w:r>
        <w:rPr/>
        <w:t xml:space="preserve">От май 2021 г. насам, в сътрудничество с общоевропейски младежки организации,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Снимка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Снимка 19" descr=""/>
                    <pic:cNvPicPr>
                      <a:picLocks noChangeAspect="1" noChangeArrowheads="1"/>
                    </pic:cNvPicPr>
                  </pic:nvPicPr>
                  <pic:blipFill>
                    <a:blip r:embed="rId52"/>
                    <a:stretch>
                      <a:fillRect/>
                    </a:stretch>
                  </pic:blipFill>
                  <pic:spPr bwMode="auto">
                    <a:xfrm>
                      <a:off x="0" y="0"/>
                      <a:ext cx="5980430" cy="3893820"/>
                    </a:xfrm>
                    <a:prstGeom prst="rect">
                      <a:avLst/>
                    </a:prstGeom>
                  </pic:spPr>
                </pic:pic>
              </a:graphicData>
            </a:graphic>
          </wp:anchor>
        </w:drawing>
      </w:r>
      <w:r>
        <w:rPr/>
        <w:t>о</w:t>
      </w:r>
      <w:r>
        <w:rPr/>
        <w:t xml:space="preserve">нлайн бяха събрани над 2000 предложения от млади граждани от целия Европейски съюз. Освен това няколко сесии, както онлайн преди проявата, така и по време на EYE в Страсбург, бяха съсредоточени върху Конференцията за бъдещето на Европа. След събитието 20-те основни идеи, повдигнати от участниците, по две идеи за всяка тема на конференцията, бяха събрани </w:t>
      </w:r>
      <w:hyperlink r:id="rId53">
        <w:r>
          <w:rPr>
            <w:rStyle w:val="LienInternet"/>
          </w:rPr>
          <w:t>в Доклада за младежките</w:t>
        </w:r>
      </w:hyperlink>
      <w:r>
        <w:rPr/>
        <w:t xml:space="preserve"> идеи за Конференцията за бъдещето на Европа, публикуван на 23 езика.</w:t>
      </w:r>
    </w:p>
    <w:p>
      <w:pPr>
        <w:pStyle w:val="Normal"/>
        <w:rPr/>
      </w:pPr>
      <w:r>
        <w:rPr/>
        <w:t xml:space="preserve">Докладът за младежките идеи беше представен на пленарното заседание на конференцията на 23 октомври от млади участници от европейските граждански панели, които участваха и в EYE 2021. Всички събрани идеи са достъпни на: </w:t>
      </w:r>
      <w:hyperlink r:id="rId54">
        <w:r>
          <w:rPr>
            <w:rStyle w:val="LienInternet"/>
          </w:rPr>
          <w:t>Search.youthideas.eu.</w:t>
        </w:r>
      </w:hyperlink>
    </w:p>
    <w:p>
      <w:pPr>
        <w:pStyle w:val="Titre3"/>
        <w:numPr>
          <w:ilvl w:val="2"/>
          <w:numId w:val="2"/>
        </w:numPr>
        <w:rPr/>
      </w:pPr>
      <w:bookmarkStart w:id="31" w:name="__RefHeading___Toc298236_1346298689"/>
      <w:bookmarkEnd w:id="31"/>
      <w:r>
        <w:rPr/>
        <w:t>3.</w:t>
        <w:tab/>
        <w:t>Други събития</w:t>
      </w:r>
    </w:p>
    <w:p>
      <w:pPr>
        <w:pStyle w:val="Normal"/>
        <w:rPr/>
      </w:pPr>
      <w:r>
        <w:rPr/>
        <w:t>В допълнение към горепосочените прояви много други институции и заинтересовани страни събраха граждани, за да обсъдят бъдещето на Европа</w:t>
      </w:r>
      <w:r>
        <w:rPr>
          <w:rStyle w:val="Ancredenotedebasdepage"/>
          <w:rStyle w:val="Ancredenotedebasdepage"/>
        </w:rPr>
        <w:footnoteReference w:id="6"/>
      </w:r>
      <w:r>
        <w:rPr/>
        <w:t>.</w:t>
      </w:r>
    </w:p>
    <w:p>
      <w:pPr>
        <w:pStyle w:val="Normal"/>
        <w:rPr/>
      </w:pPr>
      <w:r>
        <w:rPr/>
        <w:t>По време на Конференцията за бъдещето на Европа Европейският икономически и социален комитет (ЕИСК) работи за популяризирането му и за подпомагане на широката си мрежа от организации на гражданското общество в държавите членки при организирането на национални консултации. Като цяло тя подкрепи разгръщането на 75 събития, включително 33 на национално равнище и 42 на централно равнище. 60 % от тези събития публикуваха доклади на платформата на конференцията, а само тези 45 събития събраха повече от 7 300 участници. По-специално, през юни 2021 г. ЕИСК започна дейностите си с голяма конференция „</w:t>
      </w:r>
      <w:hyperlink r:id="rId55">
        <w:r>
          <w:rPr>
            <w:rStyle w:val="LienInternet"/>
          </w:rPr>
          <w:t>Да върнем европейския проект обратно на гражданите</w:t>
        </w:r>
      </w:hyperlink>
      <w:r>
        <w:rPr/>
        <w:t>„и организира семинара „Свързване на</w:t>
      </w:r>
      <w:hyperlink r:id="rId56">
        <w:r>
          <w:rPr>
            <w:rStyle w:val="LienInternet"/>
          </w:rPr>
          <w:t>ЕС</w:t>
        </w:r>
      </w:hyperlink>
      <w:r>
        <w:rPr/>
        <w:t>„в Лисабон през ноември 2021 г. и проявата на високо равнище в Брюксел през февруари 2022 г. „</w:t>
      </w:r>
      <w:hyperlink r:id="rId57">
        <w:r>
          <w:rPr>
            <w:rStyle w:val="LienInternet"/>
          </w:rPr>
          <w:t>Изграждане на Европа заедно</w:t>
        </w:r>
      </w:hyperlink>
      <w:r>
        <w:rPr/>
        <w:t>“. Комитетът също така насърчи използването на онлайн платформата, където качи 60 нови идеи, и стартира мащабна комуникационна кампания в социалните медии, с потенциална аудитория от 32 милиона души само в Twitter, за популяризиране на национални прояви на английски и на местния език и предоставяне на информация преди и след всяка пленарна асамблея и заседание, свързано с конференцията.</w:t>
      </w:r>
    </w:p>
    <w:p>
      <w:pPr>
        <w:pStyle w:val="Normal"/>
        <w:rPr/>
      </w:pPr>
      <w:r>
        <w:rPr/>
        <w:t xml:space="preserve">Европейският комитет на регионите (КР) организира тематични дебати в своите комисии и пленарни сесии, както и 140 прояви на местно, трансгранично и междурегионално равнище с участието на 10 000 граждани и 200 местни политици. Освен това през октомври 2021 г. беше публикувано първото </w:t>
      </w:r>
      <w:hyperlink r:id="rId58">
        <w:r>
          <w:rPr>
            <w:rStyle w:val="LienInternet"/>
          </w:rPr>
          <w:t>по рода си проучване сред 1,2 милиона местни политици</w:t>
        </w:r>
      </w:hyperlink>
      <w:r>
        <w:rPr/>
        <w:t xml:space="preserve"> в ЕС-27 относно техните възгледи за бъдещето на Европа. Освен това Cdr предложи </w:t>
      </w:r>
      <w:hyperlink r:id="rId59">
        <w:r>
          <w:rPr>
            <w:rStyle w:val="LienInternet"/>
          </w:rPr>
          <w:t>44 идеи</w:t>
        </w:r>
      </w:hyperlink>
      <w:r>
        <w:rPr/>
        <w:t xml:space="preserve"> за многоезичната цифрова платформа. В началото на 2022</w:t>
      </w:r>
      <w:hyperlink r:id="rId60">
        <w:r>
          <w:rPr>
            <w:rStyle w:val="LienInternet"/>
          </w:rPr>
          <w:t xml:space="preserve"> г. независима група на високо равнище за европейската демокрация</w:t>
        </w:r>
      </w:hyperlink>
      <w:r>
        <w:rPr/>
        <w:t xml:space="preserve"> представи идеи за това как да се подобри демокрацията в ЕС. КР прие резолюция с предложения за окончателния доклад на конференцията, а на </w:t>
      </w:r>
      <w:hyperlink r:id="rId61">
        <w:r>
          <w:rPr>
            <w:rStyle w:val="LienInternet"/>
          </w:rPr>
          <w:t>Европейската среща на високо равнище на регионите и градовете през март 2022 г. беше одобрен манифест от 12 точки, изготвен от името на милионите местни и регионални</w:t>
        </w:r>
      </w:hyperlink>
      <w:r>
        <w:rPr/>
        <w:t xml:space="preserve"> политици в ЕС. В доклад,</w:t>
      </w:r>
      <w:hyperlink r:id="rId62">
        <w:r>
          <w:rPr>
            <w:rStyle w:val="LienInternet"/>
          </w:rPr>
          <w:t>озаглавен „Гражданите, местните политици и бъдещето на Европа</w:t>
        </w:r>
      </w:hyperlink>
      <w:r>
        <w:rPr/>
        <w:t>“ (март 2022 г.), се обобщават всички дейности на КР в контекста на конференцията.</w:t>
      </w:r>
    </w:p>
    <w:p>
      <w:pPr>
        <w:pStyle w:val="Normal"/>
        <w:rPr/>
      </w:pPr>
      <w:r>
        <w:rPr/>
      </w:r>
    </w:p>
    <w:p>
      <w:pPr>
        <w:pStyle w:val="Normal"/>
        <w:rPr/>
      </w:pPr>
      <w:r>
        <w:rPr/>
        <w:t xml:space="preserve">Трите работодателски организации, свързани със социалното партньорство на ЕС, </w:t>
      </w:r>
      <w:hyperlink r:id="rId63">
        <w:r>
          <w:rPr>
            <w:rStyle w:val="LienInternet"/>
          </w:rPr>
          <w:t>BusinessEurope</w:t>
        </w:r>
      </w:hyperlink>
      <w:r>
        <w:rPr/>
        <w:t xml:space="preserve">, </w:t>
      </w:r>
      <w:hyperlink r:id="rId64">
        <w:r>
          <w:rPr>
            <w:rStyle w:val="LienInternet"/>
          </w:rPr>
          <w:t>SGI Europe</w:t>
        </w:r>
      </w:hyperlink>
      <w:r>
        <w:rPr/>
        <w:t xml:space="preserve"> и </w:t>
      </w:r>
      <w:hyperlink r:id="rId65">
        <w:r>
          <w:rPr>
            <w:rStyle w:val="LienInternet"/>
          </w:rPr>
          <w:t>UEAPME</w:t>
        </w:r>
      </w:hyperlink>
      <w:r>
        <w:rPr/>
        <w:t>, публикуваха своите приоритети и приноси на цифровата платформа и ги представиха на съответните работни групи и пленарни заседания. Освен това всички популяризираха конференцията, както вътрешно, така и външно, и организираха прояви и участваха в диалог със заинтересованите страни в различни форуми. Европейската конфедерация на профсъюзите (ETUC) се мобилизира да участва в конференцията и участва в заседанията на Пленарната асамблея и работните групи. Европейската конфедерация на профсъюзите (ETUC) определи предложенията на профсъюзите за по-справедливо бъдеще за Европа и ги публикува на онлайн платформата (това бяха сред най-подкрепените предложения). Европейската конфедерация на профсъюзите (ETUC) и нейните филиали организираха прояви и комуникационни дейности за представяне и обсъждане на предложения за синдикални организации.</w:t>
      </w:r>
    </w:p>
    <w:p>
      <w:pPr>
        <w:pStyle w:val="Normal"/>
        <w:rPr/>
      </w:pPr>
      <w:r>
        <w:rPr/>
        <w:t xml:space="preserve">Представители на гражданското общество — </w:t>
      </w:r>
      <w:hyperlink r:id="rId66">
        <w:r>
          <w:rPr>
            <w:rStyle w:val="LienInternet"/>
          </w:rPr>
          <w:t>Конвенцията на гражданското общество за Конференцията за бъдещето на</w:t>
        </w:r>
      </w:hyperlink>
      <w:r>
        <w:rPr/>
        <w:t xml:space="preserve"> Европа и </w:t>
      </w:r>
      <w:hyperlink r:id="rId67">
        <w:r>
          <w:rPr>
            <w:rStyle w:val="LienInternet"/>
          </w:rPr>
          <w:t>Европейското международно движение</w:t>
        </w:r>
      </w:hyperlink>
      <w:r>
        <w:rPr/>
        <w:t xml:space="preserve"> — организираха </w:t>
      </w:r>
      <w:hyperlink r:id="rId68">
        <w:r>
          <w:rPr>
            <w:rStyle w:val="LienInternet"/>
          </w:rPr>
          <w:t>многобройни прояви</w:t>
        </w:r>
      </w:hyperlink>
      <w:r>
        <w:rPr/>
        <w:t xml:space="preserve"> в цяла Европа и участваха </w:t>
      </w:r>
      <w:hyperlink r:id="rId69">
        <w:r>
          <w:rPr>
            <w:rStyle w:val="LienInternet"/>
          </w:rPr>
          <w:t>активно на пленарно равнище</w:t>
        </w:r>
      </w:hyperlink>
      <w:r>
        <w:rPr/>
        <w:t xml:space="preserve">. Гражданското общество включи стотици организации на гражданското общество в подход „отдолу-нагоре“ чрез </w:t>
      </w:r>
      <w:hyperlink r:id="rId70">
        <w:r>
          <w:rPr>
            <w:rStyle w:val="LienInternet"/>
          </w:rPr>
          <w:t>тематични групи</w:t>
        </w:r>
      </w:hyperlink>
      <w:r>
        <w:rPr/>
        <w:t xml:space="preserve"> за разработване на съвместни и всеобхватни предложения в </w:t>
      </w:r>
      <w:hyperlink r:id="rId71">
        <w:r>
          <w:rPr>
            <w:rStyle w:val="LienInternet"/>
          </w:rPr>
          <w:t>различни области на политиката, обхванати от конференцията</w:t>
        </w:r>
      </w:hyperlink>
      <w:r>
        <w:rPr/>
        <w:t>. Идеите подхранваха конференцията чрез платформата, работните групи, пленарните заседания и в пряк контакт с Изпълнителния съвет, съпредседателите и съвместния секретариат.</w:t>
      </w:r>
    </w:p>
    <w:p>
      <w:pPr>
        <w:pStyle w:val="Normal"/>
        <w:rPr/>
      </w:pPr>
      <w:r>
        <w:rPr/>
        <w:t>Представителствата на Европейската комисия в държавите членки, центровете Europe Direct, европейските центрове за документация и бюрата за връзка на ЕП активно информираха гражданите за Конференцията за бъдещето на Европа. Представителствата на Европейската комисия докладваха за 1400 дейности, които спомогнаха за комуникацията и осъществяването на конференцията в цяла Европа. Те организираха или участваха активно в над 850 прояви, от които около 65 % бяха насочени към млади хора и жени с цел насърчаване на участието им в конференцията като цяло. Бюрата за връзка на ЕП са организирали над 1300 рекламни дейности в държавите членки.</w:t>
      </w:r>
    </w:p>
    <w:p>
      <w:pPr>
        <w:pStyle w:val="Normal"/>
        <w:rPr/>
      </w:pPr>
      <w:r>
        <w:rPr/>
        <w:t>Тематични семинари по основните теми на конференцията бяха организирани и в присъствието на членове на ЕП, граждани, заинтересовани страни, национални и регионални власти и местни медии, за да се повиши видимостта на конференцията. Европейските центрове за документация докладваха за повече от 120 действия, свързани с комуникацията на конференцията.</w:t>
      </w:r>
    </w:p>
    <w:p>
      <w:pPr>
        <w:pStyle w:val="Normal"/>
        <w:rPr/>
      </w:pPr>
      <w:r>
        <w:rPr/>
        <w:t>Центровете Europe Direct докладваха за повече от 1000 тематични събития по време на конференцията и над 600 промоционални дейности, включително широк кръг от младежки групи и организации. Европейските центрове за документация докладваха за повече от 120 действия, свързани с комуникацията на конференцията.</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32" w:name="__RefHeading___Toc298238_1346298689"/>
      <w:bookmarkEnd w:id="32"/>
      <w:r>
        <w:rPr/>
        <w:t>НА ТРЕТО МЯСТО. Пленарна асамблея на Конференцията</w:t>
      </w:r>
    </w:p>
    <w:p>
      <w:pPr>
        <w:pStyle w:val="Normal"/>
        <w:rPr/>
      </w:pPr>
      <w:r>
        <w:rPr/>
      </w:r>
      <w:r>
        <w:br w:type="page"/>
      </w:r>
    </w:p>
    <w:p>
      <w:pPr>
        <w:pStyle w:val="Titre2"/>
        <w:numPr>
          <w:ilvl w:val="1"/>
          <w:numId w:val="2"/>
        </w:numPr>
        <w:rPr/>
      </w:pPr>
      <w:bookmarkStart w:id="33" w:name="__RefHeading___Toc298240_1346298689"/>
      <w:bookmarkEnd w:id="33"/>
      <w:r>
        <w:rPr/>
        <w:t>A. Роля и функциониране на пленарната асамблея</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pPr>
      <w:r>
        <w:rPr/>
        <w:t>Беше създадена пленарна асамблея на конференцията, за да се обсъдят препоръките, отправени от националните и европейските граждански групи, групирани по теми, без резултатите от дебатите да се определят предварително или техният обхват да е ограничен до предварително определени области на политиката.</w:t>
      </w:r>
    </w:p>
    <w:p>
      <w:pPr>
        <w:pStyle w:val="Corpsdetexte"/>
        <w:rPr/>
      </w:pPr>
      <w:r>
        <w:rPr/>
        <w:t>По целесъобразност бяха обсъдени и мненията, събрани на многоезичната платформа. Пленарната асамблея имаше уникален състав: той включваше за първи път граждани, представляващи европейски и национални граждански прояви и групи, представители на институциите на ЕС и неговите консултативни органи, избрани представители на национално, регионално и местно равнище, както и представители на гражданското общество и социалните партньори.</w:t>
      </w:r>
    </w:p>
    <w:p>
      <w:pPr>
        <w:pStyle w:val="Corpsdetexte"/>
        <w:rPr/>
      </w:pPr>
      <w:r>
        <w:rPr/>
        <w:t>Препоръките бяха представени от гражданите и обсъдени с тях; след това пленарното заседание трябваше да представи предложенията си по взаимно съгласие</w:t>
      </w:r>
      <w:r>
        <w:rPr>
          <w:rStyle w:val="Ancredenotedebasdepage"/>
          <w:rStyle w:val="Ancredenotedebasdepage"/>
        </w:rPr>
        <w:footnoteReference w:id="7"/>
      </w:r>
      <w:r>
        <w:rPr/>
        <w:t xml:space="preserve"> на Изпълнителния съвет. Пленарната сесия на конференцията проведе седем заседания между юни 2021 г. и април 2022 г.</w:t>
      </w:r>
    </w:p>
    <w:p>
      <w:pPr>
        <w:pStyle w:val="Corpsdetexte"/>
        <w:rPr/>
      </w:pPr>
      <w:r>
        <w:rPr/>
        <w:t>Пленарната асамблея на конференцията се състоеше от 108 представители на Европейския парламент, 54 представители на Съвета и трима представители</w:t>
      </w:r>
      <w:r>
        <w:rPr>
          <w:rStyle w:val="Ancredenotedebasdepage"/>
          <w:rStyle w:val="Ancredenotedebasdepage"/>
        </w:rPr>
        <w:footnoteReference w:id="8"/>
      </w:r>
      <w:r>
        <w:rPr/>
        <w:t>на Европейската комисия, както и 108 представители на всички национални парламенти на равни начала и граждани.</w:t>
      </w:r>
    </w:p>
    <w:p>
      <w:pPr>
        <w:pStyle w:val="Corpsdetexte"/>
        <w:rPr/>
      </w:pPr>
      <w:r>
        <w:rPr/>
        <w:t>Осемдесет представители на европейските граждански панели, от които най-малко една трета бяха на възраст под 25 години, председателят на Европейския младежки форум и 27</w:t>
      </w:r>
      <w:r>
        <w:rPr>
          <w:rStyle w:val="Ancredenotedebasdepage"/>
          <w:rStyle w:val="Ancredenotedebasdepage"/>
        </w:rPr>
        <w:footnoteReference w:id="9"/>
      </w:r>
      <w:r>
        <w:rPr/>
        <w:t xml:space="preserve"> представители на национални прояви и/или национални граждански панели също участваха.</w:t>
      </w:r>
    </w:p>
    <w:p>
      <w:pPr>
        <w:pStyle w:val="Corpsdetexte"/>
        <w:rPr/>
      </w:pPr>
      <w:r>
        <w:rPr/>
        <w:t>Осемнадесет представители на Комитета на регионите и 18 представители на Икономическия и социален комитет, шестима избрани представители на регионалните власти и шест представители на местните власти, 12 представители на социалните партньори и осем представители на гражданското общество също взеха участие. Върховният представител на Съюза по въпросите на външните работи и политиката на сигурност беше поканен да обсъди международната роля на ЕС.</w:t>
      </w:r>
    </w:p>
    <w:p>
      <w:pPr>
        <w:pStyle w:val="Corpsdetexte"/>
        <w:rPr/>
      </w:pPr>
      <w:r>
        <w:rPr/>
        <w:t>Поканени бяха и представители на ключови заинтересовани страни, като представители на партньори от Западните Балкани, Украйна, религиозни, философски и неконфесионални групи.</w:t>
      </w:r>
    </w:p>
    <w:p>
      <w:pPr>
        <w:pStyle w:val="Corpsdetexte"/>
        <w:rPr/>
      </w:pPr>
      <w:r>
        <w:rPr/>
        <w:t>Заседанията на Пленарната асамблея бяха председателствани съвместно от съпредседателите на конференцията. Пленарните заседания на конференцията се проведоха в сградите на Европейския парламент в Страсбург. Поради приложимите разпоредби в областта на здравето и безопасността, първите пет заседания на пленарната сесия на конференцията бяха проведени в хибриден формат, а последните две бяха проведени лично. Пленарните заседания на конференцията бяха излъчвани на живо и всички документи от заседанията бяха предоставени на обществеността на многоезичната цифрова платформа.</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pPr>
      <w:bookmarkStart w:id="34" w:name="__RefHeading___Toc298242_1346298689"/>
      <w:bookmarkEnd w:id="34"/>
      <w:r>
        <w:rPr/>
        <w:t>Б. Работни групи</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В съответствие с процедурния правилник на конференцията съпредседателите предложиха на пленарното заседание на конференцията да бъдат създадени девет тематични работни групи въз основа на темите на многоезичната цифрова платформа, за да се осигури принос за подготовката на разискванията и предложенията на пленарното заседание на конференцията в съответствие с параметрите на съвместната декларация. През октомври 2021 г. съпредседателите постигнаха съгласие относно мандата на работните групи. Различните работни групи обхванаха следните теми: Изменението на климата и околната среда; Здраве; По-силна икономика, социална справедливост и заетост; ЕС в света; Ценности и права, върховенство на закона, сигурност; Дигитална трансформация; Европейска демокрация; Миграция; образование, култура, младеж и спорт.</w:t>
      </w:r>
    </w:p>
    <w:p>
      <w:pPr>
        <w:pStyle w:val="Normal"/>
        <w:rPr/>
      </w:pPr>
      <w:r>
        <w:rPr/>
        <w:t>Работните групи представиха своя принос за пленарната сесия на конференцията, като разгледаха препоръките на съответните национални и европейски граждански панели, както и мненията, публикувани на многоезичната цифрова платформа по деветте теми, събрани в рамките на конференцията. Членовете на пленарната асамблея на конференцията бяха разпределени между деветте работни групи, както следва: дванадесет членове на работна група за Европейския парламент и националните парламенти, шест за Съвета, трима за представители на национални граждански групи или национални прояви, двама за Комитета на регионите и двама за Икономическия и социален комитет, един или двама за социалните партньори, един за гражданското общество и един за избраните членове на местните и регионалните власти и представители на европейските граждански панели. Представители на европейските граждански панели участваха в работата на работната група, отговаряща за тяхната група. Освен това бяха взети конкретни мерки, за да се даде възможност на членовете на колегиума на членовете на Комисията да участват в работни групи в съответствие с техните портфейли.</w:t>
      </w:r>
    </w:p>
    <w:p>
      <w:pPr>
        <w:pStyle w:val="Normal"/>
        <w:rPr/>
      </w:pPr>
      <w:r>
        <w:rPr/>
        <w:t>Работните групи проведоха оживени дебати и работиха по проекти на предложения, изготвени под ръководството на председателя и говорителя, избрани измежду представителите на европейските граждански панели в работната група, със съдействието на съвместния секретариат. Работните групи трябваше да работят въз основа на консенсуса, посочен в член 17 от Правилника за дейността на Конференцията. След това председателят и говорителят представиха на Пленарната асамблея резултатите от работата на работната група. Председателят на работната група беше подпомаган от съвместния секретариат. Съвместният секретариат на конференцията изготви обобщаващи доклади за всяко заседание на работната група под ръководството на председателя и след консултации с членовете на работната група.</w:t>
      </w:r>
    </w:p>
    <w:p>
      <w:pPr>
        <w:pStyle w:val="Normal"/>
        <w:rPr/>
      </w:pPr>
      <w:r>
        <w:rPr/>
        <w:t>Работните групи заседаваха в рамките на пленарните заседания на Конференцията между октомври 2021 г. и 8 април 2022 г., както и онлайн през декември 2021 г. Някои работни групи проведоха допълнителни заседания. Заседанията на работната група бяха излъчени на живо от 20 януари 2022 г. Техните обобщаващи доклади бяха надлежно публикувани в раздел „Конферентна пленарна асамблея“ на многоезичната цифрова платформа.</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2"/>
        <w:numPr>
          <w:ilvl w:val="1"/>
          <w:numId w:val="2"/>
        </w:numPr>
        <w:rPr/>
      </w:pPr>
      <w:bookmarkStart w:id="35" w:name="__RefHeading___Toc298244_1346298689"/>
      <w:bookmarkEnd w:id="35"/>
      <w:r>
        <w:rPr/>
        <w:t>В. Хронологично резюме</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УЧРЕДИТЕЛНА ПЛЕНАРНА АСАМБЛЕЯ НА КОНФЕРЕНЦИЯТА, 19 ЮНИ 2021 Г.</w:t>
      </w:r>
    </w:p>
    <w:p>
      <w:pPr>
        <w:pStyle w:val="Normal"/>
        <w:rPr/>
      </w:pPr>
      <w:r>
        <w:rPr/>
        <w:t>Учредителната пленарна сесия на конференцията се проведе на 19 юни 2021 г. в хибриден формат</w:t>
      </w:r>
      <w:r>
        <w:rPr>
          <w:rStyle w:val="Ancredenotedebasdepage"/>
          <w:rStyle w:val="Ancredenotedebasdepage"/>
        </w:rPr>
        <w:footnoteReference w:id="10"/>
      </w:r>
      <w:r>
        <w:rPr/>
        <w:t>. Той даде възможност на членовете на пленарната зала да изслушат презентация и да проведат общ дебат относно целта и очакванията на конференцията. Съпредседателите подчертаха безпрецедентния характер на това упражняване на съвещателна демокрация на равнище ЕС, което укрепи представителната демокрация, поставяйки гражданите в центъра на изготвянето на политиките в Европейския съюз. Съпредседателите очертаха и функционирането на трите стълба на конференцията: многоезичната цифрова платформа, европейските и националните граждански панели и пленарната асамблея.</w:t>
      </w:r>
    </w:p>
    <w:p>
      <w:pPr>
        <w:pStyle w:val="Normal"/>
        <w:rPr/>
      </w:pPr>
      <w:r>
        <w:rPr/>
        <w:t>Освен това членовете на пленарната сесия бяха информирани за намерението за създаване на девет тематични работни групи, както и за графика на конференцията. В последвалия дебат, в който взеха думата над 150 участници, бяха обсъдени широк кръг от теми. Тъй като подборът на участниците в европейските граждански панели все още не е приключил, председателят на Европейския младежки форум и 27 представители на национални прояви и/или национални граждански панели участваха в представянето на гражданския компонент.</w:t>
      </w:r>
    </w:p>
    <w:p>
      <w:pPr>
        <w:pStyle w:val="Normal"/>
        <w:rPr/>
      </w:pPr>
      <w:r>
        <w:rPr>
          <w:b/>
          <w:i/>
          <w:u w:val="single"/>
        </w:rPr>
        <w:t>ВТОРА ПЛЕНАРНА АСАМБЛЕЯ НА КОНФЕРЕНЦИЯТА, 22—23 ОКТОМВРИ 2021 Г.</w:t>
      </w:r>
      <w:r>
        <w:rPr/>
        <w:t xml:space="preserve"> </w:t>
      </w:r>
    </w:p>
    <w:p>
      <w:pPr>
        <w:pStyle w:val="Normal"/>
        <w:rPr/>
      </w:pPr>
      <w:r>
        <w:rPr/>
        <w:t>Втората пленарна асамблея на конференцията се проведе на 22—23 октомври 2021 г. в хибриден формат с участието за първи път на представители на европейските граждански панели. Членовете на пленарната сесия имаха възможност да изслушат презентация относно актуалното състояние на четирите европейски граждански панела и да проведат дебат. Освен това представители на национални прояви и панели имаха възможност да представят събитията, организирани на национално равнище. На пленарното заседание на конференцията беше представен доклад относно Срещата на европейската младеж (EYE); тя представи преглед на 20-те конкретни идеи, избрани от младите граждани, участвали в срещата.</w:t>
      </w:r>
    </w:p>
    <w:p>
      <w:pPr>
        <w:pStyle w:val="Normal"/>
        <w:rPr/>
      </w:pPr>
      <w:r>
        <w:rPr/>
        <w:t>В последвалия дебат акцентът беше поставен върху иновативния характер на многоезичната цифрова платформа, която даде на гражданите глас в главата и място за обсъждане на всички официални езици на ЕС. Този дебат се основаваше на втория междинен доклад относно платформата. Партньорите от Западните Балкани бяха поканени да участват в тази пленарна среща като ключови заинтересовани страни.</w:t>
      </w:r>
    </w:p>
    <w:p>
      <w:pPr>
        <w:pStyle w:val="Normal"/>
        <w:rPr/>
      </w:pPr>
      <w:r>
        <w:rPr>
          <w:b/>
          <w:i/>
          <w:u w:val="single"/>
        </w:rPr>
        <w:t>ТРЕТА ПЛЕНАРНА АСАМБЛЕЯ НА КОНФЕРЕНЦИЯТА, 21—22 ЯНУАРИ 2022 Г.</w:t>
      </w:r>
      <w:r>
        <w:rPr/>
        <w:t xml:space="preserve"> </w:t>
      </w:r>
    </w:p>
    <w:p>
      <w:pPr>
        <w:pStyle w:val="Normal"/>
        <w:rPr/>
      </w:pPr>
      <w:r>
        <w:rPr/>
        <w:t>Третата пленарна асамблея на конференцията, която се проведе на 21—22 януари 2022 г., беше първата, посветена на официалното представяне на препоръките от европейските граждански панели, както и от свързаните с тях национални граждански панели. Това пленарно заседание беше първото, което се проведе след финализирането на препоръките на някои европейски граждански панели, а именно: групи 2 (Европейска демокрация; ценности и права, върховенство на закона, сигурност) и 3 (Изменение на климата и околна среда; здраве). Пленарната сесия се проведе в хибриден формат с участието на повече от 400 членове на пленарната сесия на конференцията на място или дистанционно.</w:t>
      </w:r>
    </w:p>
    <w:p>
      <w:pPr>
        <w:pStyle w:val="Normal"/>
        <w:rPr/>
      </w:pPr>
      <w:r>
        <w:rPr/>
        <w:t>Тази пленарна сесия беше белязана и от смъртта, малко преди това, на председателя на Европейския парламент Дейвид Мария Сасоли. Съпредседателите отдадоха почит на паметта му при откриването на заседанието. Разискванията по време на пленарната сесия бяха организирани по теми, обхванати от Европейските граждански панели 2 и 3.</w:t>
      </w:r>
    </w:p>
    <w:p>
      <w:pPr>
        <w:pStyle w:val="Normal"/>
        <w:rPr/>
      </w:pPr>
      <w:r>
        <w:rPr/>
        <w:t>Дискусиите се проведоха в иновативен интерактивен формат, включващ моменти, посветени на обратната връзка от страна на гражданите, както и специална система от въпроси, свързани със синята карта, които позволиха спонтанен и оживен обмен на препоръки, отправени от гражданите.</w:t>
      </w:r>
    </w:p>
    <w:p>
      <w:pPr>
        <w:pStyle w:val="Normal"/>
        <w:rPr/>
      </w:pPr>
      <w:r>
        <w:rPr>
          <w:b/>
          <w:i/>
          <w:u w:val="single"/>
        </w:rPr>
        <w:t>ЧЕТВЪРТА ПЛЕНАРНА АСАМБЛЕЯ НА КОНФЕРЕНЦИЯТА, 11—12 МАРТ 2022 Г.</w:t>
      </w:r>
      <w:r>
        <w:rPr/>
        <w:t xml:space="preserve"> </w:t>
      </w:r>
    </w:p>
    <w:p>
      <w:pPr>
        <w:pStyle w:val="Normal"/>
        <w:rPr/>
      </w:pPr>
      <w:r>
        <w:rPr/>
        <w:t>Четвъртата пленарна асамблея на конференцията беше посветена и на представянето на препоръки от европейските граждански панели, както и на свързаните с тях национални граждански панели. Това пленарно заседание се проведе след окончателното финализиране на препоръките на останалите два европейски граждански панела, а именно: панел 1 (По-силна икономика, социална справедливост и заетост; образование, култура, младеж и спорт; цифрова трансформация) и 4 (ЕС в света; миграция).</w:t>
      </w:r>
    </w:p>
    <w:p>
      <w:pPr>
        <w:pStyle w:val="Normal"/>
        <w:rPr/>
      </w:pPr>
      <w:r>
        <w:rPr/>
        <w:t>Както на пленарната сесия през януари, разискванията в пленарната зала бяха организирани по теми. Темите, обсъждани този път, бяха тези на европейските граждански панели 1 и 4. Обсъжданията на препоръките на гражданите отново доведоха до оживен и задълбочен обмен, подкрепен от иновативен интерактивен формат.</w:t>
      </w:r>
    </w:p>
    <w:p>
      <w:pPr>
        <w:pStyle w:val="Normal"/>
        <w:rPr/>
      </w:pPr>
      <w:r>
        <w:rPr>
          <w:b/>
          <w:i/>
          <w:u w:val="single"/>
        </w:rPr>
        <w:t>ПЕТА ПЛЕНАРНА АСАМБЛЕЯ НА КОНФЕРЕНЦИЯТА, 25—26 МАРТ 2022 Г.</w:t>
      </w:r>
      <w:r>
        <w:rPr/>
        <w:t xml:space="preserve"> </w:t>
      </w:r>
    </w:p>
    <w:p>
      <w:pPr>
        <w:pStyle w:val="Normal"/>
        <w:rPr/>
      </w:pPr>
      <w:r>
        <w:rPr/>
        <w:t>Петата пленарна асамблея отбеляза влизането на конференцията в следващата ѝ фаза с началото на процеса на определяне на предложенията на пленарното заседание въз основа на препоръките, направени от гражданите. Поради това членовете на пленарната сесия, след като се подготвиха в по-малката тематична рамка на работните групи, проведоха за първи път дебати по деветте теми на конференцията: по-силна икономика, социална справедливост и заетост; образование, култура, младеж и спорт; дигитална трансформация; Европейска демокрация; ценности и права, върховенство на закона, сигурност; изменението на климата и околната среда; здраве; ЕС в света; миграциите са. Тази пленарна сесия беше и възможност за представители на национални прояви, организирани в 27-те държави — членки на ЕС, да представят резултатите от своите инициативи.</w:t>
      </w:r>
    </w:p>
    <w:p>
      <w:pPr>
        <w:pStyle w:val="Normal"/>
        <w:rPr/>
      </w:pPr>
      <w:r>
        <w:rPr>
          <w:b/>
          <w:i/>
          <w:u w:val="single"/>
        </w:rPr>
        <w:t>ШЕСТА ПЛЕНАРНА АСАМБЛЕЯ НА КОНФЕРЕНЦИЯТА, 8—9 АПРИЛ 2022 Г.</w:t>
      </w:r>
      <w:r>
        <w:rPr/>
        <w:t xml:space="preserve"> </w:t>
      </w:r>
    </w:p>
    <w:p>
      <w:pPr>
        <w:pStyle w:val="Normal"/>
        <w:rPr/>
      </w:pPr>
      <w:r>
        <w:rPr/>
        <w:t>На шестото пленарно заседание на конференцията приключи финализирането на проектопредложенията на пленарната сесия.</w:t>
      </w:r>
    </w:p>
    <w:p>
      <w:pPr>
        <w:pStyle w:val="Normal"/>
        <w:rPr/>
      </w:pPr>
      <w:r>
        <w:rPr/>
        <w:t>След приключването на последните заседания на тематичните работни групи всички членове на пленарната зала, чрез девет дебата по същество, изразиха своите виждания и коментари по проектопредложенията, които бяха изготвили през последните месеци. Този обмен също така им даде възможност да обмислят уникалния процес на изготвяне на предложенията на пленарното заседание въз основа на препоръките на гражданите, както и работата, извършена след тяхното формулиране. По-специално гражданите подчертаха уникалния човешки опит и добавената стойност на този процес на обсъждане, който ги обедини около този съвместен проект. Този дебат беше включен в окончателните проектопредложения, които ще бъдат представени на последната пленарна асамблея на Конференцията.</w:t>
      </w:r>
    </w:p>
    <w:p>
      <w:pPr>
        <w:pStyle w:val="Normal"/>
        <w:rPr/>
      </w:pPr>
      <w:r>
        <w:rPr>
          <w:b/>
          <w:i/>
          <w:u w:val="single"/>
        </w:rPr>
        <w:t>СЕДМА ПЛЕНАРНА АСАМБЛЕЯ НА КОНФЕРЕНЦИЯТА, 29—30 АПРИЛ 2022 Г.</w:t>
      </w:r>
      <w:r>
        <w:rPr/>
        <w:t xml:space="preserve"> </w:t>
      </w:r>
    </w:p>
    <w:p>
      <w:pPr>
        <w:pStyle w:val="Normal"/>
        <w:rPr/>
      </w:pPr>
      <w:r>
        <w:rPr/>
        <w:t>Седмата и заключителна пленарна асамблея на Конференцията за бъдещето на Европа беше важен крайъгълен камък, като приключи процес на интензивни разисквания, продължили няколко месеца с формулирането на 49 предложения. 49-те предложения бяха представени и формулирани на пленарно заседание пред Изпълнителния съвет по взаимно съгласие. Този консенсус беше постигнат между представителите на Европейския парламент, Съвета, Европейската комисия и националните парламенти.</w:t>
      </w:r>
    </w:p>
    <w:p>
      <w:pPr>
        <w:pStyle w:val="Normal"/>
        <w:rPr/>
      </w:pPr>
      <w:r>
        <w:rPr/>
        <w:t xml:space="preserve">Представители на Комитета на регионите и на Европейския икономически и социален комитет, представители на изборни длъжности на регионално и местно равнище, както и представители на социалните партньори и гражданското общество също изразиха своята подкрепа за процеса и подкрепиха предложенията. </w:t>
      </w:r>
    </w:p>
    <w:p>
      <w:pPr>
        <w:pStyle w:val="Normal"/>
        <w:rPr/>
      </w:pPr>
      <w:r>
        <w:rPr/>
        <w:t>Компонентът „Гражданин“ представи окончателната си позиция по предложенията (вж. основните послания по-долу).</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pPr>
      <w:r>
        <w:rPr/>
      </w:r>
    </w:p>
    <w:p>
      <w:pPr>
        <w:pStyle w:val="P68B1DB1Normal13"/>
        <w:shd w:val="clear" w:fill="EEEEEE"/>
        <w:rPr>
          <w:i/>
          <w:i/>
          <w:sz w:val="20"/>
        </w:rPr>
      </w:pPr>
      <w:r>
        <w:rPr/>
        <w:t>На заключителната пленарна сесия (29—30 април 2022 г.) 108-те граждани на компонента „граждани“ представиха окончателната си позиция по предложенията за пленарни заседания. Тяхното представяне беше замислено колективно и представено от 17 от тях под формата на наративна реч по време на заключителния дебат. Текстът по-долу съдържа обобщение на основните послания на техните интервенции.</w:t>
      </w:r>
    </w:p>
    <w:p>
      <w:pPr>
        <w:pStyle w:val="P68B1DB1Normal14"/>
        <w:shd w:val="clear" w:fill="EEEEEE"/>
        <w:jc w:val="center"/>
        <w:rPr>
          <w:sz w:val="20"/>
        </w:rPr>
      </w:pPr>
      <w:r>
        <w:rPr/>
        <w:t>**</w:t>
      </w:r>
    </w:p>
    <w:p>
      <w:pPr>
        <w:pStyle w:val="P68B1DB1Normal14"/>
        <w:shd w:val="clear" w:fill="EEEEEE"/>
        <w:rPr>
          <w:sz w:val="20"/>
        </w:rPr>
      </w:pPr>
      <w:r>
        <w:rPr/>
        <w:t>В началото благодарим на Европейския парламент, на Съвета и на Комисията, че ни дадоха възможност да помогнем за оформянето на бъдещето на Европа. Срещнахме се с европейски колеги от целия Съюз, от различни групи и прояви, с политически представители и социални участници и разширихме хоризонтите си. Ние израснахме като европейци. За това всички сме правили жертви: бяхме извадени от нашето ежедневие, почивни дни и прекарани, за членовете на европейските граждански панели, девет уикенда далеч от нашите семейства. Но имахме невероятно и уникално преживяване. За нас това не беше загуба на време.</w:t>
      </w:r>
    </w:p>
    <w:p>
      <w:pPr>
        <w:pStyle w:val="P68B1DB1Normal14"/>
        <w:shd w:val="clear" w:fill="EEEEEE"/>
        <w:rPr>
          <w:sz w:val="20"/>
        </w:rPr>
      </w:pPr>
      <w:r>
        <w:rPr/>
        <w:t>По пътя имаше възходи и падения. Не винаги получавахме отговор на въпросите си. Знаем, че ще отнеме време, за да бъдат изпълнени предложенията. Но ние сме убедени, че ще направите каквото е необходимо, за да постигнете това, от уважение към съвместната ни работа. Ако ние, гражданите, успяхме да преодолеем различията си, езиковите бариери, да работим заедно и да се издигнем до вашето ниво, вие също можете.</w:t>
      </w:r>
    </w:p>
    <w:p>
      <w:pPr>
        <w:pStyle w:val="P68B1DB1Normal14"/>
        <w:shd w:val="clear" w:fill="EEEEEE"/>
        <w:jc w:val="center"/>
        <w:rPr>
          <w:sz w:val="20"/>
        </w:rPr>
      </w:pPr>
      <w:r>
        <w:rPr/>
        <w:t>**</w:t>
      </w:r>
    </w:p>
    <w:p>
      <w:pPr>
        <w:pStyle w:val="P68B1DB1Normal14"/>
        <w:shd w:val="clear" w:fill="EEEEEE"/>
        <w:rPr>
          <w:sz w:val="20"/>
        </w:rPr>
      </w:pPr>
      <w:r>
        <w:rPr/>
        <w:t>Всички сме извървели дълъг път и сега, когато работата ни в пленарна зала приключи, можем да се гордеем с това. Виждаме 8 междусекторни теми, които дават ясен и силен мандат за бъдещето на Европа.</w:t>
      </w:r>
    </w:p>
    <w:p>
      <w:pPr>
        <w:pStyle w:val="P68B1DB1Normal14"/>
        <w:shd w:val="clear" w:fill="EEEEEE"/>
        <w:rPr>
          <w:sz w:val="20"/>
        </w:rPr>
      </w:pPr>
      <w:r>
        <w:rPr>
          <w:b/>
        </w:rPr>
        <w:t>Първо</w:t>
      </w:r>
      <w:r>
        <w:rPr/>
        <w:t>, Европейски съюз, основан на солидарност, социална справедливост и равенство. В действителност голяма загриженост за гражданите е намирането на равни условия и права в различни области: здравеопазване, социални услуги, учене през целия живот, равни възможности за хората, живеещи в селските и градските райони, като се вземат предвид демографските съображения. В бъдеще европейците във всички държави членки и региони следва повече да не бъдат дискриминирани поради тяхната възраст, място на пребиваване, националност, пол, религия или политически предпочитания. На тях следва да се предлагат достойни стандарти на живот, заплати и условия на труд. ЕС трябва да бъде нещо повече от икономически съюз. Държавите членки трябва да покажат по-голяма солидарност помежду си. Ние сме семейство и трябва да се държим като такива в кризисни ситуации.</w:t>
      </w:r>
    </w:p>
    <w:p>
      <w:pPr>
        <w:pStyle w:val="P68B1DB1Normal14"/>
        <w:shd w:val="clear" w:fill="EEEEEE"/>
        <w:rPr>
          <w:sz w:val="20"/>
        </w:rPr>
      </w:pPr>
      <w:r>
        <w:rPr>
          <w:b/>
        </w:rPr>
        <w:t>Второ</w:t>
      </w:r>
      <w:r>
        <w:rPr/>
        <w:t>, ЕС трябва да се осмели и да действа бързо, за да се превърне в лидер в областта на околната среда и климата, като ускори прехода към зелена енергия, подобри своята железопътна мрежа, насърчи устойчивия транспорт и една наистина кръгова икономика. Няма време за губене. ЕС трябва да стимулира промяната в много области на политиката: селско стопанство, биологично разнообразие, икономика, енергетика, транспорт, образование, здравеопазване, цифрова трансформация и дипломация в областта на климата. Имаме изследователския капацитет, икономическата сила и геополитическия лост, за да го направим. Ако превърнем климата в приоритет, можем да се надяваме на проспериращо бъдеще.</w:t>
      </w:r>
    </w:p>
    <w:p>
      <w:pPr>
        <w:pStyle w:val="P68B1DB1Normal14"/>
        <w:shd w:val="clear" w:fill="EEEEEE"/>
        <w:rPr>
          <w:sz w:val="20"/>
        </w:rPr>
      </w:pPr>
      <w:r>
        <w:rPr>
          <w:b/>
        </w:rPr>
        <w:t>Трето</w:t>
      </w:r>
      <w:r>
        <w:rPr/>
        <w:t>, Европа се нуждае от по-демократичен Съюз. Европейските граждани обичат ЕС, но нека бъдем откровени: не винаги е лесно. Помолихте ни да ви помогнем и ни попитахте: как трябва да изглежда европейската демокрация в бъдеще? И ние ви отговорихме: Ние, гражданите, искаме Европа, в която решенията се вземат по прозрачен и бърз начин, където се преразглежда принципът на единодушие и в която ние, гражданите, участваме редовно и сериозно.</w:t>
      </w:r>
    </w:p>
    <w:p>
      <w:pPr>
        <w:pStyle w:val="P68B1DB1Normal14"/>
        <w:shd w:val="clear" w:fill="EEEEEE"/>
        <w:rPr>
          <w:sz w:val="20"/>
        </w:rPr>
      </w:pPr>
      <w:r>
        <w:rPr>
          <w:b/>
        </w:rPr>
        <w:t>Четвърто</w:t>
      </w:r>
      <w:r>
        <w:rPr/>
        <w:t>, ЕС се нуждае от по-голяма хармонизация в някои области и да се сближи като Съюз. Войната удари нашите порти на Изтока, което ни призовава да бъдем по-обединени от всякога и да дадем на ЕС повече умения в областта на външните работи. Тази конференция може да послужи като основа за създаването на по-обединена и политически съгласувана Европа. Всичко се свежда до тази дума: На съюза е. Не можем да се опишем като такива, ако не успеем да постигнем сътрудничеството, което тази конференция илюстрира.</w:t>
      </w:r>
    </w:p>
    <w:p>
      <w:pPr>
        <w:pStyle w:val="P68B1DB1Normal14"/>
        <w:shd w:val="clear" w:fill="EEEEEE"/>
        <w:rPr>
          <w:sz w:val="20"/>
        </w:rPr>
      </w:pPr>
      <w:r>
        <w:rPr>
          <w:b/>
        </w:rPr>
        <w:t>Пето</w:t>
      </w:r>
      <w:r>
        <w:rPr/>
        <w:t>, ЕС трябва да придобие автономност и да гарантира своята глобална конкурентоспособност. По време на този процес говорихме за постигането на тази цел в ключови стратегически области: селско стопанство, енергетика, промишленост, здравеопазване. Трябва да избягваме зависимостта от трети държави за много чувствителни продукти. Трябва да надградим таланта на нашата работна сила, да предотвратим изтичането на мозъци и да осигурим подходящо обучение за придобиване на умения на гражданите на всички етапи от живота им, независимо от това къде живеят в ЕС. Не можем да имаме огромни различия в рамките на ЕС и младите хора без перспектива в една държава, принудени да отидат в друга.</w:t>
      </w:r>
    </w:p>
    <w:p>
      <w:pPr>
        <w:pStyle w:val="P68B1DB1Normal14"/>
        <w:shd w:val="clear" w:fill="EEEEEE"/>
        <w:rPr>
          <w:sz w:val="20"/>
        </w:rPr>
      </w:pPr>
      <w:r>
        <w:rPr>
          <w:b/>
        </w:rPr>
        <w:t>Шесто</w:t>
      </w:r>
      <w:r>
        <w:rPr/>
        <w:t>, бъдещето на ЕС се основава на неговите ценности. Те са ръководили нашата работа. Когато започнахме, никой не можеше да си представи, че на нашия континент ще избухне война. Тази борба за свобода ни прави наясно с шанса да живеем в мирен съюз. Зад всички наши предложения са изразени тези ценности: хуманно и достойно приемане на мигранти, равен достъп до здравеопазване, борба с корупцията, призив за опазване на природата и биологичното разнообразие и по-демократичен Съюз.</w:t>
      </w:r>
    </w:p>
    <w:p>
      <w:pPr>
        <w:pStyle w:val="P68B1DB1Normal14"/>
        <w:shd w:val="clear" w:fill="EEEEEE"/>
        <w:rPr>
          <w:sz w:val="20"/>
        </w:rPr>
      </w:pPr>
      <w:r>
        <w:rPr>
          <w:b/>
        </w:rPr>
        <w:t>Седмо</w:t>
      </w:r>
      <w:r>
        <w:rPr/>
        <w:t>, в бъдеще гражданите трябва да се чувстват по-европейски и да опознаят ЕС по-добре. Това е междусекторен въпрос, който е в основата на работата на всички групи. Цифровата трансформация, образованието, мобилността и обменът могат да придадат съдържание на тази европейска идентичност, която допълва, без да ги поставя под въпрос, нашата национална идентичност. Много от нас не се чувстваха европейци преди тази конференция: тя се появи тук, бавно, чрез размяна един с друг. Имахме късмета да имаме тази възможност, но мнозина не го правят. Ето защо информацията, комуникацията и осведомеността са толкова важни.</w:t>
      </w:r>
    </w:p>
    <w:p>
      <w:pPr>
        <w:pStyle w:val="P68B1DB1Normal14"/>
        <w:shd w:val="clear" w:fill="EEEEEE"/>
        <w:rPr>
          <w:sz w:val="20"/>
        </w:rPr>
      </w:pPr>
      <w:r>
        <w:rPr/>
        <w:t xml:space="preserve">И накрая, </w:t>
      </w:r>
      <w:r>
        <w:rPr>
          <w:b/>
        </w:rPr>
        <w:t>осма</w:t>
      </w:r>
      <w:r>
        <w:rPr/>
        <w:t xml:space="preserve"> междусекторна тема, която е изключително важна за нас, е образованието и овластяването на гражданите като цяло. За тази конференция решихте да поканите граждани от 16-годишна възраст. Благодарни сме за това, защото повече от всякога е необходимо да се даде възможност на младите хора. Високият процент на въздържане на младите хора показва, че връзката между младежта и политиката трябва да бъде възстановена. Те трябва също така да бъдат икономически и социално отговорни: все още е твърде трудно да се навлязат на пазара на труда, да се отстояват социалните права. По време на пандемията от COVID-19 те се чувстваха изоставени и много от тях все още страдат от последиците за психичното си здраве. Но всички европейци трябва да бъдат овластени, а не само младите хора: чрез програми за мобилност и учене през целия живот трябва да разширим хоризонтите на всички европейци. Трябва също така да обучаваме гражданите в областта на демокрацията, гражданското участие и медийната грамотност. Нуждаем се от истински цялостен подход.</w:t>
      </w:r>
    </w:p>
    <w:p>
      <w:pPr>
        <w:pStyle w:val="P68B1DB1Normal14"/>
        <w:shd w:val="clear" w:fill="EEEEEE"/>
        <w:jc w:val="center"/>
        <w:rPr>
          <w:sz w:val="20"/>
        </w:rPr>
      </w:pPr>
      <w:r>
        <w:rPr/>
        <w:t>**</w:t>
      </w:r>
    </w:p>
    <w:p>
      <w:pPr>
        <w:pStyle w:val="P68B1DB1Normal14"/>
        <w:shd w:val="clear" w:fill="EEEEEE"/>
        <w:rPr>
          <w:sz w:val="20"/>
        </w:rPr>
      </w:pPr>
      <w:r>
        <w:rPr/>
        <w:t>Никой не знаеше какъв ще бъде резултатът. 27 държави, 24 езика, различни възрасти. И все пак, когато работихме заедно, се чувствахме свързани: нашите мозъци, нашите мисли, нашите преживявания. Ние не сме експерти от ЕС или една от темите на конференцията, но сме експерти от реалния живот и имаме своите истории. Отиваме на работа, живеем в провинцията и в предградията, работим през нощта, учим, имаме деца, взимаме обществен транспорт. Можем да разчитаме на разнообразието си. Беше постигнат консенсус по предложенията между четирите различни компонента и в рамките на компонента „гражданин“. Ние сме съгласни и подкрепяме всички предложения, които сега са във вашите ръце. Изразяваме различна позиция по мярка 38.4, трета точка, тъй като тя не произтича от европейски или национални панели и не е обсъдена в достатъчна степен в работната група на цялото. Ето защо не коментираме същността или релевантността на тази мярка. С оглед на това Ви приканваме да разгледате тези предложения като цяло, да ги приложите, а не само тези, които ви подхождат най-много и са лесно приложими. Направете го прозрачно. Работили сме по тези предложения с отдаденост и страст, гордеем се с нашата работа: уважавай го.</w:t>
      </w:r>
    </w:p>
    <w:p>
      <w:pPr>
        <w:pStyle w:val="P68B1DB1Normal14"/>
        <w:shd w:val="clear" w:fill="EEEEEE"/>
        <w:rPr>
          <w:sz w:val="20"/>
        </w:rPr>
      </w:pPr>
      <w:r>
        <w:rPr/>
        <w:t>Конференцията за бъдещето на Европа премина през пандемия и стана свидетел на война в Европа, демонстрирайки пълната ѝ солидарност с украинския народ. Годината беше забързана за участниците и за всички европейци. Но конференцията продължи своята работа, срещу ветровете и приливите и отливите. От името на гражданите на конференцията, позволете ни да приключим, като Ви изпратим просто съобщение: чувстваме се европейци, чувстваме се ангажирани и слушани в процеса на демократизация, вярваме в ЕС и искаме да продължим да вярваме в него. Така че, от дъното на сърцата ни, прочетете добре предложенията и ги прилагайте в името на бъдещето на Европа.</w:t>
      </w:r>
    </w:p>
    <w:p>
      <w:pPr>
        <w:pStyle w:val="Normal"/>
        <w:shd w:val="clear" w:fill="EEEEEE"/>
        <w:rPr/>
      </w:pPr>
      <w:r>
        <w:rPr/>
      </w:r>
      <w:r>
        <w:br w:type="page"/>
      </w:r>
    </w:p>
    <w:p>
      <w:pPr>
        <w:pStyle w:val="Corpsdetexte"/>
        <w:rPr/>
      </w:pPr>
      <w:r>
        <w:rPr/>
        <w:t>Представителите на компонента на Съвета на Пленарната асамблея се въздържаха от коментари по съществото на предложенията, но вместо това подкрепиха и насърчиха дейностите на гражданите и взеха под внимание техните препоръки. След 9 май 2022 г. Съветът ще определи как да предприеме последващи действия във връзка с резултатите от конференцията в рамките на своята сфера на компетентност и в съответствие с Договорите.</w:t>
      </w:r>
    </w:p>
    <w:p>
      <w:pPr>
        <w:pStyle w:val="Normal"/>
        <w:rPr/>
      </w:pPr>
      <w:r>
        <w:rPr/>
      </w:r>
    </w:p>
    <w:p>
      <w:pPr>
        <w:pStyle w:val="Corpsdetexte"/>
        <w:rPr/>
      </w:pPr>
      <w:r>
        <w:rPr/>
        <w:t>Изпълнителният съвет на Конференцията за бъдещето на Европа взема под внимание предложенията, направени от Пленарната асамблея, и ги представя като краен резултат от конференцията. Като предоставиха насоки за бъдещето на Европа, тези предложения бяха получени след почти една година разисквания в рамките, определени от Съвместната декларация и процедурния правилник на конференцията.</w:t>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pPr>
      <w:r>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Снимка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Снимка 20" descr=""/>
                    <pic:cNvPicPr>
                      <a:picLocks noChangeAspect="1" noChangeArrowheads="1"/>
                    </pic:cNvPicPr>
                  </pic:nvPicPr>
                  <pic:blipFill>
                    <a:blip r:embed="rId72"/>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pPr>
      <w:bookmarkStart w:id="36" w:name="__RefHeading___Toc298246_1346298689"/>
      <w:bookmarkEnd w:id="36"/>
      <w:r>
        <w:rPr/>
        <w:t xml:space="preserve">НА 4-ТИ ПЪТ. Предложенията на Пленарната асамблея </w:t>
      </w:r>
      <w:r>
        <w:br w:type="page"/>
      </w:r>
    </w:p>
    <w:p>
      <w:pPr>
        <w:pStyle w:val="Normal"/>
        <w:rPr/>
      </w:pPr>
      <w:r>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Снимка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Снимка 21" descr=""/>
                    <pic:cNvPicPr>
                      <a:picLocks noChangeAspect="1" noChangeArrowheads="1"/>
                    </pic:cNvPicPr>
                  </pic:nvPicPr>
                  <pic:blipFill>
                    <a:blip r:embed="rId73"/>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37" w:name="__RefHeading___Toc298248_1346298689"/>
      <w:bookmarkEnd w:id="37"/>
      <w:r>
        <w:rPr/>
        <w:t>Изменение на климата и околна среда</w:t>
      </w:r>
    </w:p>
    <w:p>
      <w:pPr>
        <w:pStyle w:val="Titre3"/>
        <w:numPr>
          <w:ilvl w:val="2"/>
          <w:numId w:val="2"/>
        </w:numPr>
        <w:rPr/>
      </w:pPr>
      <w:bookmarkStart w:id="38" w:name="__RefHeading___Toc298250_1346298689"/>
      <w:bookmarkEnd w:id="38"/>
      <w:r>
        <w:rPr/>
        <w:t>1. Предложение: Селско стопанство, производство на храни, биологично разнообразие и екосистеми, замърсяване</w:t>
      </w:r>
    </w:p>
    <w:p>
      <w:pPr>
        <w:pStyle w:val="P68B1DB1Normal15"/>
        <w:rPr>
          <w:b/>
          <w:b/>
        </w:rPr>
      </w:pPr>
      <w:r>
        <w:rPr/>
        <w:t>Цел: Безопасно, устойчиво, справедливо, съобразено с климата и достъпно производство на храни, при което се зачитат принципите на устойчивост и околна среда и се опазва биологичното разнообразие и екосистемите, като същевременно се гарантира продоволствената сигурност.</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p>
    <w:p>
      <w:pPr>
        <w:pStyle w:val="Puce3"/>
        <w:rPr/>
      </w:pPr>
      <w:r>
        <w:rPr/>
        <w:t>1.</w:t>
        <w:tab/>
        <w:t>Да изведе на преден план концепциите за екологосъобразни и сини икономики чрез насърчаване на ефективно и екологосъобразно и щадящо климата селско стопанство и рибарство в ЕС и по света, включително биологичното земеделие и други иновативни и устойчиви форми на селско стопанство, като например вертикалното селско стопанство, които позволяват повече производство с по-малко ресурси, като същевременно намаляват емисиите и въздействието върху околната среда, но като продължават да гарантират производителността и продоволствената сигурност (Петър 3 — Препоръки 1, 2 и 10; група 2 — Препоръка 4).</w:t>
      </w:r>
    </w:p>
    <w:p>
      <w:pPr>
        <w:pStyle w:val="Puce3"/>
        <w:rPr/>
      </w:pPr>
      <w:r>
        <w:rPr/>
        <w:t>2.</w:t>
        <w:tab/>
        <w:t>Пренасочване на субсидиите и засилване на стимулите за биологично и устойчиво селско стопанство, които отговарят на специфични екологични стандарти и допринасят за постигането на глобалните цели в областта на климата (панел 3 — препоръки 1 и 12).</w:t>
      </w:r>
    </w:p>
    <w:p>
      <w:pPr>
        <w:pStyle w:val="Puce3"/>
        <w:rPr/>
      </w:pPr>
      <w:r>
        <w:rPr/>
        <w:t>3.</w:t>
        <w:tab/>
        <w:t>Прилагане на принципите на кръговата икономика в селското стопанство и насърчаване на мерките за борба с разхищаването на храни (разискване в работната група, многоезична цифрова платформа — НПЗ).</w:t>
      </w:r>
    </w:p>
    <w:p>
      <w:pPr>
        <w:pStyle w:val="Puce3"/>
        <w:rPr/>
      </w:pPr>
      <w:r>
        <w:rPr/>
        <w:t>4.</w:t>
        <w:tab/>
        <w:t>Значително да намали употребата на пестициди и химически торове в съответствие със съществуващите цели, като същевременно продължи да гарантира безопасността на храните, и да подкрепи научните изследвания за разработване на по-устойчиви и природосъобразни алтернативи (панел 3 — Препоръка 10, дебат в работната група).</w:t>
      </w:r>
    </w:p>
    <w:p>
      <w:pPr>
        <w:pStyle w:val="Puce3"/>
        <w:rPr/>
      </w:pPr>
      <w:r>
        <w:rPr/>
        <w:t>5.</w:t>
        <w:tab/>
        <w:t>Въвеждане на сертифициране на поглъщанията на въглерод въз основа на надеждно, надеждно и прозрачно отчитане на въглеродните емисии (пленарни разисквания).</w:t>
      </w:r>
    </w:p>
    <w:p>
      <w:pPr>
        <w:pStyle w:val="Puce3"/>
        <w:rPr/>
      </w:pPr>
      <w:r>
        <w:rPr/>
        <w:t>6.</w:t>
        <w:tab/>
        <w:t>Увеличаване на научните изследвания и иновациите, по-специално в областта на технологичните решения, свързани с устойчивото производство, устойчивостта на вредители и прецизното земеделие, както и комуникацията, системите за консултиране и обучението на земеделските стопани и на земеделските стопани (панел 3 — препоръка 10, дебат в работната група, разискване в пленарна зала).</w:t>
      </w:r>
    </w:p>
    <w:p>
      <w:pPr>
        <w:pStyle w:val="Puce3"/>
        <w:rPr/>
      </w:pPr>
      <w:r>
        <w:rPr/>
        <w:t>7.</w:t>
        <w:tab/>
        <w:t>Премахване на социалния дъмпинг и насърчаване на справедлив екологичен преход към по-добри работни места в селскостопанския сектор с висококачествена безопасност, здраве и условия на труд (разискване в работната група).</w:t>
      </w:r>
    </w:p>
    <w:p>
      <w:pPr>
        <w:pStyle w:val="Puce3"/>
        <w:rPr/>
      </w:pPr>
      <w:r>
        <w:rPr/>
        <w:t>8.</w:t>
        <w:tab/>
        <w:t>Обсъждане на аспекти като използването на пластмаса във филмите за селското стопанство и начините за намаляване на потреблението на вода в селското стопанство (PNM).</w:t>
      </w:r>
    </w:p>
    <w:p>
      <w:pPr>
        <w:pStyle w:val="Puce3"/>
        <w:rPr/>
      </w:pPr>
      <w:r>
        <w:rPr/>
        <w:t>9.</w:t>
        <w:tab/>
        <w:t>Обоснованото отглеждане и производство на месо е съсредоточено върху хуманното отношение към животните и устойчивостта чрез мерки като ясно етикетиране, високо качество и общи стандарти за животновъдство и транспорт, укрепване на връзката между животните и фуражите (панел 3 — препоръки 16 и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39" w:name="__RefHeading___Toc298252_1346298689"/>
      <w:bookmarkEnd w:id="39"/>
      <w:r>
        <w:rPr/>
        <w:t>2. Предложение: Селско стопанство, производство на храни, биологично разнообразие и екосистеми, замърсяване</w:t>
      </w:r>
    </w:p>
    <w:p>
      <w:pPr>
        <w:pStyle w:val="P68B1DB1Normal15"/>
        <w:rPr>
          <w:b/>
          <w:b/>
        </w:rPr>
      </w:pPr>
      <w:r>
        <w:rPr/>
        <w:t>Цел: Опазване и възстановяване на биологичното разнообразие, ландшафта и океаните и премахване на замърсяването.</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0" w:name="__RefHeading___Toc298254_1346298689"/>
      <w:bookmarkEnd w:id="40"/>
      <w:r>
        <w:rPr/>
        <w:t>Мерки:</w:t>
      </w:r>
    </w:p>
    <w:p>
      <w:pPr>
        <w:pStyle w:val="Puce3"/>
        <w:tabs>
          <w:tab w:val="clear" w:pos="720"/>
        </w:tabs>
        <w:rPr/>
      </w:pPr>
      <w:r>
        <w:rPr/>
        <w:t>1.</w:t>
        <w:tab/>
        <w:t>Създаване, възстановяване, управление и разширяване на защитени зони за опазване на биологичното разнообразие (препоръка FR, група 3 — Препоръка 11).</w:t>
      </w:r>
    </w:p>
    <w:p>
      <w:pPr>
        <w:pStyle w:val="Puce3"/>
        <w:tabs>
          <w:tab w:val="clear" w:pos="720"/>
        </w:tabs>
        <w:rPr/>
      </w:pPr>
      <w:r>
        <w:rPr/>
        <w:t>2.</w:t>
        <w:tab/>
        <w:t>Създаване на система за принуда и възнаграждение за борба със замърсяването, като се прилага принципът „замърсителят плаща“, която също следва да бъде интегрирана в данъчни мерки и с по-добра осведоменост и стимули (панел 3 — препоръка 32, препоръка на Франция, разискване в пленарна зала).</w:t>
      </w:r>
    </w:p>
    <w:p>
      <w:pPr>
        <w:pStyle w:val="Puce3"/>
        <w:tabs>
          <w:tab w:val="clear" w:pos="720"/>
        </w:tabs>
        <w:rPr/>
      </w:pPr>
      <w:r>
        <w:rPr/>
        <w:t>3.</w:t>
        <w:tab/>
        <w:t>Разширяване на ролята на общините в градоустройственото планиране и изграждането на нови сгради, които подпомагат синята и зелената инфраструктура, избягват по-нататъшно запечатване на земя и слагат край на нея, задължителни зелени площи за нови сгради с цел насърчаване на биологичното разнообразие и градските гори (панел 3 — препоръка 5, панел 1 — препоръка 18, препоръка FR).</w:t>
      </w:r>
    </w:p>
    <w:p>
      <w:pPr>
        <w:pStyle w:val="Puce3"/>
        <w:tabs>
          <w:tab w:val="clear" w:pos="720"/>
        </w:tabs>
        <w:rPr/>
      </w:pPr>
      <w:r>
        <w:rPr/>
        <w:t>4.</w:t>
        <w:tab/>
        <w:t>Защита на насекомите, по-специално местните и опрашващите видове, включително чрез защита срещу инвазивни видове и по-добро прилагане на съществуващите правила (панел 1 — Препоръка 18).</w:t>
      </w:r>
    </w:p>
    <w:p>
      <w:pPr>
        <w:pStyle w:val="Puce3"/>
        <w:tabs>
          <w:tab w:val="clear" w:pos="720"/>
        </w:tabs>
        <w:rPr/>
      </w:pPr>
      <w:r>
        <w:rPr/>
        <w:t>5.</w:t>
        <w:tab/>
        <w:t>Подкрепа за залесяването и повторното залесяване, включително горите, унищожени от пожари, прилагане на отговорно управление на горите и насърчаване на по-доброто използване на дървесината за замяна на други материали. Определяне на задължителни национални цели във всички държави — членки на ЕС, за повторно залесяване с местни дървета и местна флора, като се вземат предвид различните национални ситуации и особености (панел 3 — препоръка 14, група 1 — препоръка 18).</w:t>
      </w:r>
    </w:p>
    <w:p>
      <w:pPr>
        <w:pStyle w:val="Puce3"/>
        <w:tabs>
          <w:tab w:val="clear" w:pos="720"/>
        </w:tabs>
        <w:rPr/>
      </w:pPr>
      <w:r>
        <w:rPr/>
        <w:t>6.</w:t>
        <w:tab/>
        <w:t>Прилагане и разширяване на забраната за пластмаси за еднократна употреба (SMP).</w:t>
      </w:r>
    </w:p>
    <w:p>
      <w:pPr>
        <w:pStyle w:val="Puce3"/>
        <w:tabs>
          <w:tab w:val="clear" w:pos="720"/>
        </w:tabs>
        <w:rPr/>
      </w:pPr>
      <w:r>
        <w:rPr/>
        <w:t>7.</w:t>
        <w:tab/>
        <w:t>Защита на водните източници и борба със замърсяването на реките и океаните, включително чрез научни изследвания и борба със замърсяването с пластмасови микрочастици, както и насърчаване на екологосъобразния транспорт чрез използване на най-добрите налични технологии и създаване на научни изследвания и финансиране на Съюза за алтернативни морски горива и технологии (NMP, дебат в работната група).</w:t>
      </w:r>
    </w:p>
    <w:p>
      <w:pPr>
        <w:pStyle w:val="Puce3"/>
        <w:tabs>
          <w:tab w:val="clear" w:pos="720"/>
        </w:tabs>
        <w:rPr/>
      </w:pPr>
      <w:r>
        <w:rPr/>
        <w:t>8.</w:t>
        <w:tab/>
        <w:t>Ограничаване на светлинното замърсяване (разискване в работната група).</w:t>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41" w:name="__RefHeading___Toc298256_1346298689"/>
      <w:bookmarkEnd w:id="41"/>
      <w:r>
        <w:rPr/>
        <w:t>3. Предложение: Изменение на климата, енергетика, транспорт</w:t>
      </w:r>
    </w:p>
    <w:p>
      <w:pPr>
        <w:pStyle w:val="P68B1DB1Normal15"/>
        <w:rPr>
          <w:b/>
          <w:b/>
        </w:rPr>
      </w:pPr>
      <w:r>
        <w:rPr/>
        <w:t>Цел: Повишаване на европейската енергийна сигурност и постигане на енергийната независимост на Съюза, като същевременно се гарантира справедлив преход и се осигурява достатъчно устойчива и достъпна енергия за европейците. Справяне с изменението на климата чрез предоставяне на ЕС на водеща роля в областта на устойчивата енергийна политика в световен мащаб и зачитане на глобалните цели за опазване на климата.</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2" w:name="__RefHeading___Toc298258_1346298689"/>
      <w:bookmarkEnd w:id="42"/>
      <w:r>
        <w:rPr/>
        <w:t>Мерки:</w:t>
      </w:r>
    </w:p>
    <w:p>
      <w:pPr>
        <w:pStyle w:val="Puce3"/>
        <w:tabs>
          <w:tab w:val="clear" w:pos="720"/>
        </w:tabs>
        <w:rPr/>
      </w:pPr>
      <w:r>
        <w:rPr/>
        <w:t>1.</w:t>
        <w:tab/>
        <w:t>Постигане и, когато е възможно, ускоряване на екологичния преход, включително чрез повече инвестиции в енергия от възобновяеми източници, с цел намаляване на външната енергийна зависимост, като също така се признава ролята на местните и регионалните власти в екологичния преход (разискване в работната група).</w:t>
      </w:r>
    </w:p>
    <w:p>
      <w:pPr>
        <w:pStyle w:val="Puce3"/>
        <w:tabs>
          <w:tab w:val="clear" w:pos="720"/>
        </w:tabs>
        <w:rPr/>
      </w:pPr>
      <w:r>
        <w:rPr/>
        <w:t>2.</w:t>
        <w:tab/>
        <w:t>Да проучи, в рамките на енергийните политики, геополитическите последици и последиците за сигурността на всички доставчици на енергия от трети държави, по-специално по отношение на правата на човека, екологията, доброто управление и върховенството на закона (разискване в работната група).</w:t>
      </w:r>
    </w:p>
    <w:p>
      <w:pPr>
        <w:pStyle w:val="Puce3"/>
        <w:tabs>
          <w:tab w:val="clear" w:pos="720"/>
        </w:tabs>
        <w:rPr/>
      </w:pPr>
      <w:r>
        <w:rPr/>
        <w:t>3.</w:t>
        <w:tab/>
        <w:t>Намаляване на зависимостта от вноса на нефт и газ чрез проекти за енергийна ефективност, подкрепа за достъпен обществен транспорт, високоскоростна железопътна мрежа за товарни превози и разширяване на доставките на чиста и възобновяема енергия (панел 4 — препоръка 2, група 1 — препоръка 10, препоръки на Франция и Германия).</w:t>
      </w:r>
    </w:p>
    <w:p>
      <w:pPr>
        <w:pStyle w:val="Puce3"/>
        <w:tabs>
          <w:tab w:val="clear" w:pos="720"/>
        </w:tabs>
        <w:rPr/>
      </w:pPr>
      <w:r>
        <w:rPr/>
        <w:t>4.</w:t>
        <w:tab/>
        <w:t>Подобряване на качеството и взаимосвързаността, осигуряване на поддръжка и трансформиране на електроенергийната инфраструктура и мрежи, за да се повиши сигурността и да се даде възможност за преход към възобновяеми енергийни източници (панел 1 — препоръка 10, дебат в работната група).</w:t>
      </w:r>
    </w:p>
    <w:p>
      <w:pPr>
        <w:pStyle w:val="Puce3"/>
        <w:tabs>
          <w:tab w:val="clear" w:pos="720"/>
        </w:tabs>
        <w:rPr/>
      </w:pPr>
      <w:r>
        <w:rPr/>
        <w:t>5.</w:t>
        <w:tab/>
        <w:t>Инвестиции в технологии, способни да произвеждат енергия от възобновяеми източници, като например ефективно производство на зелен водород, особено в сектори, които са трудни за електрифициране (панел 3 — препоръка 31, дебат в работната група).</w:t>
      </w:r>
    </w:p>
    <w:p>
      <w:pPr>
        <w:pStyle w:val="Puce3"/>
        <w:tabs>
          <w:tab w:val="clear" w:pos="720"/>
        </w:tabs>
        <w:rPr/>
      </w:pPr>
      <w:r>
        <w:rPr/>
        <w:t>6.</w:t>
        <w:tab/>
        <w:t>Да инвестира в проучването на нови енергийни източници и екологосъобразни методи за съхранение и, в очакване на осезаемо решение, да направи допълнителни инвестиции в съществуващите оптимални решения за производство и съхранение на енергия (Панел 3 — Препоръки 9 и 31).</w:t>
      </w:r>
    </w:p>
    <w:p>
      <w:pPr>
        <w:pStyle w:val="Puce3"/>
        <w:tabs>
          <w:tab w:val="clear" w:pos="720"/>
        </w:tabs>
        <w:rPr/>
      </w:pPr>
      <w:r>
        <w:rPr/>
        <w:t>7.</w:t>
        <w:tab/>
        <w:t>Да направят филтрите за</w:t>
      </w:r>
      <w:r>
        <w:rPr>
          <w:vertAlign w:val="subscript"/>
        </w:rPr>
        <w:t>CO2 задължителни</w:t>
      </w:r>
      <w:r>
        <w:rPr/>
        <w:t xml:space="preserve"> в електроцентралите, работещи с изкопаеми горива, и да предоставят финансова подкрепа на държавите членки, които не разполагат с финансови ресурси за прилагане на филтри за</w:t>
      </w:r>
      <w:r>
        <w:rPr>
          <w:vertAlign w:val="subscript"/>
        </w:rPr>
        <w:t>CO2 (група</w:t>
      </w:r>
      <w:r>
        <w:rPr/>
        <w:t xml:space="preserve"> 3 — Препоръка 29).</w:t>
      </w:r>
    </w:p>
    <w:p>
      <w:pPr>
        <w:pStyle w:val="Puce3"/>
        <w:tabs>
          <w:tab w:val="clear" w:pos="720"/>
        </w:tabs>
        <w:rPr/>
      </w:pPr>
      <w:r>
        <w:rPr/>
        <w:t>8.</w:t>
        <w:tab/>
        <w:t>Гарантиране на справедлив преход, защита на работниците и работните места чрез подходящо финансиране за прехода и по-нататъшни научни изследвания, реформиране на данъчната система чрез по-справедливо данъчно облагане и мерки за борба с данъчните измами и осигуряване на приобщаващ подход към управлението при изготвянето на политиките на всички равнища (напр. амбициозни мерки за преквалификация и повишаване на квалификацията, силна социална закрила, запазване на публичните услуги в ръцете на държавата, запазване на правилата за здравословни и безопасни условия на труд) (пенарен дебат, дебат в работната група, НПЗ).</w:t>
      </w:r>
    </w:p>
    <w:p>
      <w:pPr>
        <w:pStyle w:val="Puce3"/>
        <w:tabs>
          <w:tab w:val="clear" w:pos="720"/>
        </w:tabs>
        <w:rPr/>
      </w:pPr>
      <w:r>
        <w:rPr/>
        <w:t>9.</w:t>
        <w:tab/>
        <w:t>Въвеждане на инвестиционен пакет за благоприятни за климата технологии и иновации, който следва да бъде финансиран чрез свързани с климата вносни мита и такси за корекция на въглеродните емисии, свързани с климата (Препоръка на Германия).</w:t>
      </w:r>
    </w:p>
    <w:p>
      <w:pPr>
        <w:pStyle w:val="Puce3"/>
        <w:tabs>
          <w:tab w:val="clear" w:pos="720"/>
        </w:tabs>
        <w:rPr/>
      </w:pPr>
      <w:r>
        <w:rPr/>
        <w:t>10.</w:t>
        <w:tab/>
        <w:t>В края на преходния период изкопаемите горива вече не следва да получават субсидии и не следва да се извършва финансиране за традиционната газова инфраструктура (разискване в работната група).</w:t>
      </w:r>
    </w:p>
    <w:p>
      <w:pPr>
        <w:pStyle w:val="Puce3"/>
        <w:tabs>
          <w:tab w:val="clear" w:pos="720"/>
        </w:tabs>
        <w:rPr/>
      </w:pPr>
      <w:r>
        <w:rPr/>
        <w:t>11.</w:t>
        <w:tab/>
        <w:t>Да се засили водещата роля и отговорността на ЕС за насърчаване на амбициозни действия в областта на климата и справедлив преход и да се допринесе за реагирането на загубите и щетите на международната сцена, където ООН трябва да бъде в центъра на действието (Препоръка на Нидерландия, дебат на работната група).</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43" w:name="__RefHeading___Toc298260_1346298689"/>
      <w:bookmarkEnd w:id="43"/>
      <w:r>
        <w:rPr/>
        <w:t>4. Предложение: Изменение на климата, енергетика, транспорт</w:t>
      </w:r>
    </w:p>
    <w:p>
      <w:pPr>
        <w:pStyle w:val="P68B1DB1Normal15"/>
        <w:rPr>
          <w:b/>
          <w:b/>
        </w:rPr>
      </w:pPr>
      <w:r>
        <w:rPr/>
        <w:t>Цел: Осигуряване на модерна, безопасна, екологична и качествена инфраструктура, която осигурява свързаност, включително в селските и островните райони, включително чрез достъпен обществен транспорт.</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4" w:name="__RefHeading___Toc298262_1346298689"/>
      <w:bookmarkEnd w:id="44"/>
      <w:r>
        <w:rPr/>
        <w:t>Мерки:</w:t>
      </w:r>
    </w:p>
    <w:p>
      <w:pPr>
        <w:pStyle w:val="Puce3"/>
        <w:tabs>
          <w:tab w:val="clear" w:pos="720"/>
        </w:tabs>
        <w:rPr/>
      </w:pPr>
      <w:r>
        <w:rPr/>
        <w:t>1.</w:t>
        <w:tab/>
        <w:t>Подкрепа за обществения транспорт и разработване на ефективна, надеждна и достъпна европейска мрежа за обществен транспорт, особено в селските и островните райони, чрез допълнителни стимули за използването на обществения транспорт (панел 3 — Препоръка 36, панел 4 — препоръка 2).</w:t>
      </w:r>
    </w:p>
    <w:p>
      <w:pPr>
        <w:pStyle w:val="Puce3"/>
        <w:tabs>
          <w:tab w:val="clear" w:pos="720"/>
        </w:tabs>
        <w:rPr/>
      </w:pPr>
      <w:r>
        <w:rPr/>
        <w:t>2.</w:t>
        <w:tab/>
        <w:t>Да инвестира във високоскоростни нощни влакове и да определи единен стандарт за екологосъобразна железопътна технология в Европа, за да предложи надеждна алтернатива и да улесни възможността за замяна и възпиране на полетите на къси разстояния (разискване в работната група, НПМ).</w:t>
      </w:r>
    </w:p>
    <w:p>
      <w:pPr>
        <w:pStyle w:val="Puce3"/>
        <w:tabs>
          <w:tab w:val="clear" w:pos="720"/>
        </w:tabs>
        <w:rPr/>
      </w:pPr>
      <w:r>
        <w:rPr/>
        <w:t>3.</w:t>
        <w:tab/>
        <w:t>Насърчаване на закупуването, като се вземе предвид тяхната достъпност за домакинствата и (споделеното) използване на електрически превозни средства, които отговарят на добър стандарт на живот на батерията, както и инвестиции в необходимата инфраструктура за зареждане и инвестиции в разработването на други чисти технологии за превозни средства, чиято електрификация е трудна за постигане (панел 3 — препоръка 38).</w:t>
      </w:r>
    </w:p>
    <w:p>
      <w:pPr>
        <w:pStyle w:val="Puce3"/>
        <w:tabs>
          <w:tab w:val="clear" w:pos="720"/>
        </w:tabs>
        <w:rPr/>
      </w:pPr>
      <w:r>
        <w:rPr/>
        <w:t>4.</w:t>
        <w:tab/>
        <w:t>Установяване на широколентова връзка с интернет и мобилна мрежа в селските и островните райони (панел 3 — Препоръка 36).</w:t>
      </w:r>
    </w:p>
    <w:p>
      <w:pPr>
        <w:pStyle w:val="Puce3"/>
        <w:tabs>
          <w:tab w:val="clear" w:pos="720"/>
        </w:tabs>
        <w:rPr/>
      </w:pPr>
      <w:r>
        <w:rPr/>
        <w:t>5.</w:t>
        <w:tab/>
        <w:t>Подобряване на съществуващата транспортна инфраструктура от екологична гледна точка (панел 3 — Препоръка 37).</w:t>
      </w:r>
    </w:p>
    <w:p>
      <w:pPr>
        <w:pStyle w:val="Puce3"/>
        <w:tabs>
          <w:tab w:val="clear" w:pos="720"/>
        </w:tabs>
        <w:rPr/>
      </w:pPr>
      <w:r>
        <w:rPr/>
        <w:t>6.</w:t>
        <w:tab/>
        <w:t>Изискват програми за градско развитие за „по-зелени“ градове с по-малко емисии, със специфични райони без автомобили в градовете, без да се нанасят вреди на търговските зони (панел 3 — препоръка 6).</w:t>
      </w:r>
    </w:p>
    <w:p>
      <w:pPr>
        <w:pStyle w:val="Puce3"/>
        <w:tabs>
          <w:tab w:val="clear" w:pos="720"/>
        </w:tabs>
        <w:rPr/>
      </w:pPr>
      <w:r>
        <w:rPr/>
        <w:t>7.</w:t>
        <w:tab/>
        <w:t>Подобряване на инфраструктурата за велосипеди и предоставяне на повече права и правна защита на велосипедистите и пешеходците, особено в случай на произшествия с моторно превозно средство, гарантиране на пътната безопасност и осигуряване на обучение по пътния кодекс (Петър 3 — Препоръка 4).</w:t>
      </w:r>
    </w:p>
    <w:p>
      <w:pPr>
        <w:pStyle w:val="Puce3"/>
        <w:tabs>
          <w:tab w:val="clear" w:pos="720"/>
        </w:tabs>
        <w:rPr/>
      </w:pPr>
      <w:r>
        <w:rPr/>
        <w:t>8.</w:t>
        <w:tab/>
        <w:t>Регулиране на добива на криптовалути, които използват значително количество енергия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Titre3"/>
        <w:numPr>
          <w:ilvl w:val="2"/>
          <w:numId w:val="2"/>
        </w:numPr>
        <w:rPr/>
      </w:pPr>
      <w:bookmarkStart w:id="45" w:name="__RefHeading___Toc298264_1346298689"/>
      <w:bookmarkEnd w:id="45"/>
      <w:r>
        <w:rPr/>
        <w:t>5. Предложение: Устойчиво потребление, опаковане и производство</w:t>
      </w:r>
    </w:p>
    <w:p>
      <w:pPr>
        <w:pStyle w:val="P68B1DB1Normal15"/>
        <w:rPr>
          <w:b/>
          <w:b/>
        </w:rPr>
      </w:pPr>
      <w:r>
        <w:rPr/>
        <w:t>Цел: Да подобри използването и управлението на материалите в Съюза, за да насърчи кръговата икономика, да стане по-автономна и да бъде по-малко зависима. Развитие на кръгова икономика чрез насърчаване на устойчивото производство и продукти в Съюза. Да гарантира, че всички продукти, пуснати на пазара на Съюза, отговарят на общите стандарти на Съюза в областта на околната среда.</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6" w:name="__RefHeading___Toc298266_1346298689"/>
      <w:bookmarkEnd w:id="46"/>
      <w:r>
        <w:rPr/>
        <w:t>Мерки:</w:t>
      </w:r>
    </w:p>
    <w:p>
      <w:pPr>
        <w:pStyle w:val="Puce3"/>
        <w:tabs>
          <w:tab w:val="clear" w:pos="720"/>
        </w:tabs>
        <w:rPr/>
      </w:pPr>
      <w:r>
        <w:rPr/>
        <w:t>1.</w:t>
        <w:tab/>
        <w:t>По-строги и хармонизирани производствени стандарти на Съюза и прозрачна схема за етикетиране на всички продукти, продавани на пазара на ЕС, по отношение на тяхната устойчивост/екологичен отпечатък и дълголетие чрез QR код и екоскор или цифров продуктов паспорт (панел 3 — препоръки 8, 13, 20 и 21, група 1 — препоръка 16, група 4 — препоръка 13).</w:t>
      </w:r>
    </w:p>
    <w:p>
      <w:pPr>
        <w:pStyle w:val="Puce3"/>
        <w:tabs>
          <w:tab w:val="clear" w:pos="720"/>
        </w:tabs>
        <w:rPr/>
      </w:pPr>
      <w:r>
        <w:rPr/>
        <w:t>2.</w:t>
        <w:tab/>
        <w:t>Преглед на световните вериги на доставки, включително в областта на селскостопанското производство, с цел намаляване на зависимостта на ЕС и съкращаване на веригите (PNM).</w:t>
      </w:r>
    </w:p>
    <w:p>
      <w:pPr>
        <w:pStyle w:val="Puce3"/>
        <w:tabs>
          <w:tab w:val="clear" w:pos="720"/>
        </w:tabs>
        <w:rPr/>
      </w:pPr>
      <w:r>
        <w:rPr/>
        <w:t>3.</w:t>
        <w:tab/>
        <w:t>По-нататъшно предотвратяване на генерирането на отпадъци чрез определяне на цели за предотвратяване и повторно използване и определяне на стандарти за качество на системите за сортиране на отпадъци (разискване в работната група, препоръката на Франция).</w:t>
      </w:r>
    </w:p>
    <w:p>
      <w:pPr>
        <w:pStyle w:val="Puce3"/>
        <w:tabs>
          <w:tab w:val="clear" w:pos="720"/>
        </w:tabs>
        <w:rPr/>
      </w:pPr>
      <w:r>
        <w:rPr/>
        <w:t>4.</w:t>
        <w:tab/>
        <w:t>Постепенно премахване на неустойчивите форми на опаковки, регулиране на екологосъобразните опаковки и избягване на разхищението на материали в опаковките чрез финансови стимули и санкции, както и инвестиции в алтернативни изследвания (панел 3 — препоръки 15 и 25, група 1 — препоръка 12, група 4 — препоръка 16).</w:t>
      </w:r>
    </w:p>
    <w:p>
      <w:pPr>
        <w:pStyle w:val="Puce3"/>
        <w:tabs>
          <w:tab w:val="clear" w:pos="720"/>
        </w:tabs>
        <w:rPr/>
      </w:pPr>
      <w:r>
        <w:rPr/>
        <w:t>5.</w:t>
        <w:tab/>
        <w:t>Въвеждане на европейска система за депозиране на опаковки и усъвършенствани стандарти за контейнерите (панел 3 — препоръки 22 и 23, NPC).</w:t>
      </w:r>
    </w:p>
    <w:p>
      <w:pPr>
        <w:pStyle w:val="Puce3"/>
        <w:tabs>
          <w:tab w:val="clear" w:pos="720"/>
        </w:tabs>
        <w:rPr/>
      </w:pPr>
      <w:r>
        <w:rPr/>
        <w:t>6.</w:t>
        <w:tab/>
        <w:t>Стартиране на платформа за знания на ЕС за това как да се гарантира устойчивото и дългосрочно използване на продуктите и как да се „ремонтират“, включително информация, достъпна от сдруженията на потребителите (панел 3 — Препоръка 20).</w:t>
      </w:r>
    </w:p>
    <w:p>
      <w:pPr>
        <w:pStyle w:val="Puce3"/>
        <w:tabs>
          <w:tab w:val="clear" w:pos="720"/>
        </w:tabs>
        <w:rPr/>
      </w:pPr>
      <w:r>
        <w:rPr/>
        <w:t>7.</w:t>
        <w:tab/>
        <w:t>Въвеждане на мерки за борба с ранното или преждевременното остаряване, включително планирано остаряване, осигуряване на по-дълги гаранции, насърчаване на правото на ремонт и гарантиране на наличността и достъпността на съвместими резервни части (панел 3 — препоръка 20, препоръка на Франция, препоръка DE, група 1 — препоръка 14).</w:t>
      </w:r>
    </w:p>
    <w:p>
      <w:pPr>
        <w:pStyle w:val="Puce3"/>
        <w:tabs>
          <w:tab w:val="clear" w:pos="720"/>
        </w:tabs>
        <w:rPr/>
      </w:pPr>
      <w:r>
        <w:rPr/>
        <w:t>8.</w:t>
        <w:tab/>
        <w:t>Създаване на пазар за вторични суровини, като се вземат предвид задължителните проценти на рециклирано съдържание чрез насърчаване на намаленото използване на суровини (разискване в работната група).</w:t>
      </w:r>
    </w:p>
    <w:p>
      <w:pPr>
        <w:pStyle w:val="Puce3"/>
        <w:tabs>
          <w:tab w:val="clear" w:pos="720"/>
        </w:tabs>
        <w:rPr/>
      </w:pPr>
      <w:r>
        <w:rPr/>
        <w:t>9.</w:t>
        <w:tab/>
        <w:t>Бързо прилагане на амбициозна текстилна стратегия и определяне на механизъм, чрез който потребителите да знаят, че продуктът отговаря на критериите за устойчивост (панел 3 — препоръка 28, дебат в работната група).</w:t>
      </w:r>
    </w:p>
    <w:p>
      <w:pPr>
        <w:pStyle w:val="Puce3"/>
        <w:tabs>
          <w:tab w:val="clear" w:pos="720"/>
        </w:tabs>
        <w:rPr/>
      </w:pPr>
      <w:r>
        <w:rPr/>
        <w:t>10.</w:t>
        <w:tab/>
        <w:t>Мерки на ЕС, които да позволят на потребителите да използват продуктите по-дълго и да ги насърчават да го правят (панел 3 — Препоръка 20).</w:t>
      </w:r>
    </w:p>
    <w:p>
      <w:pPr>
        <w:pStyle w:val="Puce3"/>
        <w:tabs>
          <w:tab w:val="clear" w:pos="720"/>
        </w:tabs>
        <w:rPr/>
      </w:pPr>
      <w:r>
        <w:rPr/>
        <w:t>11.</w:t>
        <w:tab/>
        <w:t>Укрепване на екологичните стандарти и прилагане на разпоредбите относно износа на отпадъци в ЕС и в трети държави (панел 4 — Препоръка 15, НПЗ).</w:t>
      </w:r>
    </w:p>
    <w:p>
      <w:pPr>
        <w:pStyle w:val="Puce3"/>
        <w:tabs>
          <w:tab w:val="clear" w:pos="720"/>
        </w:tabs>
        <w:rPr/>
      </w:pPr>
      <w:r>
        <w:rPr/>
        <w:t>12.</w:t>
        <w:tab/>
        <w:t>Въвеждане на мерки за ограничаване на рекламата на вредни за околната среда продукти чрез въвеждане на задължителна декларация за отказ от отговорност за продукти, които са особено вредни за околната среда (панел 3 — Препоръка 22).</w:t>
      </w:r>
    </w:p>
    <w:p>
      <w:pPr>
        <w:pStyle w:val="Puce3"/>
        <w:tabs>
          <w:tab w:val="clear" w:pos="720"/>
        </w:tabs>
        <w:rPr/>
      </w:pPr>
      <w:r>
        <w:rPr/>
        <w:t>13.</w:t>
        <w:tab/>
        <w:t>Прилагане на по-строги производствени стандарти и справедливи условия на труд по цялата верига на производство и създаване на стойност (панел 3 — Препоръка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47" w:name="__RefHeading___Toc298268_1346298689"/>
      <w:bookmarkEnd w:id="47"/>
      <w:r>
        <w:rPr/>
        <w:t>6. Предложение: Информация, осведоменост, диалог и начин на живот</w:t>
      </w:r>
    </w:p>
    <w:p>
      <w:pPr>
        <w:pStyle w:val="P68B1DB1Normal15"/>
        <w:rPr>
          <w:b/>
          <w:b/>
        </w:rPr>
      </w:pPr>
      <w:r>
        <w:rPr/>
        <w:t>Цел: Насърчаване на знанията, осведомеността, образованието и диалога относно околната среда, изменението на климата, използването на енергия и устойчивостта.</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8" w:name="__RefHeading___Toc298270_1346298689"/>
      <w:bookmarkEnd w:id="48"/>
      <w:r>
        <w:rPr/>
        <w:t>Мерки:</w:t>
      </w:r>
    </w:p>
    <w:p>
      <w:pPr>
        <w:pStyle w:val="Puce3"/>
        <w:tabs>
          <w:tab w:val="clear" w:pos="720"/>
        </w:tabs>
        <w:rPr/>
      </w:pPr>
      <w:r>
        <w:rPr/>
        <w:t>1.</w:t>
        <w:tab/>
        <w:t>Създаване на интерактивна платформа, чиито факти са проверени, за да се предоставя разнообразна и редовно актуализирана научна информация в областта на околната среда (панел 3 — препоръка 33).</w:t>
      </w:r>
    </w:p>
    <w:p>
      <w:pPr>
        <w:pStyle w:val="Puce3"/>
        <w:tabs>
          <w:tab w:val="clear" w:pos="720"/>
        </w:tabs>
        <w:rPr/>
      </w:pPr>
      <w:r>
        <w:rPr/>
        <w:t>2.</w:t>
        <w:tab/>
        <w:t>Подкрепа за кампании за екологична осведоменост, включително дългосрочна европейска кампания за устойчиво потребление и начин на живот (препоръки DE, NL и FR, панел 3 — Препоръка 7).</w:t>
      </w:r>
    </w:p>
    <w:p>
      <w:pPr>
        <w:pStyle w:val="Puce3"/>
        <w:tabs>
          <w:tab w:val="clear" w:pos="720"/>
        </w:tabs>
        <w:rPr/>
      </w:pPr>
      <w:r>
        <w:rPr/>
        <w:t>3.</w:t>
        <w:tab/>
        <w:t>Насърчаване и улесняване на диалога и консултациите между всички равнища на вземане на решения, по-специално с младите хора и на местно равнище (Препоръки на Германия, Нидерландия и Франция, група 3 — Препоръки 27 и 35, пленарни разисквания).</w:t>
      </w:r>
    </w:p>
    <w:p>
      <w:pPr>
        <w:pStyle w:val="Puce3"/>
        <w:tabs>
          <w:tab w:val="clear" w:pos="720"/>
        </w:tabs>
        <w:rPr/>
      </w:pPr>
      <w:r>
        <w:rPr/>
        <w:t>4.</w:t>
        <w:tab/>
        <w:t>Определяне от Съюза, със съдействието на държавите членки, на обща европейска харта, насочена към въпросите, свързани с околната среда, и насърчаване на осведомеността за околната среда сред всички граждани (панел 3 — препоръка 7).</w:t>
      </w:r>
    </w:p>
    <w:p>
      <w:pPr>
        <w:pStyle w:val="Puce3"/>
        <w:tabs>
          <w:tab w:val="clear" w:pos="720"/>
        </w:tabs>
        <w:rPr/>
      </w:pPr>
      <w:r>
        <w:rPr/>
        <w:t>5.</w:t>
        <w:tab/>
        <w:t>Предоставяне на курсове за обучение и учебни материали за всички с цел подобряване на познанията за климата и устойчивостта и осигуряване на възможност за учене през целия живот по въпроси, свързани с околната среда (панел 1 — препоръки 15 и 35, група 3 — препоръка 24, дебат на работната група).</w:t>
      </w:r>
    </w:p>
    <w:p>
      <w:pPr>
        <w:pStyle w:val="Puce3"/>
        <w:tabs>
          <w:tab w:val="clear" w:pos="720"/>
        </w:tabs>
        <w:rPr/>
      </w:pPr>
      <w:r>
        <w:rPr/>
        <w:t>6.</w:t>
        <w:tab/>
        <w:t>Интегриране на производството на храни и опазването на биологичното разнообразие в образователната система, включително ползите от непреработените храни пред преработените храни, и насърчаване на създаването на училищни градини и безвъзмездни средства за проекти за градско градинарство и вертикално земеделие (панел 3 — препоръка 5, панел 1 — препоръка 18). Да обмислят превръщането на биологичното разнообразие в задължителна тема в училищата и повишаването на обществената осведоменост относно биологичното разнообразие чрез медийни кампании и „конкуренции“, популяризирани в целия ЕС (конкурси на местно правителство) (панел 3 — препоръка 5, панел 1 — препоръка 18).</w:t>
      </w:r>
    </w:p>
    <w:p>
      <w:pPr>
        <w:pStyle w:val="Puce3"/>
        <w:tabs>
          <w:tab w:val="clear" w:pos="720"/>
        </w:tabs>
        <w:rPr/>
      </w:pPr>
      <w:r>
        <w:rPr/>
        <w:t>7.</w:t>
        <w:tab/>
        <w:t>Засилване на ролята и действията на Съюза в областта на околната среда и образованието чрез разширяване на компетенциите на Съюза в областта на образованието в областта на изменението на климата и околната среда и чрез разширяване на процеса на вземане на решения с квалифицирано мнозинство до теми, определени като „европейски интерес“, като например околната среда (препоръките на Нидерландия и Франция).</w:t>
      </w:r>
    </w:p>
    <w:p>
      <w:pPr>
        <w:pStyle w:val="Puce3"/>
        <w:tabs>
          <w:tab w:val="clear" w:pos="720"/>
        </w:tabs>
        <w:rPr/>
      </w:pPr>
      <w:r>
        <w:rPr/>
        <w:t>8.</w:t>
        <w:tab/>
        <w:t>Насърчаване на растителна диета по причини, свързани с опазването на климата и опазването на околната среда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Снимка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Снимка 22" descr=""/>
                    <pic:cNvPicPr>
                      <a:picLocks noChangeAspect="1" noChangeArrowheads="1"/>
                    </pic:cNvPicPr>
                  </pic:nvPicPr>
                  <pic:blipFill>
                    <a:blip r:embed="rId74"/>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49" w:name="__RefHeading___Toc298272_1346298689"/>
      <w:bookmarkEnd w:id="49"/>
      <w:r>
        <w:rPr/>
        <w:t>„</w:t>
      </w:r>
      <w:r>
        <w:rPr/>
        <w:t>Здраве“</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50" w:name="__RefHeading___Toc298274_1346298689"/>
      <w:bookmarkEnd w:id="50"/>
      <w:r>
        <w:rPr/>
        <w:t xml:space="preserve">7.Предложение: Здравословна диета и здравословен начин на живот </w:t>
      </w:r>
    </w:p>
    <w:p>
      <w:pPr>
        <w:pStyle w:val="P68B1DB1Normal15"/>
        <w:rPr>
          <w:b/>
          <w:b/>
        </w:rPr>
      </w:pPr>
      <w:r>
        <w:rPr/>
        <w:t>Цел: Да гарантират, че всички европейци имат достъп до образование за здравословно хранене и достъп до здравословна храна на достъпни цени като основа за здравословен начин на живот, по-специално чрез следните мерки:</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t>Мерки</w:t>
      </w:r>
      <w:r>
        <w:rPr>
          <w:rStyle w:val="Ancredenotedefin"/>
          <w:rStyle w:val="Ancredenotedefin"/>
        </w:rPr>
        <w:endnoteReference w:id="2"/>
      </w:r>
      <w:r>
        <w:rPr/>
        <w:t>:</w:t>
      </w:r>
    </w:p>
    <w:p>
      <w:pPr>
        <w:pStyle w:val="Puce3"/>
        <w:tabs>
          <w:tab w:val="clear" w:pos="720"/>
        </w:tabs>
        <w:rPr/>
      </w:pPr>
      <w:r>
        <w:rPr/>
        <w:t>1.</w:t>
        <w:tab/>
        <w:t>Установяване на минимални стандарти за качество и проследимост на храните, по-специално чрез ограничаване на употребата на антибиотици и други ветеринарномедицински продукти до строго необходимото за защита на здравето и хуманното отношение към животните, вместо да се използват по превантивен начин, и да се гарантира засилването на контрола в това отношение. [#23, #17]</w:t>
      </w:r>
    </w:p>
    <w:p>
      <w:pPr>
        <w:pStyle w:val="Puce3"/>
        <w:tabs>
          <w:tab w:val="clear" w:pos="720"/>
        </w:tabs>
        <w:rPr/>
      </w:pPr>
      <w:r>
        <w:rPr/>
        <w:t>2.</w:t>
        <w:tab/>
        <w:t>Да образоват гражданите относно здравословните навици, които да възприемат от ранна възраст, и да ги насърчават да правят безопасен и здравословен избор, като облагат с данък преработените храни, които не са, и правят здравната информация за храните лесно достъпна; за тази цел да се създаде общоевропейска система за оценка на преработените храни въз основа на научен и независим експертен опит, както и етикет за употребата на хормонални вещества и ендокринни нарушители в производството на храни, и във връзка с това да се засили наблюдението и прилагането на съществуващите правила и да се обмисли тяхното укрепване. [#18, #19, GT]</w:t>
      </w:r>
    </w:p>
    <w:p>
      <w:pPr>
        <w:pStyle w:val="Puce3"/>
        <w:tabs>
          <w:tab w:val="clear" w:pos="720"/>
        </w:tabs>
        <w:rPr/>
      </w:pPr>
      <w:r>
        <w:rPr/>
        <w:t>3.</w:t>
        <w:tab/>
        <w:t>Насърчаване на диалога с участниците в хранителната верига — от производството до продажбата, като част от корпоративната социална отговорност за здравословните храни. [#19, GT]</w:t>
      </w:r>
    </w:p>
    <w:p>
      <w:pPr>
        <w:pStyle w:val="Puce3"/>
        <w:tabs>
          <w:tab w:val="clear" w:pos="720"/>
        </w:tabs>
        <w:rPr/>
      </w:pPr>
      <w:r>
        <w:rPr/>
        <w:t>4.</w:t>
        <w:tab/>
        <w:t>Подкрепа на равнището на Съюза за осигуряването на здравословна, разнообразна и достъпна храна в заведенията за обществени услуги, като например училищни столове, болници или здравни заведения, включително чрез специално финансиране. [# 3, пленарно заседание, WG]</w:t>
      </w:r>
    </w:p>
    <w:p>
      <w:pPr>
        <w:pStyle w:val="Puce3"/>
        <w:tabs>
          <w:tab w:val="clear" w:pos="720"/>
        </w:tabs>
        <w:rPr/>
      </w:pPr>
      <w:r>
        <w:rPr/>
        <w:t>5.</w:t>
        <w:tab/>
        <w:t>Инвестирайте в научни изследвания относно последиците от употребата на антибиотици и въздействието на хормоналните вещества и ендокринните нарушители върху човешкото здраве. [#17, #18]</w:t>
      </w:r>
      <w:r>
        <w:rPr>
          <w:rStyle w:val="Ancredenotedefin"/>
          <w:rStyle w:val="Ancredenotedefin"/>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2" w:name="__RefHeading___Toc298278_1346298689"/>
      <w:bookmarkEnd w:id="52"/>
      <w:r>
        <w:rPr/>
        <w:t>8. Предложение: Укрепване на системата на здравеопазването</w:t>
      </w:r>
    </w:p>
    <w:p>
      <w:pPr>
        <w:pStyle w:val="P68B1DB1Normal15"/>
        <w:rPr>
          <w:b/>
          <w:b/>
        </w:rPr>
      </w:pPr>
      <w:r>
        <w:rPr/>
        <w:t>Цел: Укрепване на устойчивостта и качеството на нашите здравни системи, включително чрез:</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t>Мерки</w:t>
      </w:r>
      <w:r>
        <w:rPr>
          <w:rStyle w:val="Ancredenotedefin"/>
          <w:rStyle w:val="Ancredenotedefin"/>
        </w:rPr>
        <w:endnoteReference w:id="4"/>
      </w:r>
      <w:r>
        <w:rPr/>
        <w:t>:</w:t>
      </w:r>
    </w:p>
    <w:p>
      <w:pPr>
        <w:pStyle w:val="Puce3"/>
        <w:tabs>
          <w:tab w:val="clear" w:pos="720"/>
        </w:tabs>
        <w:rPr/>
      </w:pPr>
      <w:r>
        <w:rPr/>
        <w:t>1.</w:t>
        <w:tab/>
        <w:t>Създаването на европейско пространство за здравни данни, което би улеснило обмена на здравни данни; индивидуалните медицински досиета биха могли да се предоставят на доброволен принцип, като се използва индивидуален електронен здравен паспорт на ЕС в съответствие с правилата за защита на данните. [#41, GT]</w:t>
      </w:r>
    </w:p>
    <w:p>
      <w:pPr>
        <w:pStyle w:val="Puce3"/>
        <w:tabs>
          <w:tab w:val="clear" w:pos="720"/>
        </w:tabs>
        <w:rPr/>
      </w:pPr>
      <w:r>
        <w:rPr/>
        <w:t>2.</w:t>
        <w:tab/>
        <w:t>Подходящи условия на труд, по-специално чрез силен социален диалог, включително заплати и схеми на работа, и хармонизиране на стандартите за обучение и сертифициране за здравните специалисти; следва да се разработят програми за работа в мрежа и обмен, като например програма „Еразъм“ за медицински училища, която би допринесла значително за развитието на уменията. За да се запазят талантите в Европа и да се даде възможност на младите специалисти да разширят знанията си и да придобият професионален опит, следва да се въведат програми на ЕС за обмен, за да се гарантира, че нашите най-добри мозъци в областта на науките за живота не са привлечени от трети държави. [#39, GT]</w:t>
      </w:r>
    </w:p>
    <w:p>
      <w:pPr>
        <w:pStyle w:val="Puce3"/>
        <w:tabs>
          <w:tab w:val="clear" w:pos="720"/>
        </w:tabs>
        <w:rPr/>
      </w:pPr>
      <w:r>
        <w:rPr/>
        <w:t>3.</w:t>
        <w:tab/>
        <w:t>Гарантиране на стратегическа автономност на равнището на Съюза, за да се избегне зависимостта от трети държави [</w:t>
      </w:r>
      <w:r>
        <w:rPr>
          <w:rStyle w:val="Ancredenotedefin"/>
          <w:rStyle w:val="Ancredenotedefin"/>
        </w:rPr>
        <w:endnoteReference w:id="5"/>
      </w:r>
      <w:r>
        <w:rPr/>
        <w:t>NL2] за лекарствени продукти (по-специално активни съставки) и медицински изделия (включително суровини); по-специално, на равнището на Съюза следва да бъде изготвен списък на основни и приоритетни лекарства и лечения, както и на иновативни лекарства и лечения (като биотехнологични решения), въз основа на съществуващите европейски агенции и HERA, за да се гарантира тяхната достъпност за гражданите. Да обмисли организирането на координирано стратегическо съхранение в целия Съюз. За да се постигнат необходимите координирани и дългосрочни действия на равнището на Съюза, да включат здравеопазването и здравеопазването сред областите на компетентност, споделяни между Съюза и неговите държави членки, чрез изменение на член 4 от ДФЕС. [#40, #49, пленарна зала, работна група]</w:t>
      </w:r>
    </w:p>
    <w:p>
      <w:pPr>
        <w:pStyle w:val="Puce3"/>
        <w:tabs>
          <w:tab w:val="clear" w:pos="720"/>
        </w:tabs>
        <w:rPr/>
      </w:pPr>
      <w:r>
        <w:rPr/>
        <w:t>4.</w:t>
        <w:tab/>
        <w:t>Продължаване на разработването, координацията и финансирането на съществуващите програми за научни изследвания и иновации в областта на здравеопазването, без да се излагат на риск други програми, свързани със здравето, по-специално за европейските референтни мрежи, тъй като те формират основата за развитието на мрежи за здравни грижи за високоспециализирано и сложно лечение. [#42, #43, GT]</w:t>
      </w:r>
    </w:p>
    <w:p>
      <w:pPr>
        <w:pStyle w:val="Puce3"/>
        <w:tabs>
          <w:tab w:val="clear" w:pos="720"/>
        </w:tabs>
        <w:rPr/>
      </w:pPr>
      <w:r>
        <w:rPr/>
        <w:t>5.</w:t>
        <w:tab/>
        <w:t>Да инвестира в здравните системи, по-специално в публичната сфера и в сферата на инфраструктурата и цифровото здравеопазване с нестопанска цел, и да гарантира, че доставчиците на здравно обслужване спазват принципите на пълна достъпност, финансова достъпност и качество на услугите, като по този начин се гарантира, че ресурсите не се изтощават от здравни специалисти, които не са загрижени за обществения интерес или не са загрижени за тях. [#51, GT]</w:t>
      </w:r>
    </w:p>
    <w:p>
      <w:pPr>
        <w:pStyle w:val="Puce3"/>
        <w:tabs>
          <w:tab w:val="clear" w:pos="720"/>
        </w:tabs>
        <w:rPr/>
      </w:pPr>
      <w:r>
        <w:rPr/>
        <w:t>6.</w:t>
        <w:tab/>
        <w:t>Да отправят категорични препоръки към държавите членки да инвестират в ефикасни, достъпни, на приемлива цена, качествени и устойчиви системи на здравеопазване, включително в контекста на европейския семестър. Въздействието на войната в Украйна върху общественото здраве показва необходимостта от по-нататъшно развитие на устойчиви здравни системи и механизми за солидарност.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54" w:name="__RefHeading___Toc298282_1346298689"/>
      <w:bookmarkEnd w:id="54"/>
      <w:r>
        <w:rPr/>
        <w:t>9. Предложение: По-широк възглед за здравето</w:t>
      </w:r>
    </w:p>
    <w:p>
      <w:pPr>
        <w:pStyle w:val="P68B1DB1Normal15"/>
        <w:rPr>
          <w:b/>
          <w:b/>
        </w:rPr>
      </w:pPr>
      <w:r>
        <w:rPr/>
        <w:t>Цел: Да приеме цялостен подход към здравето чрез разглеждане, в допълнение към болестите и леченията, на здравната култура и профилактика и чрез насърчаване на общо разбиране на проблемите, пред които са изправени болните или хората с увреждания, в съответствие с подхода „Едно здраве“, който следва да бъде подчертан като хоризонтален и основен принцип, обхващащ всички политики на Съюза.</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t>Мерки</w:t>
      </w:r>
      <w:r>
        <w:rPr>
          <w:rStyle w:val="Ancredenotedefin"/>
          <w:rStyle w:val="Ancredenotedefin"/>
        </w:rPr>
        <w:endnoteReference w:id="6"/>
      </w:r>
      <w:r>
        <w:rPr/>
        <w:t>:</w:t>
      </w:r>
    </w:p>
    <w:p>
      <w:pPr>
        <w:pStyle w:val="Puce3"/>
        <w:tabs>
          <w:tab w:val="clear" w:pos="720"/>
        </w:tabs>
        <w:rPr/>
      </w:pPr>
      <w:r>
        <w:rPr/>
        <w:t>1.</w:t>
        <w:tab/>
        <w:t>Подобряване на разбирането на проблемите, свързани с психичното здраве, и начините за справяне с тях, включително ранно детство и ранна диагностика, въз основа на добрите практики, установени в целия Съюз, които следва да бъдат лесно достъпни чрез портала за добри практики в областта на общественото здраве. С цел повишаване на осведомеността институциите на Съюза и съответните заинтересовани страни следва да организират прояви за обмен на най-добри практики и да помагат на своите членове да ги разпространяват в собствения си избирателен район. Следва да се разработи план за действие на ЕС в областта на психичното здраве, който да осигури дългосрочна стратегия за психичното здраве, включително научни изследвания, както и да се обърне внимание на наличието на специалисти, включително за малолетните и непълнолетните лица, както и на създаването на Европейска година на психичното здраве в близко бъдеще.</w:t>
      </w:r>
    </w:p>
    <w:p>
      <w:pPr>
        <w:pStyle w:val="Puce3"/>
        <w:tabs>
          <w:tab w:val="clear" w:pos="720"/>
        </w:tabs>
        <w:rPr/>
      </w:pPr>
      <w:r>
        <w:rPr/>
        <w:t>2.</w:t>
        <w:tab/>
        <w:t>Разработване на равнище ЕС на стандартна образователна програма за здравословен начин на живот, която обхваща и сексуалното образование. Програмата следва също така да включва действия, насочени както към здравословен начин на живот, така и към опазване на околната среда, както и към начините, по които те могат да помогнат за предотвратяването на много заболявания, като например колоезденето като здравословно средство за ежедневно пътуване. Тя ще бъде достъпна безплатно за държавите членки и училищата, които биха могли, когато е целесъобразно, да я използват в своите програми. Подобна програма ще обърне внимание на стереотипите за хора, които са болни или инвалиди. [#46, GT]</w:t>
      </w:r>
    </w:p>
    <w:p>
      <w:pPr>
        <w:pStyle w:val="Puce3"/>
        <w:tabs>
          <w:tab w:val="clear" w:pos="720"/>
        </w:tabs>
        <w:rPr/>
      </w:pPr>
      <w:r>
        <w:rPr/>
        <w:t>3.</w:t>
        <w:tab/>
        <w:t>Разработване на практическо обучение за първа помощ, което ще се предлага безплатно на всички граждани, и разглеждане на възможността за редовни курсове като обичайна практика за студентите, както и на работното място. Минималният брой дефибрилатори следва да бъде на разположение и на обществени места във всички държави членки. [#50]</w:t>
      </w:r>
    </w:p>
    <w:p>
      <w:pPr>
        <w:pStyle w:val="Puce3"/>
        <w:tabs>
          <w:tab w:val="clear" w:pos="720"/>
        </w:tabs>
        <w:rPr/>
      </w:pPr>
      <w:r>
        <w:rPr/>
        <w:t>4.</w:t>
        <w:tab/>
        <w:t>Разширяване на инициативата „Седмица на здравето“, която ще се проведе в целия Съюз през същата седмица и по време на която следва да бъдат разгледани и обсъдени всички здравни въпроси. Също така помислете за инициативи на Годината на здравето, като се започне с Годината на психичното здраве. [#44, GT]</w:t>
      </w:r>
    </w:p>
    <w:p>
      <w:pPr>
        <w:pStyle w:val="Puce3"/>
        <w:tabs>
          <w:tab w:val="clear" w:pos="720"/>
        </w:tabs>
        <w:rPr/>
      </w:pPr>
      <w:r>
        <w:rPr/>
        <w:t>5.</w:t>
        <w:tab/>
        <w:t>Признаване като редовно медицинско лечение за данъчно облагане на хормонални контрацептивни продукти, използвани по медицински причини, например в случаи на фибромиалгия и ендометриоза, както и женски хигиенни продукти. Осигуряване на достъп до репродуктивно лечение за всички хора с проблеми с плодовитостта.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6" w:name="__RefHeading___Toc298286_1346298689"/>
      <w:bookmarkEnd w:id="56"/>
      <w:r>
        <w:rPr/>
        <w:t>10. Предложение: Равен достъп до здравеопазване за всички</w:t>
      </w:r>
    </w:p>
    <w:p>
      <w:pPr>
        <w:pStyle w:val="Normal"/>
        <w:rPr/>
      </w:pPr>
      <w:r>
        <w:rPr/>
        <w:t>Цел: Установяване на „право на здраве“, като се гарантира на всички европейци равен и всеобщ достъп до финансово достъпни, превантивни, лечебни и качествени здравни грижи.</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7"/>
      </w:r>
      <w:r>
        <w:rPr/>
        <w:t>:</w:t>
      </w:r>
    </w:p>
    <w:p>
      <w:pPr>
        <w:pStyle w:val="Puce3"/>
        <w:tabs>
          <w:tab w:val="clear" w:pos="720"/>
        </w:tabs>
        <w:rPr/>
      </w:pPr>
      <w:r>
        <w:rPr/>
        <w:t>1.</w:t>
        <w:tab/>
        <w:t>Установяване на общи минимални здравни стандарти на равнището на Съюза, които обхващат също превенцията и достъпността на грижите, както и близостта до грижи, и предоставят подкрепа за установяването на такива стандарти. [#39, GT]</w:t>
      </w:r>
    </w:p>
    <w:p>
      <w:pPr>
        <w:pStyle w:val="Puce3"/>
        <w:tabs>
          <w:tab w:val="clear" w:pos="720"/>
        </w:tabs>
        <w:rPr/>
      </w:pPr>
      <w:r>
        <w:rPr/>
        <w:t>2.</w:t>
        <w:tab/>
        <w:t>Да признаят необходимостта от пълно отчитане на принципа на субсидиарност и ключовата роля на местните, регионалните и националните участници в областта на здравеопазването [NL3], за да се гарантира, че могат да се предприемат действия на равнището на Съюза, когато се работи по-добре с правото на здравеопазване. Да се даде възможност за по-бързо и по-твърдо вземане на решения по ключови въпроси и да се подобри ефективността на европейското управление за развитието на Европейския здравен съюз (напр. пандемия или редки заболявания). [#49, FRsouhait11, цифрова платформа]</w:t>
      </w:r>
    </w:p>
    <w:p>
      <w:pPr>
        <w:pStyle w:val="Puce3"/>
        <w:tabs>
          <w:tab w:val="clear" w:pos="720"/>
        </w:tabs>
        <w:rPr/>
      </w:pPr>
      <w:r>
        <w:rPr/>
        <w:t>3.</w:t>
        <w:tab/>
        <w:t>Укрепване на Европейския здравен съюз чрез използване на пълния потенциал на настоящата рамка и включване на здравеопазването и здравеопазването сред областите на компетентност, споделяни между Съюза и неговите държави членки, чрез изменение на член 4 от ДФЕС. [#49, FRsouhait11, цифрова платформа, GT]</w:t>
      </w:r>
      <w:r>
        <w:rPr>
          <w:rStyle w:val="Ancredenotedefin"/>
          <w:rStyle w:val="Ancredenotedefin"/>
        </w:rPr>
        <w:endnoteReference w:id="8"/>
      </w:r>
      <w:r>
        <w:rPr/>
        <w:t>.</w:t>
      </w:r>
    </w:p>
    <w:p>
      <w:pPr>
        <w:pStyle w:val="Puce3"/>
        <w:tabs>
          <w:tab w:val="clear" w:pos="720"/>
        </w:tabs>
        <w:rPr/>
      </w:pPr>
      <w:r>
        <w:rPr/>
        <w:t>4.</w:t>
        <w:tab/>
        <w:t>Да гарантира, че всеки има достъп до съществуващо лечение в първата държава от ЕС, в която е на разположение; за тази цел да се подобри трансграничното сътрудничество, по-специално в областта на редките заболявания, рака, сърдечно-съдовите заболявания и високоспециализираното лечение, като например трансплантациите на органи и лечението на тежки изгаряния. Следва да се създаде европейска мрежа за трансплантация и донорство на органи за всички европейски пациенти, нуждаещи се от трансплантация. [пленарни и GT]</w:t>
      </w:r>
    </w:p>
    <w:p>
      <w:pPr>
        <w:pStyle w:val="Puce3"/>
        <w:tabs>
          <w:tab w:val="clear" w:pos="720"/>
        </w:tabs>
        <w:rPr/>
      </w:pPr>
      <w:r>
        <w:rPr/>
        <w:t>5.</w:t>
        <w:tab/>
        <w:t>Гарантиране на финансово достъпни грижи чрез по-големи инвестиции в здравеопазването, по-специално в стоматологични грижи, включително профилактика, и гарантиране, че в рамките на 15—20 години достъпните стоматологични грижи са достъпни за всички. [#48, GT]</w:t>
      </w:r>
    </w:p>
    <w:p>
      <w:pPr>
        <w:pStyle w:val="Puce3"/>
        <w:tabs>
          <w:tab w:val="clear" w:pos="720"/>
        </w:tabs>
        <w:rPr/>
      </w:pPr>
      <w:r>
        <w:rPr/>
        <w:t>6.</w:t>
        <w:tab/>
        <w:t>Да гарантира, че леченията и лекарствата в целия Съюз са с еднакво качество и имат справедливи местни разходи, включително чрез преодоляване на настоящата разпокъсаност на вътрешния пазар. [#40, NL3, работна група, пленарно заседание]</w:t>
      </w:r>
    </w:p>
    <w:p>
      <w:pPr>
        <w:pStyle w:val="Puce3"/>
        <w:tabs>
          <w:tab w:val="clear" w:pos="720"/>
        </w:tabs>
        <w:rPr/>
      </w:pPr>
      <w:r>
        <w:rPr/>
        <w:t>7.</w:t>
        <w:tab/>
        <w:t>Борба със здравната несигурност чрез насърчаване на предоставянето на безплатни стоматологични грижи за децата, групите с ниски доходи и други уязвими групи, като например хората с увреждания. Проучете и последиците за здравето от лошото жилищно настаняване. [#48, GT]</w:t>
      </w:r>
    </w:p>
    <w:p>
      <w:pPr>
        <w:pStyle w:val="Puce3"/>
        <w:tabs>
          <w:tab w:val="clear" w:pos="720"/>
        </w:tabs>
        <w:rPr/>
      </w:pPr>
      <w:r>
        <w:rPr/>
        <w:t>8.</w:t>
        <w:tab/>
        <w:t>Да се вземе предвид международното измерение на здравеопазването и да се признае, че лекарствата следва да бъдат универсално достъпни, включително в най-бедните страни.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Снимка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Снимка 23"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57" w:name="__RefHeading___Toc298288_1346298689"/>
      <w:bookmarkEnd w:id="57"/>
      <w:r>
        <w:rPr/>
        <w:t>По-силна икономика, социална справедливост и заетост</w:t>
      </w:r>
    </w:p>
    <w:p>
      <w:pPr>
        <w:pStyle w:val="P68B1DB1Normal15"/>
        <w:rPr>
          <w:b/>
          <w:b/>
        </w:rPr>
      </w:pPr>
      <w:r>
        <w:rPr/>
        <w:t>Въведение</w:t>
      </w:r>
    </w:p>
    <w:p>
      <w:pPr>
        <w:pStyle w:val="Normal"/>
        <w:rPr/>
      </w:pPr>
      <w:r>
        <w:rPr/>
        <w:t>Живеем при изключителни обстоятелства и Европейският съюз ще бъде оценяван по усилията му да излезе по-силен от настоящите кризи с по-устойчив, приобщаващ, конкурентоспособен и устойчив модел на растеж. Нахлуването на Русия в Украйна и пандемията от COVID-19 промениха лицето на ЕС. Конференцията ще трябва също така да разгледа социалните и икономическите последици от тази война в и без това много труден контекст след пандемията. В същото време изменението на климата все още представлява заплаха за човечеството и ще има драматично въздействие върху икономиката и нашите общества. От получените препоръки става ясно, че гражданите призовават за по-решителни действия на ЕС. Нерешените транснационални предизвикателства, като неравенството, конкурентоспособността, здравеопазването, изменението на климата, миграцията, цифровизацията или справедливото данъчно облагане, изискват подходящи европейски решения. От препоръките и дискусиите става ясно също, че се нуждаем от всеобхватна стратегия, за да осигурим по-голямо благосъстояние на европейските граждани в различни аспекти на техния живот. Някои елементи на тази стратегия са включени в съществуващите политики и могат да бъдат постигнати чрез пълноценно използване на съществуващата институционална рамка на европейско и национално равнище; други ще изискват нови политики, а в някои случаи и промени в договорите. Новите политики и промените в договорите обаче следва да се разглеждат като средство за подобряване на благосъстоянието, а не като цел сами по себе си. Възможно е и необходимо е Съюзът да бъде предефиниран, така че да се гарантира неговата стратегическа автономност, неговият устойчив растеж, подобряването на условията на живот и труд и човешкият напредък, без да се изчерпват или унищожават ресурсите на нашата планета, в рамките на подновен социален договор. Тези препоръки имат за цел постигането на тези цели. Предложенията по-долу следва да се четат, като се има предвид, че гражданите в цяла Европа са отправили различни виждания и препоръки. Това разнообразие от гледни точки е едно от несравнимите активи на Европа.</w:t>
      </w:r>
    </w:p>
    <w:p>
      <w:pPr>
        <w:pStyle w:val="Normal"/>
        <w:rPr/>
      </w:pPr>
      <w:r>
        <w:rPr/>
      </w:r>
      <w:r>
        <w:br w:type="page"/>
      </w:r>
    </w:p>
    <w:p>
      <w:pPr>
        <w:pStyle w:val="Titre3"/>
        <w:numPr>
          <w:ilvl w:val="2"/>
          <w:numId w:val="2"/>
        </w:numPr>
        <w:rPr/>
      </w:pPr>
      <w:bookmarkStart w:id="58" w:name="__RefHeading___Toc298290_1346298689"/>
      <w:bookmarkEnd w:id="58"/>
      <w:r>
        <w:rPr/>
        <w:t>11. Предложение: Устойчив растеж и иновации</w:t>
      </w:r>
    </w:p>
    <w:p>
      <w:pPr>
        <w:pStyle w:val="P68B1DB1Normal15"/>
        <w:rPr>
          <w:b/>
          <w:b/>
        </w:rPr>
      </w:pPr>
      <w:r>
        <w:rPr/>
        <w:t>Цел: Предлагаме ЕС да подкрепи прехода към устойчив и устойчив модел на растеж, като се вземат предвид екологичният и цифровият преход със силно социално измерение в европейския семестър и се предоставят възможности на гражданите, профсъюзите и предприятията. Конвенционалните макроикономически показатели и БВП биха могли да бъдат допълнени от нови показатели, които да отговорят на новите европейски приоритети, като например Европейския зелен пакт или Европейския стълб на социалните права, и да отразяват по-добре екологичния и цифровия преход и благосъстоянието на хората. Това би могло да се постигне чрез следните мерки:</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9"/>
      </w:r>
      <w:r>
        <w:rPr/>
        <w:t>:</w:t>
      </w:r>
    </w:p>
    <w:p>
      <w:pPr>
        <w:pStyle w:val="Puce3"/>
        <w:rPr/>
      </w:pPr>
      <w:r>
        <w:rPr/>
        <w:t>1.</w:t>
        <w:tab/>
        <w:t>Насърчаване на по-екологични производствени процеси от страна на дружествата, подпомагане на дружествата да намерят най-добрите решения и предоставяне на положителни и отрицателни стимули. (PCE 11 и 12) и увеличаване на местното производство и потребление (обсъждания).</w:t>
      </w:r>
    </w:p>
    <w:p>
      <w:pPr>
        <w:pStyle w:val="Puce3"/>
        <w:tabs>
          <w:tab w:val="clear" w:pos="720"/>
        </w:tabs>
        <w:rPr/>
      </w:pPr>
      <w:r>
        <w:rPr/>
        <w:t>2.</w:t>
        <w:tab/>
        <w:t>Работа за по-устойчива и кръгова икономика чрез решаване на проблема с планираното остаряване и гарантиране на правото на обезщетение (PCE 14).</w:t>
      </w:r>
    </w:p>
    <w:p>
      <w:pPr>
        <w:pStyle w:val="Puce3"/>
        <w:tabs>
          <w:tab w:val="clear" w:pos="720"/>
        </w:tabs>
        <w:rPr/>
      </w:pPr>
      <w:r>
        <w:rPr/>
        <w:t>3.</w:t>
        <w:tab/>
        <w:t>Да разгледа икономическото управление на Съюза и европейския семестър, за да гарантира, че екологичният и цифровият преход, социалната справедливост и социалният напредък вървят ръка за ръка с икономическата конкурентоспособност, без да се пренебрегва икономическият и бюджетният характер на европейския семестър. Освен това е необходимо социалните партньори и местните и регионалните власти да бъдат включени в по-голяма степен в изпълнението на европейския семестър, за да се подобри неговото прилагане и отчетност (електронна платформа, дискусии).</w:t>
      </w:r>
    </w:p>
    <w:p>
      <w:pPr>
        <w:pStyle w:val="Puce3"/>
        <w:tabs>
          <w:tab w:val="clear" w:pos="720"/>
        </w:tabs>
        <w:rPr/>
      </w:pPr>
      <w:r>
        <w:rPr/>
        <w:t>4.</w:t>
        <w:tab/>
        <w:t>Борба с използването на пластмасови опаковки/контейнери за еднократна употреба (PCE 12).</w:t>
      </w:r>
    </w:p>
    <w:p>
      <w:pPr>
        <w:pStyle w:val="Puce3"/>
        <w:tabs>
          <w:tab w:val="clear" w:pos="720"/>
        </w:tabs>
        <w:rPr/>
      </w:pPr>
      <w:r>
        <w:rPr/>
        <w:t>5.</w:t>
        <w:tab/>
        <w:t>Разширяване на използването на европейските технологии и превръщането им в жизнеспособна алтернатива на чуждестранните технологии (обсъждания).</w:t>
      </w:r>
    </w:p>
    <w:p>
      <w:pPr>
        <w:pStyle w:val="Puce3"/>
        <w:tabs>
          <w:tab w:val="clear" w:pos="720"/>
        </w:tabs>
        <w:rPr/>
      </w:pPr>
      <w:r>
        <w:rPr/>
        <w:t>6.</w:t>
        <w:tab/>
        <w:t>Насърчаване на научните изследвания в областта на новите материали и технологии, както и на иновативното използване на съществуващите материали, като същевременно се избягва дублирането на научноизследователски усилия (PCE 9, NL 1).</w:t>
      </w:r>
    </w:p>
    <w:p>
      <w:pPr>
        <w:pStyle w:val="Puce3"/>
        <w:tabs>
          <w:tab w:val="clear" w:pos="720"/>
        </w:tabs>
        <w:rPr/>
      </w:pPr>
      <w:r>
        <w:rPr/>
        <w:t>7.</w:t>
        <w:tab/>
        <w:t>Разглеждане на устойчивостта, финансовата достъпност и достъпността на енергията, като се вземат предвид енергийната бедност и зависимостта от трети държави, чрез увеличаване на дела на устойчиво произведената енергия (CEP 10, LT 3, IT 1.1).</w:t>
      </w:r>
    </w:p>
    <w:p>
      <w:pPr>
        <w:pStyle w:val="Puce3"/>
        <w:tabs>
          <w:tab w:val="clear" w:pos="720"/>
        </w:tabs>
        <w:rPr/>
      </w:pPr>
      <w:r>
        <w:rPr/>
        <w:t>8.</w:t>
        <w:tab/>
        <w:t>Повишаване на осведомеността сред предприятията и гражданите за възприемане на по-устойчиво поведение и гарантиране на справедлив преход въз основа на социален диалог и качествени работни места (CEP 12 и онлайн платформа).</w:t>
      </w:r>
    </w:p>
    <w:p>
      <w:pPr>
        <w:pStyle w:val="Puce3"/>
        <w:tabs>
          <w:tab w:val="clear" w:pos="720"/>
        </w:tabs>
        <w:rPr/>
      </w:pPr>
      <w:r>
        <w:rPr/>
        <w:t>9.</w:t>
        <w:tab/>
        <w:t>Включване в новите търговски споразумения на ЕС на амбициозни социални, трудови и здравни стандарти, включително здравословни и безопасни условия на труд.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9" w:name="__RefHeading___Toc298292_1346298689"/>
      <w:bookmarkEnd w:id="59"/>
      <w:r>
        <w:rPr/>
        <w:t>12. Предложение: Укрепване на конкурентоспособността на Съюза и по-нататъшно задълбочаване на единния пазар</w:t>
      </w:r>
    </w:p>
    <w:p>
      <w:pPr>
        <w:pStyle w:val="Normal"/>
        <w:rPr/>
      </w:pPr>
      <w:r>
        <w:rPr/>
        <w:t>Цел: Предлагаме да се засилят конкурентоспособността и устойчивостта на икономиката, единния пазар и промишлеността на ЕС и да се преодолеят стратегическите зависимости. Необходимо е да насърчаваме предприемаческа култура в ЕС, в която се насърчават и могат да се развиват иновативни дружества от всякакъв мащаб, по-специално микро-, малки и средни предприятия и стартиращи предприятия, за да се допринесе за по-устойчиви и приобщаващи общества. Необходима е силна и жизнеспособна пазарна икономика, за да се улесни визията за по-социална Европа. Това би могло да се постигне чрез следните мерки:</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10"/>
      </w:r>
      <w:r>
        <w:rPr/>
        <w:t>:</w:t>
      </w:r>
    </w:p>
    <w:p>
      <w:pPr>
        <w:pStyle w:val="Puce3"/>
        <w:tabs>
          <w:tab w:val="clear" w:pos="720"/>
        </w:tabs>
        <w:rPr/>
      </w:pPr>
      <w:r>
        <w:rPr/>
        <w:t>1.</w:t>
        <w:tab/>
        <w:t>Разработване на ясна визия за европейската икономика и надграждане върху силните страни, качеството и многообразието на Европа, като същевременно се отчитат икономическите и други различия между държавите членки, и се насърчават сътрудничеството и конкуренцията между предприятията. (NL 1 и 2)</w:t>
      </w:r>
    </w:p>
    <w:p>
      <w:pPr>
        <w:pStyle w:val="Puce3"/>
        <w:tabs>
          <w:tab w:val="clear" w:pos="720"/>
        </w:tabs>
        <w:rPr/>
      </w:pPr>
      <w:r>
        <w:rPr/>
        <w:t>2.</w:t>
        <w:tab/>
        <w:t>Консолидиране на направеното по отношение на единната валута и взаимосвързаността на платежните системи и телекомуникациите. (Точка 4.a.2)</w:t>
      </w:r>
    </w:p>
    <w:p>
      <w:pPr>
        <w:pStyle w:val="Puce3"/>
        <w:tabs>
          <w:tab w:val="clear" w:pos="720"/>
        </w:tabs>
        <w:rPr/>
      </w:pPr>
      <w:r>
        <w:rPr/>
        <w:t>3.</w:t>
        <w:tab/>
        <w:t>Намаляване на стандартизацията на продуктите и признаване на местните и регионалните особености по отношение на културата и производството (зачитане на производствените традиции). (ТОЧКА 2.2)</w:t>
      </w:r>
    </w:p>
    <w:p>
      <w:pPr>
        <w:pStyle w:val="Puce3"/>
        <w:tabs>
          <w:tab w:val="clear" w:pos="720"/>
        </w:tabs>
        <w:rPr/>
      </w:pPr>
      <w:r>
        <w:rPr/>
        <w:t>4.</w:t>
        <w:tab/>
        <w:t>Укрепване на социалното и икономическото сближаване във възходяща посока в рамките на единния пазар, завършване на съществуващите инициативи като банковия съюз и съюза на капиталовите пазари и осъществяване на ориентирана към бъдещето реформа на нашия икономически и паричен съюз (обсъждания).</w:t>
      </w:r>
    </w:p>
    <w:p>
      <w:pPr>
        <w:pStyle w:val="Puce3"/>
        <w:tabs>
          <w:tab w:val="clear" w:pos="720"/>
        </w:tabs>
        <w:rPr/>
      </w:pPr>
      <w:r>
        <w:rPr/>
        <w:t>5.</w:t>
        <w:tab/>
        <w:t>Насърчаване на политики за силна промишлена база и иновации в ключовите базови технологии, както и ориентирана към бъдещето политика в областта на климата, съчетана с промишлена конкурентоспособност със силно социално измерение, основана на социален диалог и добре функциониращи индустриални отношения (обсъждания).</w:t>
      </w:r>
    </w:p>
    <w:p>
      <w:pPr>
        <w:pStyle w:val="Puce3"/>
        <w:tabs>
          <w:tab w:val="clear" w:pos="720"/>
        </w:tabs>
        <w:rPr/>
      </w:pPr>
      <w:r>
        <w:rPr/>
        <w:t>6.</w:t>
        <w:tab/>
        <w:t>Във всички нови инициативи обърнете специално внимание на МСП, които са гръбнакът на нашата икономика. Принципът „мисли първо за МСП“ трябва да се спазва във всички законодателни предложения на ЕС, а тестът за МСП следва да бъде засилен в оценките на въздействието на Комисията, в съответствие с ясни принципи, при пълно зачитане на социалните и екологичните стандарти и правата на потребителите (обсъждания).</w:t>
      </w:r>
    </w:p>
    <w:p>
      <w:pPr>
        <w:pStyle w:val="Puce3"/>
        <w:tabs>
          <w:tab w:val="clear" w:pos="720"/>
        </w:tabs>
        <w:rPr/>
      </w:pPr>
      <w:r>
        <w:rPr/>
        <w:t>7.</w:t>
        <w:tab/>
        <w:t>Гарантиране на участието на МСП в заявленията за финансиране, поканите за участие в търгове и мрежите с възможно най-малко административни усилия. Достъпът до финансиране за МСП с високорискови иновационни проекти следва да бъде допълнително развит от субекти като Европейския съвет по иновациите и Европейската инвестиционна банка (обсъждане).</w:t>
      </w:r>
    </w:p>
    <w:p>
      <w:pPr>
        <w:pStyle w:val="Puce3"/>
        <w:tabs>
          <w:tab w:val="clear" w:pos="720"/>
        </w:tabs>
        <w:rPr/>
      </w:pPr>
      <w:r>
        <w:rPr/>
        <w:t>8.</w:t>
        <w:tab/>
        <w:t>Създаване на по-добра рамка за инвестиции в научни изследвания и иновации за изграждане на по-устойчиви и богати на биологично разнообразие бизнес модели (CEP 10, 11 и 14); съсредоточете се върху технологиите и иновациите като двигатели на растежа. (ТОЧКА 1.3)</w:t>
      </w:r>
    </w:p>
    <w:p>
      <w:pPr>
        <w:pStyle w:val="Puce3"/>
        <w:tabs>
          <w:tab w:val="clear" w:pos="720"/>
        </w:tabs>
        <w:rPr/>
      </w:pPr>
      <w:r>
        <w:rPr/>
        <w:t>9.</w:t>
        <w:tab/>
        <w:t>Насърчаване на колективните икономически резултати чрез автономна и конкурентоспособна промишленост. (FR3)</w:t>
      </w:r>
    </w:p>
    <w:p>
      <w:pPr>
        <w:pStyle w:val="Puce3"/>
        <w:tabs>
          <w:tab w:val="clear" w:pos="720"/>
        </w:tabs>
        <w:rPr/>
      </w:pPr>
      <w:r>
        <w:rPr/>
        <w:t>10.</w:t>
        <w:tab/>
        <w:t>Идентифициране и разработване на стратегически сектори, включително космическото пространство, роботиката и ИИ. (EN 3 и 9)</w:t>
      </w:r>
    </w:p>
    <w:p>
      <w:pPr>
        <w:pStyle w:val="Puce3"/>
        <w:tabs>
          <w:tab w:val="clear" w:pos="720"/>
        </w:tabs>
        <w:rPr/>
      </w:pPr>
      <w:r>
        <w:rPr/>
        <w:t>11.</w:t>
        <w:tab/>
        <w:t>Инвестиции в туризма и икономиката на културата, като също така се оценяват многото малки дестинации в Европа. (ТОЧКА 1.2)</w:t>
      </w:r>
    </w:p>
    <w:p>
      <w:pPr>
        <w:pStyle w:val="Puce3"/>
        <w:tabs>
          <w:tab w:val="clear" w:pos="720"/>
        </w:tabs>
        <w:rPr/>
      </w:pPr>
      <w:r>
        <w:rPr/>
        <w:t>12.</w:t>
        <w:tab/>
        <w:t>Гарантиране на сигурността на доставките чрез разнообразяване на източниците на суровини/суровини и увеличаване на производството на основни стоки в Европа, като здравеопазване, храни, енергетика, отбрана и транспорт. (EN 9, LT 1, ТО 1.4)</w:t>
      </w:r>
    </w:p>
    <w:p>
      <w:pPr>
        <w:pStyle w:val="Puce3"/>
        <w:tabs>
          <w:tab w:val="clear" w:pos="720"/>
        </w:tabs>
        <w:rPr/>
      </w:pPr>
      <w:r>
        <w:rPr/>
        <w:t>13.</w:t>
        <w:tab/>
        <w:t>Насърчаване на цифровизацията на европейските предприятия, например чрез специално табло с показатели, което позволява на дружествата да сравняват степента си на цифровизация с общата цел да се повиши тяхната конкурентоспособност. (ОТ 2.1)</w:t>
      </w:r>
    </w:p>
    <w:p>
      <w:pPr>
        <w:pStyle w:val="Puce3"/>
        <w:tabs>
          <w:tab w:val="clear" w:pos="720"/>
        </w:tabs>
        <w:rPr/>
      </w:pPr>
      <w:r>
        <w:rPr/>
        <w:t>14.</w:t>
        <w:tab/>
        <w:t>Насърчаване на цифровото сближаване с цел да се допринесе за икономическото, социалното и териториалното сближаване, както е определено в Договора за функционирането на Европейския съюз (обсъждане).</w:t>
      </w:r>
    </w:p>
    <w:p>
      <w:pPr>
        <w:pStyle w:val="Puce3"/>
        <w:tabs>
          <w:tab w:val="clear" w:pos="720"/>
        </w:tabs>
        <w:rPr/>
      </w:pPr>
      <w:r>
        <w:rPr/>
        <w:t>15.</w:t>
        <w:tab/>
        <w:t>Засилване на трансграничното сътрудничество с цел укрепване на сближаването и устойчивостта във и извън регионите чрез насърчаване на европейския трансграничен механизъм и подобни инструменти (обсъждания).</w:t>
      </w:r>
    </w:p>
    <w:p>
      <w:pPr>
        <w:pStyle w:val="Puce3"/>
        <w:tabs>
          <w:tab w:val="clear" w:pos="720"/>
        </w:tabs>
        <w:rPr/>
      </w:pPr>
      <w:r>
        <w:rPr/>
        <w:t>16.</w:t>
        <w:tab/>
        <w:t>Укрепване и насърчаване на възможностите за трансгранично обучение с цел повишаване на уменията на европейската работна сила и повишаване на конкурентоспособността, като същевременно се укрепват уменията на гражданите в икономическата област. (DE 2.2, LT7). Насърчаване на търговията между работниците в Европа чрез Европейски център по заетостта; (IT 6.1) насърчава младите хора да изучават научни дисциплини. (ТОЧКА 1.5)</w:t>
      </w:r>
    </w:p>
    <w:p>
      <w:pPr>
        <w:pStyle w:val="Puce3"/>
        <w:tabs>
          <w:tab w:val="clear" w:pos="720"/>
        </w:tabs>
        <w:rPr/>
      </w:pPr>
      <w:r>
        <w:rPr/>
        <w:t>17.</w:t>
        <w:tab/>
        <w:t>Намаляване на бюрокрацията (разрешения, сертификати), когато тя не е от съществено значение. (ТОЧКА 2.1)</w:t>
      </w:r>
    </w:p>
    <w:p>
      <w:pPr>
        <w:pStyle w:val="Puce3"/>
        <w:tabs>
          <w:tab w:val="clear" w:pos="720"/>
        </w:tabs>
        <w:rPr/>
      </w:pPr>
      <w:r>
        <w:rPr/>
        <w:t>18.</w:t>
        <w:tab/>
        <w:t>Борба срещу фалшифицирането и нелоялната конкуренция. (ТОЧКА 2.4)</w:t>
      </w:r>
    </w:p>
    <w:p>
      <w:pPr>
        <w:pStyle w:val="Puce3"/>
        <w:tabs>
          <w:tab w:val="clear" w:pos="720"/>
        </w:tabs>
        <w:rPr/>
      </w:pPr>
      <w:r>
        <w:rPr/>
        <w:t>19.</w:t>
        <w:tab/>
        <w:t>Гарантиране на по-голямо участие на стартиращите предприятия и МСП в иновационни проекти, тъй като това укрепва тяхната иновационна сила, конкурентоспособност и работа в мрежа (електронна платформа, дискусии).</w:t>
      </w:r>
    </w:p>
    <w:p>
      <w:pPr>
        <w:pStyle w:val="Puce3"/>
        <w:tabs>
          <w:tab w:val="clear" w:pos="720"/>
        </w:tabs>
        <w:rPr/>
      </w:pPr>
      <w:r>
        <w:rPr/>
        <w:t>20.</w:t>
        <w:tab/>
        <w:t>Консолидирането и защитата на единния пазар следва да останат приоритет; мерките и инициативите, предприети на национално равнище и на равнището на Съюза, не следва да засягат единния пазар и следва да допринасят за свободното движение на хора, стоки, услуги и капитали (обсъждания).</w:t>
      </w:r>
    </w:p>
    <w:p>
      <w:pPr>
        <w:pStyle w:val="Puce3"/>
        <w:tabs>
          <w:tab w:val="clear" w:pos="720"/>
        </w:tabs>
        <w:rPr/>
      </w:pPr>
      <w:r>
        <w:rPr/>
        <w:t>21.</w:t>
        <w:tab/>
        <w:t>Новите политически инициативи на ЕС следва да подлежат на „проверка на конкурентоспособността“, за да се анализира тяхното въздействие върху предприятията и тяхната бизнес среда (разходи за икономическа дейност, капацитет за иновации, международна конкурентоспособност, еднакви условия на конкуренция и др.). Този мониторинг е в съответствие с Парижкото споразумение и целите за устойчиво развитие, включително равенството между половете, и не подкопава защитата на правата на човека, социалните и трудовите права, нито стандартите за защита на околната среда и потребителите. За тази цел предлагаме също така създаването на Европейски консултативен орган по конкурентоспособността, който да наблюдава как се извършва мониторингът на конкурентоспособността, и по-специално да оценява кумулативните последици от законодателството, както и да представя предложения за подобряване на подходящите рамкови условия за конкурентоспособността на предприятията в ЕС. Този орган следва да включи организираното гражданско общество и социалните партньори в своето управление; (дискусии)</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0" w:name="__RefHeading___Toc298294_1346298689"/>
      <w:bookmarkEnd w:id="60"/>
      <w:r>
        <w:rPr/>
        <w:t>13. Предложение: Приобщаващи пазари на труда</w:t>
      </w:r>
    </w:p>
    <w:p>
      <w:pPr>
        <w:pStyle w:val="P68B1DB1Normal15"/>
        <w:rPr>
          <w:b/>
          <w:b/>
        </w:rPr>
      </w:pPr>
      <w:r>
        <w:rPr/>
        <w:t>Цел: Предлагаме да се подобри функционирането на пазарите на труда, за да се гарантират по-справедливи условия на труд и да се насърчи равенството между половете и заетостта, особено за младите хора и уязвимите групи. ЕС, държавите членки и социалните партньори трябва да работят за премахване на бедността на работниците, укрепване на правата на работещите през платформи, забрана на неплатените стажове и гарантиране на справедлива трудова мобилност в Съюза. Трябва да насърчаваме социалния диалог и колективното договаряне. Необходимо е да гарантираме пълното прилагане на Европейския стълб на социалните права, включително съответните водещи цели за 2030 г., на европейско, национално, регионално и местно равнище в областта на „равните възможности и достъп до пазара на труда„и „справедливите условия на труд“, като същевременно се зачитат компетенциите и принципите на субсидиарност и пропорционалност, и да включим в Договорите протокол относно социалния напредък. По този начин е необходимо да се зачитат националните традиции и автономността на социалните партньори и да се сътрудничи с гражданското общество. Това би могло да се постигне чрез следните мерки:</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11"/>
      </w:r>
      <w:r>
        <w:rPr/>
        <w:t>:</w:t>
      </w:r>
    </w:p>
    <w:p>
      <w:pPr>
        <w:pStyle w:val="Puce3"/>
        <w:tabs>
          <w:tab w:val="clear" w:pos="720"/>
        </w:tabs>
        <w:rPr/>
      </w:pPr>
      <w:r>
        <w:rPr/>
        <w:t>1.</w:t>
        <w:tab/>
        <w:t>Гарантиране, че законоустановените минимални работни заплати гарантират на всеки работник достойно и сходно качество на живот във всички държави членки. Следва да се определят ясни критерии (напр. разходи за живот, инфлация, равнище над прага на бедността, средни и средни заплати на национално равнище), които да се вземат предвид при определянето на равнището на минималната работна заплата. Равнищата на законоустановените минимални работни заплати следва да се преразглеждат редовно в светлината на тези критерии, за да се гарантира тяхната адекватност. Особено внимание следва да се обърне на ефективното прилагане на тези правила и на наблюдението и мониторинга на подобряването на жизнения стандарт. Същевременно колективното договаряне следва да бъде засилено и насърчавано в целия Съюз (PCE 1 и 30; 4.2; онлайн платформа).</w:t>
      </w:r>
    </w:p>
    <w:p>
      <w:pPr>
        <w:pStyle w:val="Puce3"/>
        <w:tabs>
          <w:tab w:val="clear" w:pos="720"/>
        </w:tabs>
        <w:rPr/>
      </w:pPr>
      <w:r>
        <w:rPr/>
        <w:t>2.</w:t>
        <w:tab/>
        <w:t>Да направи преглед и да засили допълнително прилагането на Директивата за работното време (Директива 2003/88/ЕО) и на друго съответно законодателство, което гарантира здравословен баланс между професионалния и личния живот, като същевременно разгледа новите национални политики в тази област (CEP 2).</w:t>
      </w:r>
    </w:p>
    <w:p>
      <w:pPr>
        <w:pStyle w:val="Puce3"/>
        <w:tabs>
          <w:tab w:val="clear" w:pos="720"/>
        </w:tabs>
        <w:rPr/>
      </w:pPr>
      <w:r>
        <w:rPr/>
        <w:t>3.</w:t>
        <w:tab/>
        <w:t>Въвеждане или укрепване на съществуващото законодателство относно „интелигентната работа“ и насърчаване на предприятията да популяризират този нов начин на работа. (PCE 7) Съюзът следва да гарантира правото на откъсване от работната среда, да направи повече за справяне с цифровото разделение на работното място и да оцени последиците за здравето, работното време и резултатите от работата от разстояние. Необходимо е да се гарантира справедлива цифровизация, основана на правата на човека, подобрени условия на труд и колективно договаряне (обсъждания).</w:t>
      </w:r>
    </w:p>
    <w:p>
      <w:pPr>
        <w:pStyle w:val="Puce3"/>
        <w:tabs>
          <w:tab w:val="clear" w:pos="720"/>
        </w:tabs>
        <w:rPr/>
      </w:pPr>
      <w:r>
        <w:rPr/>
        <w:t>4.</w:t>
        <w:tab/>
        <w:t>Интегриране на политиките за заетост на равнище ЕС, където активните политики на пазара на труда остават централни и все по-координирани (IT 6.2), докато държавите членки се съсредоточават върху по-нататъшните усилия за реформи с цел създаване на благоприятни условия за създаване на качествени работни места (обсъждане).</w:t>
      </w:r>
    </w:p>
    <w:p>
      <w:pPr>
        <w:pStyle w:val="Puce3"/>
        <w:tabs>
          <w:tab w:val="clear" w:pos="720"/>
        </w:tabs>
        <w:rPr/>
      </w:pPr>
      <w:r>
        <w:rPr/>
        <w:t>5.</w:t>
        <w:tab/>
        <w:t>Да предприеме мерки, за да гарантира, че социалните права са напълно защитени и имат предимство пред икономическите свободи в случай на конфликт, включително чрез въвеждане на протокол за социалния напредък в договорите (онлайн платформа, дискусии).</w:t>
      </w:r>
    </w:p>
    <w:p>
      <w:pPr>
        <w:pStyle w:val="Puce3"/>
        <w:tabs>
          <w:tab w:val="clear" w:pos="720"/>
        </w:tabs>
        <w:rPr/>
      </w:pPr>
      <w:r>
        <w:rPr/>
        <w:t>6.</w:t>
        <w:tab/>
        <w:t>Гарантиране на равенството между половете в съответствие със стратегията на ЕС за равенство между половете за периода 2020—2025 г. Съюзът следва да продължи да измерва равенството между половете чрез индекс за равенство между половете (отношения, разлика в заплащането, заетост, лидерство и т.н.), да наблюдава стратегията ежегодно, да бъде прозрачен по отношение на постигнатите резултати, да насърчава обмена на експертен опит и най-добри практики и да създаде евентуален пряк механизъм за обратна връзка от гражданите (напр. омбудсман) (ЕЦОС 28; Точка 5.a.1). Необходимо е да се преодолее разликата в заплащането на жените и мъжете и да се въведат квоти за висши ръководни длъжности. Жените предприемачи следва да се възползват от по-голяма подкрепа в бизнес средата, както и жените в областта на науката, технологиите, инженерството и математиката (обсъждания).</w:t>
      </w:r>
    </w:p>
    <w:p>
      <w:pPr>
        <w:pStyle w:val="Puce3"/>
        <w:tabs>
          <w:tab w:val="clear" w:pos="720"/>
        </w:tabs>
        <w:rPr/>
      </w:pPr>
      <w:r>
        <w:rPr/>
        <w:t>7.</w:t>
        <w:tab/>
        <w:t>Насърчаване на младежката заетост, наред с другото, чрез финансова подкрепа за предприятията, но също и чрез предоставяне на допълнителна подкрепа на работодателите и работниците (NL 4) и подкрепа за младите предприемачи и младите самостоятелно заети лица, например чрез образователни инструменти и курсове (дискусии).</w:t>
      </w:r>
    </w:p>
    <w:p>
      <w:pPr>
        <w:pStyle w:val="Puce3"/>
        <w:tabs>
          <w:tab w:val="clear" w:pos="720"/>
        </w:tabs>
        <w:rPr/>
      </w:pPr>
      <w:r>
        <w:rPr/>
        <w:t>8.</w:t>
        <w:tab/>
        <w:t>Насърчаване на заетостта на групите в неравностойно положение (NL 4), особено за хората с увреждания (онлайн платформа).</w:t>
      </w:r>
    </w:p>
    <w:p>
      <w:pPr>
        <w:pStyle w:val="Puce3"/>
        <w:tabs>
          <w:tab w:val="clear" w:pos="720"/>
        </w:tabs>
        <w:rPr/>
      </w:pPr>
      <w:r>
        <w:rPr/>
        <w:t>9.</w:t>
        <w:tab/>
        <w:t>Насърчаване на заетостта и социалната мобилност, така че хората да имат всички възможности за личностно развитие и самоопределение. (IT 5.a.4 и IT 6.1) Може да има дългосрочна стратегия, която да гарантира, че всеки в нашето общество има правилните умения да си намери работа и да развие таланта си, особено по-младото поколение (дискусии). Важно е да се инвестира в умения, адаптирани към променящите се нужди на пазара на труда, и да се насърчава ученето през целия живот, наред с другото, чрез програма за обмен на всички етапи от живота, както и да се гарантира правото на учене през целия живот и правото на обучение. (FR 6; За тази цел е необходимо да се засили сътрудничеството между предприятията, профсъюзите и доставчиците на услуги в областта на професионалното образование и обучение (обсъждания).</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1" w:name="__RefHeading___Toc298296_1346298689"/>
      <w:bookmarkEnd w:id="61"/>
      <w:r>
        <w:rPr/>
        <w:t>14. Предложение: По-силни социални политики</w:t>
      </w:r>
    </w:p>
    <w:p>
      <w:pPr>
        <w:pStyle w:val="Normal"/>
        <w:rPr/>
      </w:pPr>
      <w:r>
        <w:rPr/>
        <w:t>Цел: Предлагаме намаляване на неравенствата, борба със социалното изключване и бедността. Необходимо е да въведем всеобхватна стратегия за борба с бедността, която би могла да включва, наред с другото, укрепване на гаранцията за децата и гаранцията за младежта, въвеждането на минимални работни заплати, обща европейска рамка за схеми за минимален доход и достойно социално жилищно настаняване. Необходимо е да гарантираме пълното прилагане на Европейския стълб на социалните права, включително съответните водещи цели за 2030 г., на европейско, национално, регионално и местно равнище в областите „социална закрила и приобщаване“, като същевременно се зачитат съответните компетентности и принципите на субсидиарност и пропорционалност, и да включим Протокол относно социалния напредък в Договорите. Това би могло да се постигне чрез следните мерки:</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12"/>
      </w:r>
      <w:r>
        <w:rPr/>
        <w:t>:</w:t>
      </w:r>
    </w:p>
    <w:p>
      <w:pPr>
        <w:pStyle w:val="Puce3"/>
        <w:tabs>
          <w:tab w:val="clear" w:pos="720"/>
        </w:tabs>
        <w:rPr/>
      </w:pPr>
      <w:r>
        <w:rPr/>
        <w:t>1.</w:t>
        <w:tab/>
        <w:t>Укрепване на компетентността на Съюза в областта на социалните политики и предлагане на хармонизирано законодателство на равнището на Съюза за насърчаване на социалните политики и гарантиране на равни права, включително здравни права, като се вземат предвид приетите регламенти и минималните изисквания на цялата територия. (CEP 19 &amp; 21) ЕС би могъл да подкрепи и допълни политиките на държавите членки, наред с другото, като предложи обща рамка за гарантиране на минимален доход, така че никой да не бъде изоставен. Тези действия следва да се извършват като част от пълното прилагане на Европейския стълб на социалните права и неговия план за действие (обсъждания).</w:t>
      </w:r>
    </w:p>
    <w:p>
      <w:pPr>
        <w:pStyle w:val="Puce3"/>
        <w:tabs>
          <w:tab w:val="clear" w:pos="720"/>
        </w:tabs>
        <w:rPr/>
      </w:pPr>
      <w:r>
        <w:rPr/>
        <w:t>2.</w:t>
        <w:tab/>
        <w:t>Не правете компромиси по отношение на социалните права (обществено здравеопазване, обществено образование, политики в областта на труда). (Точка 4.a.1)</w:t>
      </w:r>
    </w:p>
    <w:p>
      <w:pPr>
        <w:pStyle w:val="Puce3"/>
        <w:tabs>
          <w:tab w:val="clear" w:pos="720"/>
        </w:tabs>
        <w:rPr/>
      </w:pPr>
      <w:r>
        <w:rPr/>
        <w:t>3.</w:t>
        <w:tab/>
        <w:t>Насърчаване на социалните и здравните изследвания в ЕС, следвайки приоритетните линии, считани за общественополезни и одобрени от държавите членки, и осигуряване на подходящо финансиране. Това би могло да се постигне отчасти чрез засилване на сътрудничеството между областите на експертен опит, държавите и учебните центрове (университети и т.н.) (CEP 20).</w:t>
      </w:r>
    </w:p>
    <w:p>
      <w:pPr>
        <w:pStyle w:val="Puce3"/>
        <w:tabs>
          <w:tab w:val="clear" w:pos="720"/>
        </w:tabs>
        <w:rPr/>
      </w:pPr>
      <w:r>
        <w:rPr/>
        <w:t>4.</w:t>
        <w:tab/>
        <w:t>Предоставяне на достъп до медицински услуги на всички лица на възраст под 16 години в целия ЕС, ако тези услуги не са налични в национален контекст (обсъждане).</w:t>
      </w:r>
    </w:p>
    <w:p>
      <w:pPr>
        <w:pStyle w:val="Puce3"/>
        <w:tabs>
          <w:tab w:val="clear" w:pos="720"/>
        </w:tabs>
        <w:rPr/>
      </w:pPr>
      <w:r>
        <w:rPr/>
        <w:t>5.</w:t>
        <w:tab/>
        <w:t>Да гарантира, че ЕС, заедно със социалните партньори и националните правителства, подкрепя целенасочения достъп до достойни социални жилища за гражданите в съответствие с техните специфични нужди; финансовите усилия следва да се поделят между частните донори, собствениците на жилища, бенефициерите на жилища, правителствата на държавите членки на централно и местно равнище и Европейския съюз (ECP 25).</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2" w:name="__RefHeading___Toc298298_1346298689"/>
      <w:bookmarkEnd w:id="62"/>
      <w:r>
        <w:rPr/>
        <w:t>15. Предложение: Демографски преход</w:t>
      </w:r>
    </w:p>
    <w:p>
      <w:pPr>
        <w:pStyle w:val="P68B1DB1Normal15"/>
        <w:rPr>
          <w:b/>
          <w:b/>
        </w:rPr>
      </w:pPr>
      <w:r>
        <w:rPr/>
        <w:t>Цел: предлагаме да се отговори на предизвикателствата, произтичащи от демографския преход, като критичен елемент от цялостната устойчивост на Европа, по-специално ниската раждаемост и постоянното застаряване на населението, като се предоставя подкрепа на хората през целия им живот. Това следва да бъде всеобхватно действие, насочено към всички поколения, от децата и младите хора до семействата, населението в трудоспособна възраст, възрастните хора, които все още са готови да работят и тези, които са пенсионери или се нуждаят от грижи. Това би могло да се постигне чрез следните мерки:</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13"/>
      </w:r>
      <w:r>
        <w:rPr/>
        <w:t>:</w:t>
      </w:r>
    </w:p>
    <w:p>
      <w:pPr>
        <w:pStyle w:val="Puce3"/>
        <w:tabs>
          <w:tab w:val="clear" w:pos="720"/>
        </w:tabs>
        <w:rPr/>
      </w:pPr>
      <w:r>
        <w:rPr/>
        <w:t>1.</w:t>
        <w:tab/>
        <w:t>Осигуряване на качествени, финансово достъпни и достъпни услуги за грижи за деца в целия ЕС, така че майките и бащите да могат уверено да съвместяват професионалния и семейния живот. Когато е целесъобразно, това може да включва възможности за грижи за деца на работното място или в близост до него. В някои държави членки се предлагат и нощни грижи за деца, които следва да служат за пример. Освен това тези мерки биха могли да бъдат придружени от мерки за подкрепа, като например намалени ставки на ДДС върху оборудването, необходимо за децата. От съществено значение е да се предотврати детската бедност и социалното изключване. (CEP 22—26) Укрепването на гаранцията за децата чрез осигуряване на достъп за децата в нужда до услуги като образование и грижи за децата, здравеопазване, хранене и жилищно настаняване би могло да бъде инструмент за постигане на това (електронна платформа, дискусии).</w:t>
      </w:r>
    </w:p>
    <w:p>
      <w:pPr>
        <w:pStyle w:val="Puce3"/>
        <w:tabs>
          <w:tab w:val="clear" w:pos="720"/>
        </w:tabs>
        <w:rPr/>
      </w:pPr>
      <w:r>
        <w:rPr/>
        <w:t>2.</w:t>
        <w:tab/>
        <w:t>Създаване на специфична подкрепа и защита на труда за младите хора. Мерките, насочени към населението в трудоспособна възраст, следва да включват достъп до знания за майките и бащите при завръщането им на работа (CEP 22). Укрепването на гаранцията за младежта би могло да бъде инструмент за подобряване на достъпа на младите хора на възраст под 30 години до качествено предложение за работа, непрекъснато образование, чиракуване или стажове. (дискусии)</w:t>
      </w:r>
    </w:p>
    <w:p>
      <w:pPr>
        <w:pStyle w:val="Puce3"/>
        <w:tabs>
          <w:tab w:val="clear" w:pos="720"/>
        </w:tabs>
        <w:rPr/>
      </w:pPr>
      <w:r>
        <w:rPr/>
        <w:t>3.</w:t>
        <w:tab/>
        <w:t>Насърчаване на правото на свободно движение на образование в рамките на Съюза, по-специално чрез взаимно признаване на дипломи, степени, компетентности и квалификации. (дискусии)</w:t>
      </w:r>
    </w:p>
    <w:p>
      <w:pPr>
        <w:pStyle w:val="Puce3"/>
        <w:tabs>
          <w:tab w:val="clear" w:pos="720"/>
        </w:tabs>
        <w:rPr/>
      </w:pPr>
      <w:r>
        <w:rPr/>
        <w:t>4.</w:t>
        <w:tab/>
        <w:t>Подобряване на законодателството и неговото прилагане с цел предоставяне на подкрепа на семействата във всички държави членки, например по отношение на родителския отпуск и надбавките за раждане и грижи за деца. (PCE 26 и IT 5.a.1) Жилищата играят решаваща роля в подкрепата на семействата и следва да бъдат разгледани (онлайн платформа, дискусии).</w:t>
      </w:r>
    </w:p>
    <w:p>
      <w:pPr>
        <w:pStyle w:val="Puce3"/>
        <w:tabs>
          <w:tab w:val="clear" w:pos="720"/>
        </w:tabs>
        <w:rPr/>
      </w:pPr>
      <w:r>
        <w:rPr/>
        <w:t>5.</w:t>
        <w:tab/>
        <w:t>Да предприеме мерки, за да гарантира, че всички семейства се ползват с еднакви семейни права във всички държави членки. Това трябва да включва правото на брак и осиновяване. (PCE 27)</w:t>
      </w:r>
    </w:p>
    <w:p>
      <w:pPr>
        <w:pStyle w:val="Puce3"/>
        <w:tabs>
          <w:tab w:val="clear" w:pos="720"/>
        </w:tabs>
        <w:rPr/>
      </w:pPr>
      <w:r>
        <w:rPr/>
        <w:t>6.</w:t>
        <w:tab/>
        <w:t>Насърчаване на гъвкава пенсионна възраст, като се отчита специфичното положение на възрастните хора. При определянето на пенсионната възраст е необходимо да се направи разграничение според професията и следователно да се вземе предвид особено трудна работа, както умствена, така и физическа. (PCE 21 и IT 5.a.1)</w:t>
      </w:r>
    </w:p>
    <w:p>
      <w:pPr>
        <w:pStyle w:val="Puce3"/>
        <w:tabs>
          <w:tab w:val="clear" w:pos="720"/>
        </w:tabs>
        <w:rPr/>
      </w:pPr>
      <w:r>
        <w:rPr/>
        <w:t>7.</w:t>
        <w:tab/>
        <w:t>Предотвратяване на бедността сред възрастните хора чрез въвеждане на минимални пенсии. Тези минимални равнища следва да отчитат жизнения стандарт, прага на бедността и покупателната способност в съответната държава членка. (PCE 21)</w:t>
      </w:r>
    </w:p>
    <w:p>
      <w:pPr>
        <w:pStyle w:val="Puce3"/>
        <w:tabs>
          <w:tab w:val="clear" w:pos="720"/>
        </w:tabs>
        <w:rPr/>
      </w:pPr>
      <w:r>
        <w:rPr/>
        <w:t>8.</w:t>
        <w:tab/>
        <w:t>Осигуряване на подходящо социално подпомагане и здравни грижи за възрастните хора. По този начин е важно да се съсредоточим както върху грижите в общността, така и върху грижите за настаняване. По същия начин при мерките трябва да се вземат предвид както получателите на грижи, така и доставчиците на грижи. (PCE 23)</w:t>
      </w:r>
    </w:p>
    <w:p>
      <w:pPr>
        <w:pStyle w:val="Puce3"/>
        <w:tabs>
          <w:tab w:val="clear" w:pos="720"/>
        </w:tabs>
        <w:rPr/>
      </w:pPr>
      <w:r>
        <w:rPr/>
        <w:t>9.</w:t>
        <w:tab/>
        <w:t>Гарантиране на устойчивото развитие и демографската устойчивост на изоставащите региони, за да станат те по-динамични и привлекателни, включително чрез политиката на сближаване. (онлайн платформа и дискусии)</w:t>
      </w:r>
    </w:p>
    <w:p>
      <w:pPr>
        <w:pStyle w:val="Puce3"/>
        <w:tabs>
          <w:tab w:val="clear" w:pos="720"/>
        </w:tabs>
        <w:rPr/>
      </w:pPr>
      <w:r>
        <w:rPr/>
        <w:t>10.</w:t>
        <w:tab/>
        <w:t>Да предприемат координирани действия на европейско равнище за събиране на данни, разбити по фактори като пол, и да анализират демографските тенденции, да обменят най-добри практики и знания и да подпомагат държавите членки при разработването и прилагането на подходящи политики, включително чрез създаване на орган на ЕС, специализиран в тази област. (онлайн платформа и дискусии).</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3" w:name="__RefHeading___Toc298300_1346298689"/>
      <w:bookmarkEnd w:id="63"/>
      <w:r>
        <w:rPr/>
        <w:t>16. Предложение: Фискални и фискални политики</w:t>
      </w:r>
    </w:p>
    <w:p>
      <w:pPr>
        <w:pStyle w:val="P68B1DB1Normal15"/>
        <w:rPr>
          <w:b/>
          <w:b/>
        </w:rPr>
      </w:pPr>
      <w:r>
        <w:rPr/>
        <w:t>Цел: предлагаме ЕС да насърчава ориентирани към бъдещето инвестиции, насочени към екологичния и цифровия преход със силно социално и свързано с пола измерение, като се вземат предвид примерите за Next Generation EU и Европейския инструмент за временна подкрепа за смекчаване на рисковете от безработица при извънредни ситуации (SURE). Съюзът трябва да вземе предвид социалното и икономическото въздействие на войната срещу Украйна и връзката между нейното икономическо управление и новия геополитически контекст, като укрепи собствения си бюджет с нови собствени ресурси. Гражданите искат данъчното облагане да се отдръпне от гражданите и МСП и да се насочи към данъчните измами, големите замърсители и цифровите гиганти, като същевременно иска ЕС да подкрепи способността на държавите членки и местните органи да се финансират и да използват средствата на ЕС. Тази цел следва да бъде постигната чрез следните мерки:</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14"/>
      </w:r>
      <w:r>
        <w:rPr/>
        <w:t>:</w:t>
      </w:r>
    </w:p>
    <w:p>
      <w:pPr>
        <w:pStyle w:val="Puce3"/>
        <w:tabs>
          <w:tab w:val="clear" w:pos="720"/>
        </w:tabs>
        <w:rPr/>
      </w:pPr>
      <w:r>
        <w:rPr/>
        <w:t>1.</w:t>
        <w:tab/>
        <w:t>Хармонизиране и координиране на данъчните политики в рамките на държавите — членки на ЕС, за предотвратяване на отклонението от данъчно облагане и избягването на данъци, избягването на данъчни убежища в рамките на ЕС и насочването към преместване в рамките на Европа, включително като се гарантира, че данъчните решения могат да се вземат с квалифицирано мнозинство в Съвета на ЕС. От друга страна, съществуват препоръки от граждански групи, че данъчното облагане попада в компетентността на различни държави, които имат свои собствени цели и обстоятелства. (PCE 13 и 31, IT 4.b.3, NL 2.3)</w:t>
      </w:r>
    </w:p>
    <w:p>
      <w:pPr>
        <w:pStyle w:val="Puce3"/>
        <w:tabs>
          <w:tab w:val="clear" w:pos="720"/>
        </w:tabs>
        <w:rPr/>
      </w:pPr>
      <w:r>
        <w:rPr/>
        <w:t>2.</w:t>
        <w:tab/>
        <w:t>Насърчаване на сътрудничеството между държавите — членки на ЕС, за да се гарантира, че всички дружества от ЕС плащат своя справедлив дял от данъците; въвеждане на обща основа за облагане с корпоративен данък (ОООКД) или минимална ефективна ставка. (NL 3)</w:t>
      </w:r>
    </w:p>
    <w:p>
      <w:pPr>
        <w:pStyle w:val="Puce3"/>
        <w:tabs>
          <w:tab w:val="clear" w:pos="720"/>
        </w:tabs>
        <w:rPr/>
      </w:pPr>
      <w:r>
        <w:rPr/>
        <w:t>3.</w:t>
        <w:tab/>
        <w:t>Уверете се, че компаниите плащат данъци там, където се реализира печалба. (PCE 13)</w:t>
      </w:r>
    </w:p>
    <w:p>
      <w:pPr>
        <w:pStyle w:val="Puce3"/>
        <w:tabs>
          <w:tab w:val="clear" w:pos="720"/>
        </w:tabs>
        <w:rPr/>
      </w:pPr>
      <w:r>
        <w:rPr/>
        <w:t>4.</w:t>
        <w:tab/>
        <w:t>Гарантиране, че данъчната политика подкрепя европейската промишленост и предотвратява загубата на работни места в Европа. (PCE 13 и 31)</w:t>
      </w:r>
    </w:p>
    <w:p>
      <w:pPr>
        <w:pStyle w:val="Puce3"/>
        <w:tabs>
          <w:tab w:val="clear" w:pos="720"/>
        </w:tabs>
        <w:rPr/>
      </w:pPr>
      <w:r>
        <w:rPr/>
        <w:t>5.</w:t>
        <w:tab/>
        <w:t>Да проучи по-подробно възможността за съвместно вземане на заеми на равнището на Съюза с оглед на създаването на по-благоприятни условия за получаване на заеми, като същевременно се запазят отговорните фискални политики на равнището на държавите членки. (ТОЧКА 9)</w:t>
      </w:r>
    </w:p>
    <w:p>
      <w:pPr>
        <w:pStyle w:val="Puce3"/>
        <w:tabs>
          <w:tab w:val="clear" w:pos="720"/>
        </w:tabs>
        <w:rPr/>
      </w:pPr>
      <w:r>
        <w:rPr/>
        <w:t>6.</w:t>
        <w:tab/>
        <w:t>Засилване на мониторинга на усвояването и използването на средствата на Съюза, включително на местно и общинско равнище.(LT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Снимка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Снимка 24"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64" w:name="__RefHeading___Toc298302_1346298689"/>
      <w:bookmarkEnd w:id="64"/>
      <w:r>
        <w:rPr/>
        <w:t>„</w:t>
      </w:r>
      <w:r>
        <w:rPr/>
        <w:t>ЕС в света“</w:t>
      </w:r>
    </w:p>
    <w:p>
      <w:pPr>
        <w:pStyle w:val="Titre3"/>
        <w:numPr>
          <w:ilvl w:val="2"/>
          <w:numId w:val="2"/>
        </w:numPr>
        <w:rPr/>
      </w:pPr>
      <w:bookmarkStart w:id="65" w:name="__RefHeading___Toc298304_1346298689"/>
      <w:bookmarkEnd w:id="65"/>
      <w:r>
        <w:rPr/>
        <w:t>17. Предложение: Намаляване на зависимостта на ЕС от чуждестранни участници в стратегически сектори от икономическа гледна точка</w:t>
      </w:r>
    </w:p>
    <w:p>
      <w:pPr>
        <w:pStyle w:val="P68B1DB1Normal15"/>
        <w:rPr>
          <w:b/>
          <w:b/>
        </w:rPr>
      </w:pPr>
      <w:r>
        <w:rPr/>
        <w:t>Цел: Предлагаме ЕС да предприеме стъпки за укрепване на своята автономност в ключови стратегически сектори като селскостопански продукти, стратегически икономически стоки, полупроводници, медицински продукти, иновативни цифрови и екологични технологии и енергетика чрез следните мерки:</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p>
    <w:p>
      <w:pPr>
        <w:pStyle w:val="Puce3"/>
        <w:tabs>
          <w:tab w:val="clear" w:pos="720"/>
        </w:tabs>
        <w:rPr/>
      </w:pPr>
      <w:r>
        <w:rPr/>
        <w:t>1.</w:t>
        <w:tab/>
        <w:t>Насърчаване на научноизследователските, развойните и иновационните дейности и сътрудничеството между публични и частни партньори в тази област.</w:t>
      </w:r>
    </w:p>
    <w:p>
      <w:pPr>
        <w:pStyle w:val="Puce3"/>
        <w:tabs>
          <w:tab w:val="clear" w:pos="720"/>
        </w:tabs>
        <w:rPr/>
      </w:pPr>
      <w:r>
        <w:rPr/>
        <w:t>2.</w:t>
        <w:tab/>
        <w:t>Поддържане на амбициозна програма за търговски преговори, която може да спомогне за укрепване на устойчивостта и диверсификацията на веригите на доставки, особено на суровините, като същевременно споделя ползите от търговията по-справедливо и с повече партньори, като по този начин ограничава нашата експозиция и зависимост от малък брой доставчици, които могат да представляват риск</w:t>
      </w:r>
      <w:r>
        <w:rPr>
          <w:rStyle w:val="Ancredenotedefin"/>
          <w:rStyle w:val="Ancredenotedefin"/>
        </w:rPr>
        <w:endnoteReference w:id="15"/>
      </w:r>
      <w:r>
        <w:rPr/>
        <w:t>.</w:t>
      </w:r>
    </w:p>
    <w:p>
      <w:pPr>
        <w:pStyle w:val="Puce3"/>
        <w:tabs>
          <w:tab w:val="clear" w:pos="720"/>
        </w:tabs>
        <w:rPr/>
      </w:pPr>
      <w:r>
        <w:rPr/>
        <w:t>3.</w:t>
        <w:tab/>
        <w:t>По-голяма устойчивост на веригите на доставки в ЕС чрез насърчаване на инвестициите в стратегически сектори в Съюза, съхраняване на критично важни производства и изделия и разнообразяване на източниците на доставка на суровини от изключителна важност.</w:t>
      </w:r>
    </w:p>
    <w:p>
      <w:pPr>
        <w:pStyle w:val="Puce3"/>
        <w:tabs>
          <w:tab w:val="clear" w:pos="720"/>
        </w:tabs>
        <w:rPr/>
      </w:pPr>
      <w:r>
        <w:rPr/>
        <w:t>4.</w:t>
        <w:tab/>
        <w:t>Нови инвестиции в доизграждането на вътрешния пазар и създаването на еднакви условия на конкуренция, за да стане производството и закупуването на тези изделия по-привлекателно в Европейския съюз.</w:t>
      </w:r>
    </w:p>
    <w:p>
      <w:pPr>
        <w:pStyle w:val="Puce3"/>
        <w:tabs>
          <w:tab w:val="clear" w:pos="720"/>
        </w:tabs>
        <w:rPr/>
      </w:pPr>
      <w:r>
        <w:rPr/>
        <w:t>5.</w:t>
        <w:tab/>
        <w:t>Подкрепа, която позволява тези продукти да бъдат достъпни и финансово достъпни за европейските потребители и спомага за намаляване на външните зависимости, например чрез структурни и регионални политики, данъчни облекчения, субсидии, инфраструктурни и научноизследователски инвестиции, повишаване на конкурентоспособността на МСП, както и образователни програми, за да се запазят съответните умения и работни места в Европа, които са от значение за осигуряването на основни нужди</w:t>
      </w:r>
      <w:r>
        <w:rPr>
          <w:rStyle w:val="Ancredenotedefin"/>
          <w:rStyle w:val="Ancredenotedefin"/>
        </w:rPr>
        <w:endnoteReference w:id="16"/>
      </w:r>
      <w:r>
        <w:rPr/>
        <w:t>.</w:t>
      </w:r>
    </w:p>
    <w:p>
      <w:pPr>
        <w:pStyle w:val="Puce3"/>
        <w:tabs>
          <w:tab w:val="clear" w:pos="720"/>
        </w:tabs>
        <w:rPr/>
      </w:pPr>
      <w:r>
        <w:rPr/>
        <w:t>6.</w:t>
        <w:tab/>
        <w:t>Европейска програма за подкрепа на малките местни производители в стратегически сектори във всички държави</w:t>
      </w:r>
      <w:r>
        <w:rPr>
          <w:rStyle w:val="Ancredenotedefin"/>
          <w:rStyle w:val="Ancredenotedefin"/>
        </w:rPr>
        <w:endnoteReference w:id="17"/>
      </w:r>
      <w:r>
        <w:rPr/>
        <w:t>членки, като се използват в по-голяма степен програмите и финансовите инструменти на ЕС, като например InvestEU.</w:t>
      </w:r>
    </w:p>
    <w:p>
      <w:pPr>
        <w:pStyle w:val="Puce3"/>
        <w:tabs>
          <w:tab w:val="clear" w:pos="720"/>
        </w:tabs>
        <w:rPr/>
      </w:pPr>
      <w:r>
        <w:rPr/>
        <w:t>7.</w:t>
        <w:tab/>
        <w:t>По-добро сътрудничество между държавите членки за управление на управлението на риска по веригата на доставки.</w:t>
      </w:r>
      <w:r>
        <w:rPr>
          <w:rStyle w:val="Ancredenotedefin"/>
          <w:rStyle w:val="Ancredenotedefin"/>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6" w:name="__RefHeading___Toc298306_1346298689"/>
      <w:bookmarkEnd w:id="66"/>
      <w:r>
        <w:rPr/>
        <w:t>18. Предложение: Намаляване на зависимостта на ЕС от чуждестранни енергийни участници</w:t>
      </w:r>
    </w:p>
    <w:p>
      <w:pPr>
        <w:pStyle w:val="P68B1DB1Normal15"/>
        <w:rPr>
          <w:b/>
          <w:b/>
        </w:rPr>
      </w:pPr>
      <w:r>
        <w:rPr/>
        <w:t>Цел: Предлагаме ЕС да постигне по-голяма автономност по отношение на производството и доставките на енергия в контекста на текущия екологичен преход чрез следните мерки:</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p>
    <w:p>
      <w:pPr>
        <w:pStyle w:val="Puce3"/>
        <w:tabs>
          <w:tab w:val="clear" w:pos="720"/>
        </w:tabs>
        <w:rPr/>
      </w:pPr>
      <w:r>
        <w:rPr/>
        <w:t>1.</w:t>
        <w:tab/>
        <w:t>Приемането на стратегия, която да я направи по-автономна в производството на енергия. Европейският орган следва да интегрира съществуващите европейски енергийни агенции, да координира развитието на енергията от възобновяеми източници и да насърчава обмена на знания</w:t>
      </w:r>
      <w:r>
        <w:rPr>
          <w:rStyle w:val="Ancredenotedefin"/>
          <w:rStyle w:val="Ancredenotedefin"/>
        </w:rPr>
        <w:endnoteReference w:id="19"/>
      </w:r>
      <w:r>
        <w:rPr/>
        <w:t>.</w:t>
      </w:r>
    </w:p>
    <w:p>
      <w:pPr>
        <w:pStyle w:val="Puce3"/>
        <w:tabs>
          <w:tab w:val="clear" w:pos="720"/>
        </w:tabs>
        <w:rPr/>
      </w:pPr>
      <w:r>
        <w:rPr/>
        <w:t>2.</w:t>
        <w:tab/>
        <w:t>Активна подкрепа за проекти за обществен транспорт и енергийна ефективност, високоскоростна европейска железопътна мрежа за товарен транспорт, разширяване на доставките на чиста и възобновяема енергия (включително слънчева и вятърна енергия), алтернативни технологии (като водород или оползотворяване на отпадъци от енергия) и прехода в градските райони от единна автомобилна култура към култура на обществен транспорт, споделяне на електрически автомобили и колоездене</w:t>
      </w:r>
      <w:r>
        <w:rPr>
          <w:rStyle w:val="Ancredenotedefin"/>
          <w:rStyle w:val="Ancredenotedefin"/>
        </w:rPr>
        <w:endnoteReference w:id="20"/>
      </w:r>
      <w:r>
        <w:rPr/>
        <w:t>.</w:t>
      </w:r>
    </w:p>
    <w:p>
      <w:pPr>
        <w:pStyle w:val="Puce3"/>
        <w:tabs>
          <w:tab w:val="clear" w:pos="720"/>
        </w:tabs>
        <w:rPr/>
      </w:pPr>
      <w:r>
        <w:rPr/>
        <w:t>3.</w:t>
        <w:tab/>
        <w:t>Гарантиране на справедлив и справедлив преход, по-специално чрез подкрепа за уязвимите граждани, които са изправени пред най-големите предизвикателства в прехода към неутралност по отношение на климата и които вече страдат от по-високи цени на енергията поради енергийната зависимост и неотдавнашното утрояване на цените на енергията.</w:t>
      </w:r>
    </w:p>
    <w:p>
      <w:pPr>
        <w:pStyle w:val="Normal"/>
        <w:rPr/>
      </w:pPr>
      <w:r>
        <w:rPr/>
      </w:r>
    </w:p>
    <w:p>
      <w:pPr>
        <w:pStyle w:val="Puce3"/>
        <w:tabs>
          <w:tab w:val="clear" w:pos="720"/>
        </w:tabs>
        <w:rPr/>
      </w:pPr>
      <w:r>
        <w:rPr/>
        <w:t>4.</w:t>
        <w:tab/>
        <w:t>Засилено сътрудничество при оценката на използването на ядрената енергия в контекста на текущия екологичен преход към енергия от възобновяеми източници в Европа, като се разгледат колективните въпроси, които тя би могла да реши или създаде, тъй като тя все още се използва от много държави членки</w:t>
      </w:r>
      <w:r>
        <w:rPr>
          <w:rStyle w:val="Ancredenotedefin"/>
          <w:rStyle w:val="Ancredenotedefin"/>
        </w:rPr>
        <w:endnoteReference w:id="21"/>
      </w:r>
      <w:r>
        <w:rPr/>
        <w:t>.</w:t>
      </w:r>
    </w:p>
    <w:p>
      <w:pPr>
        <w:pStyle w:val="Puce3"/>
        <w:tabs>
          <w:tab w:val="clear" w:pos="720"/>
        </w:tabs>
        <w:rPr/>
      </w:pPr>
      <w:r>
        <w:rPr/>
        <w:t>5.</w:t>
        <w:tab/>
        <w:t>Сътрудничество с международните партньори, за да се ангажират с постигането на по-амбициозни цели в областта на изменението на климата в рамките на различни международни форуми, включително Г-7 и Г-20.</w:t>
      </w:r>
    </w:p>
    <w:p>
      <w:pPr>
        <w:pStyle w:val="Puce3"/>
        <w:tabs>
          <w:tab w:val="clear" w:pos="720"/>
        </w:tabs>
        <w:rPr/>
      </w:pPr>
      <w:r>
        <w:rPr/>
        <w:t>6.</w:t>
        <w:tab/>
        <w:t>Обвързване на външната търговия с мерките на политиката в областта на изменението на климата (напр. чрез стартиране на пакет от инвестиционни мерки за благоприятни за климата технологии и иновации, включително програми за финансиране)</w:t>
      </w:r>
      <w:r>
        <w:rPr>
          <w:rStyle w:val="Ancredenotedefin"/>
          <w:rStyle w:val="Ancredenotedefin"/>
        </w:rPr>
        <w:endnoteReference w:id="22"/>
      </w:r>
      <w:r>
        <w:rPr/>
        <w:t>.</w:t>
      </w:r>
    </w:p>
    <w:p>
      <w:pPr>
        <w:pStyle w:val="Puce3"/>
        <w:tabs>
          <w:tab w:val="clear" w:pos="720"/>
        </w:tabs>
        <w:rPr/>
      </w:pPr>
      <w:r>
        <w:rPr/>
        <w:t>7.</w:t>
        <w:tab/>
        <w:t>Съвместни покупки на вносни енергийни и устойчиви енергийни партньорства, за да се намали зависимостта на Европа от вноса на енергия, по-специално в областта на газа и нефта, и да се развият вътрешните енергийни източници на ЕС.</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7" w:name="__RefHeading___Toc298308_1346298689"/>
      <w:bookmarkEnd w:id="67"/>
      <w:r>
        <w:rPr/>
        <w:t>19. Предложение: Определяне на стандарти в рамките на ЕС и извън него в търговските и инвестиционните отношения</w:t>
      </w:r>
    </w:p>
    <w:p>
      <w:pPr>
        <w:pStyle w:val="P68B1DB1Normal15"/>
        <w:rPr>
          <w:b/>
          <w:b/>
        </w:rPr>
      </w:pPr>
      <w:r>
        <w:rPr/>
        <w:t>Цел: Предлагаме ЕС да засили етичното измерение на своите търговски и инвестиционни отношения чрез следните мерки:</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p>
    <w:p>
      <w:pPr>
        <w:pStyle w:val="Puce3"/>
        <w:tabs>
          <w:tab w:val="clear" w:pos="720"/>
        </w:tabs>
        <w:rPr/>
      </w:pPr>
      <w:r>
        <w:rPr/>
        <w:t>1.</w:t>
        <w:tab/>
        <w:t>Запазване и реформиране на нашата основана на правила многостранна международна търговска архитектура и партньорство с единомислещи демокрации.</w:t>
      </w:r>
    </w:p>
    <w:p>
      <w:pPr>
        <w:pStyle w:val="Puce3"/>
        <w:tabs>
          <w:tab w:val="clear" w:pos="720"/>
        </w:tabs>
        <w:rPr/>
      </w:pPr>
      <w:r>
        <w:rPr/>
        <w:t>2.</w:t>
        <w:tab/>
        <w:t>Ефективно и пропорционално законодателство на ЕС, за да се гарантира, че стандартите за достоен труд се прилагат изцяло в световните вериги за създаване на стойност, включително в процесите на производство и доставка в ЕС, и че вносните стоки отговарят на качествените етични стандарти, стандартите за устойчиво развитие и правата на човека, включително трудовите и синдикалните права, чрез предлагане на сертифициране за продукти в съответствие с това законодателство на ЕС</w:t>
      </w:r>
      <w:r>
        <w:rPr>
          <w:rStyle w:val="Ancredenotedefin"/>
          <w:rStyle w:val="Ancredenotedefin"/>
        </w:rPr>
        <w:endnoteReference w:id="23"/>
      </w:r>
      <w:r>
        <w:rPr/>
        <w:t xml:space="preserve"> и участие в процес на диалог в целия ЕС, насочен към информиране и образоване относно екологичните и етичните последици от стратегическите промени в международната търговия.</w:t>
      </w:r>
    </w:p>
    <w:p>
      <w:pPr>
        <w:pStyle w:val="Normal"/>
        <w:rPr/>
      </w:pPr>
      <w:r>
        <w:rPr/>
      </w:r>
    </w:p>
    <w:p>
      <w:pPr>
        <w:pStyle w:val="Puce3"/>
        <w:tabs>
          <w:tab w:val="clear" w:pos="720"/>
        </w:tabs>
        <w:rPr/>
      </w:pPr>
      <w:r>
        <w:rPr/>
        <w:t>3.</w:t>
        <w:tab/>
        <w:t>Ограничения върху вноса и продажбата на продукти от държави, позволяващи принудителен труд и детски труд, редовно актуализиран черен списък на предприятията и осведомеността на потребителите относно детския труд чрез информация, публикувана по официалните канали на ЕС</w:t>
      </w:r>
      <w:r>
        <w:rPr>
          <w:rStyle w:val="Ancredenotedefin"/>
          <w:rStyle w:val="Ancredenotedefin"/>
        </w:rPr>
        <w:endnoteReference w:id="24"/>
      </w:r>
      <w:r>
        <w:rPr/>
        <w:t>.</w:t>
      </w:r>
    </w:p>
    <w:p>
      <w:pPr>
        <w:pStyle w:val="Puce3"/>
        <w:tabs>
          <w:tab w:val="clear" w:pos="720"/>
        </w:tabs>
        <w:rPr/>
      </w:pPr>
      <w:r>
        <w:rPr/>
        <w:t>4.</w:t>
        <w:tab/>
        <w:t>Наблюдение и прилагане на приложими глави относно търговията и устойчивото развитие в споразуменията на ЕС за свободна търговия, включително възможността за механизъм, основан на санкции, от последна инстанция.</w:t>
      </w:r>
    </w:p>
    <w:p>
      <w:pPr>
        <w:pStyle w:val="Puce3"/>
        <w:tabs>
          <w:tab w:val="clear" w:pos="720"/>
        </w:tabs>
        <w:rPr/>
      </w:pPr>
      <w:r>
        <w:rPr/>
        <w:t>5.</w:t>
        <w:tab/>
        <w:t>Реформата на Общата система за преференции (ОСП) на ЕС с цел включване на строги разпоредби за кръстосано спазване и ефективни и подходящи процеси на мониторинг, докладване и диалог с цел подобряване на въздействието, което ОСП може да окаже върху търговията, правата на човека и развитието в партньорските държави, с възможност за оттегляне на търговските преференции в случай на неспазване.</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8" w:name="__RefHeading___Toc298310_1346298689"/>
      <w:bookmarkEnd w:id="68"/>
      <w:r>
        <w:rPr/>
        <w:t>20. Предложение: Определяне на стандарти в рамките на ЕС и извън него за политиките в областта на околната среда</w:t>
      </w:r>
    </w:p>
    <w:p>
      <w:pPr>
        <w:pStyle w:val="P68B1DB1Normal15"/>
        <w:rPr>
          <w:b/>
          <w:b/>
        </w:rPr>
      </w:pPr>
      <w:r>
        <w:rPr/>
        <w:t>Цел: Предлагаме ЕС да засили екологичното измерение на търговските си отношения чрез следните мерки:</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p>
    <w:p>
      <w:pPr>
        <w:pStyle w:val="Puce3"/>
        <w:tabs>
          <w:tab w:val="clear" w:pos="720"/>
        </w:tabs>
        <w:rPr/>
      </w:pPr>
      <w:r>
        <w:rPr/>
        <w:t>1.</w:t>
        <w:tab/>
        <w:t>Хармонизиране и укрепване на екомаркировката и задължително показване на европейски показател за въздействие върху околната среда (екоскор) върху всички потребителски продукти. Екоскорът ще се изчислява въз основа на емисиите от производството и транспорта, както и на вредността на съдържанието, въз основа на списък на опасните продукти. Ecoscore следва да се управлява и наблюдава от европейски орган</w:t>
      </w:r>
      <w:r>
        <w:rPr>
          <w:rStyle w:val="Ancredenotedefin"/>
          <w:rStyle w:val="Ancredenotedefin"/>
        </w:rPr>
        <w:endnoteReference w:id="25"/>
      </w:r>
      <w:r>
        <w:rPr/>
        <w:t>.</w:t>
      </w:r>
    </w:p>
    <w:p>
      <w:pPr>
        <w:pStyle w:val="Puce3"/>
        <w:tabs>
          <w:tab w:val="clear" w:pos="720"/>
        </w:tabs>
        <w:rPr/>
      </w:pPr>
      <w:r>
        <w:rPr/>
        <w:t>2.</w:t>
        <w:tab/>
        <w:t>По-високи екологични стандарти за износ на отпадъци, както и по-строг контрол и санкции за спиране на незаконния износ. Съюзът следва да насърчава държавите членки да рециклират собствените си отпадъци и да ги използват за производство на енергия</w:t>
      </w:r>
      <w:r>
        <w:rPr>
          <w:rStyle w:val="Ancredenotedefin"/>
          <w:rStyle w:val="Ancredenotedefin"/>
        </w:rPr>
        <w:endnoteReference w:id="26"/>
      </w:r>
      <w:r>
        <w:rPr/>
        <w:t>.</w:t>
      </w:r>
    </w:p>
    <w:p>
      <w:pPr>
        <w:pStyle w:val="Puce3"/>
        <w:tabs>
          <w:tab w:val="clear" w:pos="720"/>
        </w:tabs>
        <w:rPr/>
      </w:pPr>
      <w:r>
        <w:rPr/>
        <w:t>3.</w:t>
        <w:tab/>
        <w:t>Определяне на цел за премахване на замърсяващите опаковки чрез насърчаване на по-малко замърсяващи опаковки или по-екологосъобразни опаковки</w:t>
      </w:r>
      <w:r>
        <w:rPr>
          <w:rStyle w:val="Ancredenotedefin"/>
          <w:rStyle w:val="Ancredenotedefin"/>
        </w:rPr>
        <w:endnoteReference w:id="27"/>
      </w:r>
      <w:r>
        <w:rPr/>
        <w:t xml:space="preserve"> и установяване на партньорства с развиващите се страни чрез подкрепа на тяхната инфраструктура и чрез обмисляне на взаимноизгодни търговски споразумения, за да им се помогне при прехода им към зелени енергийни източници</w:t>
      </w:r>
      <w:r>
        <w:rPr>
          <w:rStyle w:val="Ancredenotedefin"/>
          <w:rStyle w:val="Ancredenotedefin"/>
        </w:rPr>
        <w:endnoteReference w:id="28"/>
      </w:r>
      <w:r>
        <w:rPr/>
        <w:t>.</w:t>
      </w:r>
    </w:p>
    <w:p>
      <w:pPr>
        <w:pStyle w:val="Puce3"/>
        <w:tabs>
          <w:tab w:val="clear" w:pos="720"/>
        </w:tabs>
        <w:rPr/>
      </w:pPr>
      <w:r>
        <w:rPr/>
        <w:t>4.</w:t>
        <w:tab/>
        <w:t>Възможността за възнаграждаване на държавите с високи стандарти за устойчивост чрез предоставяне на допълнителен достъп до пазара на ЕС за техните дълготрайни стоки и услуги, било едностранно чрез Общата система за преференции по ОСП+, било двустранно чрез договорени търговски споразумения или многостранно чрез инициативи в рамките на Световната търговска организация.</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9" w:name="__RefHeading___Toc298312_1346298689"/>
      <w:bookmarkEnd w:id="69"/>
      <w:r>
        <w:rPr/>
        <w:t>21. Предложение: Вземане на решения и сближаване в рамките на Съюза</w:t>
      </w:r>
    </w:p>
    <w:p>
      <w:pPr>
        <w:pStyle w:val="P68B1DB1Normal15"/>
        <w:rPr>
          <w:b/>
          <w:b/>
        </w:rPr>
      </w:pPr>
      <w:r>
        <w:rPr/>
        <w:t>Цел: Предлагаме ЕС да подобри капацитета си за вземане на бързи и ефективни решения в рамките на общата външна политика и политика на сигурност (ОВППС), като говори с един глас и действа като истински глобален фактор, така че да има положителна роля в света и чрез промяна в отговора на всяка криза, включително:</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p>
    <w:p>
      <w:pPr>
        <w:pStyle w:val="Puce3"/>
        <w:tabs>
          <w:tab w:val="clear" w:pos="720"/>
        </w:tabs>
        <w:rPr/>
      </w:pPr>
      <w:r>
        <w:rPr/>
        <w:t>1.</w:t>
        <w:tab/>
        <w:t>Като гарантира, че по-специално в областта на ОВППС въпросите, които понастоящем се вземат с единодушие, обикновено се вземат с квалифицирано мнозинство</w:t>
      </w:r>
      <w:r>
        <w:rPr>
          <w:rStyle w:val="Ancredenotedefin"/>
          <w:rStyle w:val="Ancredenotedefin"/>
        </w:rPr>
        <w:endnoteReference w:id="29"/>
      </w:r>
      <w:r>
        <w:rPr/>
        <w:t>.</w:t>
      </w:r>
    </w:p>
    <w:p>
      <w:pPr>
        <w:pStyle w:val="Puce3"/>
        <w:tabs>
          <w:tab w:val="clear" w:pos="720"/>
        </w:tabs>
        <w:rPr/>
      </w:pPr>
      <w:r>
        <w:rPr/>
        <w:t>2.</w:t>
        <w:tab/>
        <w:t>Основаване на сътрудничеството в областта на политиката за сигурност и отбрана на наскоро одобрения стратегически компас и използване на Европейския механизъм за подкрепа на мира</w:t>
      </w:r>
      <w:r>
        <w:rPr>
          <w:rStyle w:val="Ancredenotedefin"/>
          <w:rStyle w:val="Ancredenotedefin"/>
        </w:rPr>
        <w:endnoteReference w:id="30"/>
      </w:r>
      <w:r>
        <w:rPr/>
        <w:t>.</w:t>
      </w:r>
    </w:p>
    <w:p>
      <w:pPr>
        <w:pStyle w:val="Puce3"/>
        <w:tabs>
          <w:tab w:val="clear" w:pos="720"/>
        </w:tabs>
        <w:rPr/>
      </w:pPr>
      <w:r>
        <w:rPr/>
        <w:t>3.</w:t>
        <w:tab/>
        <w:t>Засилване на ролята на върховния представител, за да се гарантира, че ЕС говори с един глас</w:t>
      </w:r>
      <w:r>
        <w:rPr>
          <w:rStyle w:val="Ancredenotedefin"/>
          <w:rStyle w:val="Ancredenotedefin"/>
        </w:rPr>
        <w:endnoteReference w:id="31"/>
      </w:r>
      <w:r>
        <w:rPr/>
        <w:t>.</w:t>
      </w:r>
    </w:p>
    <w:p>
      <w:pPr>
        <w:pStyle w:val="Puce3"/>
        <w:tabs>
          <w:tab w:val="clear" w:pos="720"/>
        </w:tabs>
        <w:rPr/>
      </w:pPr>
      <w:r>
        <w:rPr/>
        <w:t>4.</w:t>
        <w:tab/>
        <w:t>Постигане на съгласие по силна визия и обща стратегия за укрепване на единството и капацитета на ЕС за вземане на решения, за да се подготви Съюзът за по-нататъшни разширявания</w:t>
      </w:r>
      <w:r>
        <w:rPr>
          <w:rStyle w:val="Ancredenotedefin"/>
          <w:rStyle w:val="Ancredenotedefin"/>
        </w:rPr>
        <w:endnoteReference w:id="32"/>
      </w:r>
      <w:r>
        <w:rPr/>
        <w:t>.</w:t>
      </w:r>
    </w:p>
    <w:p>
      <w:pPr>
        <w:pStyle w:val="Puce3"/>
        <w:tabs>
          <w:tab w:val="clear" w:pos="720"/>
        </w:tabs>
        <w:rPr/>
      </w:pPr>
      <w:r>
        <w:rPr/>
        <w:t>5.</w:t>
        <w:tab/>
        <w:t>Чрез бързо ратифициране на наскоро сключените търговски споразумения, без да се отказва от подходящо разглеждане и обсъждане.</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0" w:name="__RefHeading___Toc298314_1346298689"/>
      <w:bookmarkEnd w:id="70"/>
      <w:r>
        <w:rPr/>
        <w:t>22. Предложение: Прозрачност на ЕС и неговите отношения с гражданите</w:t>
      </w:r>
    </w:p>
    <w:p>
      <w:pPr>
        <w:pStyle w:val="P68B1DB1Normal15"/>
        <w:rPr>
          <w:b/>
          <w:b/>
        </w:rPr>
      </w:pPr>
      <w:r>
        <w:rPr/>
        <w:t>Цел: предлагаме ЕС, по-специално в действията си на международно равнище, включително търговските преговори, да увеличи достъпността си за гражданите чрез подобряване на информацията, образованието, участието на гражданите и прозрачността, по-специално чрез:</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p>
    <w:p>
      <w:pPr>
        <w:pStyle w:val="Puce3"/>
        <w:tabs>
          <w:tab w:val="clear" w:pos="720"/>
        </w:tabs>
        <w:rPr/>
      </w:pPr>
      <w:r>
        <w:rPr/>
        <w:t>1.</w:t>
        <w:tab/>
        <w:t>Укрепване на връзките с гражданите и местните институции с цел подобряване на прозрачността, достигане до гражданите и по-добра комуникация и връзка с тях относно конкретни инициативи на ЕС на международно равнище</w:t>
      </w:r>
      <w:r>
        <w:rPr>
          <w:rStyle w:val="Ancredenotedefin"/>
          <w:rStyle w:val="Ancredenotedefin"/>
        </w:rPr>
        <w:endnoteReference w:id="33"/>
      </w:r>
      <w:r>
        <w:rPr/>
        <w:t>.</w:t>
      </w:r>
    </w:p>
    <w:p>
      <w:pPr>
        <w:pStyle w:val="Puce3"/>
        <w:tabs>
          <w:tab w:val="clear" w:pos="720"/>
        </w:tabs>
        <w:rPr/>
      </w:pPr>
      <w:r>
        <w:rPr/>
        <w:t>2.</w:t>
        <w:tab/>
        <w:t>По-голямо участие на гражданите в международната политика на ЕС и прояви на пряко гражданско участие, като Конференцията за бъдещето на Европа, организирана на национално, местно и европейско равнище</w:t>
      </w:r>
      <w:r>
        <w:rPr>
          <w:rStyle w:val="Ancredenotedefin"/>
          <w:rStyle w:val="Ancredenotedefin"/>
        </w:rPr>
        <w:endnoteReference w:id="34"/>
      </w:r>
      <w:r>
        <w:rPr/>
        <w:t xml:space="preserve"> и с активното участие на организираното гражданско общество</w:t>
      </w:r>
      <w:r>
        <w:rPr>
          <w:rStyle w:val="Ancredenotedefin"/>
          <w:rStyle w:val="Ancredenotedefin"/>
        </w:rPr>
        <w:endnoteReference w:id="35"/>
      </w:r>
      <w:r>
        <w:rPr/>
        <w:t>.</w:t>
      </w:r>
    </w:p>
    <w:p>
      <w:pPr>
        <w:pStyle w:val="Puce3"/>
        <w:tabs>
          <w:tab w:val="clear" w:pos="720"/>
        </w:tabs>
        <w:rPr/>
      </w:pPr>
      <w:r>
        <w:rPr/>
        <w:t>3.</w:t>
        <w:tab/>
        <w:t>Пълната подкрепа на всички съответни заинтересовани страни за гражданите, които избират да участват в организации на организираното гражданско общество, какъвто беше случаят с COVID-19 и Украйна.</w:t>
      </w:r>
    </w:p>
    <w:p>
      <w:pPr>
        <w:pStyle w:val="Puce3"/>
        <w:tabs>
          <w:tab w:val="clear" w:pos="720"/>
        </w:tabs>
        <w:rPr/>
      </w:pPr>
      <w:r>
        <w:rPr/>
        <w:t>4.</w:t>
        <w:tab/>
        <w:t>Отпускането на специален бюджет за разработването на образователни програми относно функционирането на ЕС и неговите ценности, които той би могъл да предложи на държавите членки, ако желаят това, така че те да могат да ги интегрират в своите учебни програми (начални, средни и университетски). Освен това чрез програмата „Еразъм“ може да бъде предложен специален курс за Съюза и неговото функциониране на студенти, желаещи да учат в друга европейска страна. Студентите, които изберат този курс, ще получат приоритет, за да се възползват от програмите „Еразъм“.</w:t>
      </w:r>
    </w:p>
    <w:p>
      <w:pPr>
        <w:pStyle w:val="Puce3"/>
        <w:tabs>
          <w:tab w:val="clear" w:pos="720"/>
        </w:tabs>
        <w:rPr/>
      </w:pPr>
      <w:r>
        <w:rPr/>
        <w:t>5.</w:t>
        <w:tab/>
        <w:t>Подобряване на медийната стратегия на ЕС чрез по-голяма видимост в социалните медии и активно популяризиране на нейното съдържание; насърчаване на иновациите чрез подобряване на достъпността на присъствието на ЕС в социалните медии</w:t>
      </w:r>
      <w:r>
        <w:rPr>
          <w:rStyle w:val="Ancredenotedefin"/>
          <w:rStyle w:val="Ancredenotedefin"/>
        </w:rPr>
        <w:endnoteReference w:id="36"/>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1" w:name="__RefHeading___Toc298316_1346298689"/>
      <w:bookmarkEnd w:id="71"/>
      <w:r>
        <w:rPr/>
        <w:t>23. Предложение: ЕС като световен лидер в областта на мира и сигурността</w:t>
      </w:r>
    </w:p>
    <w:p>
      <w:pPr>
        <w:pStyle w:val="P68B1DB1Normal15"/>
        <w:rPr>
          <w:b/>
          <w:b/>
        </w:rPr>
      </w:pPr>
      <w:r>
        <w:rPr/>
        <w:t>Цел: предлагаме ЕС да продължи да действа за насърчаване на диалога и гарантиране на мир и основан на правила международен ред, като укрепва многостранното сътрудничество и надгражда върху дългогодишните мирни инициативи на ЕС, които допринесоха за присъждането на Нобеловата награда през 2012 г., като същевременно укрепи общата си сигурност чрез следните мерки:</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b/>
        </w:rPr>
        <w:endnoteReference w:id="37"/>
      </w:r>
      <w:r>
        <w:rPr>
          <w:rStyle w:val="Ancredenotedefin"/>
          <w:rStyle w:val="Ancredenotedefin"/>
          <w:b/>
        </w:rPr>
        <w:endnoteReference w:id="38"/>
      </w:r>
      <w:r>
        <w:rPr/>
        <w:t>:</w:t>
      </w:r>
    </w:p>
    <w:p>
      <w:pPr>
        <w:pStyle w:val="Puce3"/>
        <w:tabs>
          <w:tab w:val="clear" w:pos="720"/>
        </w:tabs>
        <w:rPr/>
      </w:pPr>
      <w:r>
        <w:rPr/>
        <w:t>1.</w:t>
        <w:tab/>
        <w:t>Общи въоръжени сили, използвани за целите на самоотбрана и предназначени за предотвратяване на всякакви агресивни военни действия от какъвто и да е вид, които имат капацитет да оказват помощ по време на криза, включително в случай на природно бедствие. Извън европейските граници те биха могли да бъдат разположени при изключителни обстоятелства, за предпочитане по силата на законен мандат на Съвета за сигурност на ООН и следователно в съответствие с международното право,</w:t>
      </w:r>
      <w:r>
        <w:rPr>
          <w:rStyle w:val="Ancredenotedefin"/>
          <w:rStyle w:val="Ancredenotedefin"/>
        </w:rPr>
        <w:endnoteReference w:id="39"/>
      </w:r>
      <w:r>
        <w:rPr/>
        <w:t>без да се конкурират с НАТО или да дублират НАТО и да зачитат различните национални отношения с НАТО; във връзка с това следва да се направи оценка на отношенията на ЕС с НАТО в контекста на дебата относно стратегическата автономност на ЕС.</w:t>
      </w:r>
    </w:p>
    <w:p>
      <w:pPr>
        <w:pStyle w:val="Normal"/>
        <w:rPr/>
      </w:pPr>
      <w:r>
        <w:rPr/>
      </w:r>
    </w:p>
    <w:p>
      <w:pPr>
        <w:pStyle w:val="Puce3"/>
        <w:tabs>
          <w:tab w:val="clear" w:pos="720"/>
        </w:tabs>
        <w:rPr/>
      </w:pPr>
      <w:r>
        <w:rPr/>
        <w:t>2.</w:t>
        <w:tab/>
        <w:t>Водеща роля в изграждането на следвоенния световен ред в областта на сигурността в Украйна въз основа на наскоро приетия стратегически компас на ЕС.</w:t>
      </w:r>
    </w:p>
    <w:p>
      <w:pPr>
        <w:pStyle w:val="Puce3"/>
        <w:tabs>
          <w:tab w:val="clear" w:pos="720"/>
        </w:tabs>
        <w:rPr/>
      </w:pPr>
      <w:r>
        <w:rPr/>
        <w:t>3.</w:t>
        <w:tab/>
        <w:t>Защитата на нейните стратегически научни изследвания и способности в приоритетни сектори като космическия сектор, киберсигурността, медицинския сектор и околната среда</w:t>
      </w:r>
      <w:r>
        <w:rPr>
          <w:rStyle w:val="Ancredenotedefin"/>
          <w:rStyle w:val="Ancredenotedefin"/>
        </w:rPr>
        <w:endnoteReference w:id="40"/>
      </w:r>
      <w:r>
        <w:rPr/>
        <w:t>.</w:t>
      </w:r>
    </w:p>
    <w:p>
      <w:pPr>
        <w:pStyle w:val="Puce3"/>
        <w:tabs>
          <w:tab w:val="clear" w:pos="720"/>
        </w:tabs>
        <w:rPr/>
      </w:pPr>
      <w:r>
        <w:rPr/>
        <w:t>4.</w:t>
        <w:tab/>
        <w:t>Укрепване на оперативния капацитет, необходим за гарантиране на ефективността на клаузата за взаимопомощ, предвидена в член 42, параграф 7 от Договора за Европейския съюз, която гарантира адекватна защита на ЕС за всяка държава членка, нападната от трета държава.</w:t>
      </w:r>
    </w:p>
    <w:p>
      <w:pPr>
        <w:pStyle w:val="Puce3"/>
        <w:tabs>
          <w:tab w:val="clear" w:pos="720"/>
        </w:tabs>
        <w:rPr/>
      </w:pPr>
      <w:r>
        <w:rPr/>
        <w:t>5.</w:t>
        <w:tab/>
        <w:t>Размисъл относно начините за обективна и фактическа борба с дезинформацията и пропагандата.</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2" w:name="__RefHeading___Toc298318_1346298689"/>
      <w:bookmarkEnd w:id="72"/>
      <w:r>
        <w:rPr/>
        <w:t>24. Предложение: ЕС като водещ световен участник в изграждането на отношения</w:t>
      </w:r>
    </w:p>
    <w:p>
      <w:pPr>
        <w:pStyle w:val="P68B1DB1Normal15"/>
        <w:rPr>
          <w:b/>
          <w:b/>
        </w:rPr>
      </w:pPr>
      <w:r>
        <w:rPr/>
        <w:t>Цел: Предлагаме на ЕС в отношенията си с трети държави:</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p>
    <w:p>
      <w:pPr>
        <w:pStyle w:val="Puce3"/>
        <w:tabs>
          <w:tab w:val="clear" w:pos="720"/>
        </w:tabs>
        <w:rPr/>
      </w:pPr>
      <w:r>
        <w:rPr/>
        <w:t>1.</w:t>
        <w:tab/>
        <w:t>Да използва в по-голяма степен колективната си политическа и икономическа тежест, да говори с един глас и да действа единно, без някои държави членки да разделят Съюза чрез неподходящи двустранни интервенции</w:t>
      </w:r>
      <w:r>
        <w:rPr>
          <w:rStyle w:val="Ancredenotedefin"/>
          <w:rStyle w:val="Ancredenotedefin"/>
        </w:rPr>
        <w:endnoteReference w:id="41"/>
      </w:r>
      <w:r>
        <w:rPr/>
        <w:t>.</w:t>
      </w:r>
    </w:p>
    <w:p>
      <w:pPr>
        <w:pStyle w:val="Puce3"/>
        <w:tabs>
          <w:tab w:val="clear" w:pos="720"/>
        </w:tabs>
        <w:rPr/>
      </w:pPr>
      <w:r>
        <w:rPr/>
        <w:t>2.</w:t>
        <w:tab/>
        <w:t>Укрепва капацитета си за санкциониране на държави, правителства, образувания, групи или организации, както и на лица, които не спазват нейните основни принципи, споразумения и закони, и гарантира бързото прилагане и прилагане на съществуващите санкции. Санкциите, наложени на трети държави, следва да бъдат пропорционални на действията, които са ги задействали, да бъдат ефективни и да се прилагат своевременно</w:t>
      </w:r>
      <w:r>
        <w:rPr>
          <w:rStyle w:val="Ancredenotedefin"/>
          <w:rStyle w:val="Ancredenotedefin"/>
        </w:rPr>
        <w:endnoteReference w:id="42"/>
      </w:r>
      <w:r>
        <w:rPr/>
        <w:t>.</w:t>
      </w:r>
    </w:p>
    <w:p>
      <w:pPr>
        <w:pStyle w:val="Puce3"/>
        <w:tabs>
          <w:tab w:val="clear" w:pos="720"/>
        </w:tabs>
        <w:rPr/>
      </w:pPr>
      <w:r>
        <w:rPr/>
        <w:t>3.</w:t>
        <w:tab/>
        <w:t>Насърчава устойчивата и основана на правила търговия, като същевременно открива нови възможности за търговия и инвестиции за европейските предприятия. Въпреки че двустранните търговски и инвестиционни споразумения са от съществено значение за насърчаване на европейската конкурентоспособност, са необходими стандарти и правила, за да се гарантират еднакви условия на конкуренция. ЕС трябва да остане активен и надежден партньор в преговорите, сключването и прилагането на търговски споразумения, които също така определят високи стандарти за устойчивост.</w:t>
      </w:r>
    </w:p>
    <w:p>
      <w:pPr>
        <w:pStyle w:val="Puce3"/>
        <w:tabs>
          <w:tab w:val="clear" w:pos="720"/>
        </w:tabs>
        <w:rPr/>
      </w:pPr>
      <w:r>
        <w:rPr/>
        <w:t>4.</w:t>
        <w:tab/>
        <w:t>Сключва основните международни споразумения за сътрудничество, като представлява Европейския съюз, а не отделните държави</w:t>
      </w:r>
      <w:r>
        <w:rPr>
          <w:rStyle w:val="Ancredenotedefin"/>
          <w:rStyle w:val="Ancredenotedefin"/>
        </w:rPr>
        <w:endnoteReference w:id="43"/>
      </w:r>
      <w:r>
        <w:rPr/>
        <w:t>.</w:t>
      </w:r>
    </w:p>
    <w:p>
      <w:pPr>
        <w:pStyle w:val="Puce3"/>
        <w:tabs>
          <w:tab w:val="clear" w:pos="720"/>
        </w:tabs>
        <w:rPr/>
      </w:pPr>
      <w:r>
        <w:rPr/>
        <w:t>5.</w:t>
        <w:tab/>
        <w:t>Реформиране на търговската и инвестиционната политика на ЕС с цел възобновяване на глобалното многостранно сътрудничество с цел създаване на достойни работни места и защита на основните права на човека, включително правата на работниците и синдикалните права, опазване на околната среда и биологичното разнообразие и спазване на Парижкото споразумение относно изменението на климата, гарантиране на качествени обществени услуги и укрепване на промишлената база на Европа. ЕС следва да допринесе за възобновяването на глобалното многостранно сътрудничество чрез дълбоки реформи, основани на демокрация и мир, солидарност и зачитане на правата на човека, социалните и екологичните права, както и засилена роля на МОТ.</w:t>
      </w:r>
    </w:p>
    <w:p>
      <w:pPr>
        <w:pStyle w:val="Puce3"/>
        <w:tabs>
          <w:tab w:val="clear" w:pos="720"/>
        </w:tabs>
        <w:rPr/>
      </w:pPr>
      <w:r>
        <w:rPr/>
        <w:t>6.</w:t>
        <w:tab/>
        <w:t>Включва борбата с трафика на хора и незаконната имиграция, както и сътрудничеството при евентуални операции по връщане, в споразумения за сътрудничество и инвестиции с трети държави.</w:t>
      </w:r>
    </w:p>
    <w:p>
      <w:pPr>
        <w:pStyle w:val="Puce3"/>
        <w:tabs>
          <w:tab w:val="clear" w:pos="720"/>
        </w:tabs>
        <w:rPr/>
      </w:pPr>
      <w:r>
        <w:rPr/>
        <w:t>7.</w:t>
        <w:tab/>
        <w:t>Развиване на партньорства с развиващите се страни в подкрепа на тяхната инфраструктура и обмисляне на взаимноизгодни търговски споразумения, които да им помогнат в прехода им към зелени енергийни източници</w:t>
      </w:r>
      <w:r>
        <w:rPr>
          <w:rStyle w:val="Ancredenotedefin"/>
          <w:rStyle w:val="Ancredenotedefin"/>
        </w:rPr>
        <w:endnoteReference w:id="44"/>
      </w:r>
      <w:r>
        <w:rPr/>
        <w:t>.</w:t>
      </w:r>
    </w:p>
    <w:p>
      <w:pPr>
        <w:pStyle w:val="Puce3"/>
        <w:tabs>
          <w:tab w:val="clear" w:pos="720"/>
        </w:tabs>
        <w:rPr/>
      </w:pPr>
      <w:r>
        <w:rPr/>
        <w:t>8.</w:t>
        <w:tab/>
        <w:t>Разработва по-ефективна и обединена политика към автократични и хибридни режими и развива партньорства с организациите на гражданското общество в тези страни.</w:t>
      </w:r>
    </w:p>
    <w:p>
      <w:pPr>
        <w:pStyle w:val="Puce3"/>
        <w:tabs>
          <w:tab w:val="clear" w:pos="720"/>
        </w:tabs>
        <w:rPr/>
      </w:pPr>
      <w:r>
        <w:rPr/>
        <w:t>9.</w:t>
        <w:tab/>
        <w:t>Увеличава ресурсите на мисиите на ЕС за наблюдение на избори.</w:t>
      </w:r>
    </w:p>
    <w:p>
      <w:pPr>
        <w:pStyle w:val="Puce3"/>
        <w:tabs>
          <w:tab w:val="clear" w:pos="720"/>
        </w:tabs>
        <w:rPr/>
      </w:pPr>
      <w:r>
        <w:rPr/>
        <w:t>10.</w:t>
        <w:tab/>
        <w:t>Предлага надеждна перспектива за присъединяване към страните кандидатки и потенциални кандидатки, за да се насърчи мирът и стабилността в Европа и да се осигури просперитет на милиони европейци</w:t>
      </w:r>
      <w:r>
        <w:rPr>
          <w:rStyle w:val="Ancredenotedefin"/>
          <w:rStyle w:val="Ancredenotedefin"/>
        </w:rPr>
        <w:endnoteReference w:id="4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t>ЗАБЕЛЕЖЕТЕ: Няколко членове на работната група считат, че предложенията „Намаляване на зависимостта на ЕС от чуждестранни участници в областта на енергетиката„и „Прозрачност на ЕС и неговите отношения с гражданите“ попадат по-специално в други работни групи. Някои членове пожелаха да споменат, в допълнение към гласуването с квалифицирано мнозинство, алтернативи на единодушието в Съвета, като променлива геометрия, клаузи за неучастие и засилено сътрудничество. Някои членове на работната група призоваха за използването на термина „устойчив„, а не „етичен„в предложението „Определяне на стандарти в рамките на ЕС и извън него в търговските и инвестиционните отношения“. Налице са различия в мненията относно това дали присъединяването на нови държави членки следва да продължи да изисква единодушното съгласие на всички настоящи държави членки. Появиха се различни възгледи за желаното ниво на съвместни въоръжени сили. Двама членове се позоваха на перспективата за единство на Ирландия, в случай че Северна Ирландия гласува в тази посока в съответствие с разпоредбите на Споразумението от Разпети петък и необходимостта Съюзът да бъде подготвен за такава възможност.</w:t>
      </w:r>
    </w:p>
    <w:p>
      <w:pPr>
        <w:pStyle w:val="Normal"/>
        <w:rPr/>
      </w:pPr>
      <w:r>
        <w:rPr/>
      </w:r>
      <w:r>
        <w:br w:type="page"/>
      </w:r>
    </w:p>
    <w:p>
      <w:pPr>
        <w:pStyle w:val="Normal"/>
        <w:rPr/>
      </w:pPr>
      <w:r>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Снимка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Снимка 25"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73" w:name="__RefHeading___Toc298320_1346298689"/>
      <w:bookmarkEnd w:id="73"/>
      <w:r>
        <w:rPr/>
        <w:t>Ценности и права, върховенство на закона, сигурност</w:t>
      </w:r>
    </w:p>
    <w:p>
      <w:pPr>
        <w:pStyle w:val="Titre3"/>
        <w:numPr>
          <w:ilvl w:val="2"/>
          <w:numId w:val="2"/>
        </w:numPr>
        <w:rPr/>
      </w:pPr>
      <w:bookmarkStart w:id="74" w:name="__RefHeading___Toc298322_1346298689"/>
      <w:bookmarkEnd w:id="74"/>
      <w:r>
        <w:rPr/>
        <w:t>25. Предложение: Върховенство на закона, демократични ценности и европейска идентичност</w:t>
      </w:r>
    </w:p>
    <w:p>
      <w:pPr>
        <w:pStyle w:val="P68B1DB1Normal15"/>
        <w:rPr>
          <w:b/>
          <w:b/>
        </w:rPr>
      </w:pPr>
      <w:r>
        <w:rPr/>
        <w:t>Цел: Системно отстояване на принципите на правовата държава във всички държави членки, включително:</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46"/>
      </w:r>
      <w:r>
        <w:rPr/>
        <w:t>:</w:t>
      </w:r>
    </w:p>
    <w:p>
      <w:pPr>
        <w:pStyle w:val="Puce3"/>
        <w:tabs>
          <w:tab w:val="clear" w:pos="720"/>
        </w:tabs>
        <w:rPr/>
      </w:pPr>
      <w:r>
        <w:rPr/>
        <w:t>1.</w:t>
        <w:tab/>
        <w:t>Гарантиране, че ценностите и принципите, залегнали в Договорите на ЕС и в Хартата на основните права на Европейския съюз, са неподлежащи на договаряне и необратими и представляват задължително условие за членство и присъединяване към Съюза. Ценностите на ЕС трябва да се зачитат изцяло във всички държави членки; те следва също така да действат като международен стандарт и да представляват полюс на привличане чрез дипломация и диалог. Разширяването на Съюза не следва да подкопава достиженията на правото на ЕС по отношение на основните ценности и правата на гражданите</w:t>
      </w:r>
      <w:r>
        <w:rPr>
          <w:rStyle w:val="Ancredenotedefin"/>
          <w:rStyle w:val="Ancredenotedefin"/>
        </w:rPr>
        <w:endnoteReference w:id="47"/>
      </w:r>
      <w:r>
        <w:rPr/>
        <w:t>.</w:t>
      </w:r>
    </w:p>
    <w:p>
      <w:pPr>
        <w:pStyle w:val="Puce3"/>
        <w:tabs>
          <w:tab w:val="clear" w:pos="720"/>
        </w:tabs>
        <w:rPr/>
      </w:pPr>
      <w:r>
        <w:rPr/>
        <w:t>2.</w:t>
        <w:tab/>
        <w:t>Чрез превръщането на европейските ценности в осезаема реалност за гражданите на ЕС, по-специално чрез по-интерактивно и пряко участие, европейското гражданство следва да бъде укрепено, например чрез статут на гражданин на Съюза с граждански права и свободи, както и чрез статут на европейските трансгранични сдружения и организации с нестопанска цел. По подобен начин европейските ценности следва да бъдат насърчавани чрез „пакет за интеграция“, включващ образователни елементи и информационни материали за гражданите. И накрая, следва да се създаде европейска публична сфера на аудио-визуалните и онлайн медиите чрез нови инвестиции на ЕС, подобряване на съществуващите медийни платформи и увеличаване на подкрепата за повече от 500 европейски бюра за връзка, които присъстват на местно равнище</w:t>
      </w:r>
      <w:r>
        <w:rPr>
          <w:rStyle w:val="Ancredenotedefin"/>
          <w:rStyle w:val="Ancredenotedefin"/>
        </w:rPr>
        <w:endnoteReference w:id="48"/>
      </w:r>
      <w:r>
        <w:rPr/>
        <w:t xml:space="preserve">. </w:t>
      </w:r>
    </w:p>
    <w:p>
      <w:pPr>
        <w:pStyle w:val="Puce3"/>
        <w:tabs>
          <w:tab w:val="clear" w:pos="720"/>
        </w:tabs>
        <w:rPr/>
      </w:pPr>
      <w:r>
        <w:rPr/>
        <w:t>3.</w:t>
        <w:tab/>
        <w:t>Хартата на основните права на Европейския съюз следва да бъде универсално приложима. Освен това следва да се организират ежегодни конференции по въпросите на върховенството на закона (след доклада на Комисията относно върховенството на закона), които да обединяват делегации от всички държави членки, съставени от граждани, длъжностни лица, парламентаристи, местни органи, социални партньори и гражданското общество, избрани на случаен принцип и по различен начин. Важно е също така да се подкрепят допълнително организациите, включително организациите на гражданското общество, които насърчават върховенството на закона на място</w:t>
      </w:r>
      <w:r>
        <w:rPr>
          <w:rStyle w:val="Ancredenotedefin"/>
          <w:rStyle w:val="Ancredenotedefin"/>
        </w:rPr>
        <w:endnoteReference w:id="49"/>
      </w:r>
      <w:r>
        <w:rPr/>
        <w:t>.</w:t>
      </w:r>
    </w:p>
    <w:p>
      <w:pPr>
        <w:pStyle w:val="Puce3"/>
        <w:tabs>
          <w:tab w:val="clear" w:pos="720"/>
        </w:tabs>
        <w:rPr/>
      </w:pPr>
      <w:r>
        <w:rPr/>
        <w:t>4.</w:t>
        <w:tab/>
        <w:t>Чрез ефективно прилагане на т.нар. регламент относно кръстосаното спазване, оценка на обхвата на този регламент и на други инструменти в областта на върховенството на закона, както и чрез обмисляне на разширяване на техния обхват към нови области, независимо от тяхното значение за бюджета на Съюза. Всички необходими правни средства за защита, включително измененията на Договорите, следва да се считат за санкциониране на нарушенията на принципите на правовата държава</w:t>
      </w:r>
      <w:r>
        <w:rPr>
          <w:rStyle w:val="Ancredenotedefin"/>
          <w:rStyle w:val="Ancredenotedefin"/>
        </w:rPr>
        <w:endnoteReference w:id="50"/>
      </w:r>
      <w:r>
        <w:rPr/>
        <w:t>.</w:t>
      </w:r>
    </w:p>
    <w:p>
      <w:pPr>
        <w:pStyle w:val="Puce3"/>
        <w:tabs>
          <w:tab w:val="clear" w:pos="720"/>
        </w:tabs>
        <w:rPr/>
      </w:pPr>
      <w:r>
        <w:rPr/>
        <w:t>5.</w:t>
        <w:tab/>
        <w:t>Насърчаване на образователни и медийни програми, които поставят ценностите на Съюза в центъра на процеса на интеграция на мигрантите и насърчават взаимодействието между гражданите на Съюза и мигрантите, с цел да се даде възможност за успешното им интегриране в обществата на Съюза и да се повиши осведомеността на гражданите на Съюза по въпросите на миграцията.</w:t>
      </w:r>
      <w:r>
        <w:rPr>
          <w:rStyle w:val="Ancredenotedefin"/>
          <w:rStyle w:val="Ancredenotedefin"/>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5" w:name="__RefHeading___Toc298324_1346298689"/>
      <w:bookmarkEnd w:id="75"/>
      <w:r>
        <w:rPr/>
        <w:t>26. Предложение: Защита на данните</w:t>
      </w:r>
    </w:p>
    <w:p>
      <w:pPr>
        <w:pStyle w:val="Corpsdetexte"/>
        <w:rPr/>
      </w:pPr>
      <w:r>
        <w:rPr/>
      </w:r>
    </w:p>
    <w:p>
      <w:pPr>
        <w:pStyle w:val="P68B1DB1Normal15"/>
        <w:rPr>
          <w:b/>
          <w:b/>
        </w:rPr>
      </w:pPr>
      <w:r>
        <w:rPr/>
        <w:t>Цел: осигуряване на по-защитна и по-добра политика за обработване на данни за гражданите, по-специално:</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52"/>
      </w:r>
      <w:r>
        <w:rPr/>
        <w:t>:</w:t>
      </w:r>
    </w:p>
    <w:p>
      <w:pPr>
        <w:pStyle w:val="Puce3"/>
        <w:tabs>
          <w:tab w:val="clear" w:pos="720"/>
        </w:tabs>
        <w:rPr/>
      </w:pPr>
      <w:r>
        <w:rPr/>
        <w:t>1.</w:t>
        <w:tab/>
        <w:t>Чрез цялостно прилагане и преразглеждане на съществуващото законодателство за защита на данните, за да се оцени необходимостта от засилени механизми за правоприлагане по отношение на субектите, обработващи лични данни, които понастоящем попадат в компетентността на независимите национални органи за защита на данните при спазване на принципа на субсидиарност. Тези субекти следва да бъдат санкционирани по-строго, отколкото при настоящото прилагане на правилата, пропорционално на годишния им оборот (до 4 %) или дори чрез забрана за тяхната дейност, и следва да подлежат на независим годишен одит</w:t>
      </w:r>
      <w:r>
        <w:rPr>
          <w:rStyle w:val="Ancredenotedefin"/>
          <w:rStyle w:val="Ancredenotedefin"/>
        </w:rPr>
        <w:endnoteReference w:id="53"/>
      </w:r>
      <w:r>
        <w:rPr>
          <w:rStyle w:val="Ancredenotedefin"/>
          <w:rStyle w:val="Ancredenotedefin"/>
        </w:rPr>
        <w:endnoteReference w:id="54"/>
      </w:r>
      <w:r>
        <w:rPr/>
        <w:t>.</w:t>
      </w:r>
    </w:p>
    <w:p>
      <w:pPr>
        <w:pStyle w:val="Puce3"/>
        <w:tabs>
          <w:tab w:val="clear" w:pos="720"/>
        </w:tabs>
        <w:rPr/>
      </w:pPr>
      <w:r>
        <w:rPr/>
        <w:t>2.</w:t>
        <w:tab/>
        <w:t xml:space="preserve">Като придаде по-голямо действие на принципа на неприкосновеност на личния живот още при проектирането или по подразбиране, например чрез оценка и разработване на формуляри за съгласие за данни, които са лесни за разбиране, кратки и интуитивни и ясно посочват какво е необходимо и какво не. Потребителите трябва да могат да дават или оттеглят съгласието си за обработка на данни по прост, бърз и постоянен начин. </w:t>
      </w:r>
      <w:r>
        <w:rPr>
          <w:rStyle w:val="Ancredenotedefin"/>
          <w:rStyle w:val="Ancredenotedefin"/>
        </w:rPr>
        <w:endnoteReference w:id="55"/>
      </w:r>
      <w:r>
        <w:rPr/>
        <w:t xml:space="preserve"> </w:t>
      </w:r>
      <w:r>
        <w:rPr>
          <w:rStyle w:val="Ancredenotedefin"/>
          <w:rStyle w:val="Ancredenotedefin"/>
        </w:rPr>
        <w:endnoteReference w:id="56"/>
      </w:r>
    </w:p>
    <w:p>
      <w:pPr>
        <w:pStyle w:val="Puce3"/>
        <w:tabs>
          <w:tab w:val="clear" w:pos="720"/>
        </w:tabs>
        <w:rPr/>
      </w:pPr>
      <w:r>
        <w:rPr/>
        <w:t>3.</w:t>
        <w:tab/>
        <w:t>Оценка и въвеждане на по-ясни и по-защитни правила относно обработването на данни, свързани с непълнолетни лица, евентуално в ОРЗД на ЕС, по-специално чрез създаване на специална категория за чувствителни данни на непълнолетни лица и хармонизиране на минималната възраст за съгласие в държавите членки. Въпреки че по-голямата част от прилагането на правилата за неприкосновеността на личния живот и за повишаване на осведомеността следва да продължи да попада в компетентността на държавите членки, по-специално чрез увеличаване на инвестициите и ресурсите на национално равнище, Съюзът следва също така да играе по-важна роля, например чрез създаване на европейски компетентности в областта на гражданското образование в областта на защитата на данните</w:t>
      </w:r>
      <w:r>
        <w:rPr>
          <w:rStyle w:val="Ancredenotedefin"/>
          <w:rStyle w:val="Ancredenotedefin"/>
        </w:rPr>
        <w:endnoteReference w:id="57"/>
      </w:r>
      <w:r>
        <w:rPr/>
        <w:t>.</w:t>
      </w:r>
    </w:p>
    <w:p>
      <w:pPr>
        <w:pStyle w:val="Puce3"/>
        <w:tabs>
          <w:tab w:val="clear" w:pos="720"/>
        </w:tabs>
        <w:rPr/>
      </w:pPr>
      <w:r>
        <w:rPr/>
        <w:t>4.</w:t>
        <w:tab/>
        <w:t>По-добро спазване на критериите за допустимост, приложими за европейските и националните органи за защита на данните, по отношение на квалификациите и пригодността, за да се гарантира максимална независимост на техните членове.</w:t>
      </w:r>
      <w:r>
        <w:rPr>
          <w:rStyle w:val="Ancredenotedefin"/>
          <w:rStyle w:val="Ancredenotedefin"/>
        </w:rPr>
        <w:endnoteReference w:id="58"/>
      </w:r>
      <w:r>
        <w:rPr/>
        <w:t xml:space="preserve"> </w:t>
      </w:r>
      <w:r>
        <w:rPr>
          <w:rStyle w:val="Ancredenotedefin"/>
          <w:rStyle w:val="Ancredenotedefin"/>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6" w:name="__RefHeading___Toc298326_1346298689"/>
      <w:bookmarkEnd w:id="76"/>
      <w:r>
        <w:rPr/>
        <w:t>27. Предложение: Медии, фалшиви новини, дезинформация, проверка на фактите, киберсигурност</w:t>
      </w:r>
    </w:p>
    <w:p>
      <w:pPr>
        <w:pStyle w:val="P68B1DB1Normal15"/>
        <w:rPr>
          <w:b/>
          <w:b/>
        </w:rPr>
      </w:pPr>
      <w:r>
        <w:rPr/>
        <w:t>Цел: Борба с дезинформацията чрез засилено насърчаване на независимостта и плурализма на медиите и медийната грамотност, по-специално:</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60"/>
      </w:r>
      <w:r>
        <w:rPr/>
        <w:t>:</w:t>
      </w:r>
    </w:p>
    <w:p>
      <w:pPr>
        <w:pStyle w:val="Puce3"/>
        <w:tabs>
          <w:tab w:val="clear" w:pos="720"/>
        </w:tabs>
        <w:rPr/>
      </w:pPr>
      <w:r>
        <w:rPr/>
        <w:t>1.</w:t>
        <w:tab/>
        <w:t>Въвеждане на законодателство за борба със заплахите за медийната независимост чрез минимални стандарти, приложими в целия Съюз, включително преглед на бизнес модела на медиите, за да се гарантира целостта и независимостта на европейския медиен пазар</w:t>
      </w:r>
      <w:r>
        <w:rPr>
          <w:rStyle w:val="Ancredenotedefin"/>
          <w:rStyle w:val="Ancredenotedefin"/>
        </w:rPr>
        <w:endnoteReference w:id="61"/>
      </w:r>
      <w:r>
        <w:rPr/>
        <w:t>.</w:t>
      </w:r>
    </w:p>
    <w:p>
      <w:pPr>
        <w:pStyle w:val="Puce3"/>
        <w:tabs>
          <w:tab w:val="clear" w:pos="720"/>
        </w:tabs>
        <w:rPr/>
      </w:pPr>
      <w:r>
        <w:rPr/>
        <w:t>2.</w:t>
        <w:tab/>
        <w:t>Стриктно прилагане на правилата на ЕС в областта на конкуренцията в медийния сектор, за да се предотврати създаването на големи медийни монополи и да се гарантира медийният плурализъм и независимост от всякаква нежелана намеса от страна на политически, бизнес и/или чужди държави. Следва да се насърчава и качествената журналистика с признати и високи стандарти за етика и саморегулиране</w:t>
      </w:r>
      <w:r>
        <w:rPr>
          <w:rStyle w:val="Ancredenotedefin"/>
          <w:rStyle w:val="Ancredenotedefin"/>
        </w:rPr>
        <w:endnoteReference w:id="62"/>
      </w:r>
      <w:r>
        <w:rPr/>
        <w:t>.</w:t>
      </w:r>
    </w:p>
    <w:p>
      <w:pPr>
        <w:pStyle w:val="Puce3"/>
        <w:tabs>
          <w:tab w:val="clear" w:pos="720"/>
        </w:tabs>
        <w:rPr/>
      </w:pPr>
      <w:r>
        <w:rPr/>
        <w:t>3.</w:t>
        <w:tab/>
        <w:t xml:space="preserve">Създаване на орган на ЕС за борба с целевата дезинформация и намеса, подобряване на ситуационното възприятие и укрепване на организациите за проверка на фактите и независимите медии. „Аварийните номера“ и обекти като Europe Direct, които позволяват на гражданите и националните медии да изискват и получават проверена информация относно стратегиите и политиките на ЕС, също следва да бъдат допълнително подкрепяни и насърчавани по-активно. </w:t>
      </w:r>
      <w:r>
        <w:rPr>
          <w:rStyle w:val="Ancredenotedefin"/>
          <w:rStyle w:val="Ancredenotedefin"/>
        </w:rPr>
        <w:endnoteReference w:id="63"/>
      </w:r>
      <w:r>
        <w:rPr/>
        <w:t xml:space="preserve"> </w:t>
      </w:r>
      <w:r>
        <w:rPr>
          <w:rStyle w:val="Ancredenotedefin"/>
          <w:rStyle w:val="Ancredenotedefin"/>
        </w:rPr>
        <w:endnoteReference w:id="64"/>
      </w:r>
    </w:p>
    <w:p>
      <w:pPr>
        <w:pStyle w:val="Puce3"/>
        <w:tabs>
          <w:tab w:val="clear" w:pos="720"/>
        </w:tabs>
        <w:rPr/>
      </w:pPr>
      <w:r>
        <w:rPr/>
        <w:t>4.</w:t>
        <w:tab/>
        <w:t xml:space="preserve">Насърчаване на медийната грамотност и обществената осведоменост относно дезинформацията и непреднамереното разпространение на новини, включително чрез задължително училищно образование. Държавите членки следва също така да бъдат насърчавани да отделят достатъчно човешки и финансови ресурси за тази цел. </w:t>
      </w:r>
      <w:r>
        <w:rPr>
          <w:rStyle w:val="Ancredenotedefin"/>
          <w:rStyle w:val="Ancredenotedefin"/>
        </w:rPr>
        <w:endnoteReference w:id="65"/>
      </w:r>
    </w:p>
    <w:p>
      <w:pPr>
        <w:pStyle w:val="Puce3"/>
        <w:tabs>
          <w:tab w:val="clear" w:pos="720"/>
        </w:tabs>
        <w:rPr/>
      </w:pPr>
      <w:r>
        <w:rPr/>
        <w:t>5.</w:t>
        <w:tab/>
        <w:t>Въз основа на съществуващите инициативи, като например Кодекса за поведение срещу дезинформацията и Европейската обсерватория за цифрови медии (EDMO), за да се задължат онлайн платформите да публикуват ясна информация за използваните от тях алгоритми (с избор за потребителите да дадат съгласие или не) и рисковете от дезинформация, на които са изложени потребителите, като същевременно се запази правото на свобода на словото и правото на неприкосновеност на личния живот.</w:t>
      </w:r>
      <w:r>
        <w:rPr>
          <w:rStyle w:val="Ancredenotedefin"/>
          <w:rStyle w:val="Ancredenotedefin"/>
        </w:rPr>
        <w:endnoteReference w:id="66"/>
      </w:r>
      <w:r>
        <w:rPr/>
        <w:t xml:space="preserve"> </w:t>
      </w:r>
      <w:r>
        <w:rPr>
          <w:rStyle w:val="Ancredenotedefin"/>
          <w:rStyle w:val="Ancredenotedefin"/>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7" w:name="__RefHeading___Toc298328_1346298689"/>
      <w:bookmarkEnd w:id="77"/>
      <w:r>
        <w:rPr/>
        <w:t>28. Предложение: Медии, фалшиви новини, дезинформация, проверка на фактите, киберсигурност (bis)</w:t>
      </w:r>
    </w:p>
    <w:p>
      <w:pPr>
        <w:pStyle w:val="P68B1DB1Normal15"/>
        <w:rPr>
          <w:b/>
          <w:b/>
        </w:rPr>
      </w:pPr>
      <w:r>
        <w:rPr/>
        <w:t>Цел: засилване на ролята на Съюза за справяне със заплахите за киберсигурността, по-специално:</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p>
    <w:p>
      <w:pPr>
        <w:pStyle w:val="Puce3"/>
        <w:tabs>
          <w:tab w:val="clear" w:pos="720"/>
        </w:tabs>
        <w:rPr/>
      </w:pPr>
      <w:r>
        <w:rPr/>
        <w:t>1.</w:t>
        <w:tab/>
        <w:t xml:space="preserve">Укрепване на Агенцията на Европейския съюз за киберсигурност (ENISA) с цел по-добра защита на физическите лица, организациите и институциите срещу нарушения на киберсигурността и използването на изкуствен интелект за престъпни цели. Същевременно поверителността и защитата на личните данни следва да бъдат запазени. </w:t>
      </w:r>
      <w:r>
        <w:rPr>
          <w:rStyle w:val="Ancredenotedefin"/>
          <w:rStyle w:val="Ancredenotedefin"/>
        </w:rPr>
        <w:endnoteReference w:id="68"/>
      </w:r>
      <w:r>
        <w:rPr/>
        <w:t xml:space="preserve"> </w:t>
      </w:r>
      <w:r>
        <w:rPr>
          <w:rStyle w:val="Ancredenotedefin"/>
          <w:rStyle w:val="Ancredenotedefin"/>
        </w:rPr>
        <w:endnoteReference w:id="69"/>
      </w:r>
    </w:p>
    <w:p>
      <w:pPr>
        <w:pStyle w:val="Puce3"/>
        <w:tabs>
          <w:tab w:val="clear" w:pos="720"/>
        </w:tabs>
        <w:rPr/>
      </w:pPr>
      <w:r>
        <w:rPr/>
        <w:t>2.</w:t>
        <w:tab/>
        <w:t>Подобряване на координацията между националните органи за киберсигурност и полагане на допълнителни усилия за гарантиране на ефективното прилагане на правилата на Съюза на национално равнище.</w:t>
      </w:r>
      <w:r>
        <w:rPr>
          <w:rStyle w:val="Ancredenotedefin"/>
          <w:rStyle w:val="Ancredenotedefin"/>
        </w:rPr>
        <w:endnoteReference w:id="70"/>
      </w:r>
      <w:r>
        <w:rPr/>
        <w:t xml:space="preserve"> </w:t>
      </w:r>
      <w:r>
        <w:rPr>
          <w:rStyle w:val="Ancredenotedefin"/>
          <w:rStyle w:val="Ancredenotedefin"/>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78" w:name="__RefHeading___Toc298330_1346298689"/>
      <w:bookmarkEnd w:id="78"/>
      <w:r>
        <w:rPr/>
        <w:t>29. Предложение: Борба с дискриминацията, равенството и качеството на живот</w:t>
      </w:r>
    </w:p>
    <w:p>
      <w:pPr>
        <w:pStyle w:val="P68B1DB1Normal15"/>
        <w:rPr>
          <w:b/>
          <w:b/>
        </w:rPr>
      </w:pPr>
      <w:r>
        <w:rPr/>
        <w:t>ЦЕЛ: Да предприеме мерки за хармонизиране на условията на живот в целия Съюз и за подобряване на социално-икономическото качество на живот на своите граждани, по-специално:</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72"/>
      </w:r>
      <w:r>
        <w:rPr/>
        <w:t>:</w:t>
      </w:r>
    </w:p>
    <w:p>
      <w:pPr>
        <w:pStyle w:val="Puce3"/>
        <w:tabs>
          <w:tab w:val="clear" w:pos="720"/>
        </w:tabs>
        <w:rPr/>
      </w:pPr>
      <w:r>
        <w:rPr/>
        <w:t>1.</w:t>
        <w:tab/>
        <w:t>Разработване на прозрачни показатели за качеството на живот, включително икономически и социални критерии и критерии в областта на върховенството на закона, след консултации с експерти и социални партньори, за да се установи ясен и реалистичен график за повишаване на социалните стандарти и за създаване на обща социално-икономическа структура на Съюза, включително чрез прилагането на Европейския стълб на социалните права. Тези мерки следва да бъдат включени в рамката за икономическо управление и процеса на европейския семестър</w:t>
      </w:r>
      <w:r>
        <w:rPr>
          <w:rStyle w:val="Ancredenotedefin"/>
          <w:rStyle w:val="Ancredenotedefin"/>
        </w:rPr>
        <w:endnoteReference w:id="73"/>
      </w:r>
      <w:r>
        <w:rPr>
          <w:rStyle w:val="Ancredenotedefin"/>
          <w:rStyle w:val="Ancredenotedefin"/>
        </w:rPr>
        <w:endnoteReference w:id="74"/>
      </w:r>
      <w:r>
        <w:rPr/>
        <w:t>.</w:t>
      </w:r>
    </w:p>
    <w:p>
      <w:pPr>
        <w:pStyle w:val="Puce3"/>
        <w:tabs>
          <w:tab w:val="clear" w:pos="720"/>
        </w:tabs>
        <w:rPr/>
      </w:pPr>
      <w:r>
        <w:rPr/>
        <w:t>2.</w:t>
        <w:tab/>
        <w:t>Увеличаване и улесняване на преките публични инвестиции в здравеопазването, образованието, физическата инфраструктура и грижите за възрастните хора и хората с увреждания. Допълнителните инвестиции следва също така да имат за цел да осигурят задоволително равновесие между професионалния и личния живот на гражданите. Тези инвестиции следва да се извършват по напълно прозрачен начин, за да се наблюдава целият процес</w:t>
      </w:r>
      <w:r>
        <w:rPr>
          <w:rStyle w:val="Ancredenotedefin"/>
          <w:rStyle w:val="Ancredenotedefin"/>
        </w:rPr>
        <w:endnoteReference w:id="75"/>
      </w:r>
      <w:r>
        <w:rPr/>
        <w:t>.</w:t>
      </w:r>
    </w:p>
    <w:p>
      <w:pPr>
        <w:pStyle w:val="Puce3"/>
        <w:tabs>
          <w:tab w:val="clear" w:pos="720"/>
        </w:tabs>
        <w:rPr/>
      </w:pPr>
      <w:r>
        <w:rPr/>
        <w:t>3.</w:t>
        <w:tab/>
        <w:t>Насърчаване на данъчното облагане на големите дружества, борба с достъпа до данъчни убежища и премахване на тяхното съществуване в ЕС с оглед увеличаване на публичните инвестиции в приоритетни области като образованието (безвъзмездни средства за обучение, „Еразъм“) и научните изследвания. Борбата срещу укриването на данъци на равнище ЕС следва също така да бъде средство за набиране на средства за публично финансирани инициативи</w:t>
      </w:r>
      <w:r>
        <w:rPr>
          <w:rStyle w:val="Ancredenotedefin"/>
          <w:rStyle w:val="Ancredenotedefin"/>
        </w:rPr>
        <w:endnoteReference w:id="76"/>
      </w:r>
      <w:r>
        <w:rPr>
          <w:rStyle w:val="Ancredenotedefin"/>
          <w:rStyle w:val="Ancredenotedefin"/>
        </w:rPr>
        <w:endnoteReference w:id="77"/>
      </w:r>
      <w:r>
        <w:rPr/>
        <w:t>.</w:t>
      </w:r>
    </w:p>
    <w:p>
      <w:pPr>
        <w:pStyle w:val="Puce3"/>
        <w:tabs>
          <w:tab w:val="clear" w:pos="720"/>
        </w:tabs>
        <w:rPr/>
      </w:pPr>
      <w:r>
        <w:rPr/>
        <w:t>4.</w:t>
        <w:tab/>
        <w:t>Чрез установяване на валидни за целия Съюз критерии за борба с дискриминацията на пазара на труда и чрез насърчаване на наемането от частни дружества на лица, които като цяло са най-засегнати от дискриминация (включително млади хора, възрастни хора, жени и лица от малцинства), включително чрез субсидии, и от друга страна, чрез временни квоти. Социалните партньори следва да участват активно в тези усилия. Дискриминацията извън пазара на труда също следва да бъде забранена със закон и равенството следва да се насърчава</w:t>
      </w:r>
      <w:r>
        <w:rPr>
          <w:rStyle w:val="Ancredenotedefin"/>
          <w:rStyle w:val="Ancredenotedefin"/>
        </w:rPr>
        <w:endnoteReference w:id="78"/>
      </w:r>
      <w:r>
        <w:rPr/>
        <w:t>.</w:t>
      </w:r>
    </w:p>
    <w:p>
      <w:pPr>
        <w:pStyle w:val="Puce3"/>
        <w:tabs>
          <w:tab w:val="clear" w:pos="720"/>
        </w:tabs>
        <w:rPr/>
      </w:pPr>
      <w:r>
        <w:rPr/>
        <w:t>5.</w:t>
        <w:tab/>
        <w:t>Осигуряване на създаването и улесняване на съществуването на достъпни детски градини, както обществени, така и частни, както и безплатни услуги за грижи за деца за нуждаещите се</w:t>
      </w:r>
      <w:r>
        <w:rPr>
          <w:rStyle w:val="Ancredenotedefin"/>
          <w:rStyle w:val="Ancredenotedefin"/>
        </w:rPr>
        <w:endnoteReference w:id="79"/>
      </w:r>
      <w:r>
        <w:rPr/>
        <w:t>.</w:t>
      </w:r>
    </w:p>
    <w:p>
      <w:pPr>
        <w:pStyle w:val="Puce3"/>
        <w:tabs>
          <w:tab w:val="clear" w:pos="720"/>
        </w:tabs>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9" w:name="__RefHeading___Toc298332_1346298689"/>
      <w:bookmarkEnd w:id="79"/>
      <w:r>
        <w:rPr/>
        <w:t>30. Предложение: Права на животните, селско стопанство</w:t>
      </w:r>
    </w:p>
    <w:p>
      <w:pPr>
        <w:pStyle w:val="P68B1DB1Normal15"/>
        <w:rPr>
          <w:b/>
          <w:b/>
        </w:rPr>
      </w:pPr>
      <w:r>
        <w:rPr/>
        <w:t>Цел: Да предприеме решителни мерки за насърчаване и гарантиране на по-екологосъобразно и щадящо климата селско стопанство, по-специално:</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80"/>
      </w:r>
      <w:r>
        <w:rPr/>
        <w:t>:</w:t>
      </w:r>
    </w:p>
    <w:p>
      <w:pPr>
        <w:pStyle w:val="Puce3"/>
        <w:tabs>
          <w:tab w:val="clear" w:pos="720"/>
        </w:tabs>
        <w:rPr/>
      </w:pPr>
      <w:r>
        <w:rPr/>
        <w:t>1.</w:t>
        <w:tab/>
        <w:t>Чрез определяне на подробни, измерими и обвързани със срокове минимални критерии за защита на селскостопанските животни с цел осигуряване на по-високи стандарти за хуманно отношение към животните в съответствие с въвеждането на цели за устойчивост и въз основа на интегриран подход към продоволствената система</w:t>
      </w:r>
      <w:r>
        <w:rPr>
          <w:rStyle w:val="Ancredenotedefin"/>
          <w:rStyle w:val="Ancredenotedefin"/>
        </w:rPr>
        <w:endnoteReference w:id="81"/>
      </w:r>
      <w:r>
        <w:rPr>
          <w:rStyle w:val="Ancredenotedefin"/>
          <w:rStyle w:val="Ancredenotedefin"/>
        </w:rPr>
        <w:endnoteReference w:id="82"/>
      </w:r>
      <w:r>
        <w:rPr/>
        <w:t>.</w:t>
      </w:r>
    </w:p>
    <w:p>
      <w:pPr>
        <w:pStyle w:val="Puce3"/>
        <w:tabs>
          <w:tab w:val="clear" w:pos="720"/>
        </w:tabs>
        <w:rPr/>
      </w:pPr>
      <w:r>
        <w:rPr/>
        <w:t>2.</w:t>
        <w:tab/>
        <w:t>Въвеждане на финансови санкции за неблагоприятни последици, причинени от селскостопанска дейност (напр. емисии на парникови газове, използване на пестициди, прекомерно потребление на вода, транспорт на дълги разстояния и т.н.), в зависимост от тяхното въздействие върху околната среда. Селскостопанските продукти, внасяни в Съюза, също следва да бъдат оценявани на тази основа, включително чрез мита, за да се премахне всяко конкурентно предимство, произтичащо от по-малко строгите екологични стандарти</w:t>
      </w:r>
      <w:r>
        <w:rPr>
          <w:rStyle w:val="Ancredenotedefin"/>
          <w:rStyle w:val="Ancredenotedefin"/>
        </w:rPr>
        <w:endnoteReference w:id="83"/>
      </w:r>
      <w:r>
        <w:rPr/>
        <w:t>.</w:t>
      </w:r>
    </w:p>
    <w:p>
      <w:pPr>
        <w:pStyle w:val="Puce3"/>
        <w:tabs>
          <w:tab w:val="clear" w:pos="720"/>
        </w:tabs>
        <w:rPr/>
      </w:pPr>
      <w:r>
        <w:br w:type="column"/>
      </w:r>
      <w:r>
        <w:rPr/>
      </w:r>
    </w:p>
    <w:p>
      <w:pPr>
        <w:pStyle w:val="Puce3"/>
        <w:tabs>
          <w:tab w:val="clear" w:pos="720"/>
        </w:tabs>
        <w:rPr/>
      </w:pPr>
      <w:r>
        <w:rPr/>
        <w:t>3.</w:t>
        <w:tab/>
        <w:t>Намаляване на субсидиите за масово селскостопанско производство, когато то не допринася за устойчив преход, и пренасочване на тези ресурси в подкрепа на екологично устойчиво селско стопанство, като същевременно се гарантира финансовата достъпност на хранителните продукти.</w:t>
      </w:r>
      <w:r>
        <w:rPr>
          <w:rStyle w:val="Ancredenotedefin"/>
          <w:rStyle w:val="Ancredenotedefin"/>
        </w:rPr>
        <w:endnoteReference w:id="84"/>
      </w:r>
      <w:r>
        <w:rPr/>
        <w:t xml:space="preserve"> </w:t>
      </w:r>
      <w:r>
        <w:rPr>
          <w:rStyle w:val="Ancredenotedefin"/>
          <w:rStyle w:val="Ancredenotedefin"/>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Снимка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Снимка 26"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0" w:name="__RefHeading___Toc298334_1346298689"/>
      <w:bookmarkEnd w:id="80"/>
      <w:r>
        <w:rPr/>
        <w:t>„</w:t>
      </w:r>
      <w:r>
        <w:rPr/>
        <w:t>Цифрова трансформация“</w:t>
      </w:r>
    </w:p>
    <w:p>
      <w:pPr>
        <w:pStyle w:val="Normal"/>
        <w:rPr/>
      </w:pPr>
      <w:r>
        <w:rPr/>
        <w:t>Европа трябва да бъде в челните редици на света и да определя стандарти за цифрова трансформация и трябва да очертае европейски път към етично, ориентирано към човека, прозрачно и сигурно общество. Европа трябва да възприеме амбициозен подход и да използва пълноценно възможностите, предлагани от цифровизацията, като същевременно управлява рисковете и предизвикателствата, свързани с цифровизацията. Цифровизацията засяга всички области на нашето общество и трябва систематично да се взема предвид. Във връзка с това беше направено позоваване на Европейската декларация за цифровите права и принципите за цифровото десетилетие и беше предложено в бъдеще да се обмисли евентуалното разработване на Харта за цифровите права.</w:t>
      </w:r>
    </w:p>
    <w:p>
      <w:pPr>
        <w:pStyle w:val="Normal"/>
        <w:rPr/>
      </w:pPr>
      <w:r>
        <w:rPr/>
        <w:t>Руската агресия в Украйна само потвърждава много елементи, разгледани в предложенията, като необходимостта от цифров суверенитет, повишеното внимание към киберотбраната и защитата от дезинформация. Той също така доказва, че съвременните конфликти имат последици в цифровата сфера и повдигат нови въпроси, като дългосрочните последици от злоупотребата с лична информация и незаконното използване на тези данни в бъдеще.</w:t>
      </w:r>
    </w:p>
    <w:p>
      <w:pPr>
        <w:pStyle w:val="Normal"/>
        <w:rPr/>
      </w:pPr>
      <w:r>
        <w:rPr/>
      </w:r>
    </w:p>
    <w:p>
      <w:pPr>
        <w:pStyle w:val="Titre3"/>
        <w:numPr>
          <w:ilvl w:val="2"/>
          <w:numId w:val="2"/>
        </w:numPr>
        <w:rPr/>
      </w:pPr>
      <w:bookmarkStart w:id="81" w:name="__RefHeading___Toc298336_1346298689"/>
      <w:bookmarkEnd w:id="81"/>
      <w:r>
        <w:rPr/>
        <w:t>31. Предложение: Достъп до цифрова инфраструктура</w:t>
      </w:r>
    </w:p>
    <w:p>
      <w:pPr>
        <w:pStyle w:val="Normal"/>
        <w:rPr/>
      </w:pPr>
      <w:r>
        <w:rPr/>
        <w:t>Цел: Равният достъп до интернет е основно право на всеки европейски гражданин. Предлагаме всички в Европа да имат ефективен достъп до интернет и цифрови услуги и да се укрепи суверенитетът на цифровата инфраструктура на ЕС чрез прилагане на следните мерки:</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86"/>
      </w:r>
      <w:r>
        <w:rPr/>
        <w:t>:</w:t>
      </w:r>
    </w:p>
    <w:p>
      <w:pPr>
        <w:pStyle w:val="Puce3"/>
        <w:tabs>
          <w:tab w:val="clear" w:pos="720"/>
        </w:tabs>
        <w:rPr/>
      </w:pPr>
      <w:r>
        <w:rPr/>
        <w:t>1.</w:t>
        <w:tab/>
        <w:t>Инвестиране във висококачествена и иновативна европейска цифрова инфраструктура (включително разработването на 5G и 6G в Европа) (препоръки 40 и 47 от ЕПП 1 и № 1 на нидерландската НЗК).</w:t>
      </w:r>
    </w:p>
    <w:p>
      <w:pPr>
        <w:pStyle w:val="Puce3"/>
        <w:tabs>
          <w:tab w:val="clear" w:pos="720"/>
        </w:tabs>
        <w:rPr/>
      </w:pPr>
      <w:r>
        <w:rPr/>
        <w:t>2.</w:t>
        <w:tab/>
        <w:t>Осигуряване на бърз, финансово достъпен, сигурен и стабилен достъп до интернет в целия Съюз, включително роуминг, като се дава приоритет на създаването на интернет връзки в „бели/мъртви зони“, селските и отдалечените и периферните райони, за да се преодолее цифровото разделение между и в рамките на държавите членки и да се гарантира, че никой няма да бъде изоставен (препоръки 17 и 47 на нидерландския национален център за контакт 1 и № 1).</w:t>
      </w:r>
    </w:p>
    <w:p>
      <w:pPr>
        <w:pStyle w:val="Puce3"/>
        <w:tabs>
          <w:tab w:val="clear" w:pos="720"/>
        </w:tabs>
        <w:rPr/>
      </w:pPr>
      <w:r>
        <w:rPr/>
        <w:t>3.</w:t>
        <w:tab/>
        <w:t>Ускоряване на разгръщането, в публичните и частните пространства, на цифрова и електрическа инфраструктура, позволяваща използването на електрически и автономни превозни средства (разискване в работната група)</w:t>
      </w:r>
      <w:r>
        <w:rPr>
          <w:rStyle w:val="Ancredenotedefin"/>
          <w:rStyle w:val="Ancredenotedefin"/>
        </w:rPr>
        <w:endnoteReference w:id="87"/>
      </w:r>
      <w:r>
        <w:rPr/>
        <w:t>.</w:t>
      </w:r>
    </w:p>
    <w:p>
      <w:pPr>
        <w:pStyle w:val="Puce3"/>
        <w:tabs>
          <w:tab w:val="clear" w:pos="720"/>
        </w:tabs>
        <w:rPr/>
      </w:pPr>
      <w:r>
        <w:rPr/>
        <w:t>4.</w:t>
        <w:tab/>
        <w:t>Да предприеме мерки за гарантиране на лоялна и открита конкуренция и за предотвратяване на монополите, зависимостта от доставчици, концентрацията на данни и зависимостта от трети държави от инфраструктура и услуги; подобряване на пазарите от гледна точка на потребителите (Препоръка № 17 1).</w:t>
      </w:r>
    </w:p>
    <w:p>
      <w:pPr>
        <w:pStyle w:val="Puce3"/>
        <w:tabs>
          <w:tab w:val="clear" w:pos="720"/>
        </w:tabs>
        <w:rPr/>
      </w:pPr>
      <w:r>
        <w:rPr/>
        <w:t>5.</w:t>
        <w:tab/>
        <w:t>Превръщане на децата, семействата, възрастните хора и уязвимите групи в приоритет по отношение на достъпа до интернет и ИТ оборудване, включително достъп до образование, обществени услуги и здравеопазване (CEP 1 Препоръка 17 и обсъждане в работната група).</w:t>
      </w:r>
    </w:p>
    <w:p>
      <w:pPr>
        <w:pStyle w:val="Puce3"/>
        <w:tabs>
          <w:tab w:val="clear" w:pos="720"/>
        </w:tabs>
        <w:rPr/>
      </w:pPr>
      <w:r>
        <w:rPr/>
        <w:t>6.</w:t>
        <w:tab/>
        <w:t>Подобряване на цифровия достъп, с пълен достъп, до основни публични и частни услуги за гражданите и предприятията, например по отношение на административните процедури, и осигуряване на достъп до и подкрепа, свързана с тези услуги за всички, например чрез услуги за подкрепа (разискване в работната група, многоезична цифрова платформа).</w:t>
      </w:r>
    </w:p>
    <w:p>
      <w:pPr>
        <w:pStyle w:val="Puce3"/>
        <w:tabs>
          <w:tab w:val="clear" w:pos="720"/>
        </w:tabs>
        <w:rPr/>
      </w:pPr>
      <w:r>
        <w:rPr/>
        <w:t>7.</w:t>
        <w:tab/>
        <w:t>Хармонизиране на висококачествените цифрови стандарти и подобряване на сигурната мобилност на данните с цел улесняване на трансграничната оперативна съвместимост (разискване в работната група, многоезична цифрова платформа).</w:t>
      </w:r>
    </w:p>
    <w:p>
      <w:pPr>
        <w:pStyle w:val="Puce3"/>
        <w:tabs>
          <w:tab w:val="clear" w:pos="720"/>
        </w:tabs>
        <w:rPr/>
      </w:pPr>
      <w:r>
        <w:rPr/>
        <w:t>8.</w:t>
        <w:tab/>
        <w:t>Да обмисли въздействието на цифровата инфраструктура и цифровизацията върху околната среда с цел цифровата трансформация да стане устойчива и да се премине към екологично цифрово общество (разискване в работната група, многоезична цифрова платформа).</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2" w:name="__RefHeading___Toc298338_1346298689"/>
      <w:bookmarkEnd w:id="82"/>
      <w:r>
        <w:rPr/>
        <w:t>32. Предложение: Цифрови знания и умения, които дават възможност на хората</w:t>
      </w:r>
    </w:p>
    <w:p>
      <w:pPr>
        <w:pStyle w:val="P68B1DB1Normal15"/>
        <w:rPr>
          <w:b/>
          <w:b/>
        </w:rPr>
      </w:pPr>
      <w:r>
        <w:rPr/>
        <w:t>Цел: Предлагаме ЕС да гарантира, че всички европейски граждани могат да се възползват от цифровизацията, като им се даде възможност да придобият необходимите цифрови умения и възможности чрез прилагане на следните мерки:</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88"/>
      </w:r>
      <w:r>
        <w:rPr/>
        <w:t>:</w:t>
      </w:r>
    </w:p>
    <w:p>
      <w:pPr>
        <w:pStyle w:val="Puce3"/>
        <w:tabs>
          <w:tab w:val="clear" w:pos="720"/>
        </w:tabs>
        <w:rPr/>
      </w:pPr>
      <w:r>
        <w:rPr/>
        <w:t>1.</w:t>
        <w:tab/>
        <w:t>Осигуряване на достъп до обучение и образование, включително училищни, формални и неформални учебни програми, до цифрови умения и знания през целия живот, въз основа на съществуващи инициативи на европейско равнище, като се обръща особено внимание на приобщаването на хората, принадлежащи към уязвими групи и възрастни хора, както и на укрепването на цифровите умения на децата по начин, съвместим с тяхното правилно развитие и справяне с цифровото неравенство, включително цифровото разделение между мъжете и жените (Препоръка № 8, Препоръка 5.2 на италианския национален център за контакт и дебат в работната група).</w:t>
      </w:r>
    </w:p>
    <w:p>
      <w:pPr>
        <w:pStyle w:val="Puce3"/>
        <w:tabs>
          <w:tab w:val="clear" w:pos="720"/>
        </w:tabs>
        <w:rPr/>
      </w:pPr>
      <w:r>
        <w:rPr/>
        <w:t>2.</w:t>
        <w:tab/>
        <w:t>Гарантиране на разумното използване на интернет чрез насърчаване на държавите членки да развиват обучение по цифрови умения за всички възрастови групи с хармонизирани програми и съдържание на европейско равнище, като например интернет рискове и възможности, права на потребителите онлайн и нетикет (CEP 1 Препоръка 47 и дебат в работната група).</w:t>
      </w:r>
    </w:p>
    <w:p>
      <w:pPr>
        <w:pStyle w:val="Puce3"/>
        <w:tabs>
          <w:tab w:val="clear" w:pos="720"/>
        </w:tabs>
        <w:rPr/>
      </w:pPr>
      <w:r>
        <w:rPr/>
        <w:t>3.</w:t>
        <w:tab/>
        <w:t>Да предприеме всички необходими мерки, за да гарантира, че цифровизацията на обществото не изключва по-възрастните хора и че технологиите са достъпни за тях чрез насърчаване на съответните програми и инициативи, като например курсове, съобразени с техните нужди. В същото време следва да се гарантира, че основните услуги са достъпни и лично и по нецифров начин (препоръки 34 и 47 на CEP).</w:t>
      </w:r>
    </w:p>
    <w:p>
      <w:pPr>
        <w:pStyle w:val="Puce3"/>
        <w:tabs>
          <w:tab w:val="clear" w:pos="720"/>
        </w:tabs>
        <w:rPr/>
      </w:pPr>
      <w:r>
        <w:rPr/>
        <w:t>4.</w:t>
        <w:tab/>
        <w:t>Въвеждане в училищата на европейско сертифициране на цифровите умения, което ще подготви младите хора за бъдещия пазар на труда (Препоръка 8 1).</w:t>
      </w:r>
    </w:p>
    <w:p>
      <w:pPr>
        <w:pStyle w:val="Puce3"/>
        <w:tabs>
          <w:tab w:val="clear" w:pos="720"/>
        </w:tabs>
        <w:rPr/>
      </w:pPr>
      <w:r>
        <w:rPr/>
        <w:t>5.</w:t>
        <w:tab/>
        <w:t>Изпълнение на координирани инициативи за обучение на равнището на Съюза за преквалификация и повишаване на квалификацията на работниците, за да останат конкурентоспособни на пазара на труда, особено с оглед на уменията и квалификациите, необходими в малките и средните предприятия, както и с оглед на обучението на специалисти в областта на цифровите технологии (Препоръка 8 на ЦЕП и дебат в работната група).</w:t>
      </w:r>
    </w:p>
    <w:p>
      <w:pPr>
        <w:pStyle w:val="Puce3"/>
        <w:tabs>
          <w:tab w:val="clear" w:pos="720"/>
        </w:tabs>
        <w:rPr/>
      </w:pPr>
      <w:r>
        <w:rPr/>
        <w:t>6.</w:t>
        <w:tab/>
        <w:t>Популяризиране на съществуващите цифрови платформи, които свързват гражданите с работодателите и им помагат да намерят работа в ЕС, като например EURES (Препоръка № 8 1).</w:t>
      </w:r>
    </w:p>
    <w:p>
      <w:pPr>
        <w:pStyle w:val="Puce3"/>
        <w:tabs>
          <w:tab w:val="clear" w:pos="720"/>
        </w:tabs>
        <w:rPr/>
      </w:pPr>
      <w:r>
        <w:rPr/>
        <w:t>7.</w:t>
        <w:tab/>
        <w:t>Увеличаване на инвестициите и усилията за стимулиране на цифровизацията на образованието, включително на висшето образование (разискване в работната група/многоезичната цифрова платформа).</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3" w:name="__RefHeading___Toc298340_1346298689"/>
      <w:bookmarkEnd w:id="83"/>
      <w:r>
        <w:rPr/>
        <w:t>33. Предложение: Сигурно и надеждно цифрово общество — киберсигурност и дезинформация</w:t>
      </w:r>
    </w:p>
    <w:p>
      <w:pPr>
        <w:pStyle w:val="P68B1DB1Normal15"/>
        <w:rPr>
          <w:b/>
          <w:b/>
        </w:rPr>
      </w:pPr>
      <w:r>
        <w:rPr/>
        <w:t>Цел: предлагаме, за да се създаде сигурно, устойчиво и надеждно цифрово общество, ЕС да гарантира ефективното и навременно прилагане на съществуващото законодателство и да разполага с повече правомощия за укрепване на киберсигурността, борба с незаконното съдържание и киберпрестъпността, справяне с последиците от киберзаплахи от недържавни участници и авторитарни държави и борба с дезинформацията чрез прилагане на следните мерки:</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89"/>
      </w:r>
      <w:r>
        <w:rPr/>
        <w:t>:</w:t>
      </w:r>
    </w:p>
    <w:p>
      <w:pPr>
        <w:pStyle w:val="Puce3"/>
        <w:tabs>
          <w:tab w:val="clear" w:pos="720"/>
        </w:tabs>
        <w:rPr/>
      </w:pPr>
      <w:r>
        <w:rPr/>
        <w:t>1.</w:t>
        <w:tab/>
        <w:t>Укрепване на капацитета на Европол/Европейския център за борба с киберпрестъпността по отношение на финансовите и човешките ресурси, за да се даде възможност за по-проактивен подход към киберпрестъпността и за укрепване на общите европейски способности за киберотбрана срещу широкомащабни атаки, включително чрез по-добро сътрудничество (Препоръка на ЕПК № 39, Препоръка 2.6 на литовския НЗК и НЗК 1 на нидерландския НЗК и дебат в работната група).</w:t>
      </w:r>
    </w:p>
    <w:p>
      <w:pPr>
        <w:pStyle w:val="Puce3"/>
        <w:tabs>
          <w:tab w:val="clear" w:pos="720"/>
        </w:tabs>
        <w:rPr/>
      </w:pPr>
      <w:r>
        <w:rPr/>
        <w:t>2.</w:t>
        <w:tab/>
        <w:t>Да предприеме необходимите мерки, за да се подготви за широкомащабни атаки и прекъсвания на услугите и да бъде в състояние да ги преодолее бързо, например като гарантира наличието на устойчива инфраструктура и алтернативни комуникационни канали (разискване в работната група).</w:t>
      </w:r>
    </w:p>
    <w:p>
      <w:pPr>
        <w:pStyle w:val="Puce3"/>
        <w:tabs>
          <w:tab w:val="clear" w:pos="720"/>
        </w:tabs>
        <w:rPr/>
      </w:pPr>
      <w:r>
        <w:rPr/>
        <w:t>3.</w:t>
        <w:tab/>
        <w:t>Гарантиране на подобни санкции и тяхното бързо и ефективно прилагане в държавите членки в случай на престъпления в кибернетичното пространство чрез подобрена координация на местните, регионалните и националните центрове и органи в областта на киберсигурността (Препоръка на ЦЕР № 39 1).</w:t>
      </w:r>
    </w:p>
    <w:p>
      <w:pPr>
        <w:pStyle w:val="Puce3"/>
        <w:tabs>
          <w:tab w:val="clear" w:pos="720"/>
        </w:tabs>
        <w:rPr/>
      </w:pPr>
      <w:r>
        <w:rPr/>
        <w:t>4.</w:t>
        <w:tab/>
        <w:t>Подобряване на цифровите знания и критичното мислене като средство за борба с дезинформацията, онлайн заплахите и изказванията, подбуждащи към омраза, както и с нагласените интерфейси и преференциалните цени (разискване в работната група).</w:t>
      </w:r>
    </w:p>
    <w:p>
      <w:pPr>
        <w:pStyle w:val="Puce3"/>
        <w:tabs>
          <w:tab w:val="clear" w:pos="720"/>
        </w:tabs>
        <w:rPr/>
      </w:pPr>
      <w:r>
        <w:rPr/>
        <w:t>5.</w:t>
        <w:tab/>
        <w:t>Борба с дезинформацията чрез приемане на законодателство и насоки, които гарантират, че онлайн платформите и дружествата в социалните медии отстраняват уязвимостта си в дезинформацията, и прилагат мерки за прозрачност, включително например алгоритми, основани на изкуствен интелект, които могат да подчертаят надеждността на информацията в социалните медии и новите медии, като предоставят на ползвателя проверени източници на информация. Когато се използват алгоритми, крайният контрол в процесите на вземане на решения следва да бъде отговорност на хората (CEP 1 Препоръка 46 и обсъждане в работната група).</w:t>
      </w:r>
    </w:p>
    <w:p>
      <w:pPr>
        <w:pStyle w:val="Puce3"/>
        <w:tabs>
          <w:tab w:val="clear" w:pos="720"/>
        </w:tabs>
        <w:rPr/>
      </w:pPr>
      <w:r>
        <w:rPr/>
        <w:t>6.</w:t>
        <w:tab/>
        <w:t>Подкрепа за цифровите платформи, които допринасят за медийния плурализъм и предоставят ресурси и инициативи за оценка на надеждността и безпристрастността на информацията от традиционните медии (телевизия, печат, радио) и други медии при пълно зачитане на принципа на свобода на медиите и за предоставяне на гражданите на информация относно качеството на информацията (Препоръка 46 на МСЕ).</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4" w:name="__RefHeading___Toc298342_1346298689"/>
      <w:bookmarkEnd w:id="84"/>
      <w:r>
        <w:rPr/>
        <w:t>34. Предложение: Сигурно и надеждно цифрово общество — защита на данните</w:t>
      </w:r>
    </w:p>
    <w:p>
      <w:pPr>
        <w:pStyle w:val="P68B1DB1Normal15"/>
        <w:rPr>
          <w:b/>
          <w:b/>
        </w:rPr>
      </w:pPr>
      <w:r>
        <w:rPr/>
        <w:t>Цел: Ние подкрепяме суверенитета на хората по отношение на данните, по-добрата осведоменост и по-ефективното прилагане и прилагане на съществуващите правила за защита на данните (ОРЗД), за да засилим контрола на хората върху техните данни и да ограничим злоупотребата с данни, като прилагаме следните мерки:</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90"/>
      </w:r>
      <w:r>
        <w:rPr/>
        <w:t>:</w:t>
      </w:r>
    </w:p>
    <w:p>
      <w:pPr>
        <w:pStyle w:val="Puce3"/>
        <w:tabs>
          <w:tab w:val="clear" w:pos="720"/>
        </w:tabs>
        <w:rPr/>
      </w:pPr>
      <w:r>
        <w:rPr/>
        <w:t>1.</w:t>
        <w:tab/>
        <w:t>По-добро разясняване на правилата за защита на данните (ОРЗД), повишаване на прозрачността и подобряване на комуникацията чрез разработване на насоки за текстове с информирано съгласие, които използват прост, ясен и разбираем език, включително по-визуална презентация за съгласие за използването на данни, придружаваща ги с информационна кампания, както и гарантиране, че администраторите на данни разполагат с необходимите умения и съветват лицата, които се нуждаят от помощ (препоръки 42 и 45 на нидерландския НЗК 1 и № 2).</w:t>
      </w:r>
    </w:p>
    <w:p>
      <w:pPr>
        <w:pStyle w:val="Puce3"/>
        <w:tabs>
          <w:tab w:val="clear" w:pos="720"/>
        </w:tabs>
        <w:rPr/>
      </w:pPr>
      <w:r>
        <w:rPr/>
        <w:t>2.</w:t>
        <w:tab/>
        <w:t>Гарантиране на прилагането на съществуващата забрана за съгласие по подразбиране за повторна употреба или препродажба на данни (Препоръка № 42 1).</w:t>
      </w:r>
    </w:p>
    <w:p>
      <w:pPr>
        <w:pStyle w:val="Puce3"/>
        <w:tabs>
          <w:tab w:val="clear" w:pos="720"/>
        </w:tabs>
        <w:rPr/>
      </w:pPr>
      <w:r>
        <w:rPr/>
        <w:t>3.</w:t>
        <w:tab/>
        <w:t>Да гарантира, че исканията от потребителите за окончателно заличаване на данни се удовлетворяват в рамките на определен срок (Препоръка № 42 на ПОС).</w:t>
      </w:r>
    </w:p>
    <w:p>
      <w:pPr>
        <w:pStyle w:val="Puce3"/>
        <w:tabs>
          <w:tab w:val="clear" w:pos="720"/>
        </w:tabs>
        <w:rPr/>
      </w:pPr>
      <w:r>
        <w:rPr/>
        <w:t>4.</w:t>
        <w:tab/>
        <w:t>Предоставяне на потребителите на ясна и сбита информация за това как ще се използват данните и от кого (Препоръка № 42 1) на ПОС</w:t>
      </w:r>
    </w:p>
    <w:p>
      <w:pPr>
        <w:pStyle w:val="Puce3"/>
        <w:tabs>
          <w:tab w:val="clear" w:pos="720"/>
        </w:tabs>
        <w:rPr/>
      </w:pPr>
      <w:r>
        <w:rPr/>
        <w:t>5.</w:t>
        <w:tab/>
        <w:t>Да се гарантира, че неевропейските дружества спазват европейските правила за защита на данните (CEP 1 Препоръки 42 и 43).</w:t>
      </w:r>
    </w:p>
    <w:p>
      <w:pPr>
        <w:pStyle w:val="Puce3"/>
        <w:tabs>
          <w:tab w:val="clear" w:pos="720"/>
        </w:tabs>
        <w:rPr/>
      </w:pPr>
      <w:r>
        <w:rPr/>
        <w:t>6.</w:t>
        <w:tab/>
        <w:t>Насърчаването на създаването на схема за сертифициране на равнище ЕС, която удостоверява спазването на ОРЗД по достъпен, ясен и прост начин, е видима на уебсайтовете и платформите и следва да бъде издадена от независим сертифициращ орган на европейско равнище. Това не следва да представлява непропорционална тежест за малките и средните предприятия (CEP 1 Препоръка 44 и обсъждане в работната група).</w:t>
      </w:r>
    </w:p>
    <w:p>
      <w:pPr>
        <w:pStyle w:val="Puce3"/>
        <w:tabs>
          <w:tab w:val="clear" w:pos="720"/>
        </w:tabs>
        <w:rPr/>
      </w:pPr>
      <w:r>
        <w:rPr/>
        <w:t>7.</w:t>
        <w:tab/>
        <w:t>Осигуряване на ефективна и навременна помощ за гражданите, които срещат трудности при възражението срещу обработването на техните данни или отнемането на съгласието им. За тази цел е необходимо на европейско равнище да се определи по-добре натрапчиво поведение и да се разработят ръководни принципи и механизми, които да позволят на гражданите да се противопоставят на обработването на техните данни и да получат тяхното заличаване, както и да идентифицират и санкционират измамниците (Препоръка 43 на ЦЕП и дебата в работната група).</w:t>
      </w:r>
    </w:p>
    <w:p>
      <w:pPr>
        <w:pStyle w:val="Puce3"/>
        <w:tabs>
          <w:tab w:val="clear" w:pos="720"/>
        </w:tabs>
        <w:rPr/>
      </w:pPr>
      <w:r>
        <w:rPr/>
        <w:t>8.</w:t>
        <w:tab/>
        <w:t>Предвиждат санкции, включително глоба, пропорционална на оборота на дружествата и ограничения на тяхната дейност, например временни или окончателни забрани за нежелано обработване на данни, и подпомагат Европейския надзорен орган по защита на данните и националните агенции при гарантиране на тяхното изпълнение (Препоръки 42 и 43 на CEP 1 и разисквания в работната група).</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85" w:name="__RefHeading___Toc298344_1346298689"/>
      <w:bookmarkEnd w:id="85"/>
      <w:r>
        <w:rPr/>
        <w:t>35. Предложение: Цифрови иновации за укрепване на социалната и устойчива икономика</w:t>
      </w:r>
    </w:p>
    <w:p>
      <w:pPr>
        <w:pStyle w:val="Normal"/>
        <w:rPr/>
      </w:pPr>
      <w:r>
        <w:rPr/>
        <w:t>Цел: Предлагаме ЕС да насърчава мерки за цифровизация, които укрепват икономиката и единния пазар по справедлив и устойчив начин, правят Европа по-конкурентоспособна в областта на технологиите и иновациите, подобряват цифровия единен пазар за предприятия от всякакъв мащаб и поставят Европа в световен ред в областта на цифровата трансформация и ориентираната към човека цифровизация, като прилагат следните мерки:</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91"/>
      </w:r>
      <w:r>
        <w:rPr/>
        <w:t>:</w:t>
      </w:r>
    </w:p>
    <w:p>
      <w:pPr>
        <w:pStyle w:val="Puce3"/>
        <w:tabs>
          <w:tab w:val="clear" w:pos="720"/>
        </w:tabs>
        <w:rPr/>
      </w:pPr>
      <w:r>
        <w:rPr/>
        <w:t>1.</w:t>
        <w:tab/>
        <w:t>Да се въведе законодателство или да се укрепи съществуващото законодателство относно „мобилната работа“ (ориентирана към човека), като се вземе предвид неговото въздействие върху физическото и психическото здраве на работниците, например чрез гарантиране на правото на откъсване от работната среда. Подходът, ориентиран към човека, предполага принципа на „човешки контрол“ (Препоръка № 7 на PCE 1 и разискванията в работната група)</w:t>
      </w:r>
      <w:r>
        <w:rPr>
          <w:rStyle w:val="Ancredenotedefin"/>
          <w:rStyle w:val="Ancredenotedefin"/>
        </w:rPr>
        <w:endnoteReference w:id="92"/>
      </w:r>
      <w:r>
        <w:rPr/>
        <w:t>.</w:t>
      </w:r>
    </w:p>
    <w:p>
      <w:pPr>
        <w:pStyle w:val="Puce3"/>
        <w:tabs>
          <w:tab w:val="clear" w:pos="720"/>
        </w:tabs>
        <w:rPr/>
      </w:pPr>
      <w:r>
        <w:rPr/>
        <w:t>2.</w:t>
        <w:tab/>
        <w:t>Законодателство на равнище ЕС за насърчаване на предприятията да бъдат социално отговорни и за запазване на качествени „мобилни работни места“ в Европа, като по този начин се избягва преместването на тези работни места в държави на по-ниска цена. Стимулите могат да бъдат от финансово естество и/или въздействие върху корпоративния имидж и следва да отчитат международно признатите критерии в областта на околната среда, социалната сфера и управлението (ЕСУ). За тази цел Съюзът следва да създаде работна група, съставена от експерти от всички заинтересовани страни, за да преразгледа и укрепи това законодателство (Препоръка 7 на ВСЕ).</w:t>
      </w:r>
    </w:p>
    <w:p>
      <w:pPr>
        <w:pStyle w:val="Puce3"/>
        <w:tabs>
          <w:tab w:val="clear" w:pos="720"/>
        </w:tabs>
        <w:rPr/>
      </w:pPr>
      <w:r>
        <w:rPr/>
        <w:t>3.</w:t>
        <w:tab/>
        <w:t>Осигуряване на човешки контрол върху процесите на вземане на решения, използващи изкуствен интелект на работното място, и прозрачност на използваните алгоритми; вземат предвид вредните последици от безграничното цифрово наблюдение на работното място; информиране и консултиране на работниците преди въвеждането на цифрови технологии, които оказват въздействие върху условията на труд; да гарантира, че новите форми на заетост, например работата през платформа, са в съответствие с правата на работниците и осигуряват подходящи условия на труд (разискване в работната група).</w:t>
      </w:r>
    </w:p>
    <w:p>
      <w:pPr>
        <w:pStyle w:val="Puce3"/>
        <w:tabs>
          <w:tab w:val="clear" w:pos="720"/>
        </w:tabs>
        <w:rPr/>
      </w:pPr>
      <w:r>
        <w:rPr/>
        <w:t>4.</w:t>
        <w:tab/>
        <w:t>Предприемане на инициативи за подпомагане на дистанционната работа, например чрез създаване на офис пространства с бърз и надежден достъп до интернет, организиране на цифрово обучение и осигуряване на ресурси за ергономично оборудване за работа у дома (CEP 1 Препоръка 17 и обсъждане в работната група).</w:t>
      </w:r>
    </w:p>
    <w:p>
      <w:pPr>
        <w:pStyle w:val="Puce3"/>
        <w:tabs>
          <w:tab w:val="clear" w:pos="720"/>
        </w:tabs>
        <w:rPr/>
      </w:pPr>
      <w:r>
        <w:rPr/>
        <w:t>5.</w:t>
        <w:tab/>
        <w:t>Създаване на публично достъпна цифрова таблица с показатели, която създава система за класиране, в която се посочва и сравнява настоящото равнище на цифровизация на дружествата от ЕС (германски национални звена за контакт).</w:t>
      </w:r>
    </w:p>
    <w:p>
      <w:pPr>
        <w:pStyle w:val="Puce3"/>
        <w:tabs>
          <w:tab w:val="clear" w:pos="720"/>
        </w:tabs>
        <w:rPr/>
      </w:pPr>
      <w:r>
        <w:rPr/>
        <w:t>6.</w:t>
        <w:tab/>
        <w:t>Изграждане на силна и конкурентоспособна цифрова икономика и споделяне на ползите от цифровата трансформация по равнопоставен начин в цяла Европа чрез съсредоточаване върху технологиите и иновациите като двигатели на растежа, насърчаване на трансформативни авангардни научни изследвания, както и осигуряване на пространство за иновационни екосистеми във всички региони чрез подобряване на оперативната среда на МСП и стартиращите предприятия и справедлив достъп до финансиране и премахване на правните или други тежести, които възпрепятстват трансграничните дейности (Италианска препоръка 1.3, дебат на работната група и многоезична цифрова платформа). Изграждане на инфраструктура за данни, основана на европейските ценности; да прилага принципите на „цифровия приоритет„и „единното предаване на информация“ и да улеснява цифровия и сигурен достъп до данни за иновациите и бизнеса; насърчаване на цифровизацията на обществените услуги (разискване в работната група и многоезична цифрова платформа). Да се възползват в пълна степен от потенциала на надеждното и отговорно използване на изкуствения интелект и да се възползват от потенциала на технологията на блоковата верига и услугите в облак, като определят гаранции и стандарти, които гарантират прозрачност и оперативна съвместимост, създават доверие, улесняват използването и премахват дискриминационни или предубедени алгоритми (разискване в работната група и многоезичната цифрова платформа).</w:t>
      </w:r>
    </w:p>
    <w:p>
      <w:pPr>
        <w:pStyle w:val="Puce3"/>
        <w:tabs>
          <w:tab w:val="clear" w:pos="720"/>
        </w:tabs>
        <w:rPr/>
      </w:pPr>
      <w:r>
        <w:rPr/>
        <w:t>9.</w:t>
        <w:tab/>
        <w:t>Насърчаване на свободния софтуер, неговото използване в образованието и обучението и свободния достъп до публично финансирани научни изследвания и софтуер (разискване в работната група и многоезичната цифрова платформа).</w:t>
      </w:r>
    </w:p>
    <w:p>
      <w:pPr>
        <w:pStyle w:val="Puce3"/>
        <w:tabs>
          <w:tab w:val="clear" w:pos="720"/>
        </w:tabs>
        <w:rPr/>
      </w:pPr>
      <w:r>
        <w:rPr/>
        <w:t>10.</w:t>
        <w:tab/>
        <w:t>Въвеждане на обща европейска цифрова идентичност с цел улесняване на трансграничните цифрови трансакции и услуги чрез рамка от европейски стандарти и ръководни принципи, които осигуряват необходимите гаранции (разискване в работната група и многоезична цифрова платформа).</w:t>
      </w:r>
    </w:p>
    <w:p>
      <w:pPr>
        <w:pStyle w:val="Puce3"/>
        <w:tabs>
          <w:tab w:val="clear" w:pos="720"/>
        </w:tabs>
        <w:rPr/>
      </w:pPr>
      <w:r>
        <w:rPr/>
        <w:t>11.</w:t>
        <w:tab/>
        <w:t>Да прецени дали би било възможно да се цифровизира информацията за потребителските и хранителните продукти чрез стандартизирано европейско приложение, което би осигурило по-лесен за ползване достъп до информация и би предоставило допълнителна информация за продукта и производствената верига (Препоръка № 16 на ВСЕ).</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Снимка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Снимка 27"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6" w:name="__RefHeading___Toc298346_1346298689"/>
      <w:bookmarkEnd w:id="86"/>
      <w:r>
        <w:rPr/>
        <w:t>„</w:t>
      </w:r>
      <w:r>
        <w:rPr/>
        <w:t>Европейска демокрация“</w:t>
      </w:r>
    </w:p>
    <w:p>
      <w:pPr>
        <w:pStyle w:val="Titre3"/>
        <w:numPr>
          <w:ilvl w:val="2"/>
          <w:numId w:val="2"/>
        </w:numPr>
        <w:rPr/>
      </w:pPr>
      <w:bookmarkStart w:id="87" w:name="__RefHeading___Toc298348_1346298689"/>
      <w:bookmarkEnd w:id="87"/>
      <w:r>
        <w:rPr/>
        <w:t>36. Предложение: Информиране на гражданите, участието и младежта</w:t>
      </w:r>
    </w:p>
    <w:p>
      <w:pPr>
        <w:pStyle w:val="P68B1DB1Normal15"/>
        <w:rPr>
          <w:b/>
          <w:b/>
        </w:rPr>
      </w:pPr>
      <w:r>
        <w:rPr/>
        <w:t>Цел: Да се увеличи участието на гражданите и участието на младите хора в демокрацията на равнище ЕС, за да се създаде „пълен граждански опит“ за европейците; да гарантират, че техните възгледи са взети предвид, включително извън изборните периоди, и че тяхното участие е реално. Поради това е необходимо да се определи коя форма на участие е най-подходяща за всяка тема, например:</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Разработване на нови механизми за участие на гражданите и повишаване на ефективността на съществуващите механизми в съответствие с достиженията на правото на ЕС, като същевременно се подобрява комуникацията относно всички тези механизми. В идеалния случай цялата информация за пространствата за участие трябва да бъде обобщена</w:t>
      </w:r>
      <w:r>
        <w:rPr>
          <w:rStyle w:val="Ancredenotedefin"/>
          <w:rStyle w:val="Ancredenotedefin"/>
        </w:rPr>
        <w:endnoteReference w:id="93"/>
      </w:r>
      <w:r>
        <w:rPr/>
        <w:t xml:space="preserve"> на пълен официален уебсайт с различни функционалности</w:t>
      </w:r>
      <w:r>
        <w:rPr>
          <w:rStyle w:val="Ancredenotedefin"/>
          <w:rStyle w:val="Ancredenotedefin"/>
        </w:rPr>
        <w:endnoteReference w:id="94"/>
      </w:r>
      <w:r>
        <w:rPr/>
        <w:t>. Следва да се разработи механизъм за наблюдение на политическите и законодателните инициативи, произтичащи от процесите на демокрация на участието</w:t>
      </w:r>
      <w:r>
        <w:rPr>
          <w:rStyle w:val="Ancredenotedefin"/>
          <w:rStyle w:val="Ancredenotedefin"/>
        </w:rPr>
        <w:endnoteReference w:id="95"/>
      </w:r>
      <w:r>
        <w:rPr/>
        <w:t>. Всички механизми за участие следва да бъдат насочени към цялото население, за да достигнат до различни аудитории. Трябва да се обърне внимание на съдържанието, темите и уменията на модераторите. Тези механизми следва да се основават на анализ на въздействието на въпросните мерки, по-специално върху жените и уязвимите лица</w:t>
      </w:r>
      <w:r>
        <w:rPr>
          <w:rStyle w:val="Ancredenotedefin"/>
          <w:rStyle w:val="Ancredenotedefin"/>
        </w:rPr>
        <w:endnoteReference w:id="96"/>
      </w:r>
      <w:r>
        <w:rPr/>
        <w:t>.</w:t>
      </w:r>
    </w:p>
    <w:p>
      <w:pPr>
        <w:pStyle w:val="Puce3"/>
        <w:tabs>
          <w:tab w:val="clear" w:pos="720"/>
        </w:tabs>
        <w:rPr/>
      </w:pPr>
      <w:r>
        <w:rPr/>
        <w:t>2.</w:t>
        <w:tab/>
        <w:t>Чрез увеличаване на честотата на онлайн и офлайн взаимодействията между институциите на ЕС и гражданите с различни средства, за да се гарантира, че те могат да участват в процеса на изготвяне на европейските политики, да изразяват мнението си и да получават обратна връзка, както и да изготвят харта за участието на гражданите на европейските длъжностни лица</w:t>
      </w:r>
      <w:r>
        <w:rPr>
          <w:rStyle w:val="Ancredenotedefin"/>
          <w:rStyle w:val="Ancredenotedefin"/>
        </w:rPr>
        <w:endnoteReference w:id="97"/>
      </w:r>
      <w:r>
        <w:rPr/>
        <w:t>.</w:t>
      </w:r>
    </w:p>
    <w:p>
      <w:pPr>
        <w:pStyle w:val="Puce3"/>
        <w:tabs>
          <w:tab w:val="clear" w:pos="720"/>
        </w:tabs>
        <w:rPr/>
      </w:pPr>
      <w:r>
        <w:rPr/>
        <w:t>3.</w:t>
        <w:tab/>
        <w:t>Да предложи лесна за ползване цифрова платформа, в която гражданите — и по-специално младите хора — да могат да споделят своите идеи, да задават въпроси на представители на европейските институции и да изразяват вижданията си по важни европейски въпроси, както и по законодателни предложения. Следва също така да се предвиди възможността за организиране на онлайн проучвания на тази платформа</w:t>
      </w:r>
      <w:r>
        <w:rPr>
          <w:rStyle w:val="Ancredenotedefin"/>
          <w:rStyle w:val="Ancredenotedefin"/>
        </w:rPr>
        <w:endnoteReference w:id="98"/>
      </w:r>
      <w:r>
        <w:rPr/>
        <w:t>.</w:t>
      </w:r>
    </w:p>
    <w:p>
      <w:pPr>
        <w:pStyle w:val="Puce3"/>
        <w:tabs>
          <w:tab w:val="clear" w:pos="720"/>
        </w:tabs>
        <w:rPr/>
      </w:pPr>
      <w:r>
        <w:rPr/>
        <w:t>4.</w:t>
        <w:tab/>
        <w:t>Подобряване и хармонизиране на съществуващите механизми на европейско, национално и местно равнище, за да станат по-безопасни, по-достъпни, по-видими и по-приобщаващи</w:t>
      </w:r>
      <w:r>
        <w:rPr>
          <w:rStyle w:val="Ancredenotedefin"/>
          <w:rStyle w:val="Ancredenotedefin"/>
        </w:rPr>
        <w:endnoteReference w:id="99"/>
      </w:r>
      <w:r>
        <w:rPr/>
        <w:t>.</w:t>
      </w:r>
    </w:p>
    <w:p>
      <w:pPr>
        <w:pStyle w:val="Puce3"/>
        <w:tabs>
          <w:tab w:val="clear" w:pos="720"/>
        </w:tabs>
        <w:rPr/>
      </w:pPr>
      <w:r>
        <w:rPr/>
        <w:t>5.</w:t>
        <w:tab/>
        <w:t>Включване на организации на гражданското общество, регионални и местни органи и съществуващи органи, като например Европейския икономически и социален комитет (ЕИСК) и Комитета на регионите (КР</w:t>
      </w:r>
      <w:r>
        <w:rPr>
          <w:rStyle w:val="Ancredenotedefin"/>
          <w:rStyle w:val="Ancredenotedefin"/>
        </w:rPr>
        <w:endnoteReference w:id="100"/>
      </w:r>
      <w:r>
        <w:rPr/>
        <w:t>), в процесите на участие на гражданите</w:t>
      </w:r>
      <w:r>
        <w:rPr>
          <w:rStyle w:val="Ancredenotedefin"/>
          <w:rStyle w:val="Ancredenotedefin"/>
        </w:rPr>
        <w:endnoteReference w:id="101"/>
      </w:r>
      <w:r>
        <w:rPr/>
        <w:t>.</w:t>
      </w:r>
    </w:p>
    <w:p>
      <w:pPr>
        <w:pStyle w:val="Puce3"/>
        <w:tabs>
          <w:tab w:val="clear" w:pos="720"/>
        </w:tabs>
        <w:rPr/>
      </w:pPr>
      <w:r>
        <w:rPr/>
        <w:t>6.</w:t>
        <w:tab/>
        <w:t>Чрез създаване на система от местни съветници на ЕС, за да се доближат европейските институции до европейските граждани</w:t>
      </w:r>
      <w:r>
        <w:rPr>
          <w:rStyle w:val="Ancredenotedefin"/>
          <w:rStyle w:val="Ancredenotedefin"/>
        </w:rPr>
        <w:endnoteReference w:id="102"/>
      </w:r>
      <w:r>
        <w:rPr/>
        <w:t>.</w:t>
      </w:r>
    </w:p>
    <w:p>
      <w:pPr>
        <w:pStyle w:val="Puce3"/>
        <w:tabs>
          <w:tab w:val="clear" w:pos="720"/>
        </w:tabs>
        <w:rPr/>
      </w:pPr>
      <w:r>
        <w:rPr/>
        <w:t>7.</w:t>
        <w:tab/>
        <w:t>Периодично обединяване на гражданските асамблеи на правно обвързваща основа на правото на ЕС. Участниците ще бъдат привлечени чрез жребий в съответствие с критериите за представителност, а участието ще бъде силно насърчавано. Ако е необходимо, специалистите ще предоставят на членовете на събранието информация, свързана с техните разисквания. Ако институциите не вземат предвид заключенията от тези срещи, те ще трябва да мотивират решението си</w:t>
      </w:r>
      <w:r>
        <w:rPr>
          <w:rStyle w:val="Ancredenotedefin"/>
          <w:rStyle w:val="Ancredenotedefin"/>
        </w:rPr>
        <w:endnoteReference w:id="103"/>
      </w:r>
      <w:r>
        <w:rPr/>
        <w:t>. Важно е избраните представители да се консултират с гражданите и гражданското общество, преди да вземат политически решения и да вземат предвид техния принос. Европейският съюз се основава на представителната демокрация: на европейските избори гражданите изпращат ясно послание до своите представители и говорят косвено за политиките на ЕС</w:t>
      </w:r>
      <w:r>
        <w:rPr>
          <w:rStyle w:val="Ancredenotedefin"/>
          <w:rStyle w:val="Ancredenotedefin"/>
        </w:rPr>
        <w:endnoteReference w:id="104"/>
      </w:r>
      <w:r>
        <w:rPr/>
        <w:t>.</w:t>
      </w:r>
    </w:p>
    <w:p>
      <w:pPr>
        <w:pStyle w:val="Puce3"/>
        <w:tabs>
          <w:tab w:val="clear" w:pos="720"/>
        </w:tabs>
        <w:rPr/>
      </w:pPr>
      <w:r>
        <w:rPr/>
        <w:t>8.</w:t>
        <w:tab/>
        <w:t>Предоставяне на засилена финансова или друга структурна подкрепа на гражданското общество, по-специално на младежта, и на местните органи за създаване на местни младежки съвети</w:t>
      </w:r>
      <w:r>
        <w:rPr>
          <w:rStyle w:val="Ancredenotedefin"/>
          <w:rStyle w:val="Ancredenotedefin"/>
        </w:rPr>
        <w:endnoteReference w:id="105"/>
      </w:r>
      <w:r>
        <w:rPr/>
        <w:t>; участието на гражданското общество и социалните партньори би могло да бъде пълен стълб на Плана за действие за европейската демокрация, както и конкретна стратегия да бъде посветена на гражданското общество</w:t>
      </w:r>
      <w:r>
        <w:rPr>
          <w:rStyle w:val="Ancredenotedefin"/>
          <w:rStyle w:val="Ancredenotedefin"/>
        </w:rPr>
        <w:endnoteReference w:id="106"/>
      </w:r>
      <w:r>
        <w:rPr/>
        <w:t>.</w:t>
      </w:r>
    </w:p>
    <w:p>
      <w:pPr>
        <w:pStyle w:val="Puce3"/>
        <w:tabs>
          <w:tab w:val="clear" w:pos="720"/>
        </w:tabs>
        <w:rPr/>
      </w:pPr>
      <w:r>
        <w:rPr/>
        <w:t>9.</w:t>
        <w:tab/>
        <w:t>Въвеждане на „младежки контрол“ на законодателството, което ще включва оценка на въздействието и механизъм за консултации с представители на младежта, при които законодателството вероятно ще окаже въздействие върху младите хора</w:t>
      </w:r>
      <w:r>
        <w:rPr>
          <w:rStyle w:val="Ancredenotedefin"/>
          <w:rStyle w:val="Ancredenotedefin"/>
        </w:rPr>
        <w:endnoteReference w:id="107"/>
      </w:r>
      <w:r>
        <w:rPr/>
        <w:t>.</w:t>
      </w:r>
    </w:p>
    <w:p>
      <w:pPr>
        <w:pStyle w:val="Puce3"/>
        <w:tabs>
          <w:tab w:val="clear" w:pos="720"/>
        </w:tabs>
        <w:rPr/>
      </w:pPr>
      <w:r>
        <w:br w:type="column"/>
      </w:r>
      <w:r>
        <w:rPr/>
      </w:r>
    </w:p>
    <w:p>
      <w:pPr>
        <w:pStyle w:val="Puce3"/>
        <w:tabs>
          <w:tab w:val="clear" w:pos="720"/>
        </w:tabs>
        <w:rPr/>
      </w:pPr>
      <w:r>
        <w:rPr/>
        <w:t>10.</w:t>
        <w:tab/>
        <w:t>Чрез засилване на сътрудничеството между законодателите на ЕС и организациите на гражданското общество, за да се възползват от техните връзки между лицата, отговорни за вземането на решения, и гражданите</w:t>
      </w:r>
      <w:r>
        <w:rPr>
          <w:rStyle w:val="Ancredenotedefin"/>
          <w:rStyle w:val="Ancredenotedefin"/>
        </w:rPr>
        <w:endnoteReference w:id="108"/>
      </w:r>
      <w:r>
        <w:rPr/>
        <w:t>.</w:t>
      </w:r>
    </w:p>
    <w:p>
      <w:pPr>
        <w:pStyle w:val="Puce3"/>
        <w:tabs>
          <w:tab w:val="clear" w:pos="720"/>
        </w:tabs>
        <w:rPr/>
      </w:pPr>
      <w:r>
        <w:rPr/>
        <w:t>11.</w:t>
        <w:tab/>
        <w:t>Обобщаване на точките относно участието на гражданите в Европейската харта за приноса на гражданите по европейските въпроси.</w:t>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8" w:name="__RefHeading___Toc298350_1346298689"/>
      <w:bookmarkEnd w:id="88"/>
      <w:r>
        <w:rPr/>
        <w:t>37. Предложение: Информация за гражданите, участието и младежта (a)</w:t>
      </w:r>
    </w:p>
    <w:p>
      <w:pPr>
        <w:pStyle w:val="P68B1DB1Normal15"/>
        <w:rPr>
          <w:b/>
          <w:b/>
        </w:rPr>
      </w:pPr>
      <w:r>
        <w:rPr/>
        <w:t>Цел: Да направи Европейския съюз по-разбираем и достъпен; укрепване на общата европейска идентичност, по-специално:</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r>
      <w:r>
        <w:rPr>
          <w:rStyle w:val="Ancredenotedefin"/>
          <w:rStyle w:val="Ancredenotedefin"/>
          <w:b/>
        </w:rPr>
        <w:endnoteReference w:id="109"/>
      </w:r>
      <w:r>
        <w:rPr/>
        <w:t>Осигуряване на минимално образование за Европейския съюз, по-специално неговите демократични процеси, без да се пренебрегва историята на европейската интеграция и европейското гражданство. Хората от всички възрасти следва да могат да се възползват от тези програми, които следва да бъдат разработени по привлекателен и съобразен с възрастта начин, като например разработването на специфични образователни програми и материали за деца, училища</w:t>
      </w:r>
      <w:r>
        <w:rPr>
          <w:rStyle w:val="Ancredenotedefin"/>
          <w:rStyle w:val="Ancredenotedefin"/>
        </w:rPr>
        <w:endnoteReference w:id="110"/>
      </w:r>
      <w:r>
        <w:rPr/>
        <w:t xml:space="preserve"> и организации на гражданското общество, работещи в областта на неформалното образование</w:t>
      </w:r>
      <w:r>
        <w:rPr>
          <w:rStyle w:val="Ancredenotedefin"/>
          <w:rStyle w:val="Ancredenotedefin"/>
        </w:rPr>
        <w:endnoteReference w:id="111"/>
      </w:r>
      <w:r>
        <w:rPr/>
        <w:t>.</w:t>
      </w:r>
    </w:p>
    <w:p>
      <w:pPr>
        <w:pStyle w:val="Puce3"/>
        <w:tabs>
          <w:tab w:val="clear" w:pos="720"/>
        </w:tabs>
        <w:rPr/>
      </w:pPr>
      <w:r>
        <w:rPr/>
        <w:t>2.</w:t>
        <w:tab/>
        <w:t>Да се гарантира по приобщаващ начин, че всички граждани имат лесен достъп до надеждна информация за Съюза. Европейските институции следва да използват по-достъпен език и да избягват използването на бюрократичен жаргон в комуникациите си, като същевременно поддържат качеството и техническото равнище на предоставяната информация, както и</w:t>
      </w:r>
      <w:r>
        <w:rPr>
          <w:rStyle w:val="Ancredenotedefin"/>
          <w:rStyle w:val="Ancredenotedefin"/>
        </w:rPr>
        <w:endnoteReference w:id="112"/>
      </w:r>
      <w:r>
        <w:rPr/>
        <w:t xml:space="preserve"> да адаптират информацията към различните канали за комуникация и профилите на получателите</w:t>
      </w:r>
      <w:r>
        <w:rPr>
          <w:rStyle w:val="Ancredenotedefin"/>
          <w:rStyle w:val="Ancredenotedefin"/>
        </w:rPr>
        <w:endnoteReference w:id="113"/>
      </w:r>
      <w:r>
        <w:rPr/>
        <w:t>. Следва да се положат специални усилия за достигане до младите хора в социалните мрежи, но също и чрез младежки движения и различни „посланици“ (организации и физически лица)</w:t>
      </w:r>
      <w:r>
        <w:rPr>
          <w:rStyle w:val="Ancredenotedefin"/>
          <w:rStyle w:val="Ancredenotedefin"/>
        </w:rPr>
        <w:endnoteReference w:id="114"/>
      </w:r>
      <w:r>
        <w:rPr/>
        <w:t>, обясняващи европейския проект</w:t>
      </w:r>
      <w:r>
        <w:rPr>
          <w:rStyle w:val="Ancredenotedefin"/>
          <w:rStyle w:val="Ancredenotedefin"/>
        </w:rPr>
        <w:endnoteReference w:id="115"/>
      </w:r>
      <w:r>
        <w:rPr/>
        <w:t>.</w:t>
      </w:r>
    </w:p>
    <w:p>
      <w:pPr>
        <w:pStyle w:val="Puce3"/>
        <w:tabs>
          <w:tab w:val="clear" w:pos="720"/>
        </w:tabs>
        <w:rPr/>
      </w:pPr>
      <w:r>
        <w:rPr/>
        <w:t>3.</w:t>
        <w:tab/>
        <w:t>По-широко използване на изкуствения интелект и технологиите за машинен превод за преодоляване</w:t>
      </w:r>
      <w:r>
        <w:rPr>
          <w:rStyle w:val="Ancredenotedefin"/>
          <w:rStyle w:val="Ancredenotedefin"/>
        </w:rPr>
        <w:endnoteReference w:id="116"/>
      </w:r>
      <w:r>
        <w:rPr/>
        <w:t xml:space="preserve"> на езиковата бариера</w:t>
      </w:r>
      <w:r>
        <w:rPr>
          <w:rStyle w:val="Ancredenotedefin"/>
          <w:rStyle w:val="Ancredenotedefin"/>
        </w:rPr>
        <w:endnoteReference w:id="117"/>
      </w:r>
      <w:r>
        <w:rPr/>
        <w:t>, като се гарантира, че всички цифрови инструменти са достъпни за хората с увреждания</w:t>
      </w:r>
      <w:r>
        <w:rPr>
          <w:rStyle w:val="Ancredenotedefin"/>
          <w:rStyle w:val="Ancredenotedefin"/>
        </w:rPr>
        <w:endnoteReference w:id="118"/>
      </w:r>
      <w:r>
        <w:rPr/>
        <w:t xml:space="preserve"> и лесни за използване.</w:t>
      </w:r>
    </w:p>
    <w:p>
      <w:pPr>
        <w:pStyle w:val="Puce3"/>
        <w:tabs>
          <w:tab w:val="clear" w:pos="720"/>
        </w:tabs>
        <w:rPr/>
      </w:pPr>
      <w:r>
        <w:rPr/>
        <w:t>4.</w:t>
        <w:tab/>
        <w:t>Чрез защита и подкрепа на свободата, плурализма и независимостта на медиите и чрез насърчаване на медиите, включително обществените радио- и телевизионни оператори, обществените информационни агенции и европейските медии, да отразяват по-редовно европейските въпроси, като същевременно зачитат тяхната свобода и независимост, така че това отразяване да бъде редовно и всеобхватно във всички държави — членки на Съюза</w:t>
      </w:r>
      <w:r>
        <w:rPr>
          <w:rStyle w:val="Ancredenotedefin"/>
          <w:rStyle w:val="Ancredenotedefin"/>
        </w:rPr>
        <w:endnoteReference w:id="119"/>
      </w:r>
      <w:r>
        <w:rPr/>
        <w:t>, увеличаване на усилията за борба с дезинформацията и чуждестранната намеса и защита на журналистите</w:t>
      </w:r>
      <w:r>
        <w:rPr>
          <w:rStyle w:val="Ancredenotedefin"/>
          <w:rStyle w:val="Ancredenotedefin"/>
        </w:rPr>
        <w:endnoteReference w:id="120"/>
      </w:r>
      <w:r>
        <w:rPr/>
        <w:t>.</w:t>
      </w:r>
    </w:p>
    <w:p>
      <w:pPr>
        <w:pStyle w:val="Puce3"/>
        <w:tabs>
          <w:tab w:val="clear" w:pos="720"/>
        </w:tabs>
        <w:rPr/>
      </w:pPr>
      <w:r>
        <w:rPr/>
      </w:r>
    </w:p>
    <w:p>
      <w:pPr>
        <w:pStyle w:val="Puce3"/>
        <w:tabs>
          <w:tab w:val="clear" w:pos="720"/>
        </w:tabs>
        <w:rPr/>
      </w:pPr>
      <w:r>
        <w:rPr/>
        <w:t>5.</w:t>
        <w:tab/>
        <w:t>Чрез доближаване на Европа до гражданите чрез укрепване на</w:t>
      </w:r>
      <w:r>
        <w:rPr>
          <w:rStyle w:val="Ancredenotedefin"/>
          <w:rStyle w:val="Ancredenotedefin"/>
        </w:rPr>
        <w:endnoteReference w:id="121"/>
      </w:r>
      <w:r>
        <w:rPr/>
        <w:t xml:space="preserve"> звената за контакт и специализираните центрове („Домовете на Европа“) на местно равнище, които биха предложили ресурси, информация и съвети на гражданите по европейски въпроси, биха изслушали техните опасения и биха обсъдили с асоциациите, за да помогнат за представянето на възгледите на гражданите на европейско равнище</w:t>
      </w:r>
      <w:r>
        <w:rPr>
          <w:rStyle w:val="Ancredenotedefin"/>
          <w:rStyle w:val="Ancredenotedefin"/>
        </w:rPr>
        <w:endnoteReference w:id="122"/>
      </w:r>
      <w:r>
        <w:rPr/>
        <w:t>.</w:t>
      </w:r>
    </w:p>
    <w:p>
      <w:pPr>
        <w:pStyle w:val="Puce3"/>
        <w:tabs>
          <w:tab w:val="clear" w:pos="720"/>
        </w:tabs>
        <w:rPr/>
      </w:pPr>
      <w:r>
        <w:rPr/>
        <w:t>6.</w:t>
        <w:tab/>
        <w:t>Чрез предприемане на нови мерки за укрепване на общата идентичност на европейците, например чрез фонд на ЕС, който би насърчил онлайн и офлайн взаимодействия (като програми за обмен, панели или срещи) с различна продължителност между гражданите на ЕС, организиране на европейски спортни прояви, създаване на съвместни екипи или превръщане на 9 май (деня на Европа) в допълнителен празник</w:t>
      </w:r>
      <w:r>
        <w:rPr>
          <w:rStyle w:val="Ancredenotedefin"/>
          <w:rStyle w:val="Ancredenotedefin"/>
        </w:rPr>
        <w:endnoteReference w:id="123"/>
      </w:r>
      <w:r>
        <w:rPr/>
        <w:t xml:space="preserve"> за всички европейски граждани</w:t>
      </w:r>
      <w:r>
        <w:rPr>
          <w:rStyle w:val="Ancredenotedefin"/>
          <w:rStyle w:val="Ancredenotedefin"/>
        </w:rPr>
        <w:endnoteReference w:id="124"/>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9" w:name="__RefHeading___Toc298352_1346298689"/>
      <w:bookmarkEnd w:id="89"/>
      <w:r>
        <w:rPr/>
        <w:t>38. Предложение: Демокрация и избори</w:t>
      </w:r>
    </w:p>
    <w:p>
      <w:pPr>
        <w:pStyle w:val="Normal"/>
        <w:rPr/>
      </w:pPr>
      <w:r>
        <w:rPr/>
        <w:t>Цел: Укрепване на европейската демокрация чрез укрепване на нейните основи, насърчаване на участието на гражданите в изборите за Европейски парламент, насърчаване на транснационални дебати по европейски въпроси и осигуряване на силна връзка между гражданите и техните избрани представители, по-специално:</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Гарантиране на защитата на европейските ценности, залегнали в Договорите, включително принципите на правовата държава и стабилен социален модел</w:t>
      </w:r>
      <w:r>
        <w:rPr>
          <w:rStyle w:val="Ancredenotedefin"/>
          <w:rStyle w:val="Ancredenotedefin"/>
        </w:rPr>
        <w:endnoteReference w:id="125"/>
      </w:r>
      <w:r>
        <w:rPr/>
        <w:t>, които са в основата на европейската демокрация. В отношенията си с останалия свят Съюзът следва да даде приоритет на общите демократични ценности в граничните държави. Едва след постигането на тази цел тя може да стане посланик на нашия демократичен модел в страни, които имат капацитета и волята да го направят, чрез дипломация и диалог</w:t>
      </w:r>
      <w:r>
        <w:rPr>
          <w:rStyle w:val="Ancredenotedefin"/>
          <w:rStyle w:val="Ancredenotedefin"/>
        </w:rPr>
        <w:endnoteReference w:id="126"/>
      </w:r>
      <w:r>
        <w:rPr/>
        <w:t>.</w:t>
      </w:r>
    </w:p>
    <w:p>
      <w:pPr>
        <w:pStyle w:val="Puce3"/>
        <w:tabs>
          <w:tab w:val="clear" w:pos="720"/>
        </w:tabs>
        <w:rPr/>
      </w:pPr>
      <w:r>
        <w:rPr/>
        <w:t>2.</w:t>
        <w:tab/>
        <w:t>Чрез въвеждане на възможността за провеждане на референдум в целия Съюз, по инициатива на Европейския парламент, по изключение, ако дадена тема се окаже особено важна за всички европейски граждани</w:t>
      </w:r>
      <w:r>
        <w:rPr>
          <w:rStyle w:val="Ancredenotedefin"/>
          <w:rStyle w:val="Ancredenotedefin"/>
        </w:rPr>
        <w:endnoteReference w:id="127"/>
      </w:r>
      <w:r>
        <w:rPr/>
        <w:t>.</w:t>
      </w:r>
    </w:p>
    <w:p>
      <w:pPr>
        <w:pStyle w:val="Puce3"/>
        <w:tabs>
          <w:tab w:val="clear" w:pos="720"/>
        </w:tabs>
        <w:rPr/>
      </w:pPr>
      <w:r>
        <w:rPr/>
        <w:t>3.</w:t>
        <w:tab/>
        <w:t>Чрез изменение на избирателното право на Съюза с цел хармонизиране на договореностите за изборите за Европейски парламент (напр. възраст за пълнолетие, дата на изборите, изисквания, приложими за избирателните райони, кандидатите, политическите партии и тяхното финансиране), както и чрез преминаване към паневропейски или транснационални листи,</w:t>
      </w:r>
      <w:r>
        <w:rPr>
          <w:rStyle w:val="Ancredenotedebasdepage"/>
          <w:rStyle w:val="Ancredenotedebasdepage"/>
        </w:rPr>
        <w:footnoteReference w:id="11"/>
      </w:r>
      <w:r>
        <w:rPr/>
        <w:t xml:space="preserve"> включително кандидати от различни държави членки, след като се вземат предвид</w:t>
      </w:r>
      <w:r>
        <w:rPr>
          <w:rStyle w:val="Ancredenotedefin"/>
          <w:rStyle w:val="Ancredenotedefin"/>
        </w:rPr>
        <w:endnoteReference w:id="128"/>
      </w:r>
      <w:r>
        <w:rPr/>
        <w:t xml:space="preserve"> становищата, изразени от гражданите на държавите членки по този въпрос</w:t>
      </w:r>
      <w:r>
        <w:rPr>
          <w:rStyle w:val="Ancredenotedefin"/>
          <w:rStyle w:val="Ancredenotedefin"/>
        </w:rPr>
        <w:endnoteReference w:id="129"/>
      </w:r>
      <w:r>
        <w:rPr/>
        <w:t>.</w:t>
      </w:r>
    </w:p>
    <w:p>
      <w:pPr>
        <w:pStyle w:val="Alineanegatifpuce"/>
        <w:numPr>
          <w:ilvl w:val="0"/>
          <w:numId w:val="3"/>
        </w:numPr>
        <w:rPr/>
      </w:pPr>
      <w:r>
        <w:rPr/>
        <w:t xml:space="preserve"> </w:t>
      </w:r>
      <w:r>
        <w:rPr/>
        <w:t>Някои членове на Европейския парламент следва да бъдат избирани от общоевропейски листи, докато други ще бъдат избрани на равнище държави членки</w:t>
      </w:r>
      <w:r>
        <w:rPr>
          <w:rStyle w:val="Ancredenotedefin"/>
          <w:rStyle w:val="Ancredenotedefin"/>
        </w:rPr>
        <w:endnoteReference w:id="130"/>
      </w:r>
      <w:r>
        <w:rPr/>
        <w:t>.</w:t>
      </w:r>
    </w:p>
    <w:p>
      <w:pPr>
        <w:pStyle w:val="Alineanegatifpuce"/>
        <w:numPr>
          <w:ilvl w:val="0"/>
          <w:numId w:val="3"/>
        </w:numPr>
        <w:rPr/>
      </w:pPr>
      <w:r>
        <w:rPr/>
        <w:t xml:space="preserve"> </w:t>
      </w:r>
      <w:r>
        <w:rPr/>
        <w:t>Целта на реформата следва да бъде също така да се улеснят условията за цифрово гласуване</w:t>
      </w:r>
      <w:r>
        <w:rPr>
          <w:rStyle w:val="Ancredenotedefin"/>
          <w:rStyle w:val="Ancredenotedefin"/>
        </w:rPr>
        <w:endnoteReference w:id="131"/>
      </w:r>
      <w:r>
        <w:rPr/>
        <w:t xml:space="preserve"> и да се гарантира реалното право на хората с увреждания да гласуват</w:t>
      </w:r>
      <w:r>
        <w:rPr>
          <w:rStyle w:val="Ancredenotedefin"/>
          <w:rStyle w:val="Ancredenotedefin"/>
        </w:rPr>
        <w:endnoteReference w:id="132"/>
      </w:r>
      <w:r>
        <w:rPr/>
        <w:t>.</w:t>
      </w:r>
    </w:p>
    <w:p>
      <w:pPr>
        <w:pStyle w:val="Puce3"/>
        <w:tabs>
          <w:tab w:val="clear" w:pos="720"/>
        </w:tabs>
        <w:rPr/>
      </w:pPr>
      <w:r>
        <w:rPr/>
        <w:t>4.</w:t>
        <w:tab/>
        <w:t>Укрепване на връзките между гражданите и техните избрани представители, като се вземат предвид националните особености: гражданите искат да почувстват, че членовете на ЕП и националните парламенти са близо до тях и да отговорят на техните опасения с конкретни мерки</w:t>
      </w:r>
      <w:r>
        <w:rPr>
          <w:rStyle w:val="Ancredenotedefin"/>
          <w:rStyle w:val="Ancredenotedefin"/>
        </w:rPr>
        <w:endnoteReference w:id="133"/>
      </w:r>
      <w:r>
        <w:rPr/>
        <w:t>. Това е универсален проблем и хората от всички възрасти трябва да се включат</w:t>
      </w:r>
      <w:r>
        <w:rPr>
          <w:rStyle w:val="Ancredenotedefin"/>
          <w:rStyle w:val="Ancredenotedefin"/>
        </w:rPr>
        <w:endnoteReference w:id="134"/>
      </w:r>
      <w:r>
        <w:rPr/>
        <w:t>.</w:t>
      </w:r>
    </w:p>
    <w:p>
      <w:pPr>
        <w:pStyle w:val="Alineanegatifpuce"/>
        <w:numPr>
          <w:ilvl w:val="0"/>
          <w:numId w:val="3"/>
        </w:numPr>
        <w:rPr/>
      </w:pPr>
      <w:r>
        <w:rPr/>
        <w:t xml:space="preserve"> </w:t>
      </w:r>
      <w:r>
        <w:rPr/>
        <w:t>Европейските граждани следва да имат по-голяма тежест при избора на председател на Комисията. Тази цел би могла да бъде постигната чрез пряко избиране на председателя на Комисията</w:t>
      </w:r>
      <w:r>
        <w:rPr>
          <w:rStyle w:val="Ancredenotedefin"/>
          <w:rStyle w:val="Ancredenotedefin"/>
        </w:rPr>
        <w:endnoteReference w:id="135"/>
      </w:r>
      <w:r>
        <w:rPr/>
        <w:t xml:space="preserve"> или чрез системата от кандидати от най-висок ранг</w:t>
      </w:r>
      <w:r>
        <w:rPr>
          <w:rStyle w:val="Ancredenotedebasdepage"/>
          <w:rStyle w:val="Ancredenotedebasdepage"/>
        </w:rPr>
        <w:footnoteReference w:id="12"/>
      </w:r>
      <w:r>
        <w:rPr/>
        <w:t>.</w:t>
      </w:r>
    </w:p>
    <w:p>
      <w:pPr>
        <w:pStyle w:val="Alineanegatifpuce"/>
        <w:numPr>
          <w:ilvl w:val="0"/>
          <w:numId w:val="3"/>
        </w:numPr>
        <w:rPr/>
      </w:pPr>
      <w:r>
        <w:rPr/>
        <w:t xml:space="preserve"> </w:t>
      </w:r>
      <w:r>
        <w:rPr/>
        <w:t>Европейският парламент следва да има право на законодателна инициатива, за да предлага</w:t>
      </w:r>
      <w:r>
        <w:rPr>
          <w:rStyle w:val="Ancredenotedefin"/>
          <w:rStyle w:val="Ancredenotedefin"/>
        </w:rPr>
        <w:endnoteReference w:id="136"/>
      </w:r>
      <w:r>
        <w:rPr/>
        <w:t xml:space="preserve"> теми за обсъждане и след това да приема необходимите текстове, за да предприеме последващи действия във връзка с препоръките, произтичащи от разискванията</w:t>
      </w:r>
      <w:r>
        <w:rPr>
          <w:rStyle w:val="Ancredenotedefin"/>
          <w:rStyle w:val="Ancredenotedefin"/>
        </w:rPr>
        <w:endnoteReference w:id="137"/>
      </w:r>
      <w:r>
        <w:rPr/>
        <w:t>.</w:t>
      </w:r>
    </w:p>
    <w:p>
      <w:pPr>
        <w:pStyle w:val="Alineanegatifpuce"/>
        <w:numPr>
          <w:ilvl w:val="0"/>
          <w:numId w:val="3"/>
        </w:numPr>
        <w:rPr/>
      </w:pPr>
      <w:r>
        <w:rPr/>
        <w:t xml:space="preserve"> </w:t>
      </w:r>
      <w:r>
        <w:rPr/>
        <w:t>Европейският парламент следва да вземе решение относно бюджета на ЕС, както правят парламентите на национално равнище</w:t>
      </w:r>
      <w:r>
        <w:rPr>
          <w:rStyle w:val="Ancredenotedebasdepage"/>
          <w:rStyle w:val="Ancredenotedebasdepage"/>
        </w:rPr>
        <w:footnoteReference w:id="13"/>
      </w:r>
      <w:r>
        <w:rPr/>
        <w:t>.</w:t>
      </w:r>
      <w:r>
        <w:rPr>
          <w:rStyle w:val="Ancredenotedefin"/>
          <w:rStyle w:val="Ancredenotedefin"/>
        </w:rPr>
        <w:endnoteReference w:id="138"/>
      </w:r>
      <w:r>
        <w:rPr/>
        <w:t xml:space="preserve"> </w:t>
      </w:r>
    </w:p>
    <w:p>
      <w:pPr>
        <w:pStyle w:val="Alineanegatifpuce"/>
        <w:numPr>
          <w:ilvl w:val="0"/>
          <w:numId w:val="3"/>
        </w:numPr>
        <w:rPr/>
      </w:pPr>
      <w:r>
        <w:rPr/>
        <w:t xml:space="preserve"> </w:t>
      </w:r>
      <w:r>
        <w:rPr/>
        <w:t>Политическите партии, организациите на гражданското общество и профсъюзите следва да бъдат по-динамични и достъпни, така че гражданите да се ангажират и да инвестират повече в европейската демокрация</w:t>
      </w:r>
      <w:r>
        <w:rPr>
          <w:rStyle w:val="Ancredenotedefin"/>
          <w:rStyle w:val="Ancredenotedefin"/>
        </w:rPr>
        <w:endnoteReference w:id="139"/>
      </w:r>
      <w:r>
        <w:rPr/>
        <w:t>. Това също така би насърчило включването на европейските въпроси в обществените дебати, организирани от политическите партии, организациите на гражданското общество и социалните партньори, независимо дали в навечерието на изборите за Европейски парламент или в навечерието на национални, регионални или местни избори</w:t>
      </w:r>
      <w:r>
        <w:rPr>
          <w:rStyle w:val="Ancredenotedefin"/>
          <w:rStyle w:val="Ancredenotedefin"/>
        </w:rPr>
        <w:endnoteReference w:id="140"/>
      </w:r>
      <w:r>
        <w:rPr/>
        <w:t>.</w:t>
      </w:r>
    </w:p>
    <w:p>
      <w:pPr>
        <w:pStyle w:val="Puce3"/>
        <w:tabs>
          <w:tab w:val="clear" w:pos="720"/>
        </w:tabs>
        <w:rPr/>
      </w:pPr>
      <w:r>
        <w:rPr/>
        <w:t>5.</w:t>
        <w:tab/>
        <w:t>Демокрацията е въплътена в институциите и обществото като цяло, включително на работното място благодарение на социалните партньори</w:t>
      </w:r>
      <w:r>
        <w:rPr>
          <w:rStyle w:val="Ancredenotedefin"/>
          <w:rStyle w:val="Ancredenotedefin"/>
        </w:rPr>
        <w:endnoteReference w:id="141"/>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90" w:name="__RefHeading___Toc298354_1346298689"/>
      <w:bookmarkEnd w:id="90"/>
      <w:r>
        <w:rPr/>
        <w:t>39. Предложение: Процес на вземане на решения в Съюза</w:t>
      </w:r>
    </w:p>
    <w:p>
      <w:pPr>
        <w:pStyle w:val="P68B1DB1Normal15"/>
        <w:rPr>
          <w:b/>
          <w:b/>
        </w:rPr>
      </w:pPr>
      <w:r>
        <w:rPr/>
        <w:t>Цел: Подобряване на процеса на вземане на решения в Съюза, за да се гарантира капацитетът му за действие, като същевременно се вземат предвид интересите на всяка държава членка и се осигури прозрачен и разбираем процес за гражданите, по-специално:</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Преразглеждане на правилата за вземане на решения и гласуване в европейските институции. Въпросът за единодушното гласуване заслужава специално внимание, тъй като прави всяко споразумение много трудно. Следва да се гарантира справедливост при претеглянето на гласовете, така че да се защитят интересите на малките държави</w:t>
      </w:r>
      <w:r>
        <w:rPr>
          <w:rStyle w:val="Ancredenotedefin"/>
          <w:rStyle w:val="Ancredenotedefin"/>
        </w:rPr>
        <w:endnoteReference w:id="142"/>
      </w:r>
      <w:r>
        <w:rPr/>
        <w:t>.</w:t>
      </w:r>
    </w:p>
    <w:p>
      <w:pPr>
        <w:pStyle w:val="Alineanegatifpuce"/>
        <w:numPr>
          <w:ilvl w:val="0"/>
          <w:numId w:val="3"/>
        </w:numPr>
        <w:rPr/>
      </w:pPr>
      <w:r>
        <w:rPr/>
        <w:t xml:space="preserve"> </w:t>
      </w:r>
      <w:r>
        <w:rPr/>
        <w:t>В бъдеще всички решения, взети с единодушие, следва да се приемат с квалифицирано мнозинство. Единствените изключения следва да бъдат приемането на нови държави членки в Европейския съюз и изменението на основните принципи на Съюза, залегнали в член 2 от Договора за Европейския съюз и в Хартата на основните права на Европейския съюз</w:t>
      </w:r>
      <w:r>
        <w:rPr>
          <w:rStyle w:val="Ancredenotedefin"/>
          <w:rStyle w:val="Ancredenotedefin"/>
        </w:rPr>
        <w:endnoteReference w:id="143"/>
      </w:r>
      <w:r>
        <w:rPr/>
        <w:t>.</w:t>
      </w:r>
    </w:p>
    <w:p>
      <w:pPr>
        <w:pStyle w:val="Puce3"/>
        <w:tabs>
          <w:tab w:val="clear" w:pos="720"/>
        </w:tabs>
        <w:rPr/>
      </w:pPr>
      <w:r>
        <w:rPr/>
        <w:t>2.</w:t>
        <w:tab/>
        <w:t>Осигуряване на прозрачност в процеса на вземане на решения, даване на възможност на независимите граждански наблюдатели да следят отблизо този процес, прилагане на по-широко право на достъп до документи</w:t>
      </w:r>
      <w:r>
        <w:rPr>
          <w:rStyle w:val="Ancredenotedefin"/>
          <w:rStyle w:val="Ancredenotedefin"/>
        </w:rPr>
        <w:endnoteReference w:id="144"/>
      </w:r>
      <w:r>
        <w:rPr/>
        <w:t xml:space="preserve"> и установяване на по-тесни връзки и засилен диалог между гражданите и европейските институции на тази основа</w:t>
      </w:r>
      <w:r>
        <w:rPr>
          <w:rStyle w:val="Ancredenotedefin"/>
          <w:rStyle w:val="Ancredenotedefin"/>
        </w:rPr>
        <w:endnoteReference w:id="145"/>
      </w:r>
      <w:r>
        <w:rPr/>
        <w:t>.</w:t>
      </w:r>
    </w:p>
    <w:p>
      <w:pPr>
        <w:pStyle w:val="Alineanegatifpuce"/>
        <w:numPr>
          <w:ilvl w:val="0"/>
          <w:numId w:val="3"/>
        </w:numPr>
        <w:rPr/>
      </w:pPr>
      <w:r>
        <w:rPr/>
        <w:t xml:space="preserve"> </w:t>
      </w:r>
      <w:r>
        <w:rPr/>
        <w:t>Съюзът трябва да подобри прозрачността на своя процес на вземане на решения и на своите институции. Например заседанията на Съвета и на Европейския парламент, включително сесиите за гласуване, следва да се разпространяват онлайн по същия начин. Това би позволило на заинтересованите граждани да наблюдават изготвянето на политиките на ЕС и би задължило създателите на политики да докладват за своите действия</w:t>
      </w:r>
      <w:r>
        <w:rPr>
          <w:rStyle w:val="Ancredenotedefin"/>
          <w:rStyle w:val="Ancredenotedefin"/>
        </w:rPr>
        <w:endnoteReference w:id="146"/>
      </w:r>
      <w:r>
        <w:rPr/>
        <w:t>. Правото на Европейския парламент на разследване също следва да бъде укрепено.</w:t>
      </w:r>
      <w:r>
        <w:rPr>
          <w:rStyle w:val="Ancredenotedefin"/>
          <w:rStyle w:val="Ancredenotedefin"/>
        </w:rPr>
        <w:endnoteReference w:id="147"/>
      </w:r>
      <w:r>
        <w:rPr/>
        <w:t xml:space="preserve"> Изменение № 44А на РГ.</w:t>
      </w:r>
    </w:p>
    <w:p>
      <w:pPr>
        <w:pStyle w:val="Alineanegatifpuce"/>
        <w:numPr>
          <w:ilvl w:val="0"/>
          <w:numId w:val="3"/>
        </w:numPr>
        <w:rPr/>
      </w:pPr>
      <w:r>
        <w:rPr/>
        <w:t xml:space="preserve"> </w:t>
      </w:r>
      <w:r>
        <w:rPr/>
        <w:t>Процесът на вземане на решения в Съюза следва да бъде доразвит, така че да включва повече национални, регионални и местни представители, социални партньори и организации на гражданското общество</w:t>
      </w:r>
      <w:r>
        <w:rPr>
          <w:rStyle w:val="Ancredenotedefin"/>
          <w:rStyle w:val="Ancredenotedefin"/>
        </w:rPr>
        <w:endnoteReference w:id="148"/>
      </w:r>
      <w:r>
        <w:rPr/>
        <w:t>. Междупарламентарното сътрудничество и диалогът следва да бъдат засилени. Европейският парламент следва също така да включи по-тясно националните парламенти в европейската законодателна процедура, например като ги покани на изслушвания</w:t>
      </w:r>
      <w:r>
        <w:rPr>
          <w:rStyle w:val="Ancredenotedefin"/>
          <w:rStyle w:val="Ancredenotedefin"/>
        </w:rPr>
        <w:endnoteReference w:id="149"/>
      </w:r>
      <w:r>
        <w:rPr/>
        <w:t>. Освен това би било полезно да се постигне по-активно участие на поднационалните власти и КР, за да се отчете по-добре техният опит в прилагането на европейското законодателство</w:t>
      </w:r>
      <w:r>
        <w:rPr>
          <w:rStyle w:val="Ancredenotedefin"/>
          <w:rStyle w:val="Ancredenotedefin"/>
        </w:rPr>
        <w:endnoteReference w:id="150"/>
      </w:r>
      <w:r>
        <w:rPr/>
        <w:t>.</w:t>
      </w:r>
    </w:p>
    <w:p>
      <w:pPr>
        <w:pStyle w:val="Puce3"/>
        <w:tabs>
          <w:tab w:val="clear" w:pos="720"/>
        </w:tabs>
        <w:rPr/>
      </w:pPr>
      <w:r>
        <w:rPr/>
        <w:t>3.</w:t>
        <w:tab/>
        <w:t>Чрез обмисляне на промяна на наименованията на европейските институции с цел изясняване на ролята и ролята на всяка от тях в процеса на вземане на решения в Съюза в очите на гражданите</w:t>
      </w:r>
      <w:r>
        <w:rPr>
          <w:rStyle w:val="Ancredenotedefin"/>
          <w:rStyle w:val="Ancredenotedefin"/>
        </w:rPr>
        <w:endnoteReference w:id="151"/>
      </w:r>
      <w:r>
        <w:rPr/>
        <w:t>.</w:t>
      </w:r>
    </w:p>
    <w:p>
      <w:pPr>
        <w:pStyle w:val="Alineanegatifpuce"/>
        <w:numPr>
          <w:ilvl w:val="0"/>
          <w:numId w:val="3"/>
        </w:numPr>
        <w:rPr/>
      </w:pPr>
      <w:r>
        <w:rPr/>
        <w:t xml:space="preserve"> </w:t>
      </w:r>
      <w:r>
        <w:rPr/>
        <w:t>Процесът на вземане на решения в ЕС следва да се основава на по-ясна и по-разбираема структура, която прилича на националните системи</w:t>
      </w:r>
      <w:r>
        <w:rPr>
          <w:rStyle w:val="Ancredenotedefin"/>
          <w:rStyle w:val="Ancredenotedefin"/>
        </w:rPr>
        <w:endnoteReference w:id="152"/>
      </w:r>
      <w:r>
        <w:rPr/>
        <w:t xml:space="preserve"> и изрично посочва разделението на компетентностите между европейските институции и държавите членки</w:t>
      </w:r>
      <w:r>
        <w:rPr>
          <w:rStyle w:val="Ancredenotedefin"/>
          <w:rStyle w:val="Ancredenotedefin"/>
        </w:rPr>
        <w:endnoteReference w:id="153"/>
      </w:r>
      <w:r>
        <w:rPr/>
        <w:t>.</w:t>
      </w:r>
    </w:p>
    <w:p>
      <w:pPr>
        <w:pStyle w:val="Alineanegatifpuce"/>
        <w:numPr>
          <w:ilvl w:val="0"/>
          <w:numId w:val="3"/>
        </w:numPr>
        <w:rPr/>
      </w:pPr>
      <w:r>
        <w:rPr/>
        <w:t xml:space="preserve"> </w:t>
      </w:r>
      <w:r>
        <w:rPr/>
        <w:t>Например Съветът на Европейския съюз може да бъде преименуван на „Сенат на Съюза„, а на Европейската комисия — „Изпълнителна комисия на Съюза“</w:t>
      </w:r>
      <w:r>
        <w:rPr>
          <w:rStyle w:val="Ancredenotedefin"/>
          <w:rStyle w:val="Ancredenotedefin"/>
        </w:rPr>
        <w:endnoteReference w:id="154"/>
      </w:r>
      <w:r>
        <w:rPr/>
        <w:t>.</w:t>
      </w:r>
    </w:p>
    <w:p>
      <w:pPr>
        <w:pStyle w:val="Puce3"/>
        <w:tabs>
          <w:tab w:val="clear" w:pos="720"/>
        </w:tabs>
        <w:rPr/>
      </w:pPr>
      <w:r>
        <w:rPr/>
        <w:t>4.</w:t>
        <w:tab/>
        <w:t>Укрепване на капацитета на Съюза за постигане на резултати в ключови области</w:t>
      </w:r>
      <w:r>
        <w:rPr>
          <w:rStyle w:val="Ancredenotedefin"/>
          <w:rStyle w:val="Ancredenotedefin"/>
        </w:rPr>
        <w:endnoteReference w:id="155"/>
      </w:r>
      <w:r>
        <w:rPr/>
        <w:t>.</w:t>
      </w:r>
    </w:p>
    <w:p>
      <w:pPr>
        <w:pStyle w:val="Puce3"/>
        <w:tabs>
          <w:tab w:val="clear" w:pos="720"/>
        </w:tabs>
        <w:rPr/>
      </w:pPr>
      <w:r>
        <w:rPr/>
        <w:t>5.</w:t>
        <w:tab/>
        <w:t>Осигуряване на механизми за социален диалог и консултации с гражданите на всички етапи от процеса на вземане на решения в Съюза — от оценката на въздействието до разработването и прилагането на мерките</w:t>
      </w:r>
      <w:r>
        <w:rPr>
          <w:rStyle w:val="Ancredenotedefin"/>
          <w:rStyle w:val="Ancredenotedefin"/>
        </w:rPr>
        <w:endnoteReference w:id="156"/>
      </w:r>
      <w:r>
        <w:rPr/>
        <w:t>.</w:t>
      </w:r>
    </w:p>
    <w:p>
      <w:pPr>
        <w:pStyle w:val="Puce3"/>
        <w:tabs>
          <w:tab w:val="clear" w:pos="720"/>
        </w:tabs>
        <w:rPr/>
      </w:pPr>
      <w:r>
        <w:rPr/>
        <w:t>6.</w:t>
        <w:tab/>
        <w:t>Реформиране на функционирането на Европейския съюз, включително чрез по-тясно включване на социалните партньори и организациите на гражданското общество. Съществуващите структури трябва да бъдат укрепени, така че процесът на вземане на решения да отразява по-добре нуждите и очакванията на европейските граждани, които са в центъра на европейската демокрация. В този контекст ЕИСК трябва да получи средствата, за да играе по-важна институционална роля — гарант и посредник на дейностите за демокрация на участието, като например структуриран диалог с организациите на гражданското общество и гражданските панели. Динамичното гражданско общество е от съществено значение за демократичния живот на Съюза</w:t>
      </w:r>
      <w:r>
        <w:rPr>
          <w:rStyle w:val="Ancredenotedefin"/>
          <w:rStyle w:val="Ancredenotedefin"/>
        </w:rPr>
        <w:endnoteReference w:id="157"/>
      </w:r>
      <w:r>
        <w:rPr/>
        <w:t>.</w:t>
      </w:r>
    </w:p>
    <w:p>
      <w:pPr>
        <w:pStyle w:val="Puce3"/>
        <w:tabs>
          <w:tab w:val="clear" w:pos="720"/>
        </w:tabs>
        <w:rPr/>
      </w:pPr>
      <w:r>
        <w:rPr/>
        <w:t>7.</w:t>
        <w:tab/>
        <w:t>Чрез възобновяване на дебата по конституцията, ако е уместно, за да се определят ясно нашите ценности. Една конституция би могла да внесе по-голяма точност, да мобилизира гражданите и да постигне съгласие относно правилата на процеса на вземане на решения</w:t>
      </w:r>
      <w:r>
        <w:rPr>
          <w:rStyle w:val="Ancredenotedefin"/>
          <w:rStyle w:val="Ancredenotedefin"/>
        </w:rPr>
        <w:endnoteReference w:id="158"/>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1" w:name="__RefHeading___Toc298356_1346298689"/>
      <w:bookmarkEnd w:id="91"/>
      <w:r>
        <w:rPr/>
        <w:t>40. Предложение: Субсидиарност</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Активната субсидиарност и многостепенното управление са ключови принципи, за да може Европейският съюз да функционира по демократичен и отговорен начин</w:t>
      </w:r>
      <w:r>
        <w:rPr>
          <w:rStyle w:val="Ancredenotedefin"/>
          <w:rStyle w:val="Ancredenotedefin"/>
        </w:rPr>
        <w:endnoteReference w:id="159"/>
      </w:r>
      <w:r>
        <w:rPr/>
        <w:t>;</w:t>
      </w:r>
    </w:p>
    <w:p>
      <w:pPr>
        <w:pStyle w:val="Puce3"/>
        <w:tabs>
          <w:tab w:val="clear" w:pos="720"/>
        </w:tabs>
        <w:rPr/>
      </w:pPr>
      <w:r>
        <w:rPr/>
        <w:t>2.</w:t>
        <w:tab/>
        <w:t>ЕС трябва да преразгледа механизма, чрез който националните парламенти проучват дали европейските законодателни предложения засягат или не националните компетентности; националните парламенти следва да могат да предлагат законодателни инициативи на европейските институции. Тези механизми следва да бъдат разширени, така че да обхванат всички регионални парламенти със законодателни правомощия</w:t>
      </w:r>
      <w:r>
        <w:rPr>
          <w:rStyle w:val="Ancredenotedefin"/>
          <w:rStyle w:val="Ancredenotedefin"/>
        </w:rPr>
        <w:endnoteReference w:id="160"/>
      </w:r>
      <w:r>
        <w:rPr/>
        <w:t>.</w:t>
      </w:r>
    </w:p>
    <w:p>
      <w:pPr>
        <w:pStyle w:val="Puce3"/>
        <w:tabs>
          <w:tab w:val="clear" w:pos="720"/>
        </w:tabs>
        <w:rPr/>
      </w:pPr>
      <w:r>
        <w:rPr/>
        <w:t>3.</w:t>
        <w:tab/>
        <w:t>КР следва да бъде реформиран, за да се отворят подходящи канали за диалог с регионите, градовете и общините. Тя следва да играе по-важна роля</w:t>
      </w:r>
      <w:r>
        <w:rPr>
          <w:rStyle w:val="Ancredenotedefin"/>
          <w:rStyle w:val="Ancredenotedefin"/>
        </w:rPr>
        <w:endnoteReference w:id="161"/>
      </w:r>
      <w:r>
        <w:rPr/>
        <w:t xml:space="preserve"> в институционалната структура, когато се занимава с въпроси с териториални последици</w:t>
      </w:r>
      <w:r>
        <w:rPr>
          <w:rStyle w:val="Ancredenotedefin"/>
          <w:rStyle w:val="Ancredenotedefin"/>
        </w:rPr>
        <w:endnoteReference w:id="162"/>
      </w:r>
      <w:r>
        <w:rPr/>
        <w:t>.</w:t>
      </w:r>
    </w:p>
    <w:p>
      <w:pPr>
        <w:pStyle w:val="Normal"/>
        <w:rPr/>
      </w:pPr>
      <w:r>
        <w:rPr/>
      </w:r>
    </w:p>
    <w:p>
      <w:pPr>
        <w:pStyle w:val="Puce3"/>
        <w:tabs>
          <w:tab w:val="clear" w:pos="720"/>
        </w:tabs>
        <w:rPr/>
      </w:pPr>
      <w:r>
        <w:rPr/>
        <w:t>4.</w:t>
        <w:tab/>
        <w:t>Систематичното използване на общо определение за субсидиарност, одобрено от всички европейски институции, би могло да определи по-ясно на кое равнище (европейско, национално или регионално) следва да се вземат решения</w:t>
      </w:r>
      <w:r>
        <w:rPr>
          <w:rStyle w:val="Ancredenotedefin"/>
          <w:rStyle w:val="Ancredenotedefin"/>
        </w:rPr>
        <w:endnoteReference w:id="163"/>
      </w:r>
      <w:r>
        <w:rPr/>
        <w:t>.</w:t>
      </w:r>
    </w:p>
    <w:p>
      <w:pPr>
        <w:pStyle w:val="Puce3"/>
        <w:tabs>
          <w:tab w:val="clear" w:pos="720"/>
        </w:tabs>
        <w:rPr/>
      </w:pPr>
      <w:r>
        <w:rPr/>
        <w:t>5.</w:t>
        <w:tab/>
        <w:t>Социалните партньори и организациите на гражданското общество, които са в центъра на европейската демокрация, трябва да участват по-добре в процеса на вземане на решения. Динамичното общество е от съществено значение за демократичния живот на Съюза.</w:t>
      </w:r>
      <w:r>
        <w:rPr>
          <w:rStyle w:val="Ancredenotedefin"/>
          <w:rStyle w:val="Ancredenotedefin"/>
        </w:rPr>
        <w:endnoteReference w:id="164"/>
      </w:r>
    </w:p>
    <w:p>
      <w:pPr>
        <w:pStyle w:val="Puce3"/>
        <w:tabs>
          <w:tab w:val="clear" w:pos="720"/>
        </w:tabs>
        <w:rPr/>
      </w:pPr>
      <w:r>
        <w:rPr/>
        <w:t>6.</w:t>
        <w:tab/>
        <w:t>Настоятелно призоваваме институциите на ЕС да приложат заключенията на тази работна група и да ги направят ефективни. Това би могло да се постигне чрез съществуващите разпоредби на Договора от Лисабон и, ако е необходимо, чрез призив за стартиране на Европейска конвенция</w:t>
      </w:r>
      <w:r>
        <w:rPr>
          <w:rStyle w:val="Ancredenotedefin"/>
          <w:rStyle w:val="Ancredenotedefin"/>
        </w:rPr>
        <w:endnoteReference w:id="16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Снимка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Снимка 28"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2" w:name="__RefHeading___Toc298358_1346298689"/>
      <w:bookmarkEnd w:id="92"/>
      <w:r>
        <w:rPr/>
        <w:t>„</w:t>
      </w:r>
      <w:r>
        <w:rPr/>
        <w:t>Миграция“</w:t>
      </w:r>
    </w:p>
    <w:p>
      <w:pPr>
        <w:pStyle w:val="Titre3"/>
        <w:numPr>
          <w:ilvl w:val="2"/>
          <w:numId w:val="2"/>
        </w:numPr>
        <w:rPr/>
      </w:pPr>
      <w:bookmarkStart w:id="93" w:name="__RefHeading___Toc298360_1346298689"/>
      <w:bookmarkEnd w:id="93"/>
      <w:r>
        <w:rPr/>
        <w:t>41. Предложение: Законна миграция</w:t>
      </w:r>
    </w:p>
    <w:p>
      <w:pPr>
        <w:pStyle w:val="P68B1DB1Normal15"/>
        <w:rPr>
          <w:b/>
          <w:b/>
        </w:rPr>
      </w:pPr>
      <w:r>
        <w:rPr/>
        <w:t>Цел: Засилване на ролята на ЕС в законната миграция</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166"/>
      </w:r>
      <w:r>
        <w:rPr/>
        <w:t>:</w:t>
      </w:r>
    </w:p>
    <w:p>
      <w:pPr>
        <w:pStyle w:val="Puce3"/>
        <w:tabs>
          <w:tab w:val="clear" w:pos="720"/>
        </w:tabs>
        <w:rPr/>
      </w:pPr>
      <w:r>
        <w:rPr/>
        <w:t>1.</w:t>
        <w:tab/>
        <w:t>Стартиране на комуникационна кампания на европейско равнище, за да се гарантира, че EURES (мрежата на европейските служби по заетостта), порталът на ЕС за имиграция и Европейският инструмент за профилиране на уменията за граждани на трети държави са по-добре познати на европейските граждани и се използват по-често от предприятията в ЕС при наемане на работа (препоръка 6).</w:t>
      </w:r>
    </w:p>
    <w:p>
      <w:pPr>
        <w:pStyle w:val="Puce3"/>
        <w:tabs>
          <w:tab w:val="clear" w:pos="720"/>
        </w:tabs>
        <w:rPr/>
      </w:pPr>
      <w:r>
        <w:rPr/>
        <w:t>2.</w:t>
        <w:tab/>
        <w:t>Създаване на европейска организация за достъп на мигрантите до пазара на труда в ЕС или, ако това не е възможно, разширяване на компетенциите на мрежата на европейските служби по заетостта (EURES), напр. подобряване на проектите за партньорство за привличане на таланти (препоръка № 7 и обсъждане в работната група), с възможност за задоволяване на търсенето и предлагането на умения онлайн в отправната държава въз основа на критерии за оценка (препоръка № 9 и разискване в работната група). Съюзът следва да насърчава държавите членки да опростят процеса на приемане и интеграция на законните мигранти и достъпа им до пазара на труда в Съюза, като подобрят оперативната съвместимост между различните засегнати администрации (разискване в работната група).</w:t>
      </w:r>
    </w:p>
    <w:p>
      <w:pPr>
        <w:pStyle w:val="Puce3"/>
        <w:tabs>
          <w:tab w:val="clear" w:pos="720"/>
        </w:tabs>
        <w:rPr/>
      </w:pPr>
      <w:r>
        <w:rPr/>
        <w:t>3.</w:t>
        <w:tab/>
        <w:t>Подобряване на функционирането и прилагането на Директивата за синята карта с цел привличане на уменията, от които се нуждае икономиката на ЕС (препоръка № 7 и дебат в работната група), като надлежно се отчита рискът от изтичане на мозъци (съгласно мярка 1 от предложение 42).</w:t>
      </w:r>
    </w:p>
    <w:p>
      <w:pPr>
        <w:pStyle w:val="Puce3"/>
        <w:tabs>
          <w:tab w:val="clear" w:pos="720"/>
        </w:tabs>
        <w:rPr/>
      </w:pPr>
      <w:r>
        <w:rPr/>
        <w:t>4.</w:t>
        <w:tab/>
        <w:t>Насърчаване на сближаването във възходяща посока на условията на труд по хармоничен начин в целия Съюз, за да се преодолеят неравенствата в условията на труд, да се гарантира ефективна политика на ЕС в областта на трудовата миграция и да се защитят правата на работниците. В този контекст да засили ролята на профсъюзите на национално и транснационално равнище (препоръка № 28 и дебат в работната група), в сътрудничество с организациите на работодателите (разискване в пленарна зала).</w:t>
      </w:r>
    </w:p>
    <w:p>
      <w:pPr>
        <w:pStyle w:val="Puce3"/>
        <w:tabs>
          <w:tab w:val="clear" w:pos="720"/>
        </w:tabs>
        <w:rPr/>
      </w:pPr>
      <w:r>
        <w:rPr/>
        <w:t>5.</w:t>
        <w:tab/>
        <w:t>Активизиране на усилията за информиране и образоване на гражданите на държавите членки по въпросите на миграцията и интеграцията (препоръка 30, Препоръка 9 на експертната група по правни въпроси и дебат в работната група).</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4" w:name="__RefHeading___Toc298362_1346298689"/>
      <w:bookmarkEnd w:id="94"/>
      <w:r>
        <w:rPr/>
        <w:t>42. Предложение: Незаконна миграция</w:t>
      </w:r>
    </w:p>
    <w:p>
      <w:pPr>
        <w:pStyle w:val="P68B1DB1Normal15"/>
        <w:rPr>
          <w:b/>
          <w:b/>
        </w:rPr>
      </w:pPr>
      <w:r>
        <w:rPr/>
        <w:t>Цел: Засилване на ролята на Съюза в борбата с всички форми на незаконна миграция и засилване на защитата на външните граници на Европейския съюз, като същевременно се зачитат правата на човека</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167"/>
      </w:r>
      <w:r>
        <w:rPr/>
        <w:t>:</w:t>
      </w:r>
    </w:p>
    <w:p>
      <w:pPr>
        <w:pStyle w:val="Puce3"/>
        <w:tabs>
          <w:tab w:val="clear" w:pos="720"/>
        </w:tabs>
        <w:rPr/>
      </w:pPr>
      <w:r>
        <w:rPr/>
        <w:t>1.</w:t>
        <w:tab/>
        <w:t>Активно участие, например чрез споразумения за партньорство, в икономическото и социалното развитие на държави извън Европейския съюз, от които има голям приток на мигранти, за да се преодолеят първопричините за миграцията, включително изменението на климата. Тези действия следва да бъдат прозрачни и да водят до осезаеми резултати с измеримо въздействие, които следва да бъдат ясно съобщени на гражданите на ЕС (Препоръка 27, Препоръка 3 от Нидерландия и дебат в работната група).</w:t>
      </w:r>
    </w:p>
    <w:p>
      <w:pPr>
        <w:pStyle w:val="Puce3"/>
        <w:tabs>
          <w:tab w:val="clear" w:pos="720"/>
        </w:tabs>
        <w:rPr/>
      </w:pPr>
      <w:r>
        <w:rPr/>
        <w:t>2.</w:t>
        <w:tab/>
        <w:t>Гарантиране на защитата на всички външни граници чрез подобряване на прозрачността и отчетността на Frontex и засилване на нейната роля (препоръка № 8 и дебат в работната група) и адаптиране на законодателството на ЕС с цел по-добро справяне с настоящите предизвикателства, свързани с незаконната миграция, като трафика на хора, трафика на хора, сексуалната експлоатация, хибридните нападения, извършвани от държави, експлоатиращи мигранти, и нарушаването на правата на човека (препоръка LT 10 и дебат в работната група).</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5" w:name="__RefHeading___Toc298364_1346298689"/>
      <w:bookmarkEnd w:id="95"/>
      <w:r>
        <w:rPr/>
        <w:t>43. Предложение: Незаконна миграция (bis)</w:t>
      </w:r>
    </w:p>
    <w:p>
      <w:pPr>
        <w:pStyle w:val="P68B1DB1Normal15"/>
        <w:rPr>
          <w:b/>
          <w:b/>
        </w:rPr>
      </w:pPr>
      <w:r>
        <w:rPr/>
        <w:t>Цел: Да прилагат еднакви общи правила във всички държави членки по отношение на първото приемане на мигранти</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168"/>
      </w:r>
      <w:r>
        <w:rPr/>
        <w:t>:</w:t>
      </w:r>
    </w:p>
    <w:p>
      <w:pPr>
        <w:pStyle w:val="Puce3"/>
        <w:tabs>
          <w:tab w:val="clear" w:pos="720"/>
        </w:tabs>
        <w:rPr/>
      </w:pPr>
      <w:r>
        <w:rPr/>
        <w:t>1.</w:t>
        <w:tab/>
        <w:t>Разработване на общоевропейски мерки за гарантиране на безопасността и здравето на всички мигранти, по-специално бременни жени, деца, непридружени ненавършили пълнолетие лица и всички уязвими лица (препоръки 10 и 38 и дебат в работната група).</w:t>
      </w:r>
    </w:p>
    <w:p>
      <w:pPr>
        <w:pStyle w:val="Normal"/>
        <w:rPr/>
      </w:pPr>
      <w:r>
        <w:rPr/>
      </w:r>
    </w:p>
    <w:p>
      <w:pPr>
        <w:pStyle w:val="Puce3"/>
        <w:tabs>
          <w:tab w:val="clear" w:pos="720"/>
        </w:tabs>
        <w:rPr/>
      </w:pPr>
      <w:r>
        <w:rPr/>
        <w:t>2.</w:t>
        <w:tab/>
        <w:t>Увеличаване на финансовата, логистичната и оперативната подкрепа на ЕС, включително за местните органи, лицата, отговорни за вземането на решения на регионално равнище, и организациите на гражданското общество за управлението на първия прием, което евентуално ще доведе до интеграция на бежанци или редовни мигранти в ЕС и до репатриране на незаконни мигранти (препоръка 35 и дебат в работната група).</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r>
    </w:p>
    <w:p>
      <w:pPr>
        <w:pStyle w:val="Titre3"/>
        <w:numPr>
          <w:ilvl w:val="2"/>
          <w:numId w:val="2"/>
        </w:numPr>
        <w:rPr/>
      </w:pPr>
      <w:bookmarkStart w:id="96" w:name="__RefHeading___Toc298366_1346298689"/>
      <w:bookmarkEnd w:id="96"/>
      <w:r>
        <w:rPr/>
        <w:t>44. Предложение: Убежище, интеграция</w:t>
      </w:r>
    </w:p>
    <w:p>
      <w:pPr>
        <w:pStyle w:val="P68B1DB1Normal15"/>
        <w:rPr>
          <w:b/>
          <w:b/>
        </w:rPr>
      </w:pPr>
      <w:r>
        <w:rPr/>
        <w:t>Цел: Засилване на ролята на Съюза и реформиране на европейската система за убежище въз основа на принципите на солидарност и справедливо разпределение на отговорностите</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169"/>
      </w:r>
      <w:r>
        <w:rPr/>
        <w:t>:</w:t>
      </w:r>
    </w:p>
    <w:p>
      <w:pPr>
        <w:pStyle w:val="Puce3"/>
        <w:tabs>
          <w:tab w:val="clear" w:pos="720"/>
        </w:tabs>
        <w:rPr/>
      </w:pPr>
      <w:r>
        <w:rPr/>
        <w:t>1.</w:t>
        <w:tab/>
        <w:t>Да приеме общи правила на Съюза относно процедурите за разглеждане на молбите за международна закрила в държавите членки, които да се прилагат еднакво за всички лица, търсещи убежище. Тези процедури трябва да зачитат човешкото достойнство и международното право (препоръка 29, ИТ препоръки 3.8 и 4.4, стр. 15 и разисквания в работната група). Тъй като приемането на лица, търсещи убежище, включва различни участници на национално равнище, Съюзът следва да насърчава държавите членки да опростят и ускорят този процес чрез подобряване на оперативната съвместимост между различните засегнати администрации и да създадат единна служба (прозорец или единна входна точка) за лицата, търсещи убежище, с цел рационализиране на националните административни процедури (препоръка 37 и дебат в работната група).</w:t>
      </w:r>
    </w:p>
    <w:p>
      <w:pPr>
        <w:pStyle w:val="Puce3"/>
        <w:tabs>
          <w:tab w:val="clear" w:pos="720"/>
        </w:tabs>
        <w:rPr/>
      </w:pPr>
      <w:r>
        <w:rPr/>
        <w:t>2.</w:t>
        <w:tab/>
        <w:t>Да преразгледа системата от Дъблин, за да гарантира солидарност и справедливо разпределение на отговорностите, включително разпределението на мигрантите между държавите членки; биха могли да се предвидят и други форми на подкрепа (препоръки 33, 36, 37, 40; препоръка № 2 на LT; препоръки IT 3.8 (стр. 15) и NL 2, разисквания в работната група и разисквания в пленарна зала).</w:t>
      </w:r>
    </w:p>
    <w:p>
      <w:pPr>
        <w:pStyle w:val="Puce3"/>
        <w:tabs>
          <w:tab w:val="clear" w:pos="720"/>
        </w:tabs>
        <w:rPr/>
      </w:pPr>
      <w:r>
        <w:rPr/>
        <w:t>3.</w:t>
        <w:tab/>
        <w:t>Укрепване на минималните стандарти за приемане на лица, търсещи убежище, определени в Директива 2013/33/ЕС, чрез по-строги законодателни мерки за подобряване на приемните съоръжения и настаняването (Препоръка 31 на ПОЗ, препоръка 5.6 относно ИТ, стр. 11 и дебат в работната група).</w:t>
      </w:r>
    </w:p>
    <w:p>
      <w:pPr>
        <w:pStyle w:val="Puce3"/>
        <w:tabs>
          <w:tab w:val="clear" w:pos="720"/>
        </w:tabs>
        <w:rPr/>
      </w:pPr>
      <w:r>
        <w:rPr/>
        <w:t>4.</w:t>
        <w:tab/>
        <w:t>Следва да се обърне специално внимание на бременните жени, децата и по-специално на непридружените ненавършили пълнолетие лица (препоръка № 38 и обсъждането в работната група).</w:t>
      </w:r>
    </w:p>
    <w:p>
      <w:pPr>
        <w:pStyle w:val="Puce3"/>
        <w:tabs>
          <w:tab w:val="clear" w:pos="720"/>
        </w:tabs>
        <w:rPr/>
      </w:pPr>
      <w:r>
        <w:rPr/>
        <w:t>5.</w:t>
        <w:tab/>
        <w:t>Укрепване и увеличаване на финансовите и човешките ресурси и капацитета за управление на Агенцията на Европейския съюз в областта на убежището с цел координиране и управление на преместването на лица, търсещи убежище, в рамките на държавите — членки на ЕС, с оглед постигане на справедливо разпределение (препоръки 36 и 37, LT Препоръка 3 и дебат в работната група).</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7" w:name="__RefHeading___Toc298368_1346298689"/>
      <w:bookmarkEnd w:id="97"/>
      <w:r>
        <w:rPr/>
        <w:t>45. Предложение: Убежище, интеграция (bis)</w:t>
      </w:r>
    </w:p>
    <w:p>
      <w:pPr>
        <w:pStyle w:val="P68B1DB1Normal15"/>
        <w:rPr>
          <w:b/>
          <w:b/>
        </w:rPr>
      </w:pPr>
      <w:r>
        <w:rPr/>
        <w:t>Цел: Подобряване на интеграционните политики във всички държави членки</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rPr>
        <w:endnoteReference w:id="170"/>
      </w:r>
      <w:r>
        <w:rPr/>
        <w:t>:</w:t>
      </w:r>
    </w:p>
    <w:p>
      <w:pPr>
        <w:pStyle w:val="Puce3"/>
        <w:tabs>
          <w:tab w:val="clear" w:pos="720"/>
        </w:tabs>
        <w:rPr/>
      </w:pPr>
      <w:r>
        <w:rPr/>
        <w:t>1.</w:t>
        <w:tab/>
        <w:t>Съюзът гарантира също така, с участието на местните и регионалните власти и приноса на организациите на гражданското общество, че всички лица, търсещи убежище, и бежанци участват в езикови курсове и дейности по интеграция, както и в професионално обучение, докато се разглежда тяхната молба за пребиваване (препоръка № 32, препоръка FR № 13, разисквания в работната група и разисквания в пленарна зала).</w:t>
      </w:r>
    </w:p>
    <w:p>
      <w:pPr>
        <w:pStyle w:val="Puce3"/>
        <w:tabs>
          <w:tab w:val="clear" w:pos="720"/>
        </w:tabs>
        <w:rPr/>
      </w:pPr>
      <w:r>
        <w:rPr/>
        <w:t>2.</w:t>
        <w:tab/>
        <w:t>Лицата, търсещи убежище с подходяща квалификация, следва да имат достъп до пазара на труда, ако е възможно, с цел укрепване на тяхната автономност, в целия Съюз (Препоръка № 7 и дебат в работната група).</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Снимка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Снимка 29"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8" w:name="__RefHeading___Toc298370_1346298689"/>
      <w:bookmarkEnd w:id="98"/>
      <w:r>
        <w:rPr/>
        <w:t>Образование, култура, младеж и спорт</w:t>
      </w:r>
    </w:p>
    <w:p>
      <w:pPr>
        <w:pStyle w:val="Titre3"/>
        <w:numPr>
          <w:ilvl w:val="2"/>
          <w:numId w:val="2"/>
        </w:numPr>
        <w:rPr/>
      </w:pPr>
      <w:bookmarkStart w:id="99" w:name="__RefHeading___Toc298372_1346298689"/>
      <w:bookmarkEnd w:id="99"/>
      <w:r>
        <w:rPr/>
        <w:t>46. Предложение: Образование</w:t>
      </w:r>
    </w:p>
    <w:p>
      <w:pPr>
        <w:pStyle w:val="P68B1DB1Normal15"/>
        <w:rPr>
          <w:b/>
          <w:b/>
        </w:rPr>
      </w:pPr>
      <w:r>
        <w:rPr/>
        <w:t>Цел: ЕС и неговите държави членки следва да се стремят до 2025 г. да създадат приобщаващо европейско пространство за образование, в което всички граждани да имат равен достъп до качествено учене и образование през целия живот, включително хората, живеещи в селските и отдалечените райони. За тази цел Европейският съюз и неговите държави членки следва по-специално:</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p>
    <w:p>
      <w:pPr>
        <w:pStyle w:val="Puce3"/>
        <w:tabs>
          <w:tab w:val="clear" w:pos="720"/>
        </w:tabs>
        <w:rPr/>
      </w:pPr>
      <w:r>
        <w:rPr/>
        <w:t>1.</w:t>
        <w:tab/>
        <w:t>Координиране на равнището на всички различни образователни програми в Европейския съюз чрез приемане на национално, регионално и местно съдържание и създаване на по-тесни връзки между образователните системи, по-специално чрез еквивалентност на дипломите</w:t>
      </w:r>
      <w:r>
        <w:rPr>
          <w:rStyle w:val="Ancredenotedefin"/>
          <w:rStyle w:val="Ancredenotedefin"/>
        </w:rPr>
        <w:endnoteReference w:id="171"/>
      </w:r>
      <w:r>
        <w:rPr/>
        <w:t>. Сертифициран минимален стандарт за преподаване по основни предмети следва да бъде приет още в началното училище</w:t>
      </w:r>
      <w:r>
        <w:rPr>
          <w:rStyle w:val="Ancredenotedefin"/>
          <w:rStyle w:val="Ancredenotedefin"/>
        </w:rPr>
        <w:endnoteReference w:id="172"/>
      </w:r>
      <w:r>
        <w:rPr/>
        <w:t>171. Следва да се установят споделени компетентности в областта на образованието, най-малкото по отношение на гражданското образование, и упражняването на тази компетентност от страна на Съюза не може да попречи на държавите членки да упражняват собствените си компетентности. Дипломите и професионалното обучение следва да бъдат валидирани и взаимно признати във всички държави — членки на Съюза</w:t>
      </w:r>
      <w:r>
        <w:rPr>
          <w:rStyle w:val="Ancredenotedefin"/>
          <w:rStyle w:val="Ancredenotedefin"/>
        </w:rPr>
        <w:endnoteReference w:id="173"/>
      </w:r>
      <w:r>
        <w:rPr/>
        <w:t>. Европейският съюз следва също така да използва признаването на неформалното</w:t>
      </w:r>
      <w:r>
        <w:rPr>
          <w:rStyle w:val="Ancredenotedefin"/>
          <w:rStyle w:val="Ancredenotedefin"/>
        </w:rPr>
        <w:endnoteReference w:id="174"/>
      </w:r>
      <w:r>
        <w:rPr/>
        <w:t xml:space="preserve"> и самостоятелното учене и младежките организации, които го предлагат, както и периоди на учене в чужбина.</w:t>
      </w:r>
    </w:p>
    <w:p>
      <w:pPr>
        <w:pStyle w:val="Puce3"/>
        <w:tabs>
          <w:tab w:val="clear" w:pos="720"/>
        </w:tabs>
        <w:rPr/>
      </w:pPr>
      <w:r>
        <w:rPr/>
        <w:t>2.</w:t>
        <w:tab/>
        <w:t>Разработване на ориентирано към бъдещето учене през целия живот и образование в Европа — в съответствие с правото на обучение на работното място за всички — с акцент върху следните аспекти:</w:t>
        <w:br/>
        <w:t>Гражданско образование относно демократичните процеси и ценностите на ЕС и историята на Европа</w:t>
      </w:r>
      <w:r>
        <w:rPr>
          <w:rStyle w:val="Ancredenotedefin"/>
          <w:rStyle w:val="Ancredenotedefin"/>
        </w:rPr>
        <w:endnoteReference w:id="175"/>
      </w:r>
      <w:r>
        <w:rPr/>
        <w:t>. Следва да се направи общ модул, който да се преподава във всички държави членки. Познаването на икономиката също следва да бъде подобрено, за да се даде възможност за по-добро разбиране на процеса на европейска интеграция</w:t>
      </w:r>
      <w:r>
        <w:rPr>
          <w:rStyle w:val="Ancredenotedefin"/>
          <w:rStyle w:val="Ancredenotedefin"/>
        </w:rPr>
        <w:endnoteReference w:id="176"/>
      </w:r>
      <w:r>
        <w:rPr/>
        <w:t>.</w:t>
        <w:br/>
        <w:t>Цифрови умения</w:t>
      </w:r>
      <w:r>
        <w:rPr>
          <w:rStyle w:val="Ancredenotedefin"/>
          <w:rStyle w:val="Ancredenotedefin"/>
        </w:rPr>
        <w:endnoteReference w:id="177"/>
      </w:r>
      <w:r>
        <w:rPr/>
        <w:t>.</w:t>
        <w:br/>
        <w:t>STIAM</w:t>
      </w:r>
      <w:r>
        <w:rPr>
          <w:rStyle w:val="Ancredenotedefin"/>
          <w:rStyle w:val="Ancredenotedefin"/>
        </w:rPr>
        <w:endnoteReference w:id="178"/>
      </w:r>
      <w:r>
        <w:rPr/>
        <w:br/>
        <w:t>Предприемачество и научни изследвания.</w:t>
        <w:br/>
        <w:t>Развитие на критичното мислене. Медийната грамотност следва да бъде подобрена, за да се гарантира онлайн сигурност и да се даде възможност на гражданите във всички държави членки независимо да оценяват дали информацията е достоверна или не и да идентифицират невярна информация, като се възползват от възможностите, предлагани от интернет. Това образование следва да включва организирането на специфични курсове на ниво основно образование и да се предлага на други обществени места на граждани от всички възрасти под егидата на специализиран орган на равнището на Съюза, като се използват добрите практики, които съществуват във всички държави членки. ЕС следва да гарантира, че средствата, специално разпределени за тези дейности, се използват по предназначение</w:t>
      </w:r>
      <w:r>
        <w:rPr>
          <w:rStyle w:val="Ancredenotedefin"/>
          <w:rStyle w:val="Ancredenotedefin"/>
        </w:rPr>
        <w:endnoteReference w:id="179"/>
      </w:r>
      <w:r>
        <w:rPr/>
        <w:t>.</w:t>
        <w:br/>
        <w:t>интегриране на нетехнически умения във всички курсове в учебните програми. Нетехническа компетентност означава: взаимно слушане, диалог, устойчивост, разбиране, уважение и оценяване на другите, критично мислене, самообучение и оставане на любопитни и ориентирани към резултатите</w:t>
      </w:r>
      <w:r>
        <w:rPr>
          <w:rStyle w:val="Ancredenotedefin"/>
          <w:rStyle w:val="Ancredenotedefin"/>
        </w:rPr>
        <w:endnoteReference w:id="180"/>
      </w:r>
      <w:r>
        <w:rPr/>
        <w:t>; Даване на възможност на всеки да научи повече за устойчивостта на околната среда и нейните връзки със здравето. Биологичното разнообразие трябва да бъде задължителен предмет в училище. Тя трябва да започне в училище с конкретни теми, насочени към всички екологични въпроси, и да включва екскурзии, за да представи съответните реални примери, всички с помощта на програма за финансиране</w:t>
      </w:r>
      <w:r>
        <w:rPr>
          <w:rStyle w:val="Ancredenotedefin"/>
          <w:rStyle w:val="Ancredenotedefin"/>
        </w:rPr>
        <w:endnoteReference w:id="181"/>
      </w:r>
      <w:r>
        <w:rPr/>
        <w:t xml:space="preserve">. </w:t>
        <w:br/>
        <w:t>Борба с тормоза в училищата и расизма.</w:t>
      </w:r>
    </w:p>
    <w:p>
      <w:pPr>
        <w:pStyle w:val="Puce3"/>
        <w:tabs>
          <w:tab w:val="clear" w:pos="720"/>
        </w:tabs>
        <w:rPr/>
      </w:pPr>
      <w:r>
        <w:rPr/>
        <w:t>3.</w:t>
        <w:tab/>
        <w:t>Подкрепа за обучението</w:t>
      </w:r>
      <w:r>
        <w:rPr>
          <w:rStyle w:val="Ancredenotedefin"/>
          <w:rStyle w:val="Ancredenotedefin"/>
        </w:rPr>
        <w:endnoteReference w:id="182"/>
      </w:r>
      <w:r>
        <w:rPr/>
        <w:t>на учителите с цел извличане на поуки от най-добрите практики и използване на съвременни иновативни и творчески техники на преподаване, които отразяват развитието на педагогическите методи, включително практически дейности, като се основават и на поуките, които трябва да бъдат извлечени от пандемията от COVID-19 и други видове кризи, както и насърчаване на възможностите за мобилност</w:t>
      </w:r>
      <w:r>
        <w:rPr>
          <w:rStyle w:val="Ancredenotedefin"/>
          <w:rStyle w:val="Ancredenotedefin"/>
        </w:rPr>
        <w:endnoteReference w:id="183"/>
      </w:r>
      <w:r>
        <w:rPr/>
        <w:t>.</w:t>
      </w:r>
    </w:p>
    <w:p>
      <w:pPr>
        <w:pStyle w:val="Puce3"/>
        <w:tabs>
          <w:tab w:val="clear" w:pos="720"/>
        </w:tabs>
        <w:rPr/>
      </w:pPr>
      <w:r>
        <w:rPr/>
        <w:t>4.</w:t>
        <w:tab/>
        <w:t>За да се отговори на образователните потребности на всички деца и семейства, да се даде приоритет на достъпа до оборудване и ефективната широколентова свързаност</w:t>
      </w:r>
      <w:r>
        <w:rPr>
          <w:rStyle w:val="Ancredenotedefin"/>
          <w:rStyle w:val="Ancredenotedefin"/>
        </w:rPr>
        <w:endnoteReference w:id="184"/>
      </w:r>
      <w:r>
        <w:rPr/>
        <w:t>.</w:t>
      </w:r>
    </w:p>
    <w:p>
      <w:pPr>
        <w:pStyle w:val="Puce3"/>
        <w:tabs>
          <w:tab w:val="clear" w:pos="720"/>
        </w:tabs>
        <w:rPr/>
      </w:pPr>
      <w:r>
        <w:rPr/>
        <w:t>5.</w:t>
        <w:tab/>
        <w:t>Създаване на информационна платформа за обмен на знания и опит на равнището на Съюза чрез обмен на информация относно транснационални курсове за образование и обучение в Съюза, представяне на примери за най-добри практики и предоставяне на възможност на гражданите да представят нови идеи за трансграничен обмен. Тя следва да предоставя образователни материали по въпросите на изменението на климата, околната среда и цифровизацията и да предоставя информация за съществуващите специализирани форуми по основните теми</w:t>
      </w:r>
      <w:r>
        <w:rPr>
          <w:rStyle w:val="Ancredenotedefin"/>
          <w:rStyle w:val="Ancredenotedefin"/>
        </w:rPr>
        <w:endnoteReference w:id="185"/>
      </w:r>
      <w:r>
        <w:rPr/>
        <w:t>. — Това би могло да бъде придружено от програма за финансиране в подкрепа на използването и използването на информацията на платформата.</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0" w:name="__RefHeading___Toc298374_1346298689"/>
      <w:bookmarkEnd w:id="100"/>
      <w:r>
        <w:rPr/>
        <w:t>47. Предложение: Въпроси, свързани с европейската младеж</w:t>
      </w:r>
    </w:p>
    <w:p>
      <w:pPr>
        <w:pStyle w:val="P68B1DB1Normal15"/>
        <w:rPr>
          <w:b/>
          <w:b/>
        </w:rPr>
      </w:pPr>
      <w:r>
        <w:rPr/>
        <w:t>Цел: ЕС и неговите държави членки следва да се съсредоточат върху специфичните нужди на младите хора във всички съответни политики, включително регионалната политика на ЕС, за да им осигурят възможно най-добрите условия за учене и работа и за започване на независим живот, като същевременно ги ангажират в демократичния живот и процесите на вземане на решения, включително на европейско равнище. Младежките организации трябва да играят ключова роля. За постигането на тази цел предлагаме следното:</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p>
    <w:p>
      <w:pPr>
        <w:pStyle w:val="Puce3"/>
        <w:tabs>
          <w:tab w:val="clear" w:pos="720"/>
        </w:tabs>
        <w:rPr/>
      </w:pPr>
      <w:r>
        <w:rPr/>
        <w:t>1.</w:t>
        <w:tab/>
        <w:t>Да предоставят на младите хора повече възможности за участие и представителство в демократичните процеси и процесите на вземане на решения на всички равнища и да подкрепят съществуващите програми в тази област, включително чрез организиране на граждански панели с деца (напр. на възраст 10—16 години) в училищата. Европейските представители биха могли да се срещат с ученици в техните училища, за да се засили близостта и разбирането на гражданите за Европа от ранна възраст</w:t>
      </w:r>
      <w:r>
        <w:rPr>
          <w:rStyle w:val="Ancredenotedefin"/>
          <w:rStyle w:val="Ancredenotedefin"/>
        </w:rPr>
        <w:endnoteReference w:id="186"/>
      </w:r>
      <w:r>
        <w:rPr/>
        <w:t>. За да може всички политически решения на ЕС да бъдат анализирани от призмата на младежта, следва да се разработи „тест за младежта“ на европейско равнище, за да се гарантира, че всяко ново политическо и законодателно предложение подлежи на оценка на въздействието, насочена към младежта, включително консултация с младежта.</w:t>
      </w:r>
    </w:p>
    <w:p>
      <w:pPr>
        <w:pStyle w:val="Puce3"/>
        <w:tabs>
          <w:tab w:val="clear" w:pos="720"/>
        </w:tabs>
        <w:rPr/>
      </w:pPr>
      <w:r>
        <w:rPr/>
        <w:t>2.</w:t>
        <w:tab/>
        <w:t>Следва да се обсъди и обмисли предоставянето на право на глас от 16-годишна възраст в избори за Европейски парламент, както и засилване на гражданското образование и на ЕС. Националните политически партии следва също така да гарантират, че по-младите кандидати са включени в техните листи за изборите за Европейски парламент</w:t>
      </w:r>
      <w:r>
        <w:rPr>
          <w:rStyle w:val="Ancredenotedefin"/>
          <w:rStyle w:val="Ancredenotedefin"/>
        </w:rPr>
        <w:endnoteReference w:id="187"/>
      </w:r>
      <w:r>
        <w:rPr/>
        <w:t>.</w:t>
      </w:r>
    </w:p>
    <w:p>
      <w:pPr>
        <w:pStyle w:val="Puce3"/>
        <w:tabs>
          <w:tab w:val="clear" w:pos="720"/>
        </w:tabs>
        <w:rPr/>
      </w:pPr>
      <w:r>
        <w:rPr/>
        <w:t>3.</w:t>
        <w:tab/>
        <w:t>По-добра подготовка на младите хора за навлизане в работната сила, даване на възможност на гимназистите (от 12-годишна възраст) да участват в посещения за наблюдение на качеството в организации с нестопанска цел и организации с нестопанска цел, в тясно сътрудничество между училищата, местните власти и съответните организации и предприятия</w:t>
      </w:r>
      <w:r>
        <w:rPr>
          <w:rStyle w:val="Ancredenotedefin"/>
          <w:rStyle w:val="Ancredenotedefin"/>
        </w:rPr>
        <w:endnoteReference w:id="188"/>
      </w:r>
      <w:r>
        <w:rPr/>
        <w:t>. Тези посещения следва да се разглеждат като част от по-широк процес на кариерно ориентиране във формалното образование, за да се даде възможност на младите хора да имат първи контакт със света на труда, така че да могат да ръководят своя професионален избор и/или да обмислят възможността да станат предприемачи.</w:t>
      </w:r>
    </w:p>
    <w:p>
      <w:pPr>
        <w:pStyle w:val="Puce3"/>
        <w:tabs>
          <w:tab w:val="clear" w:pos="720"/>
        </w:tabs>
        <w:rPr/>
      </w:pPr>
      <w:r>
        <w:rPr/>
        <w:t>4.</w:t>
        <w:tab/>
        <w:t>По-голямото финансиране от ЕС по линия на NextGenerationEU следва да бъде посветено и на прилагането на засилената европейска гаранция за младежта, включително по-голяма ангажираност, повишена осведоменост, по-добро качество на доставките, финансиране и действия от страна на всички държави членки и съответните равнища на органите. Тъй като младежките организации са в състояние по-добре да идентифицират потребностите на младите хора, националните правителства следва да работят с младежките организации чрез тесен диалог, за да се гарантира най-ефективното прилагане на гаранцията за младежта.</w:t>
      </w:r>
    </w:p>
    <w:p>
      <w:pPr>
        <w:pStyle w:val="Puce3"/>
        <w:tabs>
          <w:tab w:val="clear" w:pos="720"/>
        </w:tabs>
        <w:rPr/>
      </w:pPr>
      <w:r>
        <w:rPr/>
        <w:t>5.</w:t>
        <w:tab/>
        <w:t>Да гарантира, че стажовете и работните места на младите хора отговарят на стандартите за качество, по-специално по отношение на възнагражденията, чрез прекратяване на минималните работни заплати за младите хора и всякакви други дискриминационни разпоредби на специфичното за младите хора трудово законодателство и чрез забрана чрез правен инструмент на неплатените стажове на пазара на труда и извън формалното образование</w:t>
      </w:r>
      <w:r>
        <w:rPr>
          <w:rStyle w:val="Ancredenotedefin"/>
          <w:rStyle w:val="Ancredenotedefin"/>
        </w:rPr>
        <w:endnoteReference w:id="189"/>
      </w:r>
      <w:r>
        <w:rPr/>
        <w:t>.</w:t>
      </w:r>
    </w:p>
    <w:p>
      <w:pPr>
        <w:pStyle w:val="Puce3"/>
        <w:tabs>
          <w:tab w:val="clear" w:pos="720"/>
        </w:tabs>
        <w:rPr/>
      </w:pPr>
      <w:r>
        <w:rPr/>
        <w:t>6.</w:t>
        <w:tab/>
        <w:t>Осигуряване на разумен стандарт на живот за младите хора, включително достъп до социална закрила и жилищно настаняване. Младите хора следва да имат достъп до ниво на социална закрила, равностойно на това на другите възрастови групи. Достъпът до жилища на достъпни цени за младите хора също следва да бъде улеснен, включително чрез финансиране от ЕС</w:t>
      </w:r>
      <w:r>
        <w:rPr>
          <w:rStyle w:val="Ancredenotedefin"/>
          <w:rStyle w:val="Ancredenotedefin"/>
        </w:rPr>
        <w:endnoteReference w:id="190"/>
      </w:r>
      <w:r>
        <w:rPr/>
        <w:t>.</w:t>
      </w:r>
    </w:p>
    <w:p>
      <w:pPr>
        <w:pStyle w:val="Puce3"/>
        <w:tabs>
          <w:tab w:val="clear" w:pos="720"/>
        </w:tabs>
        <w:rPr/>
      </w:pPr>
      <w:r>
        <w:rPr/>
        <w:t>7.</w:t>
        <w:tab/>
        <w:t>Необходими са специфични мерки, за да се предотврати изтичането на мозъци от определени региони и държави в рамките на Съюза поради недостатъчните възможности за младите хора, като същевременно Европа стане по-привлекателна, за да се предотврати изтичането на европейски таланти и работна ръка към трети държави, за да се избегне подкопаването на териториалното сближаване, по-специално по отношение на регионите, страдащи от значителна загуба на млади таланти, включително чрез финансиране от ЕС</w:t>
      </w:r>
      <w:r>
        <w:rPr>
          <w:rStyle w:val="Ancredenotedefin"/>
          <w:rStyle w:val="Ancredenotedefin"/>
        </w:rPr>
        <w:endnoteReference w:id="191"/>
      </w:r>
      <w:r>
        <w:rPr/>
        <w:t>.</w:t>
      </w:r>
    </w:p>
    <w:p>
      <w:pPr>
        <w:pStyle w:val="Puce3"/>
        <w:tabs>
          <w:tab w:val="clear" w:pos="720"/>
        </w:tabs>
        <w:rPr/>
      </w:pPr>
      <w:r>
        <w:rPr/>
        <w:t>8.</w:t>
        <w:tab/>
        <w:t>В случай на сериозна криза (напр. здравна криза, война), добре разработени планове с подробни сценарии следва да бъдат готови за гъвкаво разгръщане, за да се сведе до минимум въздействието върху образованието, професионалното обучение, прехода към пазара на труда и психичното благосъстояние на младите хора</w:t>
      </w:r>
      <w:r>
        <w:rPr>
          <w:rStyle w:val="Ancredenotedefin"/>
          <w:rStyle w:val="Ancredenotedefin"/>
        </w:rPr>
        <w:endnoteReference w:id="192"/>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1" w:name="__RefHeading___Toc298376_1346298689"/>
      <w:bookmarkEnd w:id="101"/>
      <w:r>
        <w:rPr/>
        <w:t>48. Предложение: Култура и обмен</w:t>
      </w:r>
    </w:p>
    <w:p>
      <w:pPr>
        <w:pStyle w:val="P68B1DB1Normal15"/>
        <w:rPr>
          <w:b/>
          <w:b/>
        </w:rPr>
      </w:pPr>
      <w:r>
        <w:rPr/>
        <w:t>Цел: С цел насърчаване на култура на обмен и насърчаване на европейската идентичност и многообразие в различни области, държавите членки следва, със съдействието на Европейския съюз:</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r>
        <w:rPr>
          <w:rStyle w:val="Ancredenotedefin"/>
          <w:rStyle w:val="Ancredenotedefin"/>
          <w:b/>
        </w:rPr>
        <w:endnoteReference w:id="193"/>
      </w:r>
      <w:r>
        <w:rPr/>
        <w:t>:</w:t>
      </w:r>
    </w:p>
    <w:p>
      <w:pPr>
        <w:pStyle w:val="Puce3"/>
        <w:tabs>
          <w:tab w:val="clear" w:pos="720"/>
        </w:tabs>
        <w:rPr/>
      </w:pPr>
      <w:r>
        <w:rPr/>
        <w:t>1.</w:t>
        <w:tab/>
        <w:t>Насърчаване на европейския обмен в различни области, както физически, така и в областта на цифровите технологии, включително образователни обмени, туининг, пътуване и професионална мобилност (особено за учители и служители на изборна длъжност на местно равнище). Този обмен следва да бъде достъпен за всички във всички държави членки, независимо от възрастта, степента на образование, произхода и финансовите средства</w:t>
      </w:r>
      <w:r>
        <w:rPr>
          <w:rStyle w:val="Ancredenotedefin"/>
          <w:rStyle w:val="Ancredenotedefin"/>
        </w:rPr>
        <w:endnoteReference w:id="194"/>
      </w:r>
      <w:r>
        <w:rPr/>
        <w:t>. За тази цел Съюзът следва по-специално да укрепи съществуващите програми за обмен и мобилност на равнището на Съюза, като например Европейския корпус за солидарност, „Еразъм+„и „DiscoverEU„, да осигури по-широко и разнообразно участие в тези програми и да обмисли добавянето на нови елементи, като например допълнителна цел за гражданска служба, насърчавана от доброволчеството (за Европейския корпус за солидарност) и „звания за достъп до култура“ (за DiscoverEU). Местните и регионалните власти, под егидата на Комитета на регионите, трябва да играят водеща роля в тази област.</w:t>
      </w:r>
    </w:p>
    <w:p>
      <w:pPr>
        <w:pStyle w:val="Puce3"/>
        <w:tabs>
          <w:tab w:val="clear" w:pos="720"/>
        </w:tabs>
        <w:rPr/>
      </w:pPr>
      <w:r>
        <w:rPr/>
        <w:t>2.</w:t>
        <w:tab/>
        <w:t>Насърчаване на многоезичието като портал към други култури от ранна възраст. Регионалните и малцинствените езици се нуждаят от допълнителна закрила, като се вземат предвид Конвенцията на Съвета на Европа за малцинствените езици и Рамковата конвенция за защита на националните малцинства. ЕС следва да обмисли създаването на институция за насърчаване на езиковото многообразие на европейско равнище. От децата следва да се изисква от началното училище да придобият умения на активен език на ЕС, различен от техния собствен, на възможно най-високо равнище. За да се улесни способността на европейските граждани да общуват с по-широки групи от други европейци и като фактор за европейското сближаване, държавите членки следва да насърчават изучаването на езика на държавите — членки на ЕС, които граничат пряко в граничните региони, и придобиването на сертифицирано ниво на английски език</w:t>
      </w:r>
      <w:r>
        <w:rPr>
          <w:rStyle w:val="Ancredenotedefin"/>
          <w:rStyle w:val="Ancredenotedefin"/>
        </w:rPr>
        <w:endnoteReference w:id="195"/>
      </w:r>
      <w:r>
        <w:rPr/>
        <w:t>.</w:t>
      </w:r>
    </w:p>
    <w:p>
      <w:pPr>
        <w:pStyle w:val="Puce3"/>
        <w:tabs>
          <w:tab w:val="clear" w:pos="720"/>
        </w:tabs>
        <w:rPr/>
      </w:pPr>
      <w:r>
        <w:rPr/>
        <w:t>3.</w:t>
        <w:tab/>
        <w:t>Създаване на възможности за споделяне на европейските култури, сближаване на народите и насърчаване на обща европейска идентичност, например чрез прояви и събирания, в които участват всички целеви групи и се провеждат на различни места. Примерите включват организирането на Световни дни на</w:t>
      </w:r>
      <w:r>
        <w:rPr>
          <w:rStyle w:val="Ancredenotedefin"/>
          <w:rStyle w:val="Ancredenotedefin"/>
        </w:rPr>
        <w:endnoteReference w:id="196"/>
      </w:r>
      <w:r>
        <w:rPr/>
        <w:t>изкуството, европейска изложба с педагогически прояви или превръщането на Деня на Европа (9 май) в официален европейски празник за всички граждани на ЕС</w:t>
      </w:r>
      <w:r>
        <w:rPr>
          <w:rStyle w:val="Ancredenotedefin"/>
          <w:rStyle w:val="Ancredenotedefin"/>
        </w:rPr>
        <w:endnoteReference w:id="197"/>
      </w:r>
      <w:r>
        <w:rPr/>
        <w:t>.</w:t>
      </w:r>
    </w:p>
    <w:p>
      <w:pPr>
        <w:pStyle w:val="Puce3"/>
        <w:tabs>
          <w:tab w:val="clear" w:pos="720"/>
        </w:tabs>
        <w:rPr/>
      </w:pPr>
      <w:r>
        <w:rPr/>
      </w:r>
    </w:p>
    <w:p>
      <w:pPr>
        <w:pStyle w:val="Puce3"/>
        <w:tabs>
          <w:tab w:val="clear" w:pos="720"/>
        </w:tabs>
        <w:rPr/>
      </w:pPr>
      <w:r>
        <w:rPr/>
        <w:t>4.</w:t>
        <w:tab/>
        <w:t>Защита на европейското културно наследство и европейската култура,</w:t>
      </w:r>
      <w:r>
        <w:rPr>
          <w:rStyle w:val="Ancredenotedefin"/>
          <w:rStyle w:val="Ancredenotedefin"/>
        </w:rPr>
        <w:endnoteReference w:id="198"/>
      </w:r>
      <w:r>
        <w:rPr/>
        <w:t>по-специално чрез признаване на местните и регионалните особености в областта на културата и производството,</w:t>
      </w:r>
      <w:r>
        <w:rPr>
          <w:rStyle w:val="Ancredenotedefin"/>
          <w:rStyle w:val="Ancredenotedefin"/>
        </w:rPr>
        <w:endnoteReference w:id="199"/>
      </w:r>
      <w:r>
        <w:rPr/>
        <w:t>чрез нови инициативи за неговото опазване и празнуване, чрез мобилност за насърчаване на обмена на културно наследство и чрез насърчаване на съществуващите мерки като „Творческа Европа„, Новия европейски Баухаус, програмите за побратимяване на градовете и „Европейски столици на културата“, в съответствие с целите за устойчиво развитие.</w:t>
      </w:r>
    </w:p>
    <w:p>
      <w:pPr>
        <w:pStyle w:val="Puce3"/>
        <w:tabs>
          <w:tab w:val="clear" w:pos="720"/>
        </w:tabs>
        <w:rPr/>
      </w:pPr>
      <w:r>
        <w:rPr/>
        <w:t>5.</w:t>
        <w:tab/>
        <w:t>Да предприеме мерки, за да гарантира, че специалистите в областта на културата са защитени в достатъчна степен на равнището на ЕС, особено при всяка бъдеща криза, чрез приемането на правен статут на европейско равнище.</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102" w:name="__RefHeading___Toc298378_1346298689"/>
      <w:bookmarkEnd w:id="102"/>
      <w:r>
        <w:rPr/>
        <w:t>49. Предложение: Спорт</w:t>
      </w:r>
    </w:p>
    <w:p>
      <w:pPr>
        <w:pStyle w:val="P68B1DB1Normal15"/>
        <w:rPr>
          <w:b/>
          <w:b/>
        </w:rPr>
      </w:pPr>
      <w:r>
        <w:rPr/>
        <w:t>Цел: Спортът е от съществено значение за нашите общества — за да защитим нашите ценности, да водим здравословен начин на живот и възраст в добро здраве, да насърчаваме култура на обмен и да празнуваме многообразието на европейското наследство. Поради тази причина държавите членки следва да се стремят, със съдействието на Европейския съюз, да:</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Мерки:</w:t>
      </w:r>
    </w:p>
    <w:p>
      <w:pPr>
        <w:pStyle w:val="Puce3"/>
        <w:tabs>
          <w:tab w:val="clear" w:pos="720"/>
        </w:tabs>
        <w:rPr/>
      </w:pPr>
      <w:r>
        <w:rPr/>
        <w:t>1.</w:t>
        <w:tab/>
        <w:t>Да подчертаят ценностите, по-специално равенството между половете, равнопоставеността и приобщаването, които могат да бъдат конкретно отразени в практикуването на спорта през целия образователен път.</w:t>
      </w:r>
    </w:p>
    <w:p>
      <w:pPr>
        <w:pStyle w:val="Puce3"/>
        <w:tabs>
          <w:tab w:val="clear" w:pos="720"/>
        </w:tabs>
        <w:rPr/>
      </w:pPr>
      <w:r>
        <w:rPr/>
        <w:t>2.</w:t>
        <w:tab/>
        <w:t>Повишаване на осведомеността за ползите за здравето от спорта и физическата активност</w:t>
      </w:r>
      <w:r>
        <w:rPr>
          <w:rStyle w:val="Ancredenotedefin"/>
          <w:rStyle w:val="Ancredenotedefin"/>
        </w:rPr>
        <w:endnoteReference w:id="200"/>
      </w:r>
      <w:r>
        <w:rPr/>
        <w:t>.</w:t>
      </w:r>
    </w:p>
    <w:p>
      <w:pPr>
        <w:pStyle w:val="Puce3"/>
        <w:tabs>
          <w:tab w:val="clear" w:pos="720"/>
        </w:tabs>
        <w:rPr/>
      </w:pPr>
      <w:r>
        <w:rPr/>
        <w:t>3.</w:t>
        <w:tab/>
        <w:t>Интегриране на спортните дейности в програмите за обмен и мобилност на равнище ЕС</w:t>
      </w:r>
      <w:r>
        <w:rPr>
          <w:rStyle w:val="Ancredenotedefin"/>
          <w:rStyle w:val="Ancredenotedefin"/>
        </w:rPr>
        <w:endnoteReference w:id="201"/>
      </w:r>
      <w:r>
        <w:rPr/>
        <w:t>200.</w:t>
      </w:r>
    </w:p>
    <w:p>
      <w:pPr>
        <w:pStyle w:val="Puce3"/>
        <w:tabs>
          <w:tab w:val="clear" w:pos="720"/>
        </w:tabs>
        <w:rPr/>
      </w:pPr>
      <w:r>
        <w:rPr/>
        <w:t>4.</w:t>
        <w:tab/>
        <w:t>Да се обърне по-голямо внимание не само на професионалните и търговските спортове, но и на местните и традиционните спортове, които са свидетели на европейското културно многообразие, за да се популяризира културното наследство и да се подкрепят спортните шампиони в непрофесионална обстановка.</w:t>
      </w:r>
    </w:p>
    <w:p>
      <w:pPr>
        <w:pStyle w:val="Normal"/>
        <w:rPr/>
      </w:pPr>
      <w:r>
        <w:rPr/>
      </w:r>
    </w:p>
    <w:p>
      <w:pPr>
        <w:pStyle w:val="Puce3"/>
        <w:tabs>
          <w:tab w:val="clear" w:pos="720"/>
        </w:tabs>
        <w:rPr/>
      </w:pPr>
      <w:r>
        <w:rPr/>
        <w:t>5.</w:t>
        <w:tab/>
        <w:t>В същото време насърчава популяризирането на европейската идентичност чрез организиране на повече междуевропейски спортни прояви,</w:t>
      </w:r>
      <w:r>
        <w:rPr/>
        <w:commentReference w:id="0"/>
      </w:r>
      <w:r>
        <w:rPr/>
        <w:t>създаване на спортни отбори на ЕС или поставяне на европейски знамена или символи на европейски спортни събития.</w:t>
      </w:r>
    </w:p>
    <w:p>
      <w:pPr>
        <w:pStyle w:val="Puce3"/>
        <w:tabs>
          <w:tab w:val="clear" w:pos="720"/>
        </w:tabs>
        <w:rPr/>
      </w:pPr>
      <w:r>
        <w:rPr/>
        <w:t>6.</w:t>
        <w:tab/>
        <w:t>Да инвестира повече в комуникацията, като например Европейската седмица на спорта, така че гражданите в целия ЕС да могат да се възползват от първокласни възможности заедно.</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103" w:name="__RefHeading___Toc298380_1346298689"/>
      <w:bookmarkEnd w:id="103"/>
      <w:r>
        <w:rPr/>
        <w:t>Заключителни съображения на Изпълнителния съвет</w:t>
      </w:r>
    </w:p>
    <w:p>
      <w:pPr>
        <w:pStyle w:val="Normal"/>
        <w:rPr/>
      </w:pPr>
      <w:r>
        <w:rPr/>
      </w:r>
      <w:r>
        <w:br w:type="page"/>
      </w:r>
    </w:p>
    <w:p>
      <w:pPr>
        <w:pStyle w:val="Corpsdetexte"/>
        <w:rPr/>
      </w:pPr>
      <w:r>
        <w:rPr/>
        <w:t>Основната цел на Конференцията за бъдещето на Европа беше да се гарантира, че Европейският съюз е готов да посрещне настоящите и бъдещите предизвикателства, като даде възможност на гражданите да изразят своите опасения и стремежи и, в сътрудничество с представители на трите институции, националните парламенти и други заинтересовани страни, да предоставят насоки за бъдещето. За да се постигне тази цел, конференцията трябваше да бъде ориентирана към гражданите дейност, основана на подход „отдолу-нагоре“, способна да създаде ново пространство за обсъждане на приоритетите на Европа и за изготвяне на преглед на това, което гражданите очакват от Европейския съюз.</w:t>
      </w:r>
    </w:p>
    <w:p>
      <w:pPr>
        <w:pStyle w:val="Corpsdetexte"/>
        <w:rPr/>
      </w:pPr>
      <w:r>
        <w:rPr/>
        <w:t>Конференцията наистина успя да изиграе тази роля. Европейски граждани от всички сфери на живота и от всички краища на Съюза участваха в конференцията и отправиха препоръки от гражданските панели и предложения за бъдещето на Европа в сътрудничество с последващите пленарни заседания, включително членове на Европейския парламент, Съвета и Европейската комисия, както и представители на всички национални парламенти, Комитета на регионите, регионалните и местните представители на изборни длъжности, Европейския икономически и социален комитет, социалните партньори и гражданското общество, както и други ключови участници. Разработените за този процес инструменти и методология представляват уникален набор от ресурси, които биха могли да послужат като основа за бъдещи учения относно гражданското участие и съвещателната демокрация на равнище ЕС.</w:t>
      </w:r>
    </w:p>
    <w:p>
      <w:pPr>
        <w:pStyle w:val="Corpsdetexte"/>
        <w:rPr/>
      </w:pPr>
      <w:r>
        <w:rPr/>
        <w:t>Благодарение на множеството прояви и дебати в целия ЕС, интерактивната многоезична цифрова платформа, европейските и националните граждански панели и пленарната сесия на конференцията, конференцията представи окончателен доклад, включващ преглед на работата, извършена по устойчив начин през тази година, както и предложенията, направени от Пленарната асамблея за бъдещето на Европа. От тези предложения става ясно, че ЕС трябва да действа, за да успее в екологичния и цифровия преход, да укрепи устойчивостта на Европа и нейния социален договор, като същевременно се справи с неравенствата и гарантира, че Европейският съюз е справедлива, устойчива, иновативна и конкурентоспособна икономика, която не изоставя никого.</w:t>
      </w:r>
    </w:p>
    <w:p>
      <w:pPr>
        <w:pStyle w:val="Corpsdetexte"/>
        <w:rPr/>
      </w:pPr>
      <w:r>
        <w:rPr/>
        <w:t>Развитието на геополитическата ситуация по време на конференцията, и по-специално руската война за агресия срещу Украйна, също показа, че ЕС трябва да стане по-настоятелен, като играе водеща роля на световната сцена в популяризирането на своите ценности и норми в един все по-разтърсен свят.</w:t>
      </w:r>
    </w:p>
    <w:p>
      <w:pPr>
        <w:pStyle w:val="Corpsdetexte"/>
        <w:rPr/>
      </w:pPr>
      <w:r>
        <w:rPr/>
        <w:t>Конференцията предостави ясни насоки в тези области и трите институции на ЕС сега трябва да обмислят как да отговорят на изразените опасения, стремежи и идеи. Следващата стъпка в този процес е да се разработят конкретни действия на ЕС въз основа на резултатите от конференцията, както е посочено в настоящия окончателен доклад. Ето защо сега институциите на ЕС ще разгледат настоящия доклад и последващите действия във връзка с него в рамките на своята компетентност и в съответствие с Договорите. През есента на 2022 г. ще се проведе последваща проява, за да се информират гражданите за това как институциите ще изпълнят ангажимента си да гарантират, че те са изслушани и държат в ръцете си бъдещето на Европа.</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p>
    <w:p>
      <w:pPr>
        <w:pStyle w:val="Normal"/>
        <w:rPr/>
      </w:pPr>
      <w:r>
        <w:rPr/>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r>
        <w:br w:type="page"/>
      </w:r>
    </w:p>
    <w:p>
      <w:pPr>
        <w:pStyle w:val="Normal"/>
        <w:spacing w:before="13610" w:after="57"/>
        <w:rPr/>
      </w:pPr>
      <w:r>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Снимка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Снимка 30" descr=""/>
                    <pic:cNvPicPr>
                      <a:picLocks noChangeAspect="1" noChangeArrowheads="1"/>
                    </pic:cNvPicPr>
                  </pic:nvPicPr>
                  <pic:blipFill>
                    <a:blip r:embed="rId82"/>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pPr>
      <w:bookmarkStart w:id="104" w:name="__RefHeading___Toc297141_1346298689"/>
      <w:bookmarkEnd w:id="104"/>
      <w:r>
        <w:rPr/>
        <w:t>Приложение I — Препоръки на четирите европейски граждански панела</w:t>
      </w:r>
    </w:p>
    <w:p>
      <w:pPr>
        <w:pStyle w:val="Normal"/>
        <w:widowControl w:val="false"/>
        <w:spacing w:lineRule="exact" w:line="412"/>
        <w:ind w:left="0" w:right="0" w:hanging="0"/>
        <w:jc w:val="left"/>
        <w:rPr>
          <w:rFonts w:ascii="Arial" w:hAnsi="Arial"/>
          <w:b/>
          <w:b/>
          <w:color w:val="000000"/>
          <w:sz w:val="24"/>
        </w:rPr>
      </w:pPr>
      <w:r>
        <w:rPr>
          <w:b/>
          <w:color w:val="000000"/>
          <w:sz w:val="24"/>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Снимка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Снимка 31" descr=""/>
                    <pic:cNvPicPr>
                      <a:picLocks noChangeAspect="1" noChangeArrowheads="1"/>
                    </pic:cNvPicPr>
                  </pic:nvPicPr>
                  <pic:blipFill>
                    <a:blip r:embed="rId83"/>
                    <a:stretch>
                      <a:fillRect/>
                    </a:stretch>
                  </pic:blipFill>
                  <pic:spPr bwMode="auto">
                    <a:xfrm>
                      <a:off x="0" y="0"/>
                      <a:ext cx="4378325" cy="5307330"/>
                    </a:xfrm>
                    <a:prstGeom prst="rect">
                      <a:avLst/>
                    </a:prstGeom>
                  </pic:spPr>
                </pic:pic>
              </a:graphicData>
            </a:graphic>
          </wp:anchor>
        </w:drawing>
      </w:r>
      <w:r>
        <w:br w:type="page"/>
      </w:r>
    </w:p>
    <w:p>
      <w:pPr>
        <w:pStyle w:val="Normal"/>
        <w:rPr/>
      </w:pPr>
      <w:r>
        <w:rPr/>
        <mc:AlternateContent>
          <mc:Choice Requires="wps">
            <w:drawing>
              <wp:anchor behindDoc="0" distT="72390" distB="72390" distL="72390" distR="72390" simplePos="0" locked="0" layoutInCell="1" allowOverlap="1" relativeHeight="32">
                <wp:simplePos x="0" y="0"/>
                <wp:positionH relativeFrom="column">
                  <wp:posOffset>128270</wp:posOffset>
                </wp:positionH>
                <wp:positionV relativeFrom="paragraph">
                  <wp:posOffset>2223770</wp:posOffset>
                </wp:positionV>
                <wp:extent cx="4250690" cy="3210560"/>
                <wp:effectExtent l="0" t="0" r="0" b="0"/>
                <wp:wrapTopAndBottom/>
                <wp:docPr id="72" name="Рамка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P68B1DB1Normal16"/>
                              <w:spacing w:before="57" w:after="57"/>
                              <w:rPr>
                                <w:color w:val="FFFFFF"/>
                                <w:sz w:val="72"/>
                              </w:rPr>
                            </w:pPr>
                            <w:r>
                              <w:rPr/>
                              <w:t xml:space="preserve">Конференция на </w:t>
                            </w:r>
                          </w:p>
                          <w:p>
                            <w:pPr>
                              <w:pStyle w:val="P68B1DB1Normal16"/>
                              <w:rPr>
                                <w:color w:val="FFFFFF"/>
                                <w:sz w:val="72"/>
                              </w:rPr>
                            </w:pPr>
                            <w:r>
                              <w:rPr/>
                              <w:t xml:space="preserve">бъдещето на Европа </w:t>
                            </w:r>
                          </w:p>
                          <w:p>
                            <w:pPr>
                              <w:pStyle w:val="P68B1DB1Normal17"/>
                              <w:rPr>
                                <w:color w:val="FFFFFF"/>
                              </w:rPr>
                            </w:pPr>
                            <w:r>
                              <w:rPr/>
                              <w:t xml:space="preserve"> </w:t>
                            </w:r>
                            <w:r>
                              <w:rPr/>
                              <w:t>Европейски граждански</w:t>
                            </w:r>
                            <w:r>
                              <w:rPr>
                                <w:sz w:val="32"/>
                              </w:rPr>
                              <w:t xml:space="preserve">панел 1: По-силна икономика, социална справедливост и заетост/Образование, култура, младеж и спорт/цифрова трансформация </w:t>
                            </w:r>
                          </w:p>
                          <w:p>
                            <w:pPr>
                              <w:pStyle w:val="P68B1DB1Normal17"/>
                              <w:rPr>
                                <w:color w:val="FFFFFF"/>
                              </w:rPr>
                            </w:pPr>
                            <w:r>
                              <w:rPr/>
                              <w:t xml:space="preserve"> </w:t>
                            </w:r>
                          </w:p>
                          <w:p>
                            <w:pPr>
                              <w:pStyle w:val="P68B1DB1Normal17"/>
                              <w:rPr>
                                <w:color w:val="FFFFFF"/>
                              </w:rPr>
                            </w:pPr>
                            <w:r>
                              <w:rPr/>
                              <w:t>Препоръки</w:t>
                            </w:r>
                          </w:p>
                          <w:p>
                            <w:pPr>
                              <w:pStyle w:val="P68B1DB1Normal17"/>
                              <w:rPr>
                                <w:color w:val="FFFFFF"/>
                              </w:rPr>
                            </w:pPr>
                            <w:r>
                              <w:rPr/>
                              <w:t xml:space="preserve"> </w:t>
                            </w:r>
                            <w:r>
                              <w:rPr/>
                              <w:t>Снимки © Европейски съюз, 2021 г. — EP/Kenton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Рамка13" fillcolor="white" stroked="f" style="position:absolute;margin-left:10.1pt;margin-top:175.1pt;width:334.6pt;height:252.7pt">
                <w10:wrap type="square"/>
                <v:fill o:detectmouseclick="t" type="solid" color2="black" opacity="0"/>
                <v:stroke color="#3465a4" joinstyle="round" endcap="flat"/>
                <v:textbox>
                  <w:txbxContent>
                    <w:p>
                      <w:pPr>
                        <w:pStyle w:val="P68B1DB1Normal16"/>
                        <w:spacing w:before="57" w:after="57"/>
                        <w:rPr>
                          <w:color w:val="FFFFFF"/>
                          <w:sz w:val="72"/>
                        </w:rPr>
                      </w:pPr>
                      <w:r>
                        <w:rPr/>
                        <w:t xml:space="preserve">Конференция на </w:t>
                      </w:r>
                    </w:p>
                    <w:p>
                      <w:pPr>
                        <w:pStyle w:val="P68B1DB1Normal16"/>
                        <w:rPr>
                          <w:color w:val="FFFFFF"/>
                          <w:sz w:val="72"/>
                        </w:rPr>
                      </w:pPr>
                      <w:r>
                        <w:rPr/>
                        <w:t xml:space="preserve">бъдещето на Европа </w:t>
                      </w:r>
                    </w:p>
                    <w:p>
                      <w:pPr>
                        <w:pStyle w:val="P68B1DB1Normal17"/>
                        <w:rPr>
                          <w:color w:val="FFFFFF"/>
                        </w:rPr>
                      </w:pPr>
                      <w:r>
                        <w:rPr/>
                        <w:t xml:space="preserve"> </w:t>
                      </w:r>
                      <w:r>
                        <w:rPr/>
                        <w:t>Европейски граждански</w:t>
                      </w:r>
                      <w:r>
                        <w:rPr>
                          <w:sz w:val="32"/>
                        </w:rPr>
                        <w:t xml:space="preserve">панел 1: По-силна икономика, социална справедливост и заетост/Образование, култура, младеж и спорт/цифрова трансформация </w:t>
                      </w:r>
                    </w:p>
                    <w:p>
                      <w:pPr>
                        <w:pStyle w:val="P68B1DB1Normal17"/>
                        <w:rPr>
                          <w:color w:val="FFFFFF"/>
                        </w:rPr>
                      </w:pPr>
                      <w:r>
                        <w:rPr/>
                        <w:t xml:space="preserve"> </w:t>
                      </w:r>
                    </w:p>
                    <w:p>
                      <w:pPr>
                        <w:pStyle w:val="P68B1DB1Normal17"/>
                        <w:rPr>
                          <w:color w:val="FFFFFF"/>
                        </w:rPr>
                      </w:pPr>
                      <w:r>
                        <w:rPr/>
                        <w:t>Препоръки</w:t>
                      </w:r>
                    </w:p>
                    <w:p>
                      <w:pPr>
                        <w:pStyle w:val="P68B1DB1Normal17"/>
                        <w:rPr>
                          <w:color w:val="FFFFFF"/>
                        </w:rPr>
                      </w:pPr>
                      <w:r>
                        <w:rPr/>
                        <w:t xml:space="preserve"> </w:t>
                      </w:r>
                      <w:r>
                        <w:rPr/>
                        <w:t>Снимки © Европейски съюз, 2021 г. — EP/Kenton Thatcher</w:t>
                      </w:r>
                    </w:p>
                    <w:p>
                      <w:pPr>
                        <w:pStyle w:val="Normal"/>
                        <w:spacing w:before="57" w:after="57"/>
                        <w:rPr/>
                      </w:pPr>
                      <w:r>
                        <w:rPr/>
                      </w:r>
                    </w:p>
                  </w:txbxContent>
                </v:textbox>
              </v:rect>
            </w:pict>
          </mc:Fallback>
        </mc:AlternateContent>
      </w:r>
    </w:p>
    <w:p>
      <w:pPr>
        <w:pStyle w:val="Titre2"/>
        <w:numPr>
          <w:ilvl w:val="1"/>
          <w:numId w:val="2"/>
        </w:numPr>
        <w:rPr/>
      </w:pPr>
      <w:bookmarkStart w:id="105" w:name="__RefHeading___Toc297143_1346298689"/>
      <w:bookmarkEnd w:id="105"/>
      <w:r>
        <w:rPr/>
        <w:t xml:space="preserve">Европейски граждански панел 1: По-силна икономика, социална справедливост и заетост/Образование, култура, младеж и спорт/цифрова трансформация </w:t>
      </w:r>
    </w:p>
    <w:p>
      <w:pPr>
        <w:pStyle w:val="P68B1DB1Normal18"/>
        <w:widowControl w:val="false"/>
        <w:spacing w:lineRule="exact" w:line="468"/>
        <w:ind w:left="425" w:right="0" w:hanging="0"/>
        <w:jc w:val="left"/>
        <w:rPr/>
      </w:pPr>
      <w:r>
        <w:rPr>
          <w:b/>
          <w:color w:val="1C4587"/>
        </w:rPr>
        <w:t>ПРЕПОРЪКИ, ПРИЕТИ ОТ КОМИСИЯТА (ПРЕДСТОИ ДА БЪДАТ ПРЕДСТАВЕНИ НА ПЛЕНАРНО ЗАСЕДАНИЕ)</w:t>
      </w:r>
      <w:r>
        <w:rPr>
          <w:color w:val="000000"/>
        </w:rPr>
        <w:t xml:space="preserve"> </w:t>
      </w:r>
    </w:p>
    <w:p>
      <w:pPr>
        <w:pStyle w:val="Titre3"/>
        <w:numPr>
          <w:ilvl w:val="2"/>
          <w:numId w:val="2"/>
        </w:numPr>
        <w:rPr/>
      </w:pPr>
      <w:bookmarkStart w:id="106" w:name="__RefHeading___Toc297145_1346298689"/>
      <w:bookmarkEnd w:id="106"/>
      <w:r>
        <w:rPr/>
        <w:t xml:space="preserve">Ос 1: Работа в Европа </w:t>
      </w:r>
    </w:p>
    <w:p>
      <w:pPr>
        <w:pStyle w:val="Titre4"/>
        <w:numPr>
          <w:ilvl w:val="3"/>
          <w:numId w:val="2"/>
        </w:numPr>
        <w:rPr/>
      </w:pPr>
      <w:bookmarkStart w:id="107" w:name="__RefHeading___Toc297147_1346298689"/>
      <w:bookmarkEnd w:id="107"/>
      <w:r>
        <w:rPr/>
        <w:t xml:space="preserve">Подос 1.1 Пазар на труда </w:t>
      </w:r>
    </w:p>
    <w:p>
      <w:pPr>
        <w:pStyle w:val="P68B1DB1Normal15"/>
        <w:rPr>
          <w:b/>
          <w:b/>
        </w:rPr>
      </w:pPr>
      <w:r>
        <w:rPr/>
        <w:t xml:space="preserve">1. Препоръчваме въвеждането на минимална работна заплата, за да се гарантира еднакво качество на живот във всички държави членки. Наясно сме с продължаващите усилия съгласно Директивата на ЕС COM(2020) 682 за хармонизиране на начина на живот. Минималната работна заплата трябва да гарантира минимален нетен доход, за да се постигне основна цел: всички нуждаещи се трябва да имат по-високи доходи. Минималната работна заплата следва да отчита следните аспекти: </w:t>
      </w:r>
    </w:p>
    <w:p>
      <w:pPr>
        <w:pStyle w:val="P68B1DB1Normal15"/>
        <w:rPr>
          <w:b/>
          <w:b/>
        </w:rPr>
      </w:pPr>
      <w:r>
        <w:rPr/>
        <w:t xml:space="preserve">● </w:t>
      </w:r>
      <w:r>
        <w:rPr/>
        <w:t xml:space="preserve">ЕС следва да гарантира ефективното му прилагане, тъй като понастоящем не всички държави членки прилагат правилно защитата на работниците; </w:t>
      </w:r>
    </w:p>
    <w:p>
      <w:pPr>
        <w:pStyle w:val="P68B1DB1Normal15"/>
        <w:rPr>
          <w:b/>
          <w:b/>
        </w:rPr>
      </w:pPr>
      <w:r>
        <w:rPr/>
        <w:t xml:space="preserve">● </w:t>
      </w:r>
      <w:r>
        <w:rPr/>
        <w:t xml:space="preserve">особено внимание следва да се обърне на наблюдението на подобряването на жизнения стандарт; </w:t>
      </w:r>
    </w:p>
    <w:p>
      <w:pPr>
        <w:pStyle w:val="Normal"/>
        <w:rPr/>
      </w:pPr>
      <w:r>
        <w:rPr>
          <w:b/>
        </w:rPr>
        <w:t xml:space="preserve">● </w:t>
      </w:r>
      <w:r>
        <w:rPr>
          <w:b/>
        </w:rPr>
        <w:t>минималната работна заплата трябва да отчита покупателната способност в различните държави. Необходима е процедура за периодично преразглеждане, за да се адаптира към промените в издръжката на живота (напр. за да се вземе предвид инфлацията).</w:t>
      </w:r>
      <w:r>
        <w:rPr/>
        <w:t xml:space="preserve"> </w:t>
      </w:r>
    </w:p>
    <w:p>
      <w:pPr>
        <w:pStyle w:val="Normal"/>
        <w:rPr/>
      </w:pPr>
      <w:r>
        <w:rPr/>
        <w:t xml:space="preserve"> </w:t>
      </w:r>
    </w:p>
    <w:p>
      <w:pPr>
        <w:pStyle w:val="Normal"/>
        <w:rPr/>
      </w:pPr>
      <w:r>
        <w:rPr/>
        <w:t xml:space="preserve">Отправяме тази препоръка, тъй като минималната работна заплата укрепва социалната справедливост на пазара на труда и подобрява конкретните условия на живот на работниците във всички държави членки, което е особено важно в контекста на бързо променящата се работна среда, например поради цифровизацията. </w:t>
      </w:r>
    </w:p>
    <w:p>
      <w:pPr>
        <w:pStyle w:val="Normal"/>
        <w:rPr/>
      </w:pPr>
      <w:r>
        <w:rPr/>
        <w:t xml:space="preserve"> </w:t>
      </w:r>
    </w:p>
    <w:p>
      <w:pPr>
        <w:pStyle w:val="P68B1DB1Normal15"/>
        <w:rPr>
          <w:b/>
          <w:b/>
        </w:rPr>
      </w:pPr>
      <w:r>
        <w:rPr/>
        <w:t xml:space="preserve">2. Вече съществува законодателен акт на ЕС (Директива 2003/88/ЕО относно работното време), но той не е достатъчен, за да се гарантира здравословен баланс между професионалния и личния живот. Като първа стъпка препоръчваме да се преразгледа съществуващата рамка, за да се гарантира, че тя е адаптирана към настоящите обстоятелства. На второ място, ЕС следва да въведе по-строг механизъм за наблюдение, за да се гарантира неговото прилагане във всички държави членки. Особено внимание следва да се обърне на различните сектори с различни нива на стрес и тежест, както психологически, така и физически. В същото време обаче други сектори зависят от по-голямата гъвкавост от страна на техните служители, за да се адаптират към специфичните нужди на дружествата. </w:t>
      </w:r>
    </w:p>
    <w:p>
      <w:pPr>
        <w:pStyle w:val="Normal"/>
        <w:rPr/>
      </w:pPr>
      <w:r>
        <w:rPr/>
        <w:t xml:space="preserve">Ние отправяме тази препоръка поради важността на по-доброто равновесие между професионалния и личния живот. По-доброто равновесие между професионалния и личния живот укрепва социалното сближаване и допринася за създаването на еднакви условия на конкуренция между работниците. Освен това тя оказва положително въздействие върху индивидуалното благосъстояние на работниците. </w:t>
      </w:r>
    </w:p>
    <w:p>
      <w:pPr>
        <w:pStyle w:val="Normal"/>
        <w:rPr/>
      </w:pPr>
      <w:r>
        <w:rPr/>
        <w:t xml:space="preserve"> </w:t>
      </w:r>
    </w:p>
    <w:p>
      <w:pPr>
        <w:pStyle w:val="Titre4"/>
        <w:numPr>
          <w:ilvl w:val="3"/>
          <w:numId w:val="2"/>
        </w:numPr>
        <w:rPr/>
      </w:pPr>
      <w:bookmarkStart w:id="108" w:name="__RefHeading___Toc297151_1346298689"/>
      <w:bookmarkEnd w:id="108"/>
      <w:r>
        <w:rPr/>
        <w:t xml:space="preserve">Подос 1.2 Младежта и заетостта </w:t>
      </w:r>
    </w:p>
    <w:p>
      <w:pPr>
        <w:pStyle w:val="Normal"/>
        <w:rPr/>
      </w:pPr>
      <w:r>
        <w:rPr/>
        <w:t xml:space="preserve"> </w:t>
      </w:r>
    </w:p>
    <w:p>
      <w:pPr>
        <w:pStyle w:val="P68B1DB1Normal15"/>
        <w:rPr>
          <w:b/>
          <w:b/>
        </w:rPr>
      </w:pPr>
      <w:r>
        <w:rPr/>
        <w:t xml:space="preserve">3. Препоръчваме хармонизиране на нивото на всички различни образователни програми в ЕС, приемане на национално съдържание. Поради това препоръчваме всички професионални дипломи да бъдат валидирани и взаимно признати във всички държави — членки на ЕС. </w:t>
      </w:r>
    </w:p>
    <w:p>
      <w:pPr>
        <w:pStyle w:val="Normal"/>
        <w:rPr/>
      </w:pPr>
      <w:r>
        <w:rPr/>
        <w:t xml:space="preserve"> </w:t>
      </w:r>
    </w:p>
    <w:p>
      <w:pPr>
        <w:pStyle w:val="Normal"/>
        <w:rPr/>
      </w:pPr>
      <w:r>
        <w:rPr/>
        <w:t xml:space="preserve">Отправяме тази препоръка, защото искаме да улесним мобилността на европейската работна сила и да намалим административната тежест. </w:t>
      </w:r>
    </w:p>
    <w:p>
      <w:pPr>
        <w:pStyle w:val="Normal"/>
        <w:rPr/>
      </w:pPr>
      <w:r>
        <w:rPr/>
      </w:r>
    </w:p>
    <w:p>
      <w:pPr>
        <w:pStyle w:val="P68B1DB1Normal15"/>
        <w:rPr>
          <w:b/>
          <w:b/>
        </w:rPr>
      </w:pPr>
      <w:r>
        <w:rPr/>
        <w:t xml:space="preserve">4. Препоръчваме на учениците от средните училища (от 12-годишна възраст) да направят преглед на бъдещия си пазар на труда, като им даде възможност да участват в различни посещения за наблюдение на качеството в организации с нестопанска цел и организации с нестопанска цел. Предлагаме да се насърчат компаниите да приветстват студенти за стажове за наблюдение, като им се предоставят безвъзмездни средства. В отдалечени райони с по-малко възможности местните училища, публичните органи, организациите и предприятията трябва да работят в тясно сътрудничество, за да се гарантира, че тези посещения за наблюдение също са на разположение. </w:t>
      </w:r>
    </w:p>
    <w:p>
      <w:pPr>
        <w:pStyle w:val="Normal"/>
        <w:rPr/>
      </w:pPr>
      <w:r>
        <w:rPr/>
        <w:t xml:space="preserve"> </w:t>
      </w:r>
    </w:p>
    <w:p>
      <w:pPr>
        <w:pStyle w:val="Normal"/>
        <w:rPr/>
      </w:pPr>
      <w:r>
        <w:rPr/>
        <w:t xml:space="preserve">Отправяме тази препоръка, защото искаме младите хора да получат представа за различните възможности, предлагани от пазара на труда, така че те да могат по-добре да избират своето образование и бъдещата си работа и да разберат значението на избора на подходящо образование. Той също така ще ги научи на чувство за отговорност и зачитане на пазара на труда и ще им помогне да се интегрират на пазара на труда, като предоставят ползи за всички. </w:t>
      </w:r>
    </w:p>
    <w:p>
      <w:pPr>
        <w:pStyle w:val="Normal"/>
        <w:rPr/>
      </w:pPr>
      <w:r>
        <w:rPr/>
        <w:t xml:space="preserve"> </w:t>
      </w:r>
    </w:p>
    <w:p>
      <w:pPr>
        <w:pStyle w:val="P68B1DB1Normal15"/>
        <w:rPr>
          <w:b/>
          <w:b/>
        </w:rPr>
      </w:pPr>
      <w:r>
        <w:rPr/>
        <w:t xml:space="preserve">5. Препоръчваме да се интегрира практиката на нетехнически умения във всички учебни курсове. Под нетехнически умения имаме предвид: взаимно слушане, диалог, устойчивост, разбиране, уважение и оценяване на другите, критично мислене, самообучение и оставане любопитно и ориентирано към резултатите. Учителите следва да бъдат обучени в предаването на тези умения, като работят в тясно сътрудничество със социалните работници и/или психолозите. Други предложения за изпълнение: организиране на програми за обмен на ученици между училища, участие в междуучилищни спортни и културни събития и др. </w:t>
      </w:r>
    </w:p>
    <w:p>
      <w:pPr>
        <w:pStyle w:val="Normal"/>
        <w:rPr/>
      </w:pPr>
      <w:r>
        <w:rPr/>
        <w:t xml:space="preserve"> </w:t>
      </w:r>
    </w:p>
    <w:p>
      <w:pPr>
        <w:pStyle w:val="Normal"/>
        <w:rPr/>
      </w:pPr>
      <w:r>
        <w:rPr/>
        <w:t xml:space="preserve">Ние отправяме тази препоръка, защото нетехническите умения са необходими основни умения, които се губят в ерата на цифровите технологии и от които нашите млади хора ще се нуждаят абсолютно в бъдещия си живот. Ето защо настояваме тези умения да бъдат включени в учебните програми, за да се помогне на младите хора да бъдат устойчиви и да избегнат или преодолеят психичните проблеми, които могат да изпитат в бъдещия си живот. Социалните умения укрепват взаимоотношенията между хората и по този начин помагат на хората да намерят своето място в обществото. </w:t>
      </w:r>
    </w:p>
    <w:p>
      <w:pPr>
        <w:pStyle w:val="Normal"/>
        <w:rPr/>
      </w:pPr>
      <w:r>
        <w:rPr/>
        <w:t xml:space="preserve"> </w:t>
      </w:r>
    </w:p>
    <w:p>
      <w:pPr>
        <w:pStyle w:val="P68B1DB1Normal15"/>
        <w:rPr>
          <w:b/>
          <w:b/>
        </w:rPr>
      </w:pPr>
      <w:r>
        <w:rPr/>
        <w:t xml:space="preserve">6. Препоръчваме в случай на сериозна криза (здравна криза, война и т.н.) добре разработени планове с подробни сценарии да бъдат готови за гъвкаво разгръщане, за да се сведе до минимум въздействието върху образованието, професионалното обучение и психичното благосъстояние на нашите млади хора и т.н. увеличаване на разходите за образование или обучение, задължително удължаване на обучението, невъзможност за завършване на стажове, увеличаване на проблемите с психичното здраве. Тези планове трябва да се изпълняват по такъв начин, че да се сведе до минимум въздействието върху младите хора и техния преход към пазара на труда. </w:t>
      </w:r>
    </w:p>
    <w:p>
      <w:pPr>
        <w:pStyle w:val="Normal"/>
        <w:rPr/>
      </w:pPr>
      <w:r>
        <w:rPr/>
        <w:t xml:space="preserve"> </w:t>
      </w:r>
    </w:p>
    <w:p>
      <w:pPr>
        <w:pStyle w:val="Normal"/>
        <w:rPr/>
      </w:pPr>
      <w:r>
        <w:rPr/>
        <w:t xml:space="preserve">Ние отправяме тази препоръка, защото младите хора са много уязвими по време на криза. </w:t>
      </w:r>
    </w:p>
    <w:p>
      <w:pPr>
        <w:pStyle w:val="Normal"/>
        <w:rPr/>
      </w:pPr>
      <w:r>
        <w:rPr/>
        <w:t xml:space="preserve"> </w:t>
      </w:r>
    </w:p>
    <w:p>
      <w:pPr>
        <w:pStyle w:val="Titre4"/>
        <w:numPr>
          <w:ilvl w:val="3"/>
          <w:numId w:val="2"/>
        </w:numPr>
        <w:rPr/>
      </w:pPr>
      <w:bookmarkStart w:id="109" w:name="__RefHeading___Toc297153_1346298689"/>
      <w:bookmarkEnd w:id="109"/>
      <w:r>
        <w:rPr/>
        <w:t xml:space="preserve">Подос 1.3 Цифрова трансформация на работното място </w:t>
      </w:r>
    </w:p>
    <w:p>
      <w:pPr>
        <w:pStyle w:val="Normal"/>
        <w:rPr/>
      </w:pPr>
      <w:r>
        <w:rPr/>
        <w:t xml:space="preserve"> </w:t>
      </w:r>
    </w:p>
    <w:p>
      <w:pPr>
        <w:pStyle w:val="P68B1DB1Normal15"/>
        <w:rPr>
          <w:b/>
          <w:b/>
        </w:rPr>
      </w:pPr>
      <w:r>
        <w:rPr/>
        <w:t xml:space="preserve">7. Препоръчваме на ЕС да въведе или укрепи съществуващото законодателство относно интелигентната работа, т.е. онлайн и дистанционна работа, например у дома или от друго свързано онлайн място. Препоръчваме също така ЕС да въведе законодателство, за да насърчи предприятията да бъдат социално отговорни и да поддържат качествени мобилни работни места в ЕС. Стимулите могат да бъдат от финансово естество и/или да играят роля в корпоративния имидж и следва да вземат предвид международно признатите екологични, социални и управленски критерии. За тази цел ЕС следва да създаде работна група, съставена от експерти от всички заинтересовани страни, която да преразгледа и укрепи това законодателство. </w:t>
      </w:r>
    </w:p>
    <w:p>
      <w:pPr>
        <w:pStyle w:val="Normal"/>
        <w:rPr/>
      </w:pPr>
      <w:r>
        <w:rPr/>
        <w:t xml:space="preserve"> </w:t>
      </w:r>
    </w:p>
    <w:p>
      <w:pPr>
        <w:pStyle w:val="Normal"/>
        <w:rPr/>
      </w:pPr>
      <w:r>
        <w:rPr/>
        <w:t xml:space="preserve">Отправяме тази препоръка, защото трябва да насърчаваме качествените мобилни работни места и да избягваме преместването им в трети държави с по-ниски разходи. Пандемията от COVID-19 и световните икономически тенденции подчертават спешната необходимост от защита на работните места в ЕС и регулиране на мобилната работа. </w:t>
      </w:r>
    </w:p>
    <w:p>
      <w:pPr>
        <w:pStyle w:val="Normal"/>
        <w:rPr/>
      </w:pPr>
      <w:r>
        <w:rPr/>
        <w:t xml:space="preserve"> </w:t>
      </w:r>
    </w:p>
    <w:p>
      <w:pPr>
        <w:pStyle w:val="P68B1DB1Normal15"/>
        <w:rPr>
          <w:b/>
          <w:b/>
        </w:rPr>
      </w:pPr>
      <w:r>
        <w:rPr/>
        <w:t xml:space="preserve">8. Препоръчваме ЕС да гарантира правото на цифрово обучение за всички граждани на ЕС. По-специално цифровите умения на младите хора биха могли да бъдат подобрени чрез въвеждането на сертификат на ЕС в училищата, който да ги подготви за бъдещия пазар на труда. Препоръчваме също така специално обучение на равнище ЕС за преквалификация и повишаване на квалификацията на работниците, така че те да останат конкурентоспособни на пазара на труда. И накрая, препоръчваме ЕС да повиши осведомеността относно съществуващите цифрови платформи, които свързват гражданите с работодателите и им помагат да намерят работа в ЕС, например EURES. </w:t>
      </w:r>
    </w:p>
    <w:p>
      <w:pPr>
        <w:pStyle w:val="Normal"/>
        <w:rPr/>
      </w:pPr>
      <w:r>
        <w:rPr/>
        <w:t xml:space="preserve"> </w:t>
      </w:r>
    </w:p>
    <w:p>
      <w:pPr>
        <w:pStyle w:val="Normal"/>
        <w:rPr/>
      </w:pPr>
      <w:r>
        <w:rPr/>
        <w:t xml:space="preserve">Ние отправяме тази препоръка, тъй като сертифицираните цифрови умения са от съществено значение за достъпа до пазара на труда и за преквалификацията и запазването на конкурентоспособността на работниците. </w:t>
      </w:r>
    </w:p>
    <w:p>
      <w:pPr>
        <w:pStyle w:val="Normal"/>
        <w:rPr/>
      </w:pPr>
      <w:r>
        <w:rPr/>
        <w:t xml:space="preserve"> </w:t>
      </w:r>
    </w:p>
    <w:p>
      <w:pPr>
        <w:pStyle w:val="Titre3"/>
        <w:numPr>
          <w:ilvl w:val="2"/>
          <w:numId w:val="2"/>
        </w:numPr>
        <w:rPr/>
      </w:pPr>
      <w:bookmarkStart w:id="110" w:name="__RefHeading___Toc297155_1346298689"/>
      <w:bookmarkEnd w:id="110"/>
      <w:r>
        <w:rPr/>
        <w:t xml:space="preserve">Ос 2 Икономика, ориентирана към бъдещето </w:t>
      </w:r>
    </w:p>
    <w:p>
      <w:pPr>
        <w:pStyle w:val="Normal"/>
        <w:rPr/>
      </w:pPr>
      <w:r>
        <w:rPr/>
        <w:t xml:space="preserve"> </w:t>
      </w:r>
    </w:p>
    <w:p>
      <w:pPr>
        <w:pStyle w:val="Titre4"/>
        <w:numPr>
          <w:ilvl w:val="3"/>
          <w:numId w:val="2"/>
        </w:numPr>
        <w:rPr/>
      </w:pPr>
      <w:bookmarkStart w:id="111" w:name="__RefHeading___Toc297157_1346298689"/>
      <w:bookmarkEnd w:id="111"/>
      <w:r>
        <w:rPr/>
        <w:t xml:space="preserve">Подос 2.1 Иновации и европейска конкурентоспособност </w:t>
      </w:r>
    </w:p>
    <w:p>
      <w:pPr>
        <w:pStyle w:val="Normal"/>
        <w:rPr/>
      </w:pPr>
      <w:r>
        <w:rPr/>
        <w:t xml:space="preserve"> </w:t>
      </w:r>
    </w:p>
    <w:p>
      <w:pPr>
        <w:pStyle w:val="P68B1DB1Normal15"/>
        <w:rPr>
          <w:b/>
          <w:b/>
        </w:rPr>
      </w:pPr>
      <w:r>
        <w:rPr/>
        <w:t xml:space="preserve">9. Препоръчваме ЕС да създаде възможности за инвестиции в научни изследвания и иновации за различни субекти (университети, предприятия, научноизследователски институти и др.) с оглед на разработването на: </w:t>
      </w:r>
    </w:p>
    <w:p>
      <w:pPr>
        <w:pStyle w:val="P68B1DB1Normal15"/>
        <w:rPr>
          <w:b/>
          <w:b/>
        </w:rPr>
      </w:pPr>
      <w:r>
        <w:rPr/>
        <w:t xml:space="preserve">● </w:t>
      </w:r>
      <w:r>
        <w:rPr/>
        <w:t xml:space="preserve">нови, по-устойчиви и биодиверсифицирани материали, които да заменят използваните понастоящем, </w:t>
      </w:r>
    </w:p>
    <w:p>
      <w:pPr>
        <w:pStyle w:val="P68B1DB1Normal15"/>
        <w:rPr>
          <w:b/>
          <w:b/>
        </w:rPr>
      </w:pPr>
      <w:r>
        <w:rPr/>
        <w:t xml:space="preserve">● </w:t>
      </w:r>
      <w:r>
        <w:rPr/>
        <w:t xml:space="preserve">иновативни употреби на съществуващи материали (въз основа, inter alia, на рециклиране и авангардни техники с най-малък отпечатък върху околната среда). </w:t>
      </w:r>
    </w:p>
    <w:p>
      <w:pPr>
        <w:pStyle w:val="Normal"/>
        <w:rPr/>
      </w:pPr>
      <w:r>
        <w:rPr>
          <w:b/>
        </w:rPr>
        <w:t>Препоръчваме това да бъде постоянен и дългосрочен ангажимент на ЕС (поне до 2050 г.).</w:t>
      </w:r>
      <w:r>
        <w:rPr/>
        <w:t xml:space="preserve"> </w:t>
      </w:r>
    </w:p>
    <w:p>
      <w:pPr>
        <w:pStyle w:val="Normal"/>
        <w:rPr/>
      </w:pPr>
      <w:r>
        <w:rPr/>
        <w:t xml:space="preserve"> </w:t>
      </w:r>
    </w:p>
    <w:p>
      <w:pPr>
        <w:pStyle w:val="Normal"/>
        <w:rPr/>
      </w:pPr>
      <w:r>
        <w:rPr/>
        <w:t xml:space="preserve">Ние правим тази препоръка, защото живеем на планета с ограничени ресурси. Ако искаме да имаме бъдеще, трябва да защитим климата и да потърсим алтернативи, които уважават планетата. Също така искаме ЕС да се превърне във водещ играч в тази област със силно конкурентно предимство на международната сцена. Целта на препоръката е да се постигнат иновативни резултати, които могат да се прилагат в широк мащаб и могат да бъдат приложени в различни области и държави. То също така би оказало положително въздействие върху икономиката и пазара на труда чрез създаването на нови възможности за заетост в областта на устойчивите иновации. Тя би могла да допринесе за борбата срещу социалната несправедливост, доколкото настоящите средства за производство, основани на експлоатация, ще бъдат заменени от други, по-етични. </w:t>
      </w:r>
    </w:p>
    <w:p>
      <w:pPr>
        <w:pStyle w:val="Normal"/>
        <w:rPr/>
      </w:pPr>
      <w:r>
        <w:rPr/>
        <w:t xml:space="preserve"> </w:t>
      </w:r>
    </w:p>
    <w:p>
      <w:pPr>
        <w:pStyle w:val="P68B1DB1Normal15"/>
        <w:rPr>
          <w:b/>
          <w:b/>
        </w:rPr>
      </w:pPr>
      <w:r>
        <w:rPr/>
        <w:t xml:space="preserve">10. Сметната палата препоръчва ЕС да се ангажира непрекъснато в дългосрочен план да увеличи значително своя дял на устойчиво произведената енергия, като използва широк спектър от възобновяеми източници с най-малък отпечатък върху околната среда (въз основа на цялостен анализ на жизнения цикъл). Освен това ЕС следва да инвестира в подобряване и поддържане на качеството на електроенергийната инфраструктура и мрежата. Препоръчваме също така достъпът до енергия и финансовата достъпност да бъдат признати за основно право на гражданите. </w:t>
      </w:r>
    </w:p>
    <w:p>
      <w:pPr>
        <w:pStyle w:val="P68B1DB1Normal15"/>
        <w:rPr>
          <w:b/>
          <w:b/>
        </w:rPr>
      </w:pPr>
      <w:r>
        <w:rPr/>
        <w:t xml:space="preserve"> </w:t>
      </w:r>
    </w:p>
    <w:p>
      <w:pPr>
        <w:pStyle w:val="Normal"/>
        <w:rPr/>
      </w:pPr>
      <w:r>
        <w:rPr/>
        <w:t xml:space="preserve">Отправяме тази препоръка поради следните причини: </w:t>
      </w:r>
    </w:p>
    <w:p>
      <w:pPr>
        <w:pStyle w:val="Normal"/>
        <w:rPr/>
      </w:pPr>
      <w:r>
        <w:rPr/>
        <w:t xml:space="preserve">● </w:t>
      </w:r>
      <w:r>
        <w:rPr/>
        <w:t xml:space="preserve">диверсификация на енергийните източници (включително слънчева, вятърна, водородна, морска вода или друг бъдещ устойчив метод) ще направи ЕС по-енергийно независим; </w:t>
      </w:r>
    </w:p>
    <w:p>
      <w:pPr>
        <w:pStyle w:val="Normal"/>
        <w:rPr/>
      </w:pPr>
      <w:r>
        <w:rPr/>
        <w:t xml:space="preserve">● </w:t>
      </w:r>
      <w:r>
        <w:rPr/>
        <w:t xml:space="preserve">това би намалило разходите за електроенергия за гражданите на ЕС; </w:t>
      </w:r>
    </w:p>
    <w:p>
      <w:pPr>
        <w:pStyle w:val="Normal"/>
        <w:rPr/>
      </w:pPr>
      <w:r>
        <w:rPr/>
        <w:t xml:space="preserve">● </w:t>
      </w:r>
      <w:r>
        <w:rPr/>
        <w:t xml:space="preserve">това би създало работни места и би преструктурирало енергийния пазар (особено в регионите, които досега са разчитали на изкопаеми горива); </w:t>
      </w:r>
    </w:p>
    <w:p>
      <w:pPr>
        <w:pStyle w:val="Normal"/>
        <w:rPr/>
      </w:pPr>
      <w:r>
        <w:rPr/>
        <w:t xml:space="preserve">● </w:t>
      </w:r>
      <w:r>
        <w:rPr/>
        <w:t xml:space="preserve">тя би могла да насърчи научното развитие на иновативни техники за доставка на енергия; </w:t>
      </w:r>
    </w:p>
    <w:p>
      <w:pPr>
        <w:pStyle w:val="Normal"/>
        <w:rPr/>
      </w:pPr>
      <w:r>
        <w:rPr/>
        <w:t xml:space="preserve">● </w:t>
      </w:r>
      <w:r>
        <w:rPr/>
        <w:t xml:space="preserve">качеството на електрическата инфраструктура и мрежата е също толкова важно, колкото и енергийните източници, тъй като дава възможност за безпроблемно, ефективно и достъпно разпределение и пренос на енергия. </w:t>
      </w:r>
    </w:p>
    <w:p>
      <w:pPr>
        <w:pStyle w:val="Normal"/>
        <w:rPr/>
      </w:pPr>
      <w:r>
        <w:rPr/>
        <w:t xml:space="preserve"> </w:t>
      </w:r>
    </w:p>
    <w:p>
      <w:pPr>
        <w:pStyle w:val="P68B1DB1Normal15"/>
        <w:rPr>
          <w:b/>
          <w:b/>
        </w:rPr>
      </w:pPr>
      <w:r>
        <w:rPr/>
        <w:t xml:space="preserve">11. Препоръчваме ЕС активно да насърчава по-екологосъобразни производствени процеси, като субсидира или възнаграждава по друг начин дружествата, които инвестират в намаляване на екологичните разходи за тяхното производство. Призоваваме също така за усилия за разрастване на постиндустриалните обекти и за създаване на защитени зелени площи около съществуващите обекти. От дружествата следва да се изисква да финансират тези усилия, поне отчасти, със собствени средства. </w:t>
      </w:r>
    </w:p>
    <w:p>
      <w:pPr>
        <w:pStyle w:val="Normal"/>
        <w:rPr/>
      </w:pPr>
      <w:r>
        <w:rPr/>
        <w:t xml:space="preserve"> </w:t>
      </w:r>
    </w:p>
    <w:p>
      <w:pPr>
        <w:pStyle w:val="Normal"/>
        <w:rPr/>
      </w:pPr>
      <w:r>
        <w:rPr/>
        <w:t xml:space="preserve">Ние правим тази препоръка, защото производствените процеси са важна част от веригата на доставки. Да ги направим по-екологосъобразни може значително да намали въздействието ни върху климата. Считаме, че предприятията и отраслите следва да бъдат държани отговорни за начина, по който произвеждат своите продукти (включително мерки за рекултивация и опазване на околната среда). Екологизирането на производствените процеси също така подготвя предприятията за бъдещето и укрепва тяхната устойчивост (което защитава работните места). </w:t>
      </w:r>
    </w:p>
    <w:p>
      <w:pPr>
        <w:pStyle w:val="Normal"/>
        <w:rPr/>
      </w:pPr>
      <w:r>
        <w:rPr/>
      </w:r>
    </w:p>
    <w:p>
      <w:pPr>
        <w:pStyle w:val="Titre4"/>
        <w:numPr>
          <w:ilvl w:val="3"/>
          <w:numId w:val="2"/>
        </w:numPr>
        <w:rPr/>
      </w:pPr>
      <w:bookmarkStart w:id="112" w:name="__RefHeading___Toc297159_1346298689"/>
      <w:bookmarkEnd w:id="112"/>
      <w:r>
        <w:rPr/>
        <w:t xml:space="preserve">Подос 2.2 Устойчива икономика/подос 2.3 Данъчно облагане </w:t>
      </w:r>
    </w:p>
    <w:p>
      <w:pPr>
        <w:pStyle w:val="Normal"/>
        <w:rPr/>
      </w:pPr>
      <w:r>
        <w:rPr/>
        <w:t xml:space="preserve"> </w:t>
      </w:r>
    </w:p>
    <w:p>
      <w:pPr>
        <w:pStyle w:val="P68B1DB1Normal15"/>
        <w:rPr>
          <w:b/>
          <w:b/>
        </w:rPr>
      </w:pPr>
      <w:r>
        <w:rPr/>
        <w:t xml:space="preserve">12. Препоръчваме изоставяне на пластмасовите опаковки и обобщаване на опаковките за многократна употреба. Следва да се предоставят стимули на потребителите и предприятията, така че за потребителя да не е по-скъпо да купува продукти в насипно състояние („в насипно състояние„на английски език или „sfuso“ на италиански език), отколкото опакованите продукти. Дружествата, които допринасят за този преход, следва да се възползват от данъчни облекчения, а други следва да плащат повече данъци. Продуктите, които не могат да бъдат използвани повторно, следва да бъдат рециклируеми и/или биоразградими. Необходимо е да се създаде публична или надзорна институция, която да отговаря за наблюдението, определянето на правилата и разпространението им сред всички. Препоръчва се да се образоват и комуникират — включително чрез социалните медии — тези действия, като се достигне както до предприятията, така и до потребителите, за да се промени тяхното дългосрочно поведение. Дружествата (напр. строителните дружества) следва да бъдат насърчавани и подпомагани да намерят най-добрите решения за своите отпадъци. </w:t>
      </w:r>
    </w:p>
    <w:p>
      <w:pPr>
        <w:pStyle w:val="Normal"/>
        <w:rPr/>
      </w:pPr>
      <w:r>
        <w:rPr/>
        <w:t xml:space="preserve"> </w:t>
      </w:r>
    </w:p>
    <w:p>
      <w:pPr>
        <w:pStyle w:val="Normal"/>
        <w:rPr/>
      </w:pPr>
      <w:r>
        <w:rPr/>
        <w:t xml:space="preserve">Ние правим тази препоръка, защото всички ние трябва да бъдем отговорни за нашите действия. Затова трябва да преосмислим всички производствени процеси. Рециклирането изисква много ресурси (вода, енергия) и следователно не може да бъде единственото решение, поради което предлагаме да продаваме продуктите в насипно състояние. Рециклирането следва да се използва само за лесно рециклируеми материали и от финландския пример научихме, че е възможно да се рециклира в голям мащаб. </w:t>
      </w:r>
    </w:p>
    <w:p>
      <w:pPr>
        <w:pStyle w:val="Normal"/>
        <w:rPr/>
      </w:pPr>
      <w:r>
        <w:rPr/>
      </w:r>
    </w:p>
    <w:p>
      <w:pPr>
        <w:pStyle w:val="P68B1DB1Normal15"/>
        <w:rPr>
          <w:b/>
          <w:b/>
        </w:rPr>
      </w:pPr>
      <w:r>
        <w:rPr/>
        <w:t xml:space="preserve">13. Препоръчваме да има едни и същи данъчни правила в цяла Европа и да се хармонизира данъчната политика в целия ЕС. Хармонизирането в тази област следва да даде възможност на отделните държави членки да определят свои собствени правила, като същевременно избягват укриването на данъци. Това ще сложи край на вредните данъчни практики и данъчната конкуренция. Следва да се налагат данъци върху търговските сделки, когато те се извършват: когато една компания продава в дадена страна, тя трябва да плаща данъци в тази страна. Тези нови правила ще имат за цел да предотвратят преместването и да гарантират, че производството и сделките се осъществяват между европейските държави. </w:t>
      </w:r>
    </w:p>
    <w:p>
      <w:pPr>
        <w:pStyle w:val="Normal"/>
        <w:rPr/>
      </w:pPr>
      <w:r>
        <w:rPr/>
        <w:t xml:space="preserve"> </w:t>
      </w:r>
    </w:p>
    <w:p>
      <w:pPr>
        <w:pStyle w:val="Normal"/>
        <w:rPr/>
      </w:pPr>
      <w:r>
        <w:rPr/>
        <w:t xml:space="preserve">Отправяме тази препоръка за защита и развитие на заетостта и икономическата дейност в Европа по начин, който е справедлив за всички държави членки. По този начин Европа ще има общо разбиране за данъчната система и абсурдното монополно положение на много големите дружества, които не плащат достатъчно данъци в сравнение с по-малките дружества, ще бъде преустановено. Освен това финансовите ресурси ще бъдат пренасочени към мястото, където се извършват търговските дейности. </w:t>
      </w:r>
    </w:p>
    <w:p>
      <w:pPr>
        <w:pStyle w:val="Normal"/>
        <w:rPr/>
      </w:pPr>
      <w:r>
        <w:rPr/>
        <w:t xml:space="preserve"> </w:t>
      </w:r>
    </w:p>
    <w:p>
      <w:pPr>
        <w:pStyle w:val="P68B1DB1Normal15"/>
        <w:rPr>
          <w:b/>
          <w:b/>
        </w:rPr>
      </w:pPr>
      <w:r>
        <w:rPr/>
        <w:t xml:space="preserve">14. Препоръчваме да премахнете програмираната система за остаряване от всички електронни устройства. Промяната следва да се извърши както индивидуално, така и с търговска цел, за да се гарантира, че устройствата могат да бъдат ремонтирани и модернизирани в дългосрочен план и да могат да бъдат запазени за дълго време. Препоръчваме да се популяризират обновени устройства. Регламентите трябва да изискват от компаниите да гарантират правото на ремонт, включително актуализации и актуализации на софтуера, както и да рециклират всички устройства в дългосрочен план. Също така се препоръчва всяка компания да използва стандартни конектори. </w:t>
      </w:r>
    </w:p>
    <w:p>
      <w:pPr>
        <w:pStyle w:val="P68B1DB1Normal15"/>
        <w:rPr>
          <w:b/>
          <w:b/>
        </w:rPr>
      </w:pPr>
      <w:r>
        <w:rPr/>
        <w:t xml:space="preserve"> </w:t>
      </w:r>
    </w:p>
    <w:p>
      <w:pPr>
        <w:pStyle w:val="Normal"/>
        <w:rPr/>
      </w:pPr>
      <w:r>
        <w:rPr/>
        <w:t xml:space="preserve">Ние правим тази препоръка, защото в съвременния свят продуктите са склонни да издържат две години и нашето желание е те да имат много по-дълъг живот, около 10 години. Това предложение ще има положително въздействие върху изменението на климата и екологията. Това също така ще намали разходите за потребителите, както и консуматорството. </w:t>
      </w:r>
    </w:p>
    <w:p>
      <w:pPr>
        <w:pStyle w:val="Normal"/>
        <w:rPr/>
      </w:pPr>
      <w:r>
        <w:rPr/>
      </w:r>
    </w:p>
    <w:p>
      <w:pPr>
        <w:pStyle w:val="P68B1DB1Normal15"/>
        <w:rPr>
          <w:b/>
          <w:b/>
        </w:rPr>
      </w:pPr>
      <w:r>
        <w:rPr/>
        <w:t xml:space="preserve">15. Препоръчваме да помогнете на всеки да научи повече за нашата околна среда и нейните връзки с индивидуалното здраве чрез образование. Образователните пътеки ще помогнат на всеки да определи собствените си лични стратегии, за да интегрира тези теми в ежедневието си. Това образование трябва да започне в училище с конкретни теми, насочени към всички екологични въпроси, и ние трябва да продължим да се образоваме през целия си живот (например на работа). Тя ще спомогне за намаляване на отпадъците и опазване на околната среда и човешкото здраве и ще насърчи местното потребление на здравословни и непреработени продукти от местните производители. Тези, които не правят нищо, за да намалят отпадъците си, ще трябва да получат безплатно обучение в тази област. За да се адаптира начинът на живот, цените трябва да бъдат справедливи както за производителя, така и за потребителя. Ето защо предлагаме малките, щадящи околната среда местни производители да се ползват от освобождаване от данъци. </w:t>
      </w:r>
    </w:p>
    <w:p>
      <w:pPr>
        <w:pStyle w:val="Normal"/>
        <w:rPr/>
      </w:pPr>
      <w:r>
        <w:rPr/>
        <w:t xml:space="preserve"> </w:t>
      </w:r>
    </w:p>
    <w:p>
      <w:pPr>
        <w:pStyle w:val="Normal"/>
        <w:rPr/>
      </w:pPr>
      <w:r>
        <w:rPr/>
        <w:t xml:space="preserve">Отправяме тази препоръка, защото вярваме, че много хора все още не се чувстват загрижени за тези проблеми. Ето защо трябва да се въведе образование за всички. В допълнение, местните и здравословни продукти са склонни да бъдат недостъпни за много хора. Трябва да гарантираме, че местните продукти са по-широко достъпни за всички. </w:t>
      </w:r>
    </w:p>
    <w:p>
      <w:pPr>
        <w:pStyle w:val="Normal"/>
        <w:rPr/>
      </w:pPr>
      <w:r>
        <w:rPr/>
      </w:r>
    </w:p>
    <w:p>
      <w:pPr>
        <w:pStyle w:val="Titre4"/>
        <w:numPr>
          <w:ilvl w:val="3"/>
          <w:numId w:val="2"/>
        </w:numPr>
        <w:rPr/>
      </w:pPr>
      <w:bookmarkStart w:id="113" w:name="__RefHeading___Toc297161_1346298689"/>
      <w:bookmarkEnd w:id="113"/>
      <w:r>
        <w:rPr/>
        <w:t xml:space="preserve">Подос 2.4 Селско стопанство/Подос 2.5 Цифрова инфраструктура </w:t>
      </w:r>
    </w:p>
    <w:p>
      <w:pPr>
        <w:pStyle w:val="Normal"/>
        <w:rPr/>
      </w:pPr>
      <w:r>
        <w:rPr/>
        <w:t xml:space="preserve"> </w:t>
      </w:r>
    </w:p>
    <w:p>
      <w:pPr>
        <w:pStyle w:val="P68B1DB1Normal15"/>
        <w:rPr>
          <w:b/>
          <w:b/>
        </w:rPr>
      </w:pPr>
      <w:r>
        <w:rPr/>
        <w:t xml:space="preserve">16. Препоръчваме въвеждането на обща европейска система за етикетиране на потребителите и хранителната стойност, която е лесна за разбиране (напр. алергени, страна на произход и т.н.); препоръчваме прозрачност на текущите процеси на издаване на разрешения и цифровизация на информацията за продуктите чрез стандартизирано европейско приложение, което би осигурило по-лесен за ползване достъп до информация и би предоставило допълнителна информация за продукта и производствената верига. Виждаме също така необходимостта от истински независим орган, който да регулира стандартите в областта на храните в целия ЕС и да разполага със законодателни правомощия за налагане на санкции. </w:t>
      </w:r>
    </w:p>
    <w:p>
      <w:pPr>
        <w:pStyle w:val="Normal"/>
        <w:rPr/>
      </w:pPr>
      <w:r>
        <w:rPr/>
        <w:t xml:space="preserve"> </w:t>
      </w:r>
    </w:p>
    <w:p>
      <w:pPr>
        <w:pStyle w:val="Normal"/>
        <w:rPr/>
      </w:pPr>
      <w:r>
        <w:rPr/>
        <w:t xml:space="preserve">Отправяме тези препоръки, защото всички граждани на ЕС следва да могат да разчитат на еднакво качество на храните. Целостта на хранителните продукти е необходима, за да се гарантира безопасността на гражданите. Тези препоръки бяха формулирани с цел да се подобри по хармонизиран начин наблюдението на процесите на издаване на разрешения и прозрачността на производството на храни. </w:t>
      </w:r>
    </w:p>
    <w:p>
      <w:pPr>
        <w:pStyle w:val="Normal"/>
        <w:rPr/>
      </w:pPr>
      <w:r>
        <w:rPr/>
      </w:r>
    </w:p>
    <w:p>
      <w:pPr>
        <w:pStyle w:val="P68B1DB1Normal15"/>
        <w:rPr>
          <w:b/>
          <w:b/>
        </w:rPr>
      </w:pPr>
      <w:r>
        <w:rPr/>
        <w:t xml:space="preserve">17. Препоръчваме инфраструктурата да бъде собственост на държавата, за да се предотврати появата на монополи в сектора на телекомуникациите и интернет услугите. Достъпът до интернет следва да бъде право; включването на интернет връзката в „бели зони/мъртви зони“ (области без достъп до интернет) следва да бъде приоритет. Що се отнася до достъпа до интернет и компютърно оборудване, децата и семействата са приоритет, особено по отношение на образованието и особено по време на пандемия. Необходима е инициатива за подпомагане на дистанционната работа, например чрез създаване на офис пространства с достъп до бърза и надеждна интернет връзка или чрез организиране на цифрово обучение. </w:t>
      </w:r>
    </w:p>
    <w:p>
      <w:pPr>
        <w:pStyle w:val="Normal"/>
        <w:rPr/>
      </w:pPr>
      <w:r>
        <w:rPr/>
        <w:t xml:space="preserve"> </w:t>
      </w:r>
    </w:p>
    <w:p>
      <w:pPr>
        <w:pStyle w:val="Normal"/>
        <w:rPr/>
      </w:pPr>
      <w:r>
        <w:rPr/>
        <w:t xml:space="preserve">Отправяме тази препоръка, защото трябва да гарантираме, че цифровата трансформация се извършва справедливо. Достъпът до интернет е от основно значение за демокрацията и е право на всички европейски граждани. </w:t>
      </w:r>
    </w:p>
    <w:p>
      <w:pPr>
        <w:pStyle w:val="Normal"/>
        <w:rPr/>
      </w:pPr>
      <w:r>
        <w:rPr/>
      </w:r>
    </w:p>
    <w:p>
      <w:pPr>
        <w:pStyle w:val="Normal"/>
        <w:rPr/>
      </w:pPr>
      <w:r>
        <w:rPr>
          <w:b/>
        </w:rPr>
        <w:t>18. Препоръчваме да уважавате местните насекоми и да ги предпазвате от инвазивни видове. Предлагаме също така да се насърчава и защитава задължението за предоставяне на зелени площи в нови проекти за урбанизация. Призоваваме биологичното разнообразие да се превърне в задължителен предмет в училищата и да бъде предмет на училищни дейности, например практически дейности. Важно е да се повиши обществената осведоменост за биологичното разнообразие чрез медийни кампании и „конкуренции“, популяризирани в целия ЕС (конкурси на местно равнище). Препоръчваме да се определят задължителни национални цели във всички държави — членки на ЕС, за повторно залесяване с местни дървета и повторно въвеждане на местната флора</w:t>
      </w:r>
      <w:r>
        <w:rPr/>
        <w:t xml:space="preserve">. </w:t>
      </w:r>
    </w:p>
    <w:p>
      <w:pPr>
        <w:pStyle w:val="Normal"/>
        <w:rPr/>
      </w:pPr>
      <w:r>
        <w:rPr/>
        <w:t xml:space="preserve"> </w:t>
      </w:r>
    </w:p>
    <w:p>
      <w:pPr>
        <w:pStyle w:val="Normal"/>
        <w:rPr/>
      </w:pPr>
      <w:r>
        <w:rPr/>
        <w:t xml:space="preserve">Отправяме тази препоръка, тъй като биологичното разнообразие е от съществено значение за околната среда, качеството на живот и борбата срещу изменението на климата. </w:t>
      </w:r>
    </w:p>
    <w:p>
      <w:pPr>
        <w:pStyle w:val="Titre3"/>
        <w:numPr>
          <w:ilvl w:val="2"/>
          <w:numId w:val="2"/>
        </w:numPr>
        <w:rPr/>
      </w:pPr>
      <w:r>
        <w:rPr/>
      </w:r>
    </w:p>
    <w:p>
      <w:pPr>
        <w:pStyle w:val="Titre3"/>
        <w:numPr>
          <w:ilvl w:val="2"/>
          <w:numId w:val="2"/>
        </w:numPr>
        <w:rPr/>
      </w:pPr>
      <w:bookmarkStart w:id="114" w:name="__RefHeading___Toc297163_1346298689"/>
      <w:bookmarkEnd w:id="114"/>
      <w:r>
        <w:rPr/>
        <w:t xml:space="preserve">Ос 3 Справедливо общество </w:t>
      </w:r>
    </w:p>
    <w:p>
      <w:pPr>
        <w:pStyle w:val="Normal"/>
        <w:rPr/>
      </w:pPr>
      <w:bookmarkStart w:id="115" w:name="__RefHeading___Toc297165_1346298689"/>
      <w:bookmarkEnd w:id="115"/>
      <w:r>
        <w:rPr/>
        <w:t xml:space="preserve"> </w:t>
      </w:r>
    </w:p>
    <w:p>
      <w:pPr>
        <w:pStyle w:val="Titre4"/>
        <w:numPr>
          <w:ilvl w:val="3"/>
          <w:numId w:val="2"/>
        </w:numPr>
        <w:rPr/>
      </w:pPr>
      <w:bookmarkStart w:id="116" w:name="__RefHeading___Toc297167_1346298689"/>
      <w:bookmarkEnd w:id="116"/>
      <w:r>
        <w:rPr/>
        <w:t xml:space="preserve">Подос 3.1 Социално осигуряване </w:t>
      </w:r>
    </w:p>
    <w:p>
      <w:pPr>
        <w:pStyle w:val="Normal"/>
        <w:rPr/>
      </w:pPr>
      <w:r>
        <w:rPr/>
        <w:t xml:space="preserve"> </w:t>
      </w:r>
    </w:p>
    <w:p>
      <w:pPr>
        <w:pStyle w:val="P68B1DB1Normal15"/>
        <w:rPr>
          <w:b/>
          <w:b/>
        </w:rPr>
      </w:pPr>
      <w:r>
        <w:rPr/>
        <w:t xml:space="preserve">19. Препоръчваме да се насърчават равни права и социални политики, включително здравни политики, хармонизирани в целия ЕС, като се вземат предвид приетите регламенти и минималните изисквания в цялата страна. </w:t>
      </w:r>
    </w:p>
    <w:p>
      <w:pPr>
        <w:pStyle w:val="Normal"/>
        <w:rPr/>
      </w:pPr>
      <w:r>
        <w:rPr/>
        <w:t xml:space="preserve"> </w:t>
      </w:r>
    </w:p>
    <w:p>
      <w:pPr>
        <w:pStyle w:val="Normal"/>
        <w:rPr/>
      </w:pPr>
      <w:r>
        <w:rPr/>
        <w:t xml:space="preserve">Отправяме тази препоръка, тъй като съществуват големи различия между държавите членки по отношение на социалните политики, които трябва да бъдат намалени, за да се гарантира достоен живот за всички граждани и да се осигурят необходимите грижи и подкрепа за уязвимите хора по различни причини (здраве, възраст, сексуална ориентация и т.н.). </w:t>
      </w:r>
    </w:p>
    <w:p>
      <w:pPr>
        <w:pStyle w:val="Normal"/>
        <w:rPr/>
      </w:pPr>
      <w:r>
        <w:rPr/>
      </w:r>
    </w:p>
    <w:p>
      <w:pPr>
        <w:pStyle w:val="P68B1DB1Normal15"/>
        <w:rPr>
          <w:b/>
          <w:b/>
        </w:rPr>
      </w:pPr>
      <w:r>
        <w:rPr/>
        <w:t xml:space="preserve">20. Препоръчваме да се насърчават социалните и здравните изследвания в ЕС, като се следват приоритетните линии, които се считат за общественополезни и са одобрени от държавите членки, и се предвижда подходящо финансиране. Необходимо е да засилим сътрудничеството между области на експертен опит, държави, учебни центрове (университети и др.). </w:t>
      </w:r>
    </w:p>
    <w:p>
      <w:pPr>
        <w:pStyle w:val="Normal"/>
        <w:rPr/>
      </w:pPr>
      <w:r>
        <w:rPr/>
        <w:t xml:space="preserve"> </w:t>
      </w:r>
    </w:p>
    <w:p>
      <w:pPr>
        <w:pStyle w:val="Normal"/>
        <w:rPr/>
      </w:pPr>
      <w:r>
        <w:rPr/>
        <w:t xml:space="preserve">Отправяме тази препоръка, защото има много области, в които трябва да напреднем и задълбочим знанията си. Опитът с пандемията е пример за това как научните изследвания са от съществено значение за подобряване на живота, че сътрудничеството между обществеността и частния сектор и между правителствата е от съществено значение и че е необходима финансова подкрепа. </w:t>
      </w:r>
    </w:p>
    <w:p>
      <w:pPr>
        <w:pStyle w:val="Normal"/>
        <w:rPr/>
      </w:pPr>
      <w:r>
        <w:rPr/>
      </w:r>
    </w:p>
    <w:p>
      <w:pPr>
        <w:pStyle w:val="P68B1DB1Normal15"/>
        <w:rPr>
          <w:b/>
          <w:b/>
        </w:rPr>
      </w:pPr>
      <w:r>
        <w:rPr/>
        <w:t xml:space="preserve">21. Сметната палата препоръчва на ЕС да има по-голяма компетентност в областта на социалните политики за хармонизиране на минималните правила и пенсионните обезщетения в целия ЕС и за създаване на нови такива въз основа на задълбочена диагноза. Минималната пенсия трябва да е над прага на бедността в страната. Пенсионната възраст следва да варира в зависимост от професионалните категории и следва да бъде по-ниска за професии, изискващи умствено и физическо натоварване. Същевременно следва да се гарантира правото на труд на по-възрастните хора, които желаят да продължат да работят на доброволна основа. </w:t>
      </w:r>
    </w:p>
    <w:p>
      <w:pPr>
        <w:pStyle w:val="Normal"/>
        <w:rPr/>
      </w:pPr>
      <w:r>
        <w:rPr/>
        <w:t xml:space="preserve"> </w:t>
      </w:r>
    </w:p>
    <w:p>
      <w:pPr>
        <w:pStyle w:val="Normal"/>
        <w:rPr/>
      </w:pPr>
      <w:r>
        <w:rPr/>
        <w:t xml:space="preserve">Ние правим тази препоръка, защото продължителността на живота се увеличава и раждаемостта намалява. Европейското население застарява, поради което трябва да предприемем по-нататъшни стъпки, за да избегнем риска от маргинализация на възрастните хора и да им гарантираме достоен живот. </w:t>
      </w:r>
    </w:p>
    <w:p>
      <w:pPr>
        <w:pStyle w:val="Normal"/>
        <w:rPr/>
      </w:pPr>
      <w:r>
        <w:rPr/>
        <w:t xml:space="preserve"> </w:t>
      </w:r>
    </w:p>
    <w:p>
      <w:pPr>
        <w:pStyle w:val="Normal"/>
        <w:rPr/>
      </w:pPr>
      <w:r>
        <w:rPr>
          <w:b/>
        </w:rPr>
        <w:t>22. Препоръчваме приемането на набор от мерки за насърчаване на увеличаването на раждаемостта и за осигуряване на подходящи решения за грижи за децата. Тези мерки следва да обхващат, наред с другото, финансово достъпни и достъпни услуги за грижи за деца (по време на работа, нощно време, намален ДДС върху детските заведения), жилищно настаняване, стабилност на работното място, подкрепа за майчинството, специфична подкрепа и закрила на работното място за младите хора и родителите, както и подкрепа за майките и бащите под формата на достъп до знания при завръщането на работа.</w:t>
      </w:r>
      <w:r>
        <w:rPr/>
        <w:t xml:space="preserve"> </w:t>
      </w:r>
    </w:p>
    <w:p>
      <w:pPr>
        <w:pStyle w:val="Normal"/>
        <w:rPr/>
      </w:pPr>
      <w:r>
        <w:rPr/>
        <w:t xml:space="preserve"> </w:t>
      </w:r>
    </w:p>
    <w:p>
      <w:pPr>
        <w:pStyle w:val="Normal"/>
        <w:rPr/>
      </w:pPr>
      <w:r>
        <w:rPr/>
        <w:t xml:space="preserve">Отправяме тази препоръка, защото ЕС се отличава с ниска раждаемост, която също допринася за застаряването на населението на Европа и призовава за незабавни действия. Предложеният пакет има за цел да гарантира, че младите семейства разполагат с необходимата стабилност, за да се грижат за децата. </w:t>
      </w:r>
    </w:p>
    <w:p>
      <w:pPr>
        <w:pStyle w:val="Normal"/>
        <w:rPr/>
      </w:pPr>
      <w:r>
        <w:rPr/>
      </w:r>
    </w:p>
    <w:p>
      <w:pPr>
        <w:pStyle w:val="P68B1DB1Normal15"/>
        <w:rPr>
          <w:b/>
          <w:b/>
        </w:rPr>
      </w:pPr>
      <w:r>
        <w:rPr/>
        <w:t xml:space="preserve">23. Препоръчваме да се осигури социална помощ и здравни грижи за възрастните хора у дома и в домовете за грижи. Необходимо е също така да се подобри подкрепата за лицата, които се грижат за възрастните хора (почти). </w:t>
      </w:r>
    </w:p>
    <w:p>
      <w:pPr>
        <w:pStyle w:val="Normal"/>
        <w:rPr/>
      </w:pPr>
      <w:r>
        <w:rPr/>
        <w:t xml:space="preserve"> </w:t>
      </w:r>
    </w:p>
    <w:p>
      <w:pPr>
        <w:pStyle w:val="Normal"/>
        <w:rPr/>
      </w:pPr>
      <w:r>
        <w:rPr/>
        <w:t xml:space="preserve">Отправяме тази препоръка, защото продължителността на живота се увеличава и раждаемостта намалява; европейското население застарява, поради което трябва да предприемем по-нататъшни стъпки, за да избегнем риска от маргинализация на възрастните хора и да им гарантираме достоен живот. </w:t>
      </w:r>
    </w:p>
    <w:p>
      <w:pPr>
        <w:pStyle w:val="Normal"/>
        <w:rPr/>
      </w:pPr>
      <w:r>
        <w:rPr/>
        <w:t xml:space="preserve"> </w:t>
      </w:r>
    </w:p>
    <w:p>
      <w:pPr>
        <w:pStyle w:val="P68B1DB1Normal15"/>
        <w:rPr>
          <w:b/>
          <w:b/>
        </w:rPr>
      </w:pPr>
      <w:r>
        <w:rPr/>
        <w:t xml:space="preserve">24. Препоръчваме ЕС да подкрепя палиативните грижи и асистираната смърт [евтаназия] в съответствие с конкретен набор от правила и разпоредби. </w:t>
      </w:r>
    </w:p>
    <w:p>
      <w:pPr>
        <w:pStyle w:val="Normal"/>
        <w:rPr/>
      </w:pPr>
      <w:r>
        <w:rPr/>
        <w:t xml:space="preserve"> </w:t>
      </w:r>
    </w:p>
    <w:p>
      <w:pPr>
        <w:pStyle w:val="Normal"/>
        <w:rPr/>
      </w:pPr>
      <w:r>
        <w:rPr/>
        <w:t xml:space="preserve">Ние правим тази препоръка, защото това ще намали болката на пациентите и семействата и ще осигури достоен край на живота. </w:t>
      </w:r>
    </w:p>
    <w:p>
      <w:pPr>
        <w:pStyle w:val="Normal"/>
        <w:rPr/>
      </w:pPr>
      <w:r>
        <w:rPr/>
        <w:t xml:space="preserve"> </w:t>
      </w:r>
    </w:p>
    <w:p>
      <w:pPr>
        <w:pStyle w:val="Titre4"/>
        <w:numPr>
          <w:ilvl w:val="3"/>
          <w:numId w:val="2"/>
        </w:numPr>
        <w:rPr/>
      </w:pPr>
      <w:bookmarkStart w:id="117" w:name="__RefHeading___Toc297169_1346298689"/>
      <w:bookmarkEnd w:id="117"/>
      <w:r>
        <w:rPr/>
        <w:t xml:space="preserve">Подос 3.2 Равенство на правата </w:t>
      </w:r>
    </w:p>
    <w:p>
      <w:pPr>
        <w:pStyle w:val="Normal"/>
        <w:rPr/>
      </w:pPr>
      <w:r>
        <w:rPr/>
        <w:t xml:space="preserve"> </w:t>
      </w:r>
    </w:p>
    <w:p>
      <w:pPr>
        <w:pStyle w:val="P68B1DB1Normal15"/>
        <w:rPr>
          <w:b/>
          <w:b/>
        </w:rPr>
      </w:pPr>
      <w:r>
        <w:rPr/>
        <w:t xml:space="preserve">25. Препоръчваме ЕС да подкрепи целевия достъп на гражданите до достойно социално жилищно настаняване в зависимост от техните специфични нужди. Финансовите усилия следва да се поделят между частните донори, собствениците на жилища, бенефициерите на жилища, правителствата на държавите членки на централно и местно равнище и Европейския съюз. Целта следва да бъде да се улесни изграждането/ремонтът на съществуващия социален жилищен фонд, включително чрез кооперативни асоциации, отдаване под наем и закупуване. Помощта следва да се предоставя въз основа на ясни критерии (напр. максимална площ/човек, който ще бъде субсидиран, доход на бенефициерите и т.н.). </w:t>
      </w:r>
    </w:p>
    <w:p>
      <w:pPr>
        <w:pStyle w:val="Normal"/>
        <w:rPr/>
      </w:pPr>
      <w:r>
        <w:rPr/>
        <w:t xml:space="preserve"> </w:t>
      </w:r>
    </w:p>
    <w:p>
      <w:pPr>
        <w:pStyle w:val="Normal"/>
        <w:rPr/>
      </w:pPr>
      <w:r>
        <w:rPr/>
        <w:t xml:space="preserve">Отправяме тази препоръка, тъй като подобряването на достъпа до жилищно настаняване би гарантирало, че гражданите на ЕС се ползват с осезаеми равни права и би спомогнало за облекчаване на социалното напрежение. ЕС е призован главно да наблюдава механизма за подкрепа; националните и местните власти следва да положат повече усилия за справяне с жилищните проблеми. </w:t>
      </w:r>
    </w:p>
    <w:p>
      <w:pPr>
        <w:pStyle w:val="Normal"/>
        <w:rPr/>
      </w:pPr>
      <w:r>
        <w:rPr/>
      </w:r>
    </w:p>
    <w:p>
      <w:pPr>
        <w:pStyle w:val="P68B1DB1Normal15"/>
        <w:rPr>
          <w:b/>
          <w:b/>
        </w:rPr>
      </w:pPr>
      <w:r>
        <w:rPr/>
        <w:t xml:space="preserve">26. Препоръчваме ЕС да подобри регулирането и еднаквото прилагане на мерките за подкрепа на семействата с деца във всички държави членки. Тези мерки включват по-специално: увеличаване на продължителността на родителския отпуск, размера на надбавката за раждане и на надбавката за грижи за деца. </w:t>
      </w:r>
    </w:p>
    <w:p>
      <w:pPr>
        <w:pStyle w:val="Normal"/>
        <w:rPr/>
      </w:pPr>
      <w:r>
        <w:rPr/>
        <w:t xml:space="preserve"> </w:t>
      </w:r>
    </w:p>
    <w:p>
      <w:pPr>
        <w:pStyle w:val="Normal"/>
        <w:rPr/>
      </w:pPr>
      <w:r>
        <w:rPr/>
        <w:t xml:space="preserve">Отправяме тази препоръка, защото считаме, че тези мерки ще смекчат демографския проблем, пред който е изправен ЕС. Те също така ще подобрят равенството между половете между родителите. </w:t>
      </w:r>
    </w:p>
    <w:p>
      <w:pPr>
        <w:pStyle w:val="Normal"/>
        <w:rPr/>
      </w:pPr>
      <w:r>
        <w:rPr/>
      </w:r>
    </w:p>
    <w:p>
      <w:pPr>
        <w:pStyle w:val="P68B1DB1Normal15"/>
        <w:rPr>
          <w:b/>
          <w:b/>
        </w:rPr>
      </w:pPr>
      <w:r>
        <w:rPr/>
        <w:t xml:space="preserve">27. Препоръчваме ЕС да предприеме стъпки, за да гарантира, че всички семейства се ползват с еднакви семейни права във всички държави членки. Тези права включват правото на брак и осиновяване. </w:t>
      </w:r>
    </w:p>
    <w:p>
      <w:pPr>
        <w:pStyle w:val="Normal"/>
        <w:rPr/>
      </w:pPr>
      <w:r>
        <w:rPr/>
        <w:t xml:space="preserve"> </w:t>
      </w:r>
    </w:p>
    <w:p>
      <w:pPr>
        <w:pStyle w:val="Normal"/>
        <w:rPr/>
      </w:pPr>
      <w:r>
        <w:rPr/>
        <w:t xml:space="preserve">Отправяме тази препоръка, защото вярваме, че всички граждани на ЕС следва да се ползват от равни права, включително семейни права. Семейството е основната форма на социална организация. Щастливото семейство допринася за здравото общество. Препоръката има за цел да гарантира, че всички граждани се ползват със семейни права, независимо от пола, зрелостта, етническия произход или физическото здраве. </w:t>
      </w:r>
    </w:p>
    <w:p>
      <w:pPr>
        <w:pStyle w:val="Normal"/>
        <w:rPr/>
      </w:pPr>
      <w:r>
        <w:rPr/>
        <w:t xml:space="preserve"> </w:t>
      </w:r>
    </w:p>
    <w:p>
      <w:pPr>
        <w:pStyle w:val="Titre4"/>
        <w:numPr>
          <w:ilvl w:val="3"/>
          <w:numId w:val="2"/>
        </w:numPr>
        <w:rPr/>
      </w:pPr>
      <w:bookmarkStart w:id="118" w:name="__RefHeading___Toc297171_1346298689"/>
      <w:bookmarkEnd w:id="118"/>
      <w:commentRangeStart w:id="1"/>
      <w:r>
        <w:rPr/>
        <w:t xml:space="preserve">Подос 3.3 Собствен капитал/подос 3.4 Достъп до спорт </w:t>
      </w:r>
      <w:commentRangeEnd w:id="1"/>
      <w:r>
        <w:commentReference w:id="1"/>
      </w:r>
      <w:r>
        <w:rPr/>
      </w:r>
    </w:p>
    <w:p>
      <w:pPr>
        <w:pStyle w:val="Normal"/>
        <w:rPr/>
      </w:pPr>
      <w:r>
        <w:rPr/>
        <w:t xml:space="preserve"> </w:t>
      </w:r>
    </w:p>
    <w:p>
      <w:pPr>
        <w:pStyle w:val="P68B1DB1Normal15"/>
        <w:rPr>
          <w:b/>
          <w:b/>
        </w:rPr>
      </w:pPr>
      <w:r>
        <w:rPr/>
        <w:t xml:space="preserve">28. Сметната палата препоръчва стратегията на ЕС за равенство между половете за периода 2020—2025 г. да бъде силно насърчавана и отдавана на висок приоритет като неотложен въпрос, който държавите членки ефективно разглеждат. ЕС следва: а) да определя показатели (отношения, разлики в заплащането, заетост, лидерство и т.н.), да наблюдава стратегията на годишна основа и да бъде прозрачен по отношение на постигнатите резултати; и б) създаване на омбудсман, който да получава пряка обратна връзка от гражданите. </w:t>
      </w:r>
    </w:p>
    <w:p>
      <w:pPr>
        <w:pStyle w:val="Normal"/>
        <w:rPr/>
      </w:pPr>
      <w:r>
        <w:rPr/>
        <w:t xml:space="preserve"> </w:t>
      </w:r>
    </w:p>
    <w:p>
      <w:pPr>
        <w:pStyle w:val="Normal"/>
        <w:rPr/>
      </w:pPr>
      <w:r>
        <w:rPr/>
        <w:t xml:space="preserve">Отправяме тази препоръка, защото считаме, че положението с половете в ЕС далеч не е задоволително. Трябва да има хармония по отношение на равенството между половете и гражданските права на европейско равнище, за да се постигнат целите за равенство между половете и граждански права във всички държави, а не само в тези, в които компромисът е по-силен. Ангажираме се с присъствието и приноса на жените на властови позиции и във всички видове професии, за да имаме разнообразен и пълноценен Европейски съюз. Жените са в неравностойно положение в много ситуации (дори когато имат добро ниво на образование/сертифицирано висше образование или други привилегии), така че такава стратегия е абсолютно необходима. </w:t>
      </w:r>
    </w:p>
    <w:p>
      <w:pPr>
        <w:pStyle w:val="Normal"/>
        <w:rPr/>
      </w:pPr>
      <w:r>
        <w:rPr/>
      </w:r>
    </w:p>
    <w:p>
      <w:pPr>
        <w:pStyle w:val="P68B1DB1Normal15"/>
        <w:rPr>
          <w:b/>
          <w:b/>
        </w:rPr>
      </w:pPr>
      <w:r>
        <w:rPr/>
        <w:t xml:space="preserve">29. Препоръчваме ЕС да насърчава и повишава обществената осведоменост относно спорта и физическата активност във всички държави членки поради техните ползи за здравето. Спортът и физическата активност следва да бъдат включени в социалните политики, политиките в областта на психичното и физическото здраве, политиките в областта на образованието и труда (т.е. насърчаване на предписването на спорт и/или физическа активност от лекарите и, когато това се прави, осигуряване на достъп до спортни съоръжения; 1 час работа/седмица за физическа активност и т.н.). </w:t>
      </w:r>
    </w:p>
    <w:p>
      <w:pPr>
        <w:pStyle w:val="Normal"/>
        <w:rPr/>
      </w:pPr>
      <w:r>
        <w:rPr/>
        <w:t xml:space="preserve"> </w:t>
      </w:r>
    </w:p>
    <w:p>
      <w:pPr>
        <w:pStyle w:val="Normal"/>
        <w:rPr/>
      </w:pPr>
      <w:r>
        <w:rPr/>
        <w:t xml:space="preserve">Ние правим тази препоръка, защото това е дългосрочна инвестиция. Инвестирането в спорт и физическа активност намалява разходите и тежестите за здравните услуги. Например, спортът и физическата активност като здравна интервенция биха намалили продължителността на лечението и ще ги направят по-ефективни. Тази стратегия вече се прилага успешно в някои страни като Германия. Спортът е начин за изграждане на ценности като ангажираност, усилия, самочувствие, уважение или другарство. Заседналият начин на живот е по-често срещан в сравнение с предишните поколения поради, наред с другото, повече работни места и/или промени в навиците за отдих. </w:t>
      </w:r>
    </w:p>
    <w:p>
      <w:pPr>
        <w:pStyle w:val="Normal"/>
        <w:rPr/>
      </w:pPr>
      <w:r>
        <w:rPr/>
      </w:r>
    </w:p>
    <w:p>
      <w:pPr>
        <w:pStyle w:val="P68B1DB1Normal15"/>
        <w:rPr>
          <w:b/>
          <w:b/>
        </w:rPr>
      </w:pPr>
      <w:r>
        <w:rPr/>
        <w:t xml:space="preserve">30. Препоръчваме ЕС да задължи всяка държава членка да има минимална работна заплата, която се определя в зависимост от разходите за живот на нейната територия и се счита за справедливо възнаграждение, което позволява минимални условия на живот, над прага на бедността. Всяка държава членка трябва да го наблюдава. </w:t>
      </w:r>
    </w:p>
    <w:p>
      <w:pPr>
        <w:pStyle w:val="Normal"/>
        <w:rPr/>
      </w:pPr>
      <w:r>
        <w:rPr/>
        <w:t xml:space="preserve"> </w:t>
      </w:r>
    </w:p>
    <w:p>
      <w:pPr>
        <w:pStyle w:val="Normal"/>
        <w:rPr/>
      </w:pPr>
      <w:r>
        <w:rPr/>
        <w:t xml:space="preserve">Отправяме тази препоръка, защото е несправедливо да не можем да стигнем до края на месеца, когато работим. Справедливите заплати следва да допринасят за качеството на живот на социално равнище. Несправедливите заплати имат високи разходи за държавите (сигурност, укриване на данъци, по-високи социални разходи и т.н.). </w:t>
      </w:r>
    </w:p>
    <w:p>
      <w:pPr>
        <w:pStyle w:val="Normal"/>
        <w:rPr/>
      </w:pPr>
      <w:r>
        <w:rPr/>
      </w:r>
    </w:p>
    <w:p>
      <w:pPr>
        <w:pStyle w:val="P68B1DB1Normal15"/>
        <w:rPr>
          <w:b/>
          <w:b/>
        </w:rPr>
      </w:pPr>
      <w:r>
        <w:rPr/>
        <w:t xml:space="preserve">31. Сметната палата препоръчва данъчна хармонизация в държавите членки на равнище ЕС (с цел избягване на данъчни убежища в ЕС и борба с преместването в рамките на Европа), както и данъчен стимул за възпиране на преместването на работни места извън Европа. </w:t>
      </w:r>
    </w:p>
    <w:p>
      <w:pPr>
        <w:pStyle w:val="Normal"/>
        <w:rPr/>
      </w:pPr>
      <w:r>
        <w:rPr/>
        <w:t xml:space="preserve"> </w:t>
      </w:r>
    </w:p>
    <w:p>
      <w:pPr>
        <w:pStyle w:val="Normal"/>
        <w:rPr/>
      </w:pPr>
      <w:r>
        <w:rPr/>
        <w:t xml:space="preserve">Отправяме тази препоръка, защото сме загрижени за въздействието на преместването на работни места извън Европа и считаме, че това би попречило на данъчната конкуренция между държавите — членки на ЕС. </w:t>
      </w:r>
    </w:p>
    <w:p>
      <w:pPr>
        <w:pStyle w:val="Normal"/>
        <w:rPr/>
      </w:pPr>
      <w:r>
        <w:rPr/>
      </w:r>
    </w:p>
    <w:p>
      <w:pPr>
        <w:pStyle w:val="Titre3"/>
        <w:numPr>
          <w:ilvl w:val="2"/>
          <w:numId w:val="2"/>
        </w:numPr>
        <w:rPr/>
      </w:pPr>
      <w:bookmarkStart w:id="119" w:name="__RefHeading___Toc297173_1346298689"/>
      <w:bookmarkEnd w:id="119"/>
      <w:r>
        <w:rPr/>
        <w:t xml:space="preserve">Ос 4 Учене в Европа </w:t>
      </w:r>
    </w:p>
    <w:p>
      <w:pPr>
        <w:pStyle w:val="Normal"/>
        <w:rPr/>
      </w:pPr>
      <w:r>
        <w:rPr/>
        <w:t xml:space="preserve"> </w:t>
      </w:r>
    </w:p>
    <w:p>
      <w:pPr>
        <w:pStyle w:val="Titre4"/>
        <w:numPr>
          <w:ilvl w:val="3"/>
          <w:numId w:val="2"/>
        </w:numPr>
        <w:rPr/>
      </w:pPr>
      <w:bookmarkStart w:id="120" w:name="__RefHeading___Toc297175_1346298689"/>
      <w:bookmarkEnd w:id="120"/>
      <w:commentRangeStart w:id="2"/>
      <w:r>
        <w:rPr/>
        <w:t xml:space="preserve">Подос 4.1 Европейска идентичност/Подос 4.2 Цифрово образование </w:t>
      </w:r>
      <w:commentRangeEnd w:id="2"/>
      <w:r>
        <w:commentReference w:id="2"/>
      </w:r>
      <w:r>
        <w:rPr/>
      </w:r>
    </w:p>
    <w:p>
      <w:pPr>
        <w:pStyle w:val="Normal"/>
        <w:rPr/>
      </w:pPr>
      <w:r>
        <w:rPr/>
        <w:t xml:space="preserve"> </w:t>
      </w:r>
    </w:p>
    <w:p>
      <w:pPr>
        <w:pStyle w:val="P68B1DB1Normal15"/>
        <w:rPr>
          <w:b/>
          <w:b/>
        </w:rPr>
      </w:pPr>
      <w:r>
        <w:rPr/>
        <w:t xml:space="preserve">32. Препоръчваме да се насърчава многоезичието от ранна възраст, например от детската градина. Като се започне от началното училище, следва да бъде задължително децата да достигнат ниво C1 на активен език на ЕС, различен от техния собствен. </w:t>
      </w:r>
    </w:p>
    <w:p>
      <w:pPr>
        <w:pStyle w:val="Normal"/>
        <w:rPr/>
      </w:pPr>
      <w:r>
        <w:rPr/>
        <w:t xml:space="preserve"> </w:t>
      </w:r>
    </w:p>
    <w:p>
      <w:pPr>
        <w:pStyle w:val="Normal"/>
        <w:rPr/>
      </w:pPr>
      <w:r>
        <w:rPr/>
        <w:t xml:space="preserve">Ние правим тази препоръка, защото многоезичието е инструмент, който свързва гражданите и мост към други култури, като прави другите страни и техните култури по-достъпни. Тя укрепва европейската идентичност и междукултурния обмен. Важно е да се опознаят други култури в контекста на Европейския съюз. Следователно възможността за разговор на добро равнище на два езика би допринесла за създаването на обща европейска идентичност и за разбирането на други европейски култури. ЕС трябва да работи в тясно сътрудничество с образователните институции, за да постигне добри резултати в образованието. Необходимо е също така да се създаде специална програма (напр. цифрови платформи, разширени програми „Еразъм+“ и т.н.), която да насърчава изключително многоезичието. Настоящите европейски училища могат да послужат като модел в това отношение. ЕС следва да създаде и активно да насърчава такива училища. </w:t>
      </w:r>
    </w:p>
    <w:p>
      <w:pPr>
        <w:pStyle w:val="Normal"/>
        <w:rPr/>
      </w:pPr>
      <w:r>
        <w:rPr/>
      </w:r>
    </w:p>
    <w:p>
      <w:pPr>
        <w:pStyle w:val="P68B1DB1Normal15"/>
        <w:rPr>
          <w:b/>
          <w:b/>
        </w:rPr>
      </w:pPr>
      <w:r>
        <w:rPr/>
        <w:t xml:space="preserve">33. Препоръчваме ЕС да повиши осведомеността сред младите хора относно опасностите, свързани с интернет и цифровизацията, като създаде задължителен предмет в началното образование. ЕС следва да разработи инструменти и да създаде общи пространства за обучение, за да могат младите хора да учат заедно. </w:t>
      </w:r>
    </w:p>
    <w:p>
      <w:pPr>
        <w:pStyle w:val="Normal"/>
        <w:rPr/>
      </w:pPr>
      <w:r>
        <w:rPr/>
        <w:t xml:space="preserve"> </w:t>
      </w:r>
    </w:p>
    <w:p>
      <w:pPr>
        <w:pStyle w:val="Normal"/>
        <w:rPr/>
      </w:pPr>
      <w:r>
        <w:rPr/>
        <w:t xml:space="preserve">Ние отправяме тази препоръка, защото настоящите инициативи или програми в тази област не са достатъчни. Освен това много граждани на ЕС не са запознати със съществуващите инициативи на ЕС в тези области. Децата не са достатъчно наясно с опасностите на интернет, поради което трябва да направим много повече, за да повишим осведомеността сред по-младото поколение. </w:t>
      </w:r>
    </w:p>
    <w:p>
      <w:pPr>
        <w:pStyle w:val="Normal"/>
        <w:rPr/>
      </w:pPr>
      <w:r>
        <w:rPr/>
        <w:t xml:space="preserve"> </w:t>
      </w:r>
    </w:p>
    <w:p>
      <w:pPr>
        <w:pStyle w:val="P68B1DB1Normal15"/>
        <w:rPr>
          <w:b/>
          <w:b/>
        </w:rPr>
      </w:pPr>
      <w:r>
        <w:rPr/>
        <w:t xml:space="preserve">34. Препоръчваме ЕС да работи за повишаване на достъпността на технологиите за възрастните хора чрез насърчаване на програми и инициативи, например под формата на курсове, съобразени с техните нужди. ЕС следва да гарантира правото на използване на цифрови технологии за тези, които я искат, и да предложи алтернативи за тези, които не я желаят. </w:t>
      </w:r>
    </w:p>
    <w:p>
      <w:pPr>
        <w:pStyle w:val="Normal"/>
        <w:rPr/>
      </w:pPr>
      <w:r>
        <w:rPr/>
        <w:t xml:space="preserve"> </w:t>
      </w:r>
    </w:p>
    <w:p>
      <w:pPr>
        <w:pStyle w:val="Normal"/>
        <w:rPr/>
      </w:pPr>
      <w:r>
        <w:rPr/>
        <w:t xml:space="preserve">Отправяме тази препоръка, защото ЕС следва да гарантира, че възрастните хора могат да участват в цифровия свят и че никой не е дискриминиран. Следва да се въведат опростени инструменти за поколения с по-малък опит в използването на определени технологии, за да бъдат интегрирани в днешния свят. Препоръчваме да се насърчават по-добре съществуващите инициативи, така че гражданите да са запознати с тях. Възрастните хора не следва да бъдат дискриминирани в ЕС, когато става въпрос за използването на ИТ инструменти. (Като инцидент това означава, че гражданите трябва да могат да живеят живота си, без да се налага да преминават през интернет мрежа). ЕС следва да организира и предоставя на разположение на възрастните хора постоянна безплатна помощ с цел улесняване на достъпа до цифрови инструменти. </w:t>
      </w:r>
    </w:p>
    <w:p>
      <w:pPr>
        <w:pStyle w:val="Normal"/>
        <w:rPr/>
      </w:pPr>
      <w:r>
        <w:rPr/>
      </w:r>
    </w:p>
    <w:p>
      <w:pPr>
        <w:pStyle w:val="Titre4"/>
        <w:numPr>
          <w:ilvl w:val="3"/>
          <w:numId w:val="2"/>
        </w:numPr>
        <w:rPr/>
      </w:pPr>
      <w:bookmarkStart w:id="121" w:name="__RefHeading___Toc297177_1346298689"/>
      <w:bookmarkEnd w:id="121"/>
      <w:r>
        <w:rPr/>
        <w:t xml:space="preserve">Подос 4.3 Културен обмен/Подос 4.4 Екологично образование </w:t>
      </w:r>
    </w:p>
    <w:p>
      <w:pPr>
        <w:pStyle w:val="Normal"/>
        <w:rPr/>
      </w:pPr>
      <w:r>
        <w:rPr/>
        <w:t xml:space="preserve"> </w:t>
      </w:r>
    </w:p>
    <w:p>
      <w:pPr>
        <w:pStyle w:val="P68B1DB1Normal15"/>
        <w:rPr>
          <w:b/>
          <w:b/>
        </w:rPr>
      </w:pPr>
      <w:r>
        <w:rPr/>
        <w:t xml:space="preserve">35. Препоръчваме ЕС да създаде платформа, в която да се предоставят образователни материали по въпросите на изменението на климата, устойчивостта и околната среда за образователни цели. Тази информация следва да се основава на факти, проверени от експерти и адаптирани към всяка държава членка. Платформата: </w:t>
      </w:r>
    </w:p>
    <w:p>
      <w:pPr>
        <w:pStyle w:val="P68B1DB1Normal15"/>
        <w:rPr>
          <w:b/>
          <w:b/>
        </w:rPr>
      </w:pPr>
      <w:r>
        <w:rPr/>
        <w:t xml:space="preserve">● </w:t>
      </w:r>
      <w:r>
        <w:rPr/>
        <w:t xml:space="preserve">следва да включва уроци за различни целеви групи, например за хората, живеещи в градски или селски райони, за всички възрастови групи и за предварителните нива на знания; </w:t>
      </w:r>
    </w:p>
    <w:p>
      <w:pPr>
        <w:pStyle w:val="P68B1DB1Normal15"/>
        <w:rPr>
          <w:b/>
          <w:b/>
        </w:rPr>
      </w:pPr>
      <w:r>
        <w:rPr/>
        <w:t xml:space="preserve">● </w:t>
      </w:r>
      <w:r>
        <w:rPr/>
        <w:t xml:space="preserve">трябва да бъде на разположение на всички държави членки и да бъде леснодостъпно; </w:t>
      </w:r>
    </w:p>
    <w:p>
      <w:pPr>
        <w:pStyle w:val="P68B1DB1Normal15"/>
        <w:rPr>
          <w:b/>
          <w:b/>
        </w:rPr>
      </w:pPr>
      <w:r>
        <w:rPr/>
        <w:t xml:space="preserve">● </w:t>
      </w:r>
      <w:r>
        <w:rPr/>
        <w:t xml:space="preserve">следва да включва в изпълнението си план за насърчаване, който следва да включва съответните предприятия; </w:t>
      </w:r>
    </w:p>
    <w:p>
      <w:pPr>
        <w:pStyle w:val="P68B1DB1Normal15"/>
        <w:rPr>
          <w:b/>
          <w:b/>
        </w:rPr>
      </w:pPr>
      <w:r>
        <w:rPr/>
        <w:t xml:space="preserve">● </w:t>
      </w:r>
      <w:r>
        <w:rPr/>
        <w:t xml:space="preserve">би могло да се предостави едновременно с програма за финансиране в подкрепа на използването и прилагането на наличната на платформата информация. С това финансиране следва също така да се подкрепят посещения на място, за да се представят конкретни примери. </w:t>
      </w:r>
    </w:p>
    <w:p>
      <w:pPr>
        <w:pStyle w:val="Normal"/>
        <w:rPr/>
      </w:pPr>
      <w:r>
        <w:rPr/>
        <w:t xml:space="preserve"> </w:t>
      </w:r>
    </w:p>
    <w:p>
      <w:pPr>
        <w:pStyle w:val="Normal"/>
        <w:rPr/>
      </w:pPr>
      <w:r>
        <w:rPr/>
        <w:t xml:space="preserve">Отправяме тази препоръка, защото хората от всички възрасти се нуждаят от достъп до фактическа информация за това как да се справят с изменението на климата, устойчивостта и екологичните проблеми. Важни понятия, като екологичния отпечатък, трябва да бъдат разбирани от всички, особено от младите хора, защото това, което научаваме, ни придружава през целия ни живот. Тези теми са сложни и дезинформацията е широко разпространена. Нуждаем се от надежден източник и ЕС разполага с доверието и ресурсите, за да поеме тази роля. Това е важно и поради факта, че равнищата на знания и достъп до достоверна информация се различават в отделните държави членки. </w:t>
      </w:r>
    </w:p>
    <w:p>
      <w:pPr>
        <w:pStyle w:val="Normal"/>
        <w:rPr/>
      </w:pPr>
      <w:r>
        <w:rPr/>
      </w:r>
    </w:p>
    <w:p>
      <w:pPr>
        <w:pStyle w:val="P68B1DB1Normal15"/>
        <w:rPr>
          <w:b/>
          <w:b/>
        </w:rPr>
      </w:pPr>
      <w:r>
        <w:rPr/>
        <w:t xml:space="preserve">36. Препоръчваме ЕС да даде приоритет на гарантирането, че програмите за обмен са достъпни за всички (възрастови групи, държави членки, степени на образование и финансов капацитет) и да даде възможност за стажове или обмен между сектори, държави, образователни институции, градове и предприятия. ЕС следва да отговаря за стартирането, посредничеството и финансирането на културни и социални обмени в целия ЕС, както физически, така и цифрови. ЕС трябва активно да насърчава тези инициативи и да е насочен към хора, които все още не са запознати с програмите за културен и социален обмен. Конференцията за бъдещето на Европа, за която гражданите бяха избрани на случаен принцип, е идеалният пример за европейски обмен. Искаме повече инициативи от този вид, но също така искаме и по-малки инициативи, както и обмен в областта на спорта, музиката, (социалните) стажове и др. </w:t>
      </w:r>
    </w:p>
    <w:p>
      <w:pPr>
        <w:pStyle w:val="P68B1DB1Normal15"/>
        <w:rPr>
          <w:b/>
          <w:b/>
        </w:rPr>
      </w:pPr>
      <w:r>
        <w:rPr/>
        <w:t xml:space="preserve"> </w:t>
      </w:r>
    </w:p>
    <w:p>
      <w:pPr>
        <w:pStyle w:val="Normal"/>
        <w:rPr/>
      </w:pPr>
      <w:r>
        <w:rPr/>
        <w:t xml:space="preserve">Ние отправяме тази препоръка, защото е важно да се създаде чувство за принадлежност и сближаване и да се насърчи толерантността към великолепното ни разнообразие и перспективи, както и развитието на индивидуалните умения. Този процес ще развие приятелства, взаимно разбирателство и критично мислене. Бихме искали да насърчим ангажираността на всички членове на нашите общности, дори на тези, които до момента не са участвали в подобни инициативи. </w:t>
      </w:r>
    </w:p>
    <w:p>
      <w:pPr>
        <w:pStyle w:val="Normal"/>
        <w:rPr/>
      </w:pPr>
      <w:r>
        <w:rPr/>
      </w:r>
    </w:p>
    <w:p>
      <w:pPr>
        <w:pStyle w:val="Titre4"/>
        <w:numPr>
          <w:ilvl w:val="3"/>
          <w:numId w:val="2"/>
        </w:numPr>
        <w:rPr/>
      </w:pPr>
      <w:bookmarkStart w:id="122" w:name="__RefHeading___Toc297179_1346298689"/>
      <w:bookmarkEnd w:id="122"/>
      <w:r>
        <w:rPr/>
        <w:t xml:space="preserve">Подос 4.5 Качество, финансиране и достъп до образование/Подос 4.6 Хармонизиране на образованието </w:t>
      </w:r>
    </w:p>
    <w:p>
      <w:pPr>
        <w:pStyle w:val="Normal"/>
        <w:rPr/>
      </w:pPr>
      <w:r>
        <w:rPr/>
        <w:t xml:space="preserve"> </w:t>
      </w:r>
    </w:p>
    <w:p>
      <w:pPr>
        <w:pStyle w:val="P68B1DB1Normal15"/>
        <w:rPr>
          <w:b/>
          <w:b/>
        </w:rPr>
      </w:pPr>
      <w:r>
        <w:rPr/>
        <w:t xml:space="preserve">37. Препоръчваме на всички държави членки да определят и приемат минимален стандарт за сертифицирано образование по основни предмети от началното училище нататък. Целта е да се гарантира, че всички граждани имат равен достъп до качествено образование, което гарантира равенство и равенство. </w:t>
      </w:r>
    </w:p>
    <w:p>
      <w:pPr>
        <w:pStyle w:val="Normal"/>
        <w:rPr/>
      </w:pPr>
      <w:r>
        <w:rPr/>
      </w:r>
    </w:p>
    <w:p>
      <w:pPr>
        <w:pStyle w:val="Normal"/>
        <w:rPr/>
      </w:pPr>
      <w:r>
        <w:rPr/>
        <w:t xml:space="preserve">Отправяме тази препоръка поради следните причини: </w:t>
      </w:r>
    </w:p>
    <w:p>
      <w:pPr>
        <w:pStyle w:val="Normal"/>
        <w:rPr/>
      </w:pPr>
      <w:r>
        <w:rPr/>
        <w:t xml:space="preserve">● </w:t>
      </w:r>
      <w:r>
        <w:rPr/>
        <w:t xml:space="preserve">наличието на минимален стандарт би повишило доверието на родителите, учителите и учениците в техните образователни системи, като същевременно би оставило възможност за инициативност и многообразие. </w:t>
      </w:r>
    </w:p>
    <w:p>
      <w:pPr>
        <w:pStyle w:val="Normal"/>
        <w:rPr/>
      </w:pPr>
      <w:r>
        <w:rPr/>
        <w:t xml:space="preserve">Ако бъде изпълнена, нашата препоръка ще укрепи и укрепи общата европейска идентичност, като насърчи сближаването, единството и чувството за принадлежност. </w:t>
      </w:r>
    </w:p>
    <w:p>
      <w:pPr>
        <w:pStyle w:val="Normal"/>
        <w:rPr/>
      </w:pPr>
      <w:r>
        <w:rPr/>
        <w:t xml:space="preserve">● </w:t>
      </w:r>
      <w:r>
        <w:rPr/>
        <w:t xml:space="preserve">Изпълнението на тази препоръка ще засили сътрудничеството и обмена между училищата в целия ЕС, което ще подобри отношенията между преподавателския състав и учениците и ще улесни значително програмите за обмен. </w:t>
      </w:r>
    </w:p>
    <w:p>
      <w:pPr>
        <w:pStyle w:val="Normal"/>
        <w:rPr/>
      </w:pPr>
      <w:r>
        <w:rPr/>
      </w:r>
    </w:p>
    <w:p>
      <w:pPr>
        <w:pStyle w:val="P68B1DB1Normal15"/>
        <w:rPr>
          <w:b/>
          <w:b/>
        </w:rPr>
      </w:pPr>
      <w:r>
        <w:rPr/>
        <w:t xml:space="preserve">38. Препоръчваме английският език да се преподава, съгласно сертифициран стандарт, като основен предмет в началните училища във всички държави — членки на ЕС, за да се улесни и укрепи способността на европейските граждани да общуват ефективно. </w:t>
      </w:r>
    </w:p>
    <w:p>
      <w:pPr>
        <w:pStyle w:val="Normal"/>
        <w:rPr/>
      </w:pPr>
      <w:r>
        <w:rPr/>
        <w:t xml:space="preserve"> </w:t>
      </w:r>
    </w:p>
    <w:p>
      <w:pPr>
        <w:pStyle w:val="Normal"/>
        <w:rPr/>
      </w:pPr>
      <w:r>
        <w:rPr/>
        <w:t xml:space="preserve">Отправяме тази препоръка поради следните причини: </w:t>
      </w:r>
    </w:p>
    <w:p>
      <w:pPr>
        <w:pStyle w:val="Normal"/>
        <w:rPr/>
      </w:pPr>
      <w:r>
        <w:rPr/>
        <w:t xml:space="preserve">● </w:t>
      </w:r>
      <w:r>
        <w:rPr/>
        <w:t xml:space="preserve">това би позволило по-голямо единство и равенство чрез укрепване на способността на гражданите да общуват помежду си и да подкрепят по-силна обща европейска идентичност; </w:t>
      </w:r>
    </w:p>
    <w:p>
      <w:pPr>
        <w:pStyle w:val="Normal"/>
        <w:rPr/>
      </w:pPr>
      <w:r>
        <w:rPr/>
        <w:t xml:space="preserve">● </w:t>
      </w:r>
      <w:r>
        <w:rPr/>
        <w:t xml:space="preserve">това ще разшири пазара на труда и ще го направи по-гъвкав и достъпен, като даде на гражданите увереност да работят и да общуват във всички други държави членки, които предлагат по-лични и професионални перспективи. </w:t>
      </w:r>
    </w:p>
    <w:p>
      <w:pPr>
        <w:pStyle w:val="Normal"/>
        <w:rPr/>
      </w:pPr>
      <w:r>
        <w:rPr/>
        <w:t xml:space="preserve">● </w:t>
      </w:r>
      <w:r>
        <w:rPr/>
        <w:t xml:space="preserve">подобен подход би позволил разпространението на общ европейски език в много кратък период от време; </w:t>
      </w:r>
    </w:p>
    <w:p>
      <w:pPr>
        <w:pStyle w:val="Normal"/>
        <w:rPr/>
      </w:pPr>
      <w:r>
        <w:rPr/>
        <w:t xml:space="preserve">● </w:t>
      </w:r>
      <w:r>
        <w:rPr/>
        <w:t xml:space="preserve">използването на общ език ускорява обмена на информация, което би било от полза за сътрудничеството, общата реакция при кризи, хуманитарната помощ и сближаването между Европа и европейците. </w:t>
      </w:r>
    </w:p>
    <w:p>
      <w:pPr>
        <w:pStyle w:val="Normal"/>
        <w:rPr/>
      </w:pPr>
      <w:r>
        <w:rPr/>
      </w:r>
    </w:p>
    <w:p>
      <w:pPr>
        <w:pStyle w:val="Titre3"/>
        <w:numPr>
          <w:ilvl w:val="2"/>
          <w:numId w:val="2"/>
        </w:numPr>
        <w:rPr/>
      </w:pPr>
      <w:bookmarkStart w:id="123" w:name="__RefHeading___Toc297181_1346298689"/>
      <w:bookmarkEnd w:id="123"/>
      <w:r>
        <w:rPr/>
        <w:t xml:space="preserve">Ос 5 Етична и сигурна цифрова трансформация </w:t>
      </w:r>
    </w:p>
    <w:p>
      <w:pPr>
        <w:pStyle w:val="Normal"/>
        <w:rPr/>
      </w:pPr>
      <w:r>
        <w:rPr/>
        <w:t xml:space="preserve"> </w:t>
      </w:r>
    </w:p>
    <w:p>
      <w:pPr>
        <w:pStyle w:val="Titre4"/>
        <w:numPr>
          <w:ilvl w:val="3"/>
          <w:numId w:val="2"/>
        </w:numPr>
        <w:rPr/>
      </w:pPr>
      <w:bookmarkStart w:id="124" w:name="__RefHeading___Toc297183_1346298689"/>
      <w:bookmarkEnd w:id="124"/>
      <w:commentRangeStart w:id="3"/>
      <w:r>
        <w:rPr/>
        <w:t xml:space="preserve">Подос 5.1 Демократизация на цифровата трансформация/По-ос 5.2 Киберсигурност </w:t>
      </w:r>
      <w:commentRangeEnd w:id="3"/>
      <w:r>
        <w:commentReference w:id="3"/>
      </w:r>
      <w:r>
        <w:rPr/>
      </w:r>
    </w:p>
    <w:p>
      <w:pPr>
        <w:pStyle w:val="Normal"/>
        <w:rPr/>
      </w:pPr>
      <w:r>
        <w:rPr/>
        <w:t xml:space="preserve"> </w:t>
      </w:r>
    </w:p>
    <w:p>
      <w:pPr>
        <w:pStyle w:val="P68B1DB1Normal15"/>
        <w:rPr>
          <w:b/>
          <w:b/>
        </w:rPr>
      </w:pPr>
      <w:r>
        <w:rPr/>
        <w:t xml:space="preserve">39. Препоръчваме на ЕС да разполага с повече правомощия за борба с незаконното съдържание и киберпрестъпността. Препоръчваме да се укрепи капацитетът на Европол/Европейския център за борба с киберпрестъпността, включително: </w:t>
      </w:r>
    </w:p>
    <w:p>
      <w:pPr>
        <w:pStyle w:val="P68B1DB1Normal15"/>
        <w:rPr>
          <w:b/>
          <w:b/>
        </w:rPr>
      </w:pPr>
      <w:r>
        <w:rPr/>
        <w:t xml:space="preserve">● </w:t>
      </w:r>
      <w:r>
        <w:rPr/>
        <w:t xml:space="preserve">увеличаване на финансовите ресурси и персонала </w:t>
      </w:r>
    </w:p>
    <w:p>
      <w:pPr>
        <w:pStyle w:val="P68B1DB1Normal15"/>
        <w:rPr>
          <w:b/>
          <w:b/>
        </w:rPr>
      </w:pPr>
      <w:r>
        <w:rPr/>
        <w:t xml:space="preserve">● </w:t>
      </w:r>
      <w:r>
        <w:rPr/>
        <w:t xml:space="preserve">гарантиране на подобни санкции във всяка държава ● осигуряване на бърз и ефективен контрол на законността </w:t>
      </w:r>
    </w:p>
    <w:p>
      <w:pPr>
        <w:pStyle w:val="Normal"/>
        <w:rPr/>
      </w:pPr>
      <w:r>
        <w:rPr/>
        <w:t xml:space="preserve"> </w:t>
      </w:r>
    </w:p>
    <w:p>
      <w:pPr>
        <w:pStyle w:val="Normal"/>
        <w:rPr/>
      </w:pPr>
      <w:r>
        <w:rPr/>
        <w:t xml:space="preserve">Отправяме тази препоръка, за да гарантираме свободата в интернет, като същевременно гарантираме, че дискриминацията, злоупотребите и тормозът се наказват. Подкрепяме идеята за европейски публичен орган, защото не искаме да оставим регулирането на онлайн платформите само на частни дружества. Онлайн платформите трябва да поемат отговорност за разпространяваното съдържание, но искаме да сме сигурни, че техните интереси не преобладават. Регулирането на съдържанието и наказателното преследване на извършителите трябва да бъдат навременни и ефективни, така че да имат възпиращ ефект и върху злонамерените лица. </w:t>
      </w:r>
    </w:p>
    <w:p>
      <w:pPr>
        <w:pStyle w:val="Normal"/>
        <w:rPr/>
      </w:pPr>
      <w:r>
        <w:rPr/>
      </w:r>
    </w:p>
    <w:p>
      <w:pPr>
        <w:pStyle w:val="P68B1DB1Normal15"/>
        <w:rPr>
          <w:b/>
          <w:b/>
        </w:rPr>
      </w:pPr>
      <w:r>
        <w:rPr/>
        <w:t xml:space="preserve">40. Препоръчваме на ЕС да инвестира в иновативна и висококачествена цифрова инфраструктура (като например 5G, която се разработва в Европа), за да се гарантира автономността на Европа и да се предотврати зависимостта от трети държави или частни дружества. ЕС следва също така да обърне специално внимание на инвестициите в изоставащите региони. </w:t>
      </w:r>
    </w:p>
    <w:p>
      <w:pPr>
        <w:pStyle w:val="Normal"/>
        <w:rPr/>
      </w:pPr>
      <w:r>
        <w:rPr/>
        <w:t xml:space="preserve"> </w:t>
      </w:r>
    </w:p>
    <w:p>
      <w:pPr>
        <w:pStyle w:val="Normal"/>
        <w:rPr/>
      </w:pPr>
      <w:r>
        <w:rPr/>
        <w:t xml:space="preserve">Отправяме тази препоръка, тъй като цифровата инфраструктура играе ключова роля в европейската икономика, както и в ежедневието на европейците, което те улесняват. Ето защо Европа се нуждае от висококачествена цифрова инфраструктура. Ако зависи от трети страни, Европа може да бъде уязвима на отрицателни влияния от частни дружества или чужди държави. Ето защо Европа следва да инвестира в цифрова инфраструктура, за да подобри своята автономност. Важно е също така да се гарантира цифровото приобщаване, като се гарантира, че по-слабо развитите региони се възползват от инвестициите. </w:t>
      </w:r>
    </w:p>
    <w:p>
      <w:pPr>
        <w:pStyle w:val="Normal"/>
        <w:rPr/>
      </w:pPr>
      <w:r>
        <w:rPr/>
      </w:r>
    </w:p>
    <w:p>
      <w:pPr>
        <w:pStyle w:val="P68B1DB1Normal15"/>
        <w:rPr>
          <w:b/>
          <w:b/>
        </w:rPr>
      </w:pPr>
      <w:r>
        <w:rPr/>
        <w:t xml:space="preserve">41. Препоръчваме ЕС да насърчава образованието по въпросите на фалшивите новини, дезинформацията и онлайн сигурността в европейските училища. Тя следва да се основава на примери за добри практики от целия ЕС. ЕС следва да създаде организация, която да отговаря специално за насърчаването на тази дейност и за предоставянето на препоръки на образователните системи. Тя следва също така да насърчава неформалното образование, както и иновативните и творчески техники на преподаване (напр. игри с участие). </w:t>
      </w:r>
    </w:p>
    <w:p>
      <w:pPr>
        <w:pStyle w:val="Normal"/>
        <w:rPr/>
      </w:pPr>
      <w:r>
        <w:rPr/>
      </w:r>
    </w:p>
    <w:p>
      <w:pPr>
        <w:pStyle w:val="Normal"/>
        <w:rPr/>
      </w:pPr>
      <w:r>
        <w:rPr/>
        <w:t xml:space="preserve">Ние правим тази препоръка, защото въвеждането на курсове по онлайн сигурност и култура на цифрова сигурност (борба с онлайн измами, фалшиви новини и т.н.) в училище е важно, за да се предоставят на всички инструменти, за да се предпазят от онлайн заплахи. Важно е да се насочим към младите хора, които са силно изложени на такива заплахи. Училищата също могат да общуват с родителите, за да популяризират добрите практики. Тези курсове могат да се основават на примери за добри практики в Европа (например Финландия), като същевременно се адаптират към нуждите на всяка страна. </w:t>
      </w:r>
    </w:p>
    <w:p>
      <w:pPr>
        <w:pStyle w:val="Normal"/>
        <w:rPr/>
      </w:pPr>
      <w:r>
        <w:rPr/>
        <w:t xml:space="preserve"> </w:t>
      </w:r>
    </w:p>
    <w:p>
      <w:pPr>
        <w:pStyle w:val="Titre4"/>
        <w:numPr>
          <w:ilvl w:val="3"/>
          <w:numId w:val="2"/>
        </w:numPr>
        <w:rPr/>
      </w:pPr>
      <w:bookmarkStart w:id="125" w:name="__RefHeading___Toc297185_1346298689"/>
      <w:bookmarkEnd w:id="125"/>
      <w:r>
        <w:rPr/>
        <w:t xml:space="preserve">Подос 5.3 Защита на данните </w:t>
      </w:r>
    </w:p>
    <w:p>
      <w:pPr>
        <w:pStyle w:val="Normal"/>
        <w:rPr/>
      </w:pPr>
      <w:r>
        <w:rPr/>
        <w:t xml:space="preserve"> </w:t>
      </w:r>
    </w:p>
    <w:p>
      <w:pPr>
        <w:pStyle w:val="P68B1DB1Normal15"/>
        <w:rPr>
          <w:b/>
          <w:b/>
        </w:rPr>
      </w:pPr>
      <w:r>
        <w:rPr/>
        <w:t xml:space="preserve">42. Препоръчваме по-нататъшно ограничаване на злоупотребата с данни от страна на „гигантите за данни“ чрез повишаване на спазването на ОРЗД (Общ регламент относно защитата на данните), създаване на по-стандартизирани механизми в целия ЕС и гарантиране, че дори неевропейските дружества, извършващи дейност в ЕС, спазват този регламент. Това подобрение следва да осигури ясно и кратко обяснение на условията за използване на данните, за да се избегне двусмислие и предоставяне на допълнителна информация относно начина, по който данните ще бъдат използвани и от кого, както и за да се избегне съгласието повторното използване и препродажбата на данните да бъде опцията по подразбиране. Тя следва да гарантира, че данните се изтриват постоянно при поискване от гражданин. То следва също така да подобри съгласуваността на мониторинга на спазването на правилата по отношение на профилирането на физически лица въз основа на техните онлайн дейности. Предлагаме два вида санкции: глоба, пропорционална на оборота и ограниченията на дейността на дружеството. </w:t>
      </w:r>
    </w:p>
    <w:p>
      <w:pPr>
        <w:pStyle w:val="Normal"/>
        <w:rPr/>
      </w:pPr>
      <w:r>
        <w:rPr/>
        <w:t xml:space="preserve"> </w:t>
      </w:r>
    </w:p>
    <w:p>
      <w:pPr>
        <w:pStyle w:val="Normal"/>
        <w:rPr/>
      </w:pPr>
      <w:r>
        <w:rPr/>
        <w:t xml:space="preserve">Отправяме тази препоръка, тъй като понастоящем прозрачността е много ограничена по отношение на вида на събраните данни, как се обработват и идентичността на тези, на които се продават. Трябва допълнително да ограничим злоупотребите с власт от страна на гигантите в областта на данните и да гарантираме, че гражданите са съгласни с обработването на техните данни съзнателно. </w:t>
      </w:r>
    </w:p>
    <w:p>
      <w:pPr>
        <w:pStyle w:val="Normal"/>
        <w:rPr/>
      </w:pPr>
      <w:r>
        <w:rPr/>
        <w:t xml:space="preserve"> </w:t>
      </w:r>
    </w:p>
    <w:p>
      <w:pPr>
        <w:pStyle w:val="P68B1DB1Normal15"/>
        <w:rPr>
          <w:b/>
          <w:b/>
        </w:rPr>
      </w:pPr>
      <w:r>
        <w:rPr/>
        <w:t xml:space="preserve">43. Препоръчваме създаването на независима общоевропейска агенция, която следва ясно да определи поведението на намеса (напр. спам) и да разработи насоки за това как гражданите могат да се противопоставят на обработването на техните данни и да получат тяхното заличаване, по-специално от трети страни. Тази агенция трябва да има мандат да идентифицира и санкционира измамници и организации, които не спазват правилата. Тя следва да се съсредоточи върху гарантирането на спазването на правилата на ЕС от субекти, установени извън ЕС, но извършващи дейност там. Той ще бъде финансиран от институциите на ЕС и ще се състои от съвместен съвет от независими органи (т.е. експерти от академичните среди и организации, представляващи специалисти). Трябва да има въртящ се преидиум. Предлагаме два вида санкции: глоба, пропорционална на оборота на предприятията и ограниченията на дейността на предприятията. </w:t>
      </w:r>
    </w:p>
    <w:p>
      <w:pPr>
        <w:pStyle w:val="Normal"/>
        <w:rPr/>
      </w:pPr>
      <w:r>
        <w:rPr/>
      </w:r>
    </w:p>
    <w:p>
      <w:pPr>
        <w:pStyle w:val="Normal"/>
        <w:rPr/>
      </w:pPr>
      <w:r>
        <w:rPr/>
        <w:t xml:space="preserve">Отправяме тази препоръка, защото няма централна агенция със силен мандат, която да може да помогне на гражданите, особено когато имат проблем и се нуждаят от помощ, съвети или подкрепа. Няма ясни и обвързващи правила, които дружествата трябва да спазват. Що се отнася до санкциите, те не се прилагат или имат незначително въздействие върху дружествата. </w:t>
      </w:r>
    </w:p>
    <w:p>
      <w:pPr>
        <w:pStyle w:val="Normal"/>
        <w:rPr/>
      </w:pPr>
      <w:r>
        <w:rPr/>
        <w:t xml:space="preserve"> </w:t>
      </w:r>
    </w:p>
    <w:p>
      <w:pPr>
        <w:pStyle w:val="P68B1DB1Normal15"/>
        <w:rPr>
          <w:b/>
          <w:b/>
        </w:rPr>
      </w:pPr>
      <w:r>
        <w:rPr/>
        <w:t xml:space="preserve">44. Препоръчваме да се създаде система на ЕС за сертифициране, която да демонстрира съответствие с ОРЗД (Общ регламент относно защитата на данните) по прозрачен начин и да гарантира, че информацията за защита на данните се представя по достъпен, ясен и прост начин. Този сертификат ще бъде задължителен и видим на уебсайтове и платформи. Той следва да бъде издаден от независим сертифициращ орган на европейско равнище, съществуващ или създаден за тази цел, който няма да бъде свързан с националните правителства или частния сектор. </w:t>
      </w:r>
    </w:p>
    <w:p>
      <w:pPr>
        <w:pStyle w:val="Normal"/>
        <w:rPr/>
      </w:pPr>
      <w:r>
        <w:rPr/>
        <w:t xml:space="preserve"> </w:t>
      </w:r>
    </w:p>
    <w:p>
      <w:pPr>
        <w:pStyle w:val="Normal"/>
        <w:rPr/>
      </w:pPr>
      <w:r>
        <w:rPr/>
        <w:t xml:space="preserve">Ние правим тази препоръка, защото в момента има малко или никаква прозрачност за това как данните са защитени от всяка компания, а потребителите/клиентите не могат да направят информиран избор. </w:t>
      </w:r>
    </w:p>
    <w:p>
      <w:pPr>
        <w:pStyle w:val="Normal"/>
        <w:rPr/>
      </w:pPr>
      <w:r>
        <w:rPr/>
      </w:r>
    </w:p>
    <w:p>
      <w:pPr>
        <w:pStyle w:val="P68B1DB1Normal15"/>
        <w:rPr>
          <w:b/>
          <w:b/>
        </w:rPr>
      </w:pPr>
      <w:r>
        <w:rPr/>
        <w:t xml:space="preserve">45. Препоръчваме да се обясни по-добре ОРЗД (Общ регламент относно защитата на данните) и да се подобри комуникацията за него, като се създаде стандартен текст относно съответствието, който използва прост и ясен език, разбираем за всички. Този текст следва да съдържа ключово послание и/или основни принципи. Процедурата за даване на съгласие следва да бъде по-визуална (напр. искане за изрично разрешение за достъп по телефона чрез заявление). Тя следва да бъде придружена от информационна кампания (включително телевизия) и систематично задължителни курсове (поне за тези, които работят с данни) и съвети относно намерението на нуждаещите се от помощ. </w:t>
      </w:r>
    </w:p>
    <w:p>
      <w:pPr>
        <w:pStyle w:val="Normal"/>
        <w:rPr/>
      </w:pPr>
      <w:r>
        <w:rPr/>
        <w:t xml:space="preserve"> </w:t>
      </w:r>
    </w:p>
    <w:p>
      <w:pPr>
        <w:pStyle w:val="Normal"/>
        <w:rPr/>
      </w:pPr>
      <w:r>
        <w:rPr/>
        <w:t xml:space="preserve">Отправяме тази препоръка, защото понастоящем формулировката на ОРЗД е твърде неясна и твърде техническа, а количеството информация е огромно и не е достъпно за всички. Комуникацията също не е сходна в отделните държави и често изключва различни групи, предимно по-възрастни хора и хора, родени преди цифровите технологии. </w:t>
      </w:r>
    </w:p>
    <w:p>
      <w:pPr>
        <w:pStyle w:val="Normal"/>
        <w:rPr/>
      </w:pPr>
      <w:r>
        <w:rPr/>
      </w:r>
    </w:p>
    <w:p>
      <w:pPr>
        <w:pStyle w:val="Titre4"/>
        <w:numPr>
          <w:ilvl w:val="3"/>
          <w:numId w:val="2"/>
        </w:numPr>
        <w:rPr/>
      </w:pPr>
      <w:bookmarkStart w:id="126" w:name="__RefHeading___Toc297187_1346298689"/>
      <w:bookmarkEnd w:id="126"/>
      <w:r>
        <w:rPr/>
        <w:t xml:space="preserve">Подос 5.4 Цифрова трансформация и здраве </w:t>
      </w:r>
    </w:p>
    <w:p>
      <w:pPr>
        <w:pStyle w:val="Normal"/>
        <w:rPr/>
      </w:pPr>
      <w:r>
        <w:rPr/>
        <w:t xml:space="preserve"> </w:t>
      </w:r>
    </w:p>
    <w:p>
      <w:pPr>
        <w:pStyle w:val="P68B1DB1Normal15"/>
        <w:rPr>
          <w:b/>
          <w:b/>
        </w:rPr>
      </w:pPr>
      <w:r>
        <w:rPr/>
        <w:t xml:space="preserve">46. Сметната палата препоръчва на ЕС да се заеме с проблема с „фалшивата информация“ по два начина: </w:t>
      </w:r>
    </w:p>
    <w:p>
      <w:pPr>
        <w:pStyle w:val="P68B1DB1Normal15"/>
        <w:rPr>
          <w:b/>
          <w:b/>
        </w:rPr>
      </w:pPr>
      <w:r>
        <w:rPr/>
        <w:t xml:space="preserve">● </w:t>
      </w:r>
      <w:r>
        <w:rPr/>
        <w:t xml:space="preserve">законодателство, което дава възможност на дружествата за социални медии да прилагат алгоритми за машинно обучение, които могат да подчертаят надеждността на информацията в социалните медии и новите медии, като предоставят на потребителя проверени източници на информация. Препоръчваме алгоритмите да бъдат контролирани от експерти, за да се гарантира правилното им функциониране; </w:t>
      </w:r>
    </w:p>
    <w:p>
      <w:pPr>
        <w:pStyle w:val="P68B1DB1Normal15"/>
        <w:rPr>
          <w:b/>
          <w:b/>
        </w:rPr>
      </w:pPr>
      <w:r>
        <w:rPr/>
        <w:t xml:space="preserve">● </w:t>
      </w:r>
      <w:r>
        <w:rPr/>
        <w:t xml:space="preserve">създаване на цифрова платформа за присъждане на оценка на информация от традиционните медии (напр. телевизия, печат, радио), независимо от политическите и икономическите интереси, и която информира гражданите за качеството на информацията, без да прилага каквато и да е форма на цензура. Тази платформа следва да подлежи на публичен контрол и да спазва най-високите стандарти за прозрачност, а ЕС следва да гарантира, че отпуснатите ѝ средства се използват по предназначение. </w:t>
      </w:r>
    </w:p>
    <w:p>
      <w:pPr>
        <w:pStyle w:val="Normal"/>
        <w:rPr/>
      </w:pPr>
      <w:r>
        <w:rPr/>
        <w:t xml:space="preserve"> </w:t>
      </w:r>
    </w:p>
    <w:p>
      <w:pPr>
        <w:pStyle w:val="Normal"/>
        <w:rPr/>
      </w:pPr>
      <w:r>
        <w:rPr/>
        <w:t xml:space="preserve">Отправяме тази препоръка, защото са засегнати различни видове медии и вярваме, че санкциите или премахването на съдържание биха могли да доведат до цензура и да подкопаят свободата на изразяване и свободата на печата. Препоръчваме експертите да проверяват и контролират правилното функциониране на алгоритъма, за да се уверят, че той работи правилно. И накрая, препоръчваме платформата да бъде аполитическа и независима, за да се гарантира прозрачност и свобода на изразяване. Освен това, тъй като е невъзможно да се премахне напълно невярната информация, предоставянето на тези инструменти на разположение на гражданите ще спомогне за намаляване на последиците от тях в Европа. </w:t>
      </w:r>
    </w:p>
    <w:p>
      <w:pPr>
        <w:pStyle w:val="Normal"/>
        <w:rPr/>
      </w:pPr>
      <w:r>
        <w:rPr/>
        <w:t xml:space="preserve"> </w:t>
      </w:r>
    </w:p>
    <w:p>
      <w:pPr>
        <w:pStyle w:val="P68B1DB1Normal15"/>
        <w:rPr>
          <w:b/>
          <w:b/>
        </w:rPr>
      </w:pPr>
      <w:r>
        <w:rPr/>
        <w:t xml:space="preserve">47. Сметната палата препоръчва на ЕС да предприеме различни действия, за да гарантира здравословно използване на интернет: </w:t>
      </w:r>
    </w:p>
    <w:p>
      <w:pPr>
        <w:pStyle w:val="P68B1DB1Normal15"/>
        <w:rPr>
          <w:b/>
          <w:b/>
        </w:rPr>
      </w:pPr>
      <w:r>
        <w:rPr/>
        <w:t xml:space="preserve">● </w:t>
      </w:r>
      <w:r>
        <w:rPr/>
        <w:t xml:space="preserve">На първо място, ЕС трябва да се справи с липсата на инфраструктура и оборудване, което пречи на гражданите да получат достъп до интернет; </w:t>
      </w:r>
    </w:p>
    <w:p>
      <w:pPr>
        <w:pStyle w:val="P68B1DB1Normal15"/>
        <w:rPr>
          <w:b/>
          <w:b/>
        </w:rPr>
      </w:pPr>
      <w:r>
        <w:rPr/>
        <w:t xml:space="preserve">● </w:t>
      </w:r>
      <w:r>
        <w:rPr/>
        <w:t xml:space="preserve">След това препоръчваме ЕС да насърчава държавите членки да въведат обучение в интернет и рисковете, свързани с него за всички възрастови групи. Това би могло да се постигне чрез въвеждане на курсове в училищата за деца и младежи и създаване на различни учебни програми и учебни програми, които да достигнат до възрастни и възрастни граждани. Съдържанието на тези курсове следва да се определя на европейско равнище от група независими експерти. </w:t>
      </w:r>
    </w:p>
    <w:p>
      <w:pPr>
        <w:pStyle w:val="P68B1DB1Normal15"/>
        <w:rPr>
          <w:b/>
          <w:b/>
        </w:rPr>
      </w:pPr>
      <w:r>
        <w:rPr/>
        <w:t xml:space="preserve">● </w:t>
      </w:r>
      <w:r>
        <w:rPr/>
        <w:t xml:space="preserve">Накрая призоваваме ЕС да предприеме всички необходими мерки, за да гарантира, че цифровизацията на обществото не изключва по-възрастните хора и да гарантира, че основните услуги също са достъпни лично. </w:t>
      </w:r>
    </w:p>
    <w:p>
      <w:pPr>
        <w:pStyle w:val="Normal"/>
        <w:rPr/>
      </w:pPr>
      <w:r>
        <w:rPr/>
      </w:r>
    </w:p>
    <w:p>
      <w:pPr>
        <w:pStyle w:val="P68B1DB1Normal15"/>
        <w:rPr>
          <w:b/>
          <w:b/>
        </w:rPr>
      </w:pPr>
      <w:r>
        <w:rPr/>
        <w:t xml:space="preserve">● </w:t>
      </w:r>
      <w:r>
        <w:rPr/>
        <w:t xml:space="preserve">ЕС следва да гарантира, че средствата, специално разпределени за тези дейности, се използват по предназначение. </w:t>
      </w:r>
    </w:p>
    <w:p>
      <w:pPr>
        <w:pStyle w:val="Normal"/>
        <w:rPr/>
      </w:pPr>
      <w:r>
        <w:rPr/>
        <w:t xml:space="preserve"> </w:t>
      </w:r>
    </w:p>
    <w:p>
      <w:pPr>
        <w:pStyle w:val="Normal"/>
        <w:rPr/>
      </w:pPr>
      <w:r>
        <w:rPr/>
        <w:t xml:space="preserve">Отправяме тази препоръка поради липсата на инфраструктура и оборудване (напр. устройства) на някои места в Европа и необходимостта да се гарантира връзката, преди да се образоват гражданите, тъй като знаем, че достъпът до интернет е ограничен в някои региони и за определени профили. Препоръчваме да се организират курсове, за да се помогне на децата да придобият цифрови умения, да се осигурят допълнителни програми, които да помогнат на възрастните хора да се дигитализират, и да се предприемат необходимите стъпки, за да се уверят, че цифровата трансформация не подкопава правата на възрастните хора. </w:t>
      </w:r>
    </w:p>
    <w:p>
      <w:pPr>
        <w:pStyle w:val="Normal"/>
        <w:rPr/>
      </w:pPr>
      <w:r>
        <w:rPr/>
      </w:r>
    </w:p>
    <w:p>
      <w:pPr>
        <w:pStyle w:val="P68B1DB1Normal15"/>
        <w:rPr>
          <w:b/>
          <w:b/>
        </w:rPr>
      </w:pPr>
      <w:r>
        <w:rPr/>
        <w:t xml:space="preserve">48. Препоръчваме ЕС да насърчава образованието на гражданите във всяка държава членка, за да засили критичното мислене, скептицизма и проверката на фактите и да ги научи да оценяват независимо дали информацията е надеждна или не. Това образование следва да включва организирането на специфични курсове на основно образователно равнище и да се предлага на други обществени места на граждани от всички възрасти, които желаят да се възползват от него. ЕС следва да гарантира, че средствата, специално разпределени за тези дейности, се използват по предназначение. </w:t>
      </w:r>
    </w:p>
    <w:p>
      <w:pPr>
        <w:pStyle w:val="Normal"/>
        <w:rPr/>
      </w:pPr>
      <w:r>
        <w:rPr/>
        <w:t xml:space="preserve"> </w:t>
      </w:r>
    </w:p>
    <w:p>
      <w:pPr>
        <w:pStyle w:val="Normal"/>
        <w:rPr/>
      </w:pPr>
      <w:r>
        <w:rPr/>
        <w:t xml:space="preserve">Ние правим тази препоръка, защото смятаме, че е невъзможно напълно да се отървем от невярна информация. Това обучение ще помогне на гражданите да ги разпознаят сами. В резултат на това въздействието на невярната информация върху обществото и върху самите граждани ще бъде намалено. Тя също така би предоставила на гражданите по-големи възможности за действие, вместо да разчита на институциите за получаване на надеждна информация. </w:t>
      </w:r>
    </w:p>
    <w:p>
      <w:pPr>
        <w:pStyle w:val="Normal"/>
        <w:rPr/>
      </w:pPr>
      <w:r>
        <w:rPr/>
        <w:t xml:space="preserve"> </w:t>
      </w:r>
    </w:p>
    <w:p>
      <w:pPr>
        <w:pStyle w:val="Titre3"/>
        <w:numPr>
          <w:ilvl w:val="2"/>
          <w:numId w:val="2"/>
        </w:numPr>
        <w:rPr/>
      </w:pPr>
      <w:bookmarkStart w:id="127" w:name="__RefHeading___Toc297189_1346298689"/>
      <w:bookmarkEnd w:id="127"/>
      <w:r>
        <w:rPr/>
        <w:t xml:space="preserve">Приложение: ДРУГИ ПРЕПОРЪКИ, РАЗГЛЕДАНИ ОТ ЕКСПЕРТНАТА ГРУПА, КОИТО НЕ СА ПРИЕТИ </w:t>
      </w:r>
    </w:p>
    <w:p>
      <w:pPr>
        <w:pStyle w:val="Normal"/>
        <w:rPr/>
      </w:pPr>
      <w:r>
        <w:rPr/>
        <w:t xml:space="preserve"> </w:t>
      </w:r>
    </w:p>
    <w:p>
      <w:pPr>
        <w:pStyle w:val="Titre4"/>
        <w:numPr>
          <w:ilvl w:val="3"/>
          <w:numId w:val="2"/>
        </w:numPr>
        <w:rPr/>
      </w:pPr>
      <w:bookmarkStart w:id="128" w:name="__RefHeading___Toc297191_1346298689"/>
      <w:bookmarkEnd w:id="128"/>
      <w:r>
        <w:rPr/>
        <w:t xml:space="preserve">Ос 3 Справедливо общество </w:t>
      </w:r>
    </w:p>
    <w:p>
      <w:pPr>
        <w:pStyle w:val="Normal"/>
        <w:rPr/>
      </w:pPr>
      <w:r>
        <w:rPr/>
        <w:t xml:space="preserve"> </w:t>
      </w:r>
    </w:p>
    <w:p>
      <w:pPr>
        <w:pStyle w:val="Normal"/>
        <w:rPr/>
      </w:pPr>
      <w:r>
        <w:rPr/>
        <w:t xml:space="preserve">Подос 3.2 Равенство на правата </w:t>
      </w:r>
    </w:p>
    <w:p>
      <w:pPr>
        <w:pStyle w:val="Normal"/>
        <w:rPr/>
      </w:pPr>
      <w:r>
        <w:rPr/>
        <w:t xml:space="preserve"> </w:t>
      </w:r>
    </w:p>
    <w:p>
      <w:pPr>
        <w:pStyle w:val="P68B1DB1Normal15"/>
        <w:rPr>
          <w:b/>
          <w:b/>
        </w:rPr>
      </w:pPr>
      <w:r>
        <w:rPr/>
        <w:t xml:space="preserve">Препоръчваме ЕС да създаде механизъм за наблюдение и зачитане на правата на малцинствата (напр. портал или служба, където хората могат да подават жалби). </w:t>
      </w:r>
    </w:p>
    <w:p>
      <w:pPr>
        <w:pStyle w:val="Normal"/>
        <w:rPr/>
      </w:pPr>
      <w:r>
        <w:rPr/>
        <w:t xml:space="preserve"> </w:t>
      </w:r>
    </w:p>
    <w:p>
      <w:pPr>
        <w:pStyle w:val="Normal"/>
        <w:rPr/>
      </w:pPr>
      <w:r>
        <w:rPr/>
        <w:t xml:space="preserve">Ние правим тази препоръка, защото вярваме, че всеки човек може да изрази своето мнение и има право да търси и получава помощ. Такава служба е необходима, за да се намали напрежението между малцинствата и мнозинството. </w:t>
      </w:r>
    </w:p>
    <w:p>
      <w:pPr>
        <w:pStyle w:val="Normal"/>
        <w:rPr/>
      </w:pPr>
      <w:r>
        <w:rPr/>
      </w:r>
    </w:p>
    <w:p>
      <w:pPr>
        <w:pStyle w:val="Normal"/>
        <w:rPr/>
      </w:pPr>
      <w:r>
        <w:rPr/>
        <w:t xml:space="preserve">Подос 3.3 Собствен капитал/подос 3.4 Достъп до спорт </w:t>
      </w:r>
    </w:p>
    <w:p>
      <w:pPr>
        <w:pStyle w:val="Normal"/>
        <w:rPr/>
      </w:pPr>
      <w:r>
        <w:rPr/>
        <w:t xml:space="preserve"> </w:t>
      </w:r>
    </w:p>
    <w:p>
      <w:pPr>
        <w:pStyle w:val="P68B1DB1Normal15"/>
        <w:rPr>
          <w:b/>
          <w:b/>
        </w:rPr>
      </w:pPr>
      <w:r>
        <w:rPr/>
        <w:t xml:space="preserve">Препоръчваме на ЕС да повиши осведомеността относно физическата активност чрез „моделиране на роли“ с участието на обществени фигури (така че организираните от Парламента прояви следва да включват някаква форма на физическа активност или движение за няколко секунди, като например разтягане, ходене или скачане). </w:t>
      </w:r>
    </w:p>
    <w:p>
      <w:pPr>
        <w:pStyle w:val="Normal"/>
        <w:rPr/>
      </w:pPr>
      <w:r>
        <w:rPr/>
        <w:t xml:space="preserve"> </w:t>
      </w:r>
    </w:p>
    <w:p>
      <w:pPr>
        <w:pStyle w:val="Normal"/>
        <w:rPr/>
      </w:pPr>
      <w:r>
        <w:rPr/>
        <w:t xml:space="preserve">Отправяме тази препоръка, защото мобилизирането на обществени фигури за физическа активност ще повиши обществената осведоменост. </w:t>
      </w:r>
    </w:p>
    <w:p>
      <w:pPr>
        <w:pStyle w:val="Normal"/>
        <w:rPr/>
      </w:pPr>
      <w:r>
        <w:rPr/>
      </w:r>
    </w:p>
    <w:p>
      <w:pPr>
        <w:pStyle w:val="Titre4"/>
        <w:numPr>
          <w:ilvl w:val="3"/>
          <w:numId w:val="2"/>
        </w:numPr>
        <w:rPr/>
      </w:pPr>
      <w:bookmarkStart w:id="129" w:name="__RefHeading___Toc297193_1346298689"/>
      <w:bookmarkEnd w:id="129"/>
      <w:r>
        <w:rPr/>
        <w:t xml:space="preserve">Ос 5 Етична и сигурна цифрова трансформация </w:t>
      </w:r>
    </w:p>
    <w:p>
      <w:pPr>
        <w:pStyle w:val="Normal"/>
        <w:rPr/>
      </w:pPr>
      <w:r>
        <w:rPr/>
        <w:t xml:space="preserve"> </w:t>
      </w:r>
    </w:p>
    <w:p>
      <w:pPr>
        <w:pStyle w:val="Normal"/>
        <w:rPr/>
      </w:pPr>
      <w:r>
        <w:rPr/>
        <w:t xml:space="preserve">Подос 5.3 Защита на данните </w:t>
      </w:r>
    </w:p>
    <w:p>
      <w:pPr>
        <w:pStyle w:val="Normal"/>
        <w:rPr/>
      </w:pPr>
      <w:r>
        <w:rPr/>
        <w:t xml:space="preserve"> </w:t>
      </w:r>
    </w:p>
    <w:p>
      <w:pPr>
        <w:pStyle w:val="P68B1DB1Normal15"/>
        <w:rPr>
          <w:b/>
          <w:b/>
        </w:rPr>
      </w:pPr>
      <w:r>
        <w:rPr/>
        <w:t xml:space="preserve">Препоръчваме създаването на уеб идентификационен номер, който ще съхранява лични и чувствителни данни, но ще го предоставя само на органите и полицията. Онлайн платформите и продавачите ще използват онлайн кода, свързан с този уеб идентификатор, и данните, необходими за дадена дейност. Настройката по подразбиране за споделяне на данни с помощта на този идентификатор следва да бъде без съгласие. Данните следва да се съобщават само на пряко засегнатите страни, а не на трета страна. Ако данните се съобщават на трета страна, гражданинът следва да може лесно да възрази срещу тях. Данните следва да бъдат достъпни само за ограничен период от време или за конкретна сделка. Разрешението за използване на данните следва да бъде ограничено във времето или ясно да определи какво могат да правят дружествата с тези данни. </w:t>
      </w:r>
    </w:p>
    <w:p>
      <w:pPr>
        <w:pStyle w:val="Normal"/>
        <w:rPr/>
      </w:pPr>
      <w:r>
        <w:rPr/>
        <w:t xml:space="preserve"> </w:t>
      </w:r>
    </w:p>
    <w:p>
      <w:pPr>
        <w:pStyle w:val="Normal"/>
        <w:rPr/>
      </w:pPr>
      <w:r>
        <w:rPr/>
        <w:t xml:space="preserve">Ние правим тази препоръка, защото в момента компаниите могат да събират всички данни, включително лични данни и чувствителни данни, и да ги използват за много цели, без да разкриват точно как и защо. Така операторите получават повече информация, отколкото им е необходимо, за да ни предоставят услуги и след това могат да препродават или използват повторно други данни без нашето съгласие. В същото време това ще гарантира отчетността на интернет потребителите, като същевременно ще запази тяхната относителна анонимност. </w:t>
      </w:r>
      <w:r>
        <w:br w:type="page"/>
      </w:r>
    </w:p>
    <w:p>
      <w:pPr>
        <w:pStyle w:val="Titre2"/>
        <w:numPr>
          <w:ilvl w:val="1"/>
          <w:numId w:val="2"/>
        </w:numPr>
        <w:rPr/>
      </w:pPr>
      <w:bookmarkStart w:id="130" w:name="__RefHeading___Toc297195_1346298689"/>
      <w:bookmarkEnd w:id="130"/>
      <w:r>
        <w:rPr/>
        <w:t xml:space="preserve">Европейски граждански панел 2: „Европейска демокрация; ценности и права, върховенство на закона, сигурност </w:t>
      </w:r>
    </w:p>
    <w:p>
      <w:pPr>
        <w:pStyle w:val="Normal"/>
        <w:rPr/>
      </w:pPr>
      <w:r>
        <w:rPr/>
      </w:r>
    </w:p>
    <w:p>
      <w:pPr>
        <w:pStyle w:val="Normal"/>
        <w:rPr/>
      </w:pPr>
      <w:r>
        <w:rPr/>
        <w:t xml:space="preserve">ПРЕПОРЪКИ, ПРИЕТИ ОТ КОМИСИЯТА (ПРЕДСТОИ ДА БЪДАТ ПРЕДСТАВЕНИ НА ПЛЕНАРНО ЗАСЕДАНИЕ) </w:t>
      </w:r>
    </w:p>
    <w:p>
      <w:pPr>
        <w:pStyle w:val="Normal"/>
        <w:rPr/>
      </w:pPr>
      <w:r>
        <w:rPr/>
        <w:t xml:space="preserve"> </w:t>
      </w:r>
    </w:p>
    <w:p>
      <w:pPr>
        <w:pStyle w:val="Titre3"/>
        <w:numPr>
          <w:ilvl w:val="2"/>
          <w:numId w:val="2"/>
        </w:numPr>
        <w:rPr/>
      </w:pPr>
      <w:bookmarkStart w:id="131" w:name="__RefHeading___Toc297197_1346298689"/>
      <w:bookmarkEnd w:id="131"/>
      <w:r>
        <w:rPr/>
        <w:t xml:space="preserve">Ос 1: Гарантиране на правата и недискриминацията </w:t>
      </w:r>
    </w:p>
    <w:p>
      <w:pPr>
        <w:pStyle w:val="Normal"/>
        <w:rPr/>
      </w:pPr>
      <w:r>
        <w:rPr/>
        <w:t xml:space="preserve"> </w:t>
      </w:r>
    </w:p>
    <w:p>
      <w:pPr>
        <w:pStyle w:val="Titre4"/>
        <w:numPr>
          <w:ilvl w:val="3"/>
          <w:numId w:val="2"/>
        </w:numPr>
        <w:rPr/>
      </w:pPr>
      <w:bookmarkStart w:id="132" w:name="__RefHeading___Toc297199_1346298689"/>
      <w:bookmarkEnd w:id="132"/>
      <w:r>
        <w:rPr/>
        <w:t xml:space="preserve">Подос 1.1 Недискриминация/Подос 1.2 Равенство между половете </w:t>
      </w:r>
    </w:p>
    <w:p>
      <w:pPr>
        <w:pStyle w:val="Normal"/>
        <w:rPr/>
      </w:pPr>
      <w:r>
        <w:rPr/>
        <w:t xml:space="preserve"> </w:t>
      </w:r>
    </w:p>
    <w:p>
      <w:pPr>
        <w:pStyle w:val="P68B1DB1Normal15"/>
        <w:rPr>
          <w:b/>
          <w:b/>
        </w:rPr>
      </w:pPr>
      <w:r>
        <w:rPr/>
        <w:t xml:space="preserve">1. „Препоръчваме ЕС да включи критерии за борба с дискриминацията на пазара на труда (квоти за млади хора, възрастни хора, жени, малцинства). Ако дружествата отговарят на тези критерии, те ще получат субсидии или данъчни облекчения.“ </w:t>
      </w:r>
    </w:p>
    <w:p>
      <w:pPr>
        <w:pStyle w:val="P68B1DB1Normal15"/>
        <w:rPr>
          <w:b/>
          <w:b/>
        </w:rPr>
      </w:pPr>
      <w:r>
        <w:rPr/>
        <w:t xml:space="preserve">Препоръчваме да се повиши осведомеността сред служителите по следните въпроси: </w:t>
      </w:r>
    </w:p>
    <w:p>
      <w:pPr>
        <w:pStyle w:val="P68B1DB1Normal15"/>
        <w:rPr>
          <w:b/>
          <w:b/>
        </w:rPr>
      </w:pPr>
      <w:r>
        <w:rPr/>
        <w:t xml:space="preserve">● </w:t>
      </w:r>
      <w:r>
        <w:rPr/>
        <w:t xml:space="preserve">наднационални и национални институции (напр. профсъюзи); </w:t>
      </w:r>
    </w:p>
    <w:p>
      <w:pPr>
        <w:pStyle w:val="P68B1DB1Normal15"/>
        <w:rPr>
          <w:b/>
          <w:b/>
        </w:rPr>
      </w:pPr>
      <w:r>
        <w:rPr/>
        <w:t xml:space="preserve">● </w:t>
      </w:r>
      <w:r>
        <w:rPr/>
        <w:t xml:space="preserve">механизми, които да гарантират, че дружествата спазват съществуващите правила за недискриминация на работното място; </w:t>
      </w:r>
    </w:p>
    <w:p>
      <w:pPr>
        <w:pStyle w:val="P68B1DB1Normal15"/>
        <w:rPr>
          <w:b/>
          <w:b/>
        </w:rPr>
      </w:pPr>
      <w:r>
        <w:rPr/>
        <w:t xml:space="preserve">● </w:t>
      </w:r>
      <w:r>
        <w:rPr/>
        <w:t xml:space="preserve">квалификационни програми за социални групи, изправени пред дискриминация на пазара на труда (млади хора, възрастни хора, жени, малцинства). </w:t>
      </w:r>
    </w:p>
    <w:p>
      <w:pPr>
        <w:pStyle w:val="Normal"/>
        <w:rPr/>
      </w:pPr>
      <w:r>
        <w:rPr/>
        <w:t xml:space="preserve"> </w:t>
      </w:r>
    </w:p>
    <w:p>
      <w:pPr>
        <w:pStyle w:val="P68B1DB1Normal15"/>
        <w:rPr>
          <w:b/>
          <w:b/>
        </w:rPr>
      </w:pPr>
      <w:r>
        <w:rPr/>
        <w:t xml:space="preserve">Сметната палата препоръчва приемането на законодателство на ЕС на два етапа. Първо, следва да се предоставят субсидии за наемането на служители от определени категории, които биха могли да бъдат дискриминирани. Второ, законодателният акт следва да изисква от работодателите да наемат тези групи за минимален период от време. </w:t>
      </w:r>
    </w:p>
    <w:p>
      <w:pPr>
        <w:pStyle w:val="Normal"/>
        <w:rPr/>
      </w:pPr>
      <w:r>
        <w:rPr/>
        <w:t xml:space="preserve"> </w:t>
      </w:r>
    </w:p>
    <w:p>
      <w:pPr>
        <w:pStyle w:val="Normal"/>
        <w:rPr/>
      </w:pPr>
      <w:r>
        <w:rPr/>
        <w:t xml:space="preserve">Всъщност ЕС е отговорен за поддържането на баланс между интересите на свободния пазар и защитата на уязвимите групи, които трябва да бъдат правно защитени. Разнородни групи са желателни за компаниите, тъй като те предлагат различни квалификации. Субсидиите са допълнителен стимул, който трябва да се предостави на дружествата. </w:t>
      </w:r>
    </w:p>
    <w:p>
      <w:pPr>
        <w:pStyle w:val="Normal"/>
        <w:rPr/>
      </w:pPr>
      <w:r>
        <w:rPr/>
        <w:t xml:space="preserve"> </w:t>
      </w:r>
    </w:p>
    <w:p>
      <w:pPr>
        <w:pStyle w:val="P68B1DB1Normal15"/>
        <w:rPr>
          <w:b/>
          <w:b/>
        </w:rPr>
      </w:pPr>
      <w:r>
        <w:rPr/>
        <w:t xml:space="preserve">2. „Препоръчваме ЕС да създаде програма за стимулиране, която да улеснява създаването на достъпни детски градини и детски площадки в големите и малките предприятия. Споделените съоръжения също са жизнеспособно решение за малките предприятия да се възползват от субсидията. </w:t>
      </w:r>
    </w:p>
    <w:p>
      <w:pPr>
        <w:pStyle w:val="P68B1DB1Normal15"/>
        <w:rPr>
          <w:b/>
          <w:b/>
        </w:rPr>
      </w:pPr>
      <w:r>
        <w:rPr/>
        <w:t xml:space="preserve">Препоръчваме ЕС да задължи дружествата да създават детски градини пропорционално на броя на служителите. </w:t>
      </w:r>
    </w:p>
    <w:p>
      <w:pPr>
        <w:pStyle w:val="Normal"/>
        <w:rPr/>
      </w:pPr>
      <w:r>
        <w:rPr/>
        <w:t xml:space="preserve"> </w:t>
      </w:r>
    </w:p>
    <w:p>
      <w:pPr>
        <w:pStyle w:val="Normal"/>
        <w:rPr/>
      </w:pPr>
      <w:r>
        <w:rPr/>
        <w:t xml:space="preserve">Препоръчваме това, защото съвместяването на семейния и професионалния живот подобрява работата, намалява безработицата и поставя родителите, особено жените, в позиция, която им позволява да продължат кариерата си. Фокусирайки се върху социалното измерение, предложеното решение гарантира безопасността на децата и намалява тревогите на родителите. </w:t>
      </w:r>
    </w:p>
    <w:p>
      <w:pPr>
        <w:pStyle w:val="Normal"/>
        <w:rPr/>
      </w:pPr>
      <w:r>
        <w:rPr/>
      </w:r>
    </w:p>
    <w:p>
      <w:pPr>
        <w:pStyle w:val="Titre4"/>
        <w:numPr>
          <w:ilvl w:val="3"/>
          <w:numId w:val="2"/>
        </w:numPr>
        <w:rPr/>
      </w:pPr>
      <w:bookmarkStart w:id="133" w:name="__RefHeading___Toc297201_1346298689"/>
      <w:bookmarkEnd w:id="133"/>
      <w:r>
        <w:rPr/>
        <w:t xml:space="preserve">Подос 1.3: Защита на правата на човека и правата на природата и животните </w:t>
      </w:r>
    </w:p>
    <w:p>
      <w:pPr>
        <w:pStyle w:val="Normal"/>
        <w:rPr/>
      </w:pPr>
      <w:r>
        <w:rPr/>
        <w:t xml:space="preserve"> </w:t>
      </w:r>
    </w:p>
    <w:p>
      <w:pPr>
        <w:pStyle w:val="P68B1DB1Normal15"/>
        <w:rPr>
          <w:b/>
          <w:b/>
        </w:rPr>
      </w:pPr>
      <w:r>
        <w:rPr/>
        <w:t xml:space="preserve">3. „Препоръчваме да се запазят хуманното отношение към животните и устойчивостта чрез изменение на Директива 98/58/ЕО относно защитата на животните в стопанствата. Необходимо е да се определят по-подробни минимални критерии. Те трябва да бъдат точни, измерими и ограничени във времето. Минималните критерии трябва да бъдат определени по такъв начин, че да доведат до по-високи стандарти за хуманно отношение към животните и същевременно да позволят преход към устойчиво климатично и екологично селско стопанство. </w:t>
      </w:r>
    </w:p>
    <w:p>
      <w:pPr>
        <w:pStyle w:val="Normal"/>
        <w:rPr/>
      </w:pPr>
      <w:r>
        <w:rPr/>
        <w:t xml:space="preserve"> </w:t>
      </w:r>
    </w:p>
    <w:p>
      <w:pPr>
        <w:pStyle w:val="Normal"/>
        <w:rPr/>
      </w:pPr>
      <w:r>
        <w:rPr/>
        <w:t xml:space="preserve">Като граждани считаме, че е важно да има по-строги минимални стандарти, които да бъдат хармонизирани в ЕС за животновъдството. Наясно сме, че преходът може да създаде проблеми в някои селскостопански сектори, които получават субсидии, както и в преход към екологично и устойчиво селско стопанство. Въпреки това считаме, че е много важно да се гарантира, че този преход ще се осъществи. </w:t>
      </w:r>
    </w:p>
    <w:p>
      <w:pPr>
        <w:pStyle w:val="Normal"/>
        <w:rPr/>
      </w:pPr>
      <w:r>
        <w:rPr/>
        <w:t xml:space="preserve"> </w:t>
      </w:r>
    </w:p>
    <w:p>
      <w:pPr>
        <w:pStyle w:val="P68B1DB1Normal15"/>
        <w:rPr>
          <w:b/>
          <w:b/>
        </w:rPr>
      </w:pPr>
      <w:r>
        <w:rPr/>
        <w:t xml:space="preserve">4. Препоръчваме да се насърчава по-екологично и щадящо климата селско стопанство в Европа и по света, например чрез данъчно облагане на всички отрицателни емисии, пестициди и екстремно използване на вода в зависимост от тяхното въздействие върху околната среда. Митата върху всички селскостопански продукти, внасяни в Съюза, трябва да премахнат конкурентните предимства на трети държави, които не отговарят на същите стандарти като Съюза. За да се насърчи благоприятното за животните селско стопанство, препоръчваме да се облагат емисиите, причинени от транспортирането на животни на дълги разстояния. </w:t>
      </w:r>
    </w:p>
    <w:p>
      <w:pPr>
        <w:pStyle w:val="Normal"/>
        <w:rPr/>
      </w:pPr>
      <w:r>
        <w:rPr/>
        <w:t xml:space="preserve"> </w:t>
      </w:r>
    </w:p>
    <w:p>
      <w:pPr>
        <w:pStyle w:val="Normal"/>
        <w:rPr/>
      </w:pPr>
      <w:r>
        <w:rPr/>
        <w:t xml:space="preserve">Чрез създаването на такава система считаме, че е възможно да се подкрепи преходът към щадящо климата и екологосъобразно селско стопанство. </w:t>
      </w:r>
    </w:p>
    <w:p>
      <w:pPr>
        <w:pStyle w:val="Normal"/>
        <w:rPr/>
      </w:pPr>
      <w:r>
        <w:rPr/>
        <w:t xml:space="preserve"> </w:t>
      </w:r>
    </w:p>
    <w:p>
      <w:pPr>
        <w:pStyle w:val="P68B1DB1Normal15"/>
        <w:rPr>
          <w:b/>
          <w:b/>
        </w:rPr>
      </w:pPr>
      <w:r>
        <w:rPr/>
        <w:t xml:space="preserve">5. Въпреки че напоследък се разпространяват много фалшиви новини, препоръчваме да популяризирате по-независимо, обективно и балансирано медийно отразяване, като предприемете следните стъпки: 1. разработва директива на ЕС за определяне на минимални стандарти за независимост на медиите; 2. да насърчава на равнището на Съюза развитието на медийни умения за всеки гражданин.“ </w:t>
      </w:r>
    </w:p>
    <w:p>
      <w:pPr>
        <w:pStyle w:val="Normal"/>
        <w:rPr/>
      </w:pPr>
      <w:r>
        <w:rPr/>
        <w:t xml:space="preserve"> </w:t>
      </w:r>
    </w:p>
    <w:p>
      <w:pPr>
        <w:pStyle w:val="Normal"/>
        <w:rPr/>
      </w:pPr>
      <w:r>
        <w:rPr/>
        <w:t xml:space="preserve">ЕС трябва да разработи директива, за да гарантира независимостта на медиите и свободата на изразяване. </w:t>
      </w:r>
    </w:p>
    <w:p>
      <w:pPr>
        <w:pStyle w:val="Normal"/>
        <w:rPr/>
      </w:pPr>
      <w:r>
        <w:rPr/>
        <w:t xml:space="preserve"> </w:t>
      </w:r>
    </w:p>
    <w:p>
      <w:pPr>
        <w:pStyle w:val="Normal"/>
        <w:rPr/>
      </w:pPr>
      <w:r>
        <w:rPr>
          <w:b/>
        </w:rPr>
        <w:t>6. Препоръчваме да спрем субсидирането на масовото селскостопанско производство, ако то не доведе до преход към климатично, екологично и устойчиво селско стопанство. Вместо това препоръчваме да се пренасочат безвъзмездни средства в подкрепа на устойчивия преход.</w:t>
      </w:r>
      <w:r>
        <w:rPr/>
        <w:t xml:space="preserve"> </w:t>
      </w:r>
    </w:p>
    <w:p>
      <w:pPr>
        <w:pStyle w:val="Normal"/>
        <w:rPr/>
      </w:pPr>
      <w:r>
        <w:rPr/>
        <w:t xml:space="preserve"> </w:t>
      </w:r>
    </w:p>
    <w:p>
      <w:pPr>
        <w:pStyle w:val="Normal"/>
        <w:rPr/>
      </w:pPr>
      <w:r>
        <w:rPr/>
        <w:t xml:space="preserve">Вместо да субсидира селскостопанския сектор на масовото животновъдство, субсидиите следва да бъдат пренасочени към стопанства, които са в преход, за да отговарят на новите минимални стандарти за хуманно отношение към животните. </w:t>
      </w:r>
    </w:p>
    <w:p>
      <w:pPr>
        <w:pStyle w:val="Normal"/>
        <w:rPr/>
      </w:pPr>
      <w:r>
        <w:rPr/>
        <w:t xml:space="preserve"> </w:t>
      </w:r>
    </w:p>
    <w:p>
      <w:pPr>
        <w:pStyle w:val="Titre4"/>
        <w:numPr>
          <w:ilvl w:val="3"/>
          <w:numId w:val="2"/>
        </w:numPr>
        <w:rPr/>
      </w:pPr>
      <w:bookmarkStart w:id="134" w:name="__RefHeading___Toc297203_1346298689"/>
      <w:bookmarkEnd w:id="134"/>
      <w:r>
        <w:rPr/>
        <w:t xml:space="preserve">Подос 1.4 Право на неприкосновеност на личния живот </w:t>
      </w:r>
    </w:p>
    <w:p>
      <w:pPr>
        <w:pStyle w:val="Normal"/>
        <w:rPr/>
      </w:pPr>
      <w:r>
        <w:rPr/>
        <w:t xml:space="preserve"> </w:t>
      </w:r>
    </w:p>
    <w:p>
      <w:pPr>
        <w:pStyle w:val="P68B1DB1Normal15"/>
        <w:rPr>
          <w:b/>
          <w:b/>
        </w:rPr>
      </w:pPr>
      <w:r>
        <w:rPr/>
        <w:t xml:space="preserve">7. „Препоръчваме субектите, които обработват лични данни, да бъдат упълномощени на равнище ЕС. Тези субекти ще трябва също така да бъдат подложени на независим, външен годишен одит на защитата на данните. Тези субекти ще бъдат санкционирани за нарушения на защитата на данните пропорционално на годишния им оборот по по-строг начин, отколкото съгласно настоящия регламент. Одобрението трябва да бъде оттеглено след две последователни нарушения и веднага след сериозно нарушение. </w:t>
      </w:r>
    </w:p>
    <w:p>
      <w:pPr>
        <w:pStyle w:val="Normal"/>
        <w:rPr/>
      </w:pPr>
      <w:r>
        <w:rPr/>
        <w:t xml:space="preserve"> </w:t>
      </w:r>
    </w:p>
    <w:p>
      <w:pPr>
        <w:pStyle w:val="Normal"/>
        <w:rPr/>
      </w:pPr>
      <w:r>
        <w:rPr/>
        <w:t xml:space="preserve">Препоръчваме такива мерки, тъй като настоящият регламент (GDPR) не е достатъчен и субектите трябва да бъдат по-добре контролирани и санкционирани, за да се гарантира, че те не нарушават защитата на данните и правото на неприкосновеност на личния живот. </w:t>
      </w:r>
    </w:p>
    <w:p>
      <w:pPr>
        <w:pStyle w:val="Normal"/>
        <w:rPr/>
      </w:pPr>
      <w:r>
        <w:rPr/>
        <w:t xml:space="preserve"> </w:t>
      </w:r>
    </w:p>
    <w:p>
      <w:pPr>
        <w:pStyle w:val="P68B1DB1Normal15"/>
        <w:rPr>
          <w:b/>
          <w:b/>
        </w:rPr>
      </w:pPr>
      <w:r>
        <w:rPr/>
        <w:t xml:space="preserve">8. „Препоръчваме да се засилят правомощията на Съюза в следните области: 1) образование по защита на данните, 2) осведоменост относно защитата на данните и 3) защита на личните данни на малолетните и непълнолетните лица. Препоръчваме да се изяснят и укрепят правилата относно обработването на данни на непълнолетни лица в ОРЗД, включително правилата за съгласие, проверка на възрастта и контрол от страна на законните настойници. Препоръчваме също така да се въведе в ОРЗД специална категория за чувствителни данни на непълнолетни лица (напр. регистри за съдимост, здравна информация, голота), така че непълнолетните да бъдат защитени от всякаква форма на злоупотреба и дискриминация. </w:t>
      </w:r>
    </w:p>
    <w:p>
      <w:pPr>
        <w:pStyle w:val="Normal"/>
        <w:rPr/>
      </w:pPr>
      <w:r>
        <w:rPr/>
        <w:t xml:space="preserve"> </w:t>
      </w:r>
    </w:p>
    <w:p>
      <w:pPr>
        <w:pStyle w:val="Normal"/>
        <w:rPr/>
      </w:pPr>
      <w:r>
        <w:rPr/>
        <w:t xml:space="preserve">Тази препоръка е необходима, тъй като малолетните и непълнолетните лица са особено уязвими по отношение на защитата на данните и нарушенията на неприкосновеността на личния живот и тъй като понастоящем населението като цяло (особено непълнолетните лица, учителите и законните настойници) не е достатъчно запознато със защитата на данните. Всички те трябва да се научат как да използват онлайн и офлайн услугите за данни и да защитават правата на децата за неприкосновеността на личния живот. Освен това законните настойници често могат да дадат съгласието си за обработването на данните на децата, без да са напълно осведомени или информирани, а децата могат да фалшифицират съгласието на родителите. И накрая, тази препоръка е необходима, тъй като няма реална общоевропейска кампания за повишаване на осведомеността относно защитата на данните, насочена по-специално към малолетните и непълнолетните лица, законните настойници и учителите, докато такава кампания е абсолютно необходима. </w:t>
      </w:r>
    </w:p>
    <w:p>
      <w:pPr>
        <w:pStyle w:val="Normal"/>
        <w:rPr/>
      </w:pPr>
      <w:r>
        <w:rPr/>
      </w:r>
    </w:p>
    <w:p>
      <w:pPr>
        <w:pStyle w:val="P68B1DB1Normal15"/>
        <w:rPr>
          <w:b/>
          <w:b/>
        </w:rPr>
      </w:pPr>
      <w:r>
        <w:rPr/>
        <w:t xml:space="preserve">9. Препоръчваме да се въведат стандартизирани политики за поверителност и лесни за разбиране, кратки и интуитивни формуляри за съгласие, които ясно показват каква обработка на данни е строго необходима и кое е по избор. Препоръчваме оттеглянето на съгласието да бъде лесно, бързо и постоянно. Препоръчваме на субектите да ограничават услугите си повече от необходимото, ако не е дадено съгласие за незадължителна обработка на данни. </w:t>
      </w:r>
    </w:p>
    <w:p>
      <w:pPr>
        <w:pStyle w:val="Normal"/>
        <w:rPr/>
      </w:pPr>
      <w:r>
        <w:rPr/>
        <w:t xml:space="preserve"> </w:t>
      </w:r>
    </w:p>
    <w:p>
      <w:pPr>
        <w:pStyle w:val="Normal"/>
        <w:rPr/>
      </w:pPr>
      <w:r>
        <w:rPr/>
        <w:t xml:space="preserve">Препоръчваме това, тъй като настоящите правила на ЕС не са достатъчно точни, оттеглянето на съгласието е дълго, временно и сложно, а субектите нямат интерес да предлагат своите услуги на граждани, които се позовават на правото си на защита на данните. </w:t>
      </w:r>
    </w:p>
    <w:p>
      <w:pPr>
        <w:pStyle w:val="Normal"/>
        <w:rPr/>
      </w:pPr>
      <w:r>
        <w:rPr/>
        <w:t xml:space="preserve"> </w:t>
      </w:r>
    </w:p>
    <w:p>
      <w:pPr>
        <w:pStyle w:val="Titre3"/>
        <w:numPr>
          <w:ilvl w:val="2"/>
          <w:numId w:val="2"/>
        </w:numPr>
        <w:rPr/>
      </w:pPr>
      <w:bookmarkStart w:id="135" w:name="__RefHeading___Toc297205_1346298689"/>
      <w:bookmarkEnd w:id="135"/>
      <w:r>
        <w:rPr/>
        <w:t xml:space="preserve">Ос 2: Защита на демокрацията и върховенството на закона </w:t>
      </w:r>
    </w:p>
    <w:p>
      <w:pPr>
        <w:pStyle w:val="Normal"/>
        <w:rPr/>
      </w:pPr>
      <w:r>
        <w:rPr/>
        <w:t xml:space="preserve"> </w:t>
      </w:r>
    </w:p>
    <w:p>
      <w:pPr>
        <w:pStyle w:val="Titre4"/>
        <w:numPr>
          <w:ilvl w:val="3"/>
          <w:numId w:val="2"/>
        </w:numPr>
        <w:rPr/>
      </w:pPr>
      <w:bookmarkStart w:id="136" w:name="__RefHeading___Toc297207_1346298689"/>
      <w:bookmarkEnd w:id="136"/>
      <w:r>
        <w:rPr/>
        <w:t xml:space="preserve">Подос 2.1 Защита на върховенството на закона </w:t>
      </w:r>
    </w:p>
    <w:p>
      <w:pPr>
        <w:pStyle w:val="Normal"/>
        <w:rPr/>
      </w:pPr>
      <w:r>
        <w:rPr/>
        <w:t xml:space="preserve"> </w:t>
      </w:r>
    </w:p>
    <w:p>
      <w:pPr>
        <w:pStyle w:val="P68B1DB1Normal15"/>
        <w:rPr>
          <w:b/>
          <w:b/>
        </w:rPr>
      </w:pPr>
      <w:r>
        <w:rPr/>
        <w:t xml:space="preserve">10. „Препоръчваме Регламентът относно кръстосаното спазване (2020/2092, приет на 16 декември 2020 г.) да бъде изменен, за да се прилага за всички нарушения на принципите на правовата държава, а не за нарушения, които оказват въздействие върху бюджета на ЕС.“ </w:t>
      </w:r>
    </w:p>
    <w:p>
      <w:pPr>
        <w:pStyle w:val="Normal"/>
        <w:rPr/>
      </w:pPr>
      <w:r>
        <w:rPr/>
        <w:t xml:space="preserve"> </w:t>
      </w:r>
    </w:p>
    <w:p>
      <w:pPr>
        <w:pStyle w:val="Normal"/>
        <w:rPr/>
      </w:pPr>
      <w:r>
        <w:rPr/>
        <w:t xml:space="preserve">Регламентът за кръстосаното спазване дава възможност за спиране на изплащането на средства от ЕС на държави членки, които нарушават принципите на правовата държава. В настоящата си формулировка обаче той се прилага само за нарушения, които имат или е вероятно да окажат въздействие върху бюджета на ЕС. Освен това настоящата формулировка на Регламента за кръстосаното спазване защитава бюджета на ЕС и институциите на ЕС, а не гражданите на съответните държави членки. Поради това препоръчваме да се измени действащият текст на регламента, така че да обхване всички нарушения на принципите на правовата държава. </w:t>
      </w:r>
    </w:p>
    <w:p>
      <w:pPr>
        <w:pStyle w:val="Normal"/>
        <w:rPr/>
      </w:pPr>
      <w:r>
        <w:rPr/>
        <w:t xml:space="preserve"> </w:t>
      </w:r>
    </w:p>
    <w:p>
      <w:pPr>
        <w:pStyle w:val="P68B1DB1Normal15"/>
        <w:rPr>
          <w:b/>
          <w:b/>
        </w:rPr>
      </w:pPr>
      <w:r>
        <w:rPr/>
        <w:t xml:space="preserve">11. „Препоръчваме ЕС да организира годишни конференции по въпросите на върховенството на закона след публикуването на годишния доклад относно върховенството на закона (механизъм на Комисията за наблюдение на спазването на принципите на правовата държава от държавите членки). Държавите членки следва да бъдат задължени да изпращат на конференцията различни национални социални делегации, включително граждани и държавни служители.“ </w:t>
      </w:r>
    </w:p>
    <w:p>
      <w:pPr>
        <w:pStyle w:val="Normal"/>
        <w:rPr/>
      </w:pPr>
      <w:r>
        <w:rPr/>
        <w:t xml:space="preserve"> </w:t>
      </w:r>
    </w:p>
    <w:p>
      <w:pPr>
        <w:pStyle w:val="Normal"/>
        <w:rPr/>
      </w:pPr>
      <w:r>
        <w:rPr/>
        <w:t xml:space="preserve">Тази конференция ще насърчи диалога между гражданите на ЕС по въпросите на върховенството на закона, както и диалога между гражданите и експертите, които изготвят годишните доклади относно върховенството на закона. Вярваме, че в условията на взаимно оценяване и споделяне участниците ще могат да върнат най-добрите практики и идеи в родните си страни. Освен това конференцията ще повиши осведомеността и разбирането за принципа на правовата държава и заключенията и процеса, залегнали в годишния доклад относно върховенството на закона. То също така ще привлече вниманието на медиите и ще позволи на гражданите да споделят своя опит и да ги сравняват с констатациите от доклада. </w:t>
      </w:r>
    </w:p>
    <w:p>
      <w:pPr>
        <w:pStyle w:val="Normal"/>
        <w:rPr/>
      </w:pPr>
      <w:r>
        <w:rPr/>
      </w:r>
    </w:p>
    <w:p>
      <w:pPr>
        <w:pStyle w:val="Titre4"/>
        <w:numPr>
          <w:ilvl w:val="3"/>
          <w:numId w:val="2"/>
        </w:numPr>
        <w:rPr/>
      </w:pPr>
      <w:bookmarkStart w:id="137" w:name="__RefHeading___Toc297209_1346298689"/>
      <w:bookmarkEnd w:id="137"/>
      <w:r>
        <w:rPr/>
        <w:t xml:space="preserve">Подос 2.2 Защита и укрепване на демокрацията/подос 2.4 Медиите и дезинформацията </w:t>
      </w:r>
    </w:p>
    <w:p>
      <w:pPr>
        <w:pStyle w:val="Normal"/>
        <w:rPr/>
      </w:pPr>
      <w:r>
        <w:rPr/>
        <w:t xml:space="preserve"> </w:t>
      </w:r>
    </w:p>
    <w:p>
      <w:pPr>
        <w:pStyle w:val="P68B1DB1Normal15"/>
        <w:rPr>
          <w:b/>
          <w:b/>
        </w:rPr>
      </w:pPr>
      <w:r>
        <w:rPr/>
        <w:t xml:space="preserve">12. „Препоръчваме ЕС да прилага по-строго правилата си в областта на конкуренцията в медийния сектор, за да гарантира защитата на медийния плурализъм във всички държави членки. ЕС следва да предотврати големите медийни монополи и политическите назначения в медийните съвети. Препоръчваме също така бъдещото законодателство на ЕС относно свободата на медиите да включва правила, които да попречат на политиците да притежават или да оказват силно влияние върху тяхното съдържание. </w:t>
      </w:r>
    </w:p>
    <w:p>
      <w:pPr>
        <w:pStyle w:val="Normal"/>
        <w:rPr/>
      </w:pPr>
      <w:r>
        <w:rPr/>
        <w:t xml:space="preserve"> </w:t>
      </w:r>
    </w:p>
    <w:p>
      <w:pPr>
        <w:pStyle w:val="Normal"/>
        <w:rPr/>
      </w:pPr>
      <w:r>
        <w:rPr/>
        <w:t xml:space="preserve">Препоръчваме това, защото прилагането на правилата на ЕС в областта на конкуренцията насърчава плуралистична медийна среда, в която гражданите имат избор. Тъй като понастоящем Комисията подготвя законодателен акт (относно свободата на медиите) за интегритета на медийния пазар на ЕС, следва да се предвиди също така медиите да не бъдат държани или повлияни от политици. </w:t>
      </w:r>
    </w:p>
    <w:p>
      <w:pPr>
        <w:pStyle w:val="Normal"/>
        <w:rPr/>
      </w:pPr>
      <w:r>
        <w:rPr/>
        <w:t xml:space="preserve"> </w:t>
      </w:r>
    </w:p>
    <w:p>
      <w:pPr>
        <w:pStyle w:val="Titre4"/>
        <w:numPr>
          <w:ilvl w:val="3"/>
          <w:numId w:val="2"/>
        </w:numPr>
        <w:rPr/>
      </w:pPr>
      <w:bookmarkStart w:id="138" w:name="__RefHeading___Toc297211_1346298689"/>
      <w:bookmarkEnd w:id="138"/>
      <w:r>
        <w:rPr/>
        <w:t xml:space="preserve">Подос 2.3 Сигурност </w:t>
      </w:r>
    </w:p>
    <w:p>
      <w:pPr>
        <w:pStyle w:val="Normal"/>
        <w:rPr/>
      </w:pPr>
      <w:r>
        <w:rPr/>
        <w:t xml:space="preserve"> </w:t>
      </w:r>
    </w:p>
    <w:p>
      <w:pPr>
        <w:pStyle w:val="P68B1DB1Normal15"/>
        <w:rPr>
          <w:b/>
          <w:b/>
        </w:rPr>
      </w:pPr>
      <w:r>
        <w:rPr/>
        <w:t xml:space="preserve">13. „Препоръчваме институциите на ЕС да играят по-важна роля с всички инструменти, с които разполагат, включително националните центрове за киберсигурност и Агенцията на Европейския съюз за киберсигурност (ENISA), за да се защитят гражданите, организациите и институциите от нови заплахи, произтичащи от нарушения на киберсигурността и използването на изкуствен интелект за престъпни цели. Също така препоръчваме директивите от Европа и нейните агенции да се прилагат правилно и да се разпространяват във всички държави членки.“ </w:t>
      </w:r>
    </w:p>
    <w:p>
      <w:pPr>
        <w:pStyle w:val="Normal"/>
        <w:rPr/>
      </w:pPr>
      <w:r>
        <w:rPr/>
        <w:t xml:space="preserve"> </w:t>
      </w:r>
    </w:p>
    <w:p>
      <w:pPr>
        <w:pStyle w:val="Normal"/>
        <w:rPr/>
      </w:pPr>
      <w:r>
        <w:rPr/>
        <w:t xml:space="preserve">Препоръчваме това, защото гражданите се чувстват безсилни и не знаят какво прави Европейският съюз за борба с тези заплахи. Препоръчваме това, защото тези заплахи представляват сериозен проблем за националната и европейската сигурност. Препоръчваме това, защото Европа следва да бъде истински двигател на иновациите в тази област. </w:t>
      </w:r>
    </w:p>
    <w:p>
      <w:pPr>
        <w:pStyle w:val="Normal"/>
        <w:rPr/>
      </w:pPr>
      <w:r>
        <w:rPr/>
        <w:t xml:space="preserve"> </w:t>
      </w:r>
    </w:p>
    <w:p>
      <w:pPr>
        <w:pStyle w:val="P68B1DB1Normal15"/>
        <w:rPr>
          <w:b/>
          <w:b/>
        </w:rPr>
      </w:pPr>
      <w:r>
        <w:rPr/>
        <w:t xml:space="preserve">14. „Препоръчваме, в отношенията си с външни държави, Съюзът първо да укрепи общите демократични ценности по границите си. Едва след постигането на тази цел препоръчваме Съюзът да стане посланик на нашия демократичен модел в държави, които желаят да го прилагат и желаят да го направят чрез дипломация и диалог. </w:t>
      </w:r>
    </w:p>
    <w:p>
      <w:pPr>
        <w:pStyle w:val="Normal"/>
        <w:rPr/>
      </w:pPr>
      <w:r>
        <w:rPr/>
        <w:t xml:space="preserve"> </w:t>
      </w:r>
    </w:p>
    <w:p>
      <w:pPr>
        <w:pStyle w:val="Normal"/>
        <w:rPr/>
      </w:pPr>
      <w:r>
        <w:rPr/>
        <w:t xml:space="preserve">Препоръчваме тази мярка, защото трябва да погледнем навътре, преди да гледаме навън. Защото Европа може и трябва да помогне на държавите членки да укрепят своите демокрации. Защото също така, като даваме пример и подкрепяме усилията на външните страни за демокрация, ние се защитаваме. </w:t>
      </w:r>
    </w:p>
    <w:p>
      <w:pPr>
        <w:pStyle w:val="Normal"/>
        <w:rPr/>
      </w:pPr>
      <w:r>
        <w:rPr/>
        <w:t xml:space="preserve"> </w:t>
      </w:r>
    </w:p>
    <w:p>
      <w:pPr>
        <w:pStyle w:val="Titre3"/>
        <w:numPr>
          <w:ilvl w:val="2"/>
          <w:numId w:val="2"/>
        </w:numPr>
        <w:rPr/>
      </w:pPr>
      <w:bookmarkStart w:id="139" w:name="__RefHeading___Toc297213_1346298689"/>
      <w:bookmarkEnd w:id="139"/>
      <w:r>
        <w:rPr/>
        <w:t xml:space="preserve">Ос 3: Реформиране на Европейския съюз </w:t>
      </w:r>
    </w:p>
    <w:p>
      <w:pPr>
        <w:pStyle w:val="Normal"/>
        <w:rPr/>
      </w:pPr>
      <w:r>
        <w:rPr/>
        <w:t xml:space="preserve"> </w:t>
      </w:r>
    </w:p>
    <w:p>
      <w:pPr>
        <w:pStyle w:val="Titre4"/>
        <w:numPr>
          <w:ilvl w:val="3"/>
          <w:numId w:val="2"/>
        </w:numPr>
        <w:rPr/>
      </w:pPr>
      <w:bookmarkStart w:id="140" w:name="__RefHeading___Toc297215_1346298689"/>
      <w:bookmarkEnd w:id="140"/>
      <w:r>
        <w:rPr/>
        <w:t>Подос 3.1 Институционална реформа</w:t>
      </w:r>
    </w:p>
    <w:p>
      <w:pPr>
        <w:pStyle w:val="Normal"/>
        <w:rPr/>
      </w:pPr>
      <w:r>
        <w:rPr/>
        <w:t xml:space="preserve"> </w:t>
      </w:r>
    </w:p>
    <w:p>
      <w:pPr>
        <w:pStyle w:val="Normal"/>
        <w:rPr/>
      </w:pPr>
      <w:r>
        <w:rPr>
          <w:b/>
        </w:rPr>
        <w:t>15. „Препоръчваме да се променят наименованията на институциите на ЕС, за да се изяснят техните функции. Съветът на Европейския съюз може да бъде наречен Сенат на Европейския съюз. Европейската комисия може да бъде наречена Изпълнителна комисия на Европейския съюз</w:t>
      </w:r>
      <w:r>
        <w:rPr/>
        <w:t xml:space="preserve">. </w:t>
      </w:r>
    </w:p>
    <w:p>
      <w:pPr>
        <w:pStyle w:val="Normal"/>
        <w:rPr/>
      </w:pPr>
      <w:r>
        <w:rPr/>
        <w:t xml:space="preserve"> </w:t>
      </w:r>
    </w:p>
    <w:p>
      <w:pPr>
        <w:pStyle w:val="Normal"/>
        <w:rPr/>
      </w:pPr>
      <w:r>
        <w:rPr/>
        <w:t xml:space="preserve">Препоръчваме това, тъй като понастоящем за гражданите е трудно да разберат ролите и функциите на всяка институция на ЕС. Имената им не отразяват техните функции. Не може да се очаква гражданите да правят разлика между Съвета на Европейския съюз, Европейския съвет и Съвета на Европа. Важно е да се избягват припокривания. </w:t>
      </w:r>
    </w:p>
    <w:p>
      <w:pPr>
        <w:pStyle w:val="Normal"/>
        <w:rPr/>
      </w:pPr>
      <w:r>
        <w:rPr/>
        <w:t xml:space="preserve"> </w:t>
      </w:r>
    </w:p>
    <w:p>
      <w:pPr>
        <w:pStyle w:val="P68B1DB1Normal15"/>
        <w:rPr>
          <w:b/>
          <w:b/>
        </w:rPr>
      </w:pPr>
      <w:r>
        <w:rPr/>
        <w:t xml:space="preserve">16. Препоръчваме приемането на избирателен закон за Европейския парламент, който хармонизира избирателните условия (възраст на правото на глас, дата на изборите, изисквания, свързани с избирателните райони, кандидатите, политическите партии и тяхното финансиране). Европейските граждани следва да имат право да гласуват за различни партии на равнище ЕС, всяка от които е съставена от кандидати от няколко държави членки. По време на достатъчен преходен период гражданите все още биха могли да гласуват за национални и транснационални партии. </w:t>
      </w:r>
    </w:p>
    <w:p>
      <w:pPr>
        <w:pStyle w:val="Normal"/>
        <w:rPr/>
      </w:pPr>
      <w:r>
        <w:rPr/>
        <w:t xml:space="preserve"> </w:t>
      </w:r>
    </w:p>
    <w:p>
      <w:pPr>
        <w:pStyle w:val="Normal"/>
        <w:rPr/>
      </w:pPr>
      <w:r>
        <w:rPr/>
        <w:t xml:space="preserve">Препоръчваме това, защото Съюзът трябва да развие чувство за единство, което би могло да възникне чрез наистина единни избори за Европейски парламент. Тези съвместни избори ще дадат възможност за оправомощаване на членовете на Европейския парламент и за съсредоточаване на предизборната кампания върху общи европейски теми. </w:t>
      </w:r>
    </w:p>
    <w:p>
      <w:pPr>
        <w:pStyle w:val="Normal"/>
        <w:rPr/>
      </w:pPr>
      <w:r>
        <w:rPr/>
        <w:t xml:space="preserve"> </w:t>
      </w:r>
    </w:p>
    <w:p>
      <w:pPr>
        <w:pStyle w:val="Titre4"/>
        <w:numPr>
          <w:ilvl w:val="3"/>
          <w:numId w:val="2"/>
        </w:numPr>
        <w:rPr/>
      </w:pPr>
      <w:bookmarkStart w:id="141" w:name="__RefHeading___Toc297217_1346298689"/>
      <w:bookmarkEnd w:id="141"/>
      <w:r>
        <w:rPr/>
        <w:t xml:space="preserve">Подос 3.2 Приемане на решения </w:t>
      </w:r>
    </w:p>
    <w:p>
      <w:pPr>
        <w:pStyle w:val="Normal"/>
        <w:rPr/>
      </w:pPr>
      <w:r>
        <w:rPr/>
        <w:t xml:space="preserve"> </w:t>
      </w:r>
    </w:p>
    <w:p>
      <w:pPr>
        <w:pStyle w:val="P68B1DB1Normal15"/>
        <w:rPr>
          <w:b/>
          <w:b/>
        </w:rPr>
      </w:pPr>
      <w:r>
        <w:rPr/>
        <w:t xml:space="preserve">17. Препоръчваме да се създаде онлайн платформа, на която гражданите да могат да намерят и да поискат фактически проверена информация. Платформата следва да бъде ясно свързана с институциите на ЕС, да бъде тематично структурирана и лесно достъпна (напр. чрез предоставяне на гореща линия). Гражданите следва да имат възможност да задават критични въпроси на експерти (напр. представители на академичните среди, журналисти) и да получават фактически отговори от източници. </w:t>
      </w:r>
    </w:p>
    <w:p>
      <w:pPr>
        <w:pStyle w:val="Normal"/>
        <w:rPr/>
      </w:pPr>
      <w:r>
        <w:rPr/>
        <w:t xml:space="preserve"> </w:t>
      </w:r>
    </w:p>
    <w:p>
      <w:pPr>
        <w:pStyle w:val="Normal"/>
        <w:rPr/>
      </w:pPr>
      <w:r>
        <w:rPr/>
        <w:t xml:space="preserve">Свободният достъп до фактическа информация е от първостепенно значение за нашето общество, така че гражданите да бъдат добре информирани и защитени от фалшиви новини и дезинформация. Нуждаем се от надежден и независим източник на информация, който не е повлиян от политически, икономически и национални интереси. Освен това платформата може да установи мост (т.е. пряка връзка) между гражданите и ЕС. </w:t>
      </w:r>
    </w:p>
    <w:p>
      <w:pPr>
        <w:pStyle w:val="Normal"/>
        <w:rPr/>
      </w:pPr>
      <w:r>
        <w:rPr/>
      </w:r>
    </w:p>
    <w:p>
      <w:pPr>
        <w:pStyle w:val="P68B1DB1Normal15"/>
        <w:rPr>
          <w:b/>
          <w:b/>
        </w:rPr>
      </w:pPr>
      <w:r>
        <w:rPr/>
        <w:t xml:space="preserve">18. Препоръчваме да се проведе референдум в целия ЕС в изключителни случаи по въпроси от голямо значение за всички европейски граждани. Референдумът следва да бъде започнат от Европейския парламент и да бъде правно обвързващ. </w:t>
      </w:r>
    </w:p>
    <w:p>
      <w:pPr>
        <w:pStyle w:val="Normal"/>
        <w:rPr/>
      </w:pPr>
      <w:r>
        <w:rPr/>
        <w:t xml:space="preserve"> </w:t>
      </w:r>
    </w:p>
    <w:p>
      <w:pPr>
        <w:pStyle w:val="Normal"/>
        <w:rPr/>
      </w:pPr>
      <w:r>
        <w:rPr/>
        <w:t xml:space="preserve">Гражданите на ЕС следва да имат по-пряко влияние върху важни решения по европейски въпроси. Независимо от това референдумите следва да се провеждат само при изключителни обстоятелства, тъй като предвид високата им цена не би било възможно те да се провеждат редовно. Наясно сме, че тази препоръка може да наложи изменение на Договора и адаптиране на националните конституции. </w:t>
      </w:r>
    </w:p>
    <w:p>
      <w:pPr>
        <w:pStyle w:val="Normal"/>
        <w:rPr/>
      </w:pPr>
      <w:r>
        <w:rPr/>
        <w:t xml:space="preserve"> </w:t>
      </w:r>
    </w:p>
    <w:p>
      <w:pPr>
        <w:pStyle w:val="P68B1DB1Normal15"/>
        <w:rPr>
          <w:b/>
          <w:b/>
        </w:rPr>
      </w:pPr>
      <w:r>
        <w:rPr/>
        <w:t xml:space="preserve">19. Препоръчваме да се създаде многофункционална цифрова платформа, чрез която гражданите да могат да гласуват в онлайн избори и анкети. На гражданите следва да се даде възможност да мотивират гласуването си по важни въпроси и законодателни предложения от европейските институции. Тази платформа следва да бъде сигурна, широко достъпна и видима за всеки гражданин. </w:t>
      </w:r>
    </w:p>
    <w:p>
      <w:pPr>
        <w:pStyle w:val="Normal"/>
        <w:rPr/>
      </w:pPr>
      <w:r>
        <w:rPr/>
        <w:t xml:space="preserve"> </w:t>
      </w:r>
    </w:p>
    <w:p>
      <w:pPr>
        <w:pStyle w:val="Normal"/>
        <w:rPr/>
      </w:pPr>
      <w:r>
        <w:rPr/>
        <w:t xml:space="preserve">Целта на тази платформа е да се увеличи участието в европейската политика и да се улесни достъпът на гражданите до консултации и гласуване. Съществуващите инструменти и процеси не са достатъчно видими и затова се нуждаем от нов интегриран инструмент за тези различни функции. По-голямото участие води до по-добри решения, по-голямо доверие сред европейските граждани и по-добро функциониране на Съюза като цяло. </w:t>
      </w:r>
    </w:p>
    <w:p>
      <w:pPr>
        <w:pStyle w:val="Normal"/>
        <w:rPr/>
      </w:pPr>
      <w:r>
        <w:rPr/>
        <w:t xml:space="preserve"> </w:t>
      </w:r>
    </w:p>
    <w:p>
      <w:pPr>
        <w:pStyle w:val="P68B1DB1Normal15"/>
        <w:rPr>
          <w:b/>
          <w:b/>
        </w:rPr>
      </w:pPr>
      <w:r>
        <w:rPr/>
        <w:t xml:space="preserve">20. „Препоръчваме системите за гласуване в институциите на ЕС да бъдат преразгледани, като се постави акцент върху въпроса за гласуването с единодушие. „Коефициентът“ на гласовете следва да се изчислява справедливо, за да се защитят интересите на малките държави. </w:t>
      </w:r>
    </w:p>
    <w:p>
      <w:pPr>
        <w:pStyle w:val="Normal"/>
        <w:rPr/>
      </w:pPr>
      <w:r>
        <w:rPr/>
        <w:t xml:space="preserve"> </w:t>
      </w:r>
    </w:p>
    <w:p>
      <w:pPr>
        <w:pStyle w:val="Normal"/>
        <w:rPr/>
      </w:pPr>
      <w:r>
        <w:rPr/>
        <w:t xml:space="preserve">Единодушието е важно предизвикателство за вземането на решения в ЕС. Предвид големия брой държави членки е много трудно да се постигне споразумение. Ако е необходимо, европейските договори следва да бъдат изменени, за да се реши въпросът за единодушието. </w:t>
      </w:r>
    </w:p>
    <w:p>
      <w:pPr>
        <w:pStyle w:val="Normal"/>
        <w:rPr/>
      </w:pPr>
      <w:r>
        <w:rPr/>
        <w:t xml:space="preserve"> </w:t>
      </w:r>
    </w:p>
    <w:p>
      <w:pPr>
        <w:pStyle w:val="Titre4"/>
        <w:numPr>
          <w:ilvl w:val="3"/>
          <w:numId w:val="2"/>
        </w:numPr>
        <w:rPr/>
      </w:pPr>
      <w:bookmarkStart w:id="142" w:name="__RefHeading___Toc297219_1346298689"/>
      <w:bookmarkEnd w:id="142"/>
      <w:r>
        <w:rPr/>
        <w:t xml:space="preserve">Подос 3.3 По-тясна интеграция </w:t>
      </w:r>
    </w:p>
    <w:p>
      <w:pPr>
        <w:pStyle w:val="Normal"/>
        <w:rPr/>
      </w:pPr>
      <w:r>
        <w:rPr/>
        <w:t xml:space="preserve"> </w:t>
      </w:r>
    </w:p>
    <w:p>
      <w:pPr>
        <w:pStyle w:val="P68B1DB1Normal15"/>
        <w:rPr>
          <w:b/>
          <w:b/>
        </w:rPr>
      </w:pPr>
      <w:r>
        <w:rPr/>
        <w:t xml:space="preserve">21. „Препоръчваме Съюзът да направи публични инвестиции, които водят до създаването на подходящи работни места и до подобряване и хармонизиране на качеството на живот в целия Съюз, между държавите членки и в рамките на държавите членки (т.е. на регионално равнище). Необходимо е да се гарантира ефективен надзор, прозрачност и комуникация с гражданите при осъществяването на публичните инвестиции и да се даде възможност на гражданите да наблюдават целия инвестиционен процес. За по-добро качество на живот следва да се направят инвестиции в области като образование, здравеопазване, жилищно настаняване, физическа инфраструктура, грижи за възрастните хора и хората с увреждания, като се вземат предвид нуждите на всяка държава членка. Допълнителните инвестиции следва да са насочени към установяване на добър баланс между подходящ професионален и личен живот, за да се даде възможност за здравословен начин на живот. </w:t>
      </w:r>
    </w:p>
    <w:p>
      <w:pPr>
        <w:pStyle w:val="Normal"/>
        <w:rPr/>
      </w:pPr>
      <w:r>
        <w:rPr/>
        <w:t xml:space="preserve"> </w:t>
      </w:r>
    </w:p>
    <w:p>
      <w:pPr>
        <w:pStyle w:val="Normal"/>
        <w:rPr/>
      </w:pPr>
      <w:r>
        <w:rPr/>
        <w:t xml:space="preserve">Препоръчваме тази мярка, тъй като хармонизирането на жизнения стандарт в Съюза ще подобри икономическия напредък в целия Съюз, което ще доведе до единен Европейски съюз. Това е ключов показател за по-нататъшната интеграция на Съюза. Въпреки че някои от тези механизми вече са налице, ние вярваме, че те все още могат да бъдат подобрени. </w:t>
      </w:r>
    </w:p>
    <w:p>
      <w:pPr>
        <w:pStyle w:val="Normal"/>
        <w:rPr/>
      </w:pPr>
      <w:r>
        <w:rPr/>
        <w:t xml:space="preserve"> </w:t>
      </w:r>
    </w:p>
    <w:p>
      <w:pPr>
        <w:pStyle w:val="P68B1DB1Normal15"/>
        <w:rPr>
          <w:b/>
          <w:b/>
        </w:rPr>
      </w:pPr>
      <w:r>
        <w:rPr/>
        <w:t xml:space="preserve">22. „Препоръчваме да се създаде обща основа, основана на набор от икономически показатели и показатели за качеството на живот, за всички държави членки, така че да се предложат равни възможности и всички да се поставят на равни начала, за да се постигне обща икономическа структура. Важно е тази обща основа да бъде установена в съответствие с ясен и реалистичен график, определен от институциите по препоръка на експертите. Следва също така да се провеждат консултации с експерти относно формата на такава обща икономическа структура. Важно е също така показателите, на които се основава тази обща основа, да бъдат по-точно определени с помощта на експерти. </w:t>
      </w:r>
    </w:p>
    <w:p>
      <w:pPr>
        <w:pStyle w:val="Normal"/>
        <w:rPr/>
      </w:pPr>
      <w:r>
        <w:rPr/>
        <w:t xml:space="preserve"> </w:t>
      </w:r>
    </w:p>
    <w:p>
      <w:pPr>
        <w:pStyle w:val="Normal"/>
        <w:rPr/>
      </w:pPr>
      <w:r>
        <w:rPr/>
        <w:t xml:space="preserve">Препоръчваме това, защото ако имаме справедлив Съюз, ще имаме по-обединена Европа. За да бъдем справедливи, трябва да предложим равни възможности и обща основа за целия Съюз. Ще бъде възможно да се постигне обща икономическа структура едва след като бъде създадена обща основа. </w:t>
      </w:r>
    </w:p>
    <w:p>
      <w:pPr>
        <w:pStyle w:val="Normal"/>
        <w:rPr/>
      </w:pPr>
      <w:r>
        <w:rPr/>
        <w:t xml:space="preserve"> </w:t>
      </w:r>
    </w:p>
    <w:p>
      <w:pPr>
        <w:pStyle w:val="P68B1DB1Normal15"/>
        <w:rPr>
          <w:b/>
          <w:b/>
        </w:rPr>
      </w:pPr>
      <w:r>
        <w:rPr/>
        <w:t xml:space="preserve">23. Препоръчваме да се облагат големите компании и корпоративните доходи, за да се допринесе за публичните инвестиции и да се използва данъчното облагане, за да се инвестира в образованието и развитието във всяка страна (научноизследователска и развойна дейност, стипендии — „Еразъм“ и др.). Важно е също така да се гарантира премахването на данъчните убежища в ЕС.“ </w:t>
      </w:r>
    </w:p>
    <w:p>
      <w:pPr>
        <w:pStyle w:val="Normal"/>
        <w:rPr/>
      </w:pPr>
      <w:r>
        <w:rPr/>
        <w:t xml:space="preserve"> </w:t>
      </w:r>
    </w:p>
    <w:p>
      <w:pPr>
        <w:pStyle w:val="Normal"/>
        <w:rPr/>
      </w:pPr>
      <w:r>
        <w:rPr/>
        <w:t xml:space="preserve">Препоръчваме тази мярка, тъй като тя ще спомогне за предотвратяване на укриването на данъци и създаването на данъчни убежища и ще насърчи спазването на правилата. </w:t>
      </w:r>
    </w:p>
    <w:p>
      <w:pPr>
        <w:pStyle w:val="Normal"/>
        <w:rPr/>
      </w:pPr>
      <w:r>
        <w:rPr/>
      </w:r>
    </w:p>
    <w:p>
      <w:pPr>
        <w:pStyle w:val="Titre3"/>
        <w:numPr>
          <w:ilvl w:val="2"/>
          <w:numId w:val="2"/>
        </w:numPr>
        <w:rPr/>
      </w:pPr>
      <w:bookmarkStart w:id="143" w:name="__RefHeading___Toc297221_1346298689"/>
      <w:bookmarkEnd w:id="143"/>
      <w:r>
        <w:rPr/>
        <w:t xml:space="preserve">Ос 4: Изграждане на европейска идентичност </w:t>
      </w:r>
    </w:p>
    <w:p>
      <w:pPr>
        <w:pStyle w:val="Normal"/>
        <w:rPr/>
      </w:pPr>
      <w:r>
        <w:rPr/>
        <w:t xml:space="preserve"> </w:t>
      </w:r>
    </w:p>
    <w:p>
      <w:pPr>
        <w:pStyle w:val="Titre4"/>
        <w:numPr>
          <w:ilvl w:val="3"/>
          <w:numId w:val="2"/>
        </w:numPr>
        <w:rPr/>
      </w:pPr>
      <w:bookmarkStart w:id="144" w:name="__RefHeading___Toc297223_1346298689"/>
      <w:bookmarkEnd w:id="144"/>
      <w:r>
        <w:rPr/>
        <w:t xml:space="preserve">Подос 4.1 Образование за демокрация </w:t>
      </w:r>
    </w:p>
    <w:p>
      <w:pPr>
        <w:pStyle w:val="Normal"/>
        <w:rPr/>
      </w:pPr>
      <w:r>
        <w:rPr/>
        <w:t xml:space="preserve"> </w:t>
      </w:r>
    </w:p>
    <w:p>
      <w:pPr>
        <w:pStyle w:val="P68B1DB1Normal15"/>
        <w:rPr>
          <w:b/>
          <w:b/>
        </w:rPr>
      </w:pPr>
      <w:r>
        <w:rPr/>
        <w:t xml:space="preserve">24. Препоръчваме образованието по демокрация в ЕС да подобрява и постига минимално ниво на знания във всички държави членки. Това образование следва да обхваща, но не само, демократичните процеси и общата информация за Съюза, които следва да се преподават във всички държави — членки на ЕС. Тя трябва да бъде обогатена с набор от различни концепции, насочени към преподаване на демократичния процес, който следва да бъде привлекателен и съобразен с възрастта. </w:t>
      </w:r>
    </w:p>
    <w:p>
      <w:pPr>
        <w:pStyle w:val="Normal"/>
        <w:rPr/>
      </w:pPr>
      <w:r>
        <w:rPr/>
        <w:t xml:space="preserve"> </w:t>
      </w:r>
    </w:p>
    <w:p>
      <w:pPr>
        <w:pStyle w:val="Normal"/>
        <w:rPr/>
      </w:pPr>
      <w:r>
        <w:rPr/>
        <w:t xml:space="preserve">Тази препоръка и причините за нея са важни, защото ако бъде приложена, тя ще доведе до по-хармоничен и демократичен живот в Съюза. Обосновките са, както следва: младите хора ще бъдат образовани в демократичните процеси; това образование би могло да ограничи популизма и дезинформацията в обществения дебат; това би могло да намали дискриминацията; и накрая, това би позволило да се образоват и мобилизират гражданите за демокрация отвъд тяхното обикновено задължение да гласуват. </w:t>
      </w:r>
    </w:p>
    <w:p>
      <w:pPr>
        <w:pStyle w:val="Normal"/>
        <w:rPr/>
      </w:pPr>
      <w:r>
        <w:rPr/>
        <w:t xml:space="preserve"> </w:t>
      </w:r>
    </w:p>
    <w:p>
      <w:pPr>
        <w:pStyle w:val="P68B1DB1Normal15"/>
        <w:rPr>
          <w:b/>
          <w:b/>
        </w:rPr>
      </w:pPr>
      <w:r>
        <w:rPr/>
        <w:t xml:space="preserve">25. „Препоръчваме съществуващите и нововъзникващите технологии за превод, като например изкуствения интелект, да бъдат доразвити, усъвършенствани и по-достъпни, за да се намалят езиковите бариери и да се укрепи общата идентичност и демокрацията в ЕС.“ </w:t>
      </w:r>
    </w:p>
    <w:p>
      <w:pPr>
        <w:pStyle w:val="Normal"/>
        <w:rPr/>
      </w:pPr>
      <w:r>
        <w:rPr/>
        <w:t xml:space="preserve"> </w:t>
      </w:r>
    </w:p>
    <w:p>
      <w:pPr>
        <w:pStyle w:val="Normal"/>
        <w:rPr/>
      </w:pPr>
      <w:r>
        <w:rPr/>
        <w:t xml:space="preserve">Тази препоръка и причините за нея са важни, тъй като, ако бъдат изпълнени, тя ще допринесе за изграждането на обща европейска идентичност чрез подобряване на комуникацията между гражданите на всички държави членки. </w:t>
      </w:r>
    </w:p>
    <w:p>
      <w:pPr>
        <w:pStyle w:val="Normal"/>
        <w:rPr/>
      </w:pPr>
      <w:r>
        <w:rPr/>
        <w:t xml:space="preserve"> </w:t>
      </w:r>
    </w:p>
    <w:p>
      <w:pPr>
        <w:pStyle w:val="P68B1DB1Normal15"/>
        <w:rPr>
          <w:b/>
          <w:b/>
        </w:rPr>
      </w:pPr>
      <w:r>
        <w:rPr/>
        <w:t xml:space="preserve">26. Препоръчваме проверимата информация да бъде лесно достъпна, по разбираем начин, за гражданите чрез мобилно приложение, за да се подобри прозрачността, общественият дебат и демокрацията. Това приложение би могло да се използва за разпространение на информация, например относно законодателство, дискусии в рамките на ЕС, изменения на Договорите и др. </w:t>
      </w:r>
    </w:p>
    <w:p>
      <w:pPr>
        <w:pStyle w:val="Normal"/>
        <w:rPr/>
      </w:pPr>
      <w:r>
        <w:rPr/>
        <w:t xml:space="preserve"> </w:t>
      </w:r>
    </w:p>
    <w:p>
      <w:pPr>
        <w:pStyle w:val="Normal"/>
        <w:rPr/>
      </w:pPr>
      <w:r>
        <w:rPr/>
        <w:t xml:space="preserve">Тази препоръка и причините за нея са важни, тъй като, ако бъдат изпълнени, тя ще улесни комуникацията, доколкото ще даде възможност за по-информиран дебат между гражданите на различните държави членки чрез заявление, което би могло да има много различни функции. Това приложение следва да бъде проектирано по такъв начин, че да представлява интерес за всички и да е в състояние да привлече допълнително любопитство и да направи техническата информация по-достъпна и привлекателна. Заявлението следва да се разглежда като допълнителен източник, който разпространява информация, официално проверена пряко от Съюза, за да се подобри доверието и прозрачността в обществения дебат и да се допринесе за изграждането на обща европейска идентичност. </w:t>
      </w:r>
    </w:p>
    <w:p>
      <w:pPr>
        <w:pStyle w:val="Normal"/>
        <w:rPr/>
      </w:pPr>
      <w:r>
        <w:rPr/>
      </w:r>
    </w:p>
    <w:p>
      <w:pPr>
        <w:pStyle w:val="Titre4"/>
        <w:numPr>
          <w:ilvl w:val="3"/>
          <w:numId w:val="2"/>
        </w:numPr>
        <w:rPr/>
      </w:pPr>
      <w:bookmarkStart w:id="145" w:name="__RefHeading___Toc297225_1346298689"/>
      <w:bookmarkEnd w:id="145"/>
      <w:r>
        <w:rPr/>
        <w:t xml:space="preserve">Подос 4.2 Европейски ценности и идентичност </w:t>
      </w:r>
    </w:p>
    <w:p>
      <w:pPr>
        <w:pStyle w:val="Normal"/>
        <w:rPr/>
      </w:pPr>
      <w:r>
        <w:rPr/>
        <w:t xml:space="preserve"> </w:t>
      </w:r>
    </w:p>
    <w:p>
      <w:pPr>
        <w:pStyle w:val="P68B1DB1Normal15"/>
        <w:rPr>
          <w:b/>
          <w:b/>
        </w:rPr>
      </w:pPr>
      <w:r>
        <w:rPr/>
        <w:t xml:space="preserve">27. „Препоръчваме ЕС да създаде специален фонд за онлайн и офлайн взаимодействия (т.е. програми за обмен, панели, срещи) с кратка и продължителна продължителност между гражданите на ЕС, с цел укрепване на европейската идентичност. Участниците следва да бъдат представителни за обществото в рамките на Съюза, включително групи, подбрани целенасочено въз основа на различни критерии, т.е. демографски, социално-икономически и професионални критерии. Целите на този фонд трябва да бъдат ясно посочени, за да се насърчи европейската идентичност, и този фонд следва да се оценява редовно. </w:t>
      </w:r>
    </w:p>
    <w:p>
      <w:pPr>
        <w:pStyle w:val="Normal"/>
        <w:rPr/>
      </w:pPr>
      <w:r>
        <w:rPr/>
        <w:t xml:space="preserve"> </w:t>
      </w:r>
    </w:p>
    <w:p>
      <w:pPr>
        <w:pStyle w:val="Normal"/>
        <w:rPr/>
      </w:pPr>
      <w:r>
        <w:rPr/>
        <w:t xml:space="preserve">Препоръчваме това, тъй като този вид взаимодействие позволява на гражданите да споделят идеи, а по-дългият обмен им позволява да разбират различните култури и да споделят опит, включително професионални практики. Необходим е фонд на ЕС, тъй като е важно всички да могат да участват, включително тези, които обикновено не участват. </w:t>
      </w:r>
    </w:p>
    <w:p>
      <w:pPr>
        <w:pStyle w:val="Normal"/>
        <w:rPr/>
      </w:pPr>
      <w:r>
        <w:rPr/>
        <w:t xml:space="preserve"> </w:t>
      </w:r>
    </w:p>
    <w:p>
      <w:pPr>
        <w:pStyle w:val="P68B1DB1Normal15"/>
        <w:rPr>
          <w:b/>
          <w:b/>
        </w:rPr>
      </w:pPr>
      <w:r>
        <w:rPr/>
        <w:t xml:space="preserve">28. „Препоръчваме ЕС да инвестира бързо в борбата с дезинформацията, като подкрепя съществуващите организации и инициативи, като например Кодекса за поведение във връзка с дезинформацията и Европейската обсерватория за цифрови медии, както и сравними инициативи в държавите членки. Могат да бъдат въведени различни мерки за противодействие: проверката на фактите, осведомеността относно дезинформацията, изготвянето на леснодостъпни статистически данни, налагането на подходящи санкции съгласно правна рамка на лицата, които разпространяват дезинформация, и борбата с източниците на дезинформация. </w:t>
      </w:r>
    </w:p>
    <w:p>
      <w:pPr>
        <w:pStyle w:val="Normal"/>
        <w:rPr/>
      </w:pPr>
      <w:r>
        <w:rPr/>
        <w:t xml:space="preserve"> </w:t>
      </w:r>
    </w:p>
    <w:p>
      <w:pPr>
        <w:pStyle w:val="Normal"/>
        <w:rPr/>
      </w:pPr>
      <w:r>
        <w:rPr/>
        <w:t xml:space="preserve">Тази препоръка е важна, тъй като дезинформацията и дезинформацията от и извън ЕС водят до създаване на конфликти между гражданите на ЕС, поляризиране на обществото, застрашаване на демокрацията и вреди на икономиката. Предвид сложността на темата са необходими значителни човешки и финансови ресурси. </w:t>
      </w:r>
    </w:p>
    <w:p>
      <w:pPr>
        <w:pStyle w:val="Normal"/>
        <w:rPr/>
      </w:pPr>
      <w:r>
        <w:rPr/>
        <w:t xml:space="preserve"> </w:t>
      </w:r>
    </w:p>
    <w:p>
      <w:pPr>
        <w:pStyle w:val="P68B1DB1Normal15"/>
        <w:rPr>
          <w:b/>
          <w:b/>
        </w:rPr>
      </w:pPr>
      <w:r>
        <w:rPr/>
        <w:t xml:space="preserve">29. „Препоръчваме 1) да се увеличи честотата на онлайн и офлайн взаимодействията между Съюза и неговите граждани (т.е. чрез пряко интервюиране с гражданите по европейски въпроси и чрез създаване на лесна за използване платформа, за да се гарантира, че всеки гражданин може да взаимодейства с институциите и длъжностните лица на ЕС); и 2) да се гарантира, че гражданите могат да участват в процеса на изготвяне на политиките на ЕС, да изразяват мнението си и да получават обратна информация, и препоръчваме да се създаде харта или кодекс за поведение или насоки за длъжностните лица на ЕС. Трябва да съществуват различни средства за взаимодействие, така че всеки гражданин да може да участва. </w:t>
      </w:r>
    </w:p>
    <w:p>
      <w:pPr>
        <w:pStyle w:val="Normal"/>
        <w:rPr/>
      </w:pPr>
      <w:r>
        <w:rPr/>
        <w:t xml:space="preserve"> </w:t>
      </w:r>
    </w:p>
    <w:p>
      <w:pPr>
        <w:pStyle w:val="Normal"/>
        <w:rPr/>
      </w:pPr>
      <w:r>
        <w:rPr/>
        <w:t xml:space="preserve">Препоръчваме тази мярка, тъй като има няколко начина да се свържете с европейските институции (онлайн платформи, представителни органи), но те не са известни, неефективни и непрозрачни. Достъпността варира значително в отделните държави. По-честите и по-добри взаимодействия ще доведат до чувство за собственост върху европейското гражданство. </w:t>
      </w:r>
    </w:p>
    <w:p>
      <w:pPr>
        <w:pStyle w:val="Normal"/>
        <w:rPr/>
      </w:pPr>
      <w:r>
        <w:rPr/>
        <w:t xml:space="preserve"> </w:t>
      </w:r>
    </w:p>
    <w:p>
      <w:pPr>
        <w:pStyle w:val="P68B1DB1Normal15"/>
        <w:rPr>
          <w:b/>
          <w:b/>
        </w:rPr>
      </w:pPr>
      <w:r>
        <w:rPr/>
        <w:t xml:space="preserve">30. Препоръчваме европейската идентичност и ценности (т.е. принципите на правовата държава, демокрацията и солидарността) да играят специална роля в процеса на интеграция на мигрантите. Могат да бъдат предвидени различни мерки, като например създаването на програми или подкрепата на вече съществуващи (местни) програми, за да се насърчат социалните взаимодействия между мигрантите и гражданите на ЕС или участието на предприятия в програми за подпомагане на интеграцията на мигрантите. В същото време следва да се стартират подобни програми за повишаване на осведомеността на гражданите на ЕС по въпросите, свързани с миграцията. </w:t>
      </w:r>
    </w:p>
    <w:p>
      <w:pPr>
        <w:pStyle w:val="Normal"/>
        <w:rPr/>
      </w:pPr>
      <w:r>
        <w:rPr/>
        <w:t xml:space="preserve"> </w:t>
      </w:r>
    </w:p>
    <w:p>
      <w:pPr>
        <w:pStyle w:val="Normal"/>
        <w:rPr/>
      </w:pPr>
      <w:r>
        <w:rPr/>
        <w:t xml:space="preserve">Тази препоръка е важна, тъй като програмите за социално взаимодействие могат да помогнат на мигрантите в новия им живот и да дадат възможност на немигрантите да разберат по-добре ежедневието на мигрантите. Ако мигрантите живеят в гета, няма възможност те да бъдат интегрирани в обществото на национално равнище или на равнище ЕС. Необходима е обща политика, тъй като след като мигрантите влязат на територията на Съюза, те могат да отидат във всички държави от ЕС. Местните инициативи следва да бъдат подкрепяни, тъй като местните власти ще използват средствата по-ефективно, отколкото на национално равнище. </w:t>
      </w:r>
    </w:p>
    <w:p>
      <w:pPr>
        <w:pStyle w:val="Normal"/>
        <w:rPr/>
      </w:pPr>
      <w:r>
        <w:rPr/>
        <w:t xml:space="preserve"> </w:t>
      </w:r>
    </w:p>
    <w:p>
      <w:pPr>
        <w:pStyle w:val="Titre4"/>
        <w:numPr>
          <w:ilvl w:val="3"/>
          <w:numId w:val="2"/>
        </w:numPr>
        <w:rPr/>
      </w:pPr>
      <w:bookmarkStart w:id="146" w:name="__RefHeading___Toc297227_1346298689"/>
      <w:bookmarkEnd w:id="146"/>
      <w:r>
        <w:rPr/>
        <w:t xml:space="preserve">Подос 4.3 Информация за ЕС </w:t>
      </w:r>
    </w:p>
    <w:p>
      <w:pPr>
        <w:pStyle w:val="Normal"/>
        <w:rPr/>
      </w:pPr>
      <w:r>
        <w:rPr/>
        <w:t xml:space="preserve"> </w:t>
      </w:r>
    </w:p>
    <w:p>
      <w:pPr>
        <w:pStyle w:val="P68B1DB1Normal15"/>
        <w:rPr>
          <w:b/>
          <w:b/>
        </w:rPr>
      </w:pPr>
      <w:r>
        <w:rPr/>
        <w:t xml:space="preserve">31. „Препоръчваме ЕС да информира по-добре европейските граждани. За тази цел Съюзът следва да използва всички необходими средства, като същевременно зачита свободата и независимостта на медиите. Тя следва да предоставя на медиите общи и надеждни ресурси и информация за дейностите и политиките на Съюза. Съюзът следва да гарантира, че информацията се разпространява еднакво във всички държави членки чрез националните и европейските медии и да гарантира, че държавите членки насърчават обществените радио- и телевизионни оператори и обществените информационни агенции да се занимават с европейски въпроси.“ </w:t>
      </w:r>
    </w:p>
    <w:p>
      <w:pPr>
        <w:pStyle w:val="Normal"/>
        <w:rPr/>
      </w:pPr>
      <w:r>
        <w:rPr/>
      </w:r>
    </w:p>
    <w:p>
      <w:pPr>
        <w:pStyle w:val="Normal"/>
        <w:rPr/>
      </w:pPr>
      <w:r>
        <w:rPr/>
        <w:t xml:space="preserve">Препоръчваме това, защото според нашия личен опит и според данните на Евробарометър по-голямата част от европейските граждани са информирани от основните медии (преса, радио и телевизия) и понастоящем тези канали предлагат много малко информация за ЕС. Медиите, включително обществените медии, имат функция за обществена услуга. Ето защо е от съществено значение да се разгледат европейските въпроси, засягащи европейското население, за да се изпълни тази функция. Сметната палата препоръчва информацията на ЕС, разпространявана в различните държави членки, да бъде една и съща, за да се насърчи интеграцията, и препоръчваме да се избягва различаващата се информация по различни въпроси във всяка държава. По-удобно и по-евтино е да се използват съществуващите медийни канали, отколкото да се създаде нов канал за същия резултат. Съществуващите канали също имат предимството, че вече са известни на гражданите. Никой гражданин не трябва да избира между различни канали за достъп до различно съдържание (национално или европейско). </w:t>
      </w:r>
    </w:p>
    <w:p>
      <w:pPr>
        <w:pStyle w:val="Normal"/>
        <w:rPr/>
      </w:pPr>
      <w:r>
        <w:rPr/>
        <w:t xml:space="preserve"> </w:t>
      </w:r>
    </w:p>
    <w:p>
      <w:pPr>
        <w:pStyle w:val="P68B1DB1Normal15"/>
        <w:rPr>
          <w:b/>
          <w:b/>
        </w:rPr>
      </w:pPr>
      <w:r>
        <w:rPr/>
        <w:t xml:space="preserve">32. „Препоръчваме ЕС да създаде и популяризира многоезични онлайн форуми и офлайн срещи, които дават възможност на гражданите да участват в дебат с представители на ЕС, независимо от темата и географския обхват на повдигнатия въпрос. Отговорите на въпросите, повдигнати на тези онлайн форуми и офлайн срещи, следва да бъдат предоставени в точно определен кратък срок. Цялата информация, свързана с тези пространства, следва да бъде централизирана на интегриран официален уебсайт с различни характеристики, като например пространство за често задавани въпроси, възможност за споделяне на идеи, предложения или притеснения с други граждани, както и механизъм за посочване кои от тях получават най-голяма подкрепа. Във всеки случай достъпът до този сайт трябва да бъде лесен и да се използва небюрократичен език. </w:t>
      </w:r>
    </w:p>
    <w:p>
      <w:pPr>
        <w:pStyle w:val="Normal"/>
        <w:rPr/>
      </w:pPr>
      <w:r>
        <w:rPr/>
        <w:t xml:space="preserve"> </w:t>
      </w:r>
    </w:p>
    <w:p>
      <w:pPr>
        <w:pStyle w:val="Normal"/>
        <w:rPr/>
      </w:pPr>
      <w:r>
        <w:rPr/>
        <w:t xml:space="preserve">Препоръчваме това, защото това е начин да се създаде пряк мост между европейските граждани и европейските представители, за да се говори и да се ангажираме заедно, да се предостави на гражданите лесен достъп до информация за Съюза и да се информират по-добре за вече наличната информация. Това ще създаде по-прозрачен и отворен Съюз, ще помогне на гражданите да споделят своите проблеми и размисли и ще получи политически отговори и решения, както и ще даде възможност на гражданите да се ангажират и да споделят гледни точки и опит с други граждани. </w:t>
      </w:r>
    </w:p>
    <w:p>
      <w:pPr>
        <w:pStyle w:val="Normal"/>
        <w:rPr/>
      </w:pPr>
      <w:r>
        <w:rPr/>
        <w:t xml:space="preserve"> </w:t>
      </w:r>
    </w:p>
    <w:p>
      <w:pPr>
        <w:pStyle w:val="Normal"/>
        <w:rPr>
          <w:b/>
          <w:b/>
        </w:rPr>
      </w:pPr>
      <w:r>
        <w:rPr>
          <w:b/>
        </w:rPr>
        <w:t xml:space="preserve">33. </w:t>
      </w:r>
      <w:commentRangeStart w:id="4"/>
      <w:r>
        <w:rPr>
          <w:b/>
        </w:rPr>
        <w:t>„</w:t>
      </w:r>
      <w:r>
        <w:rPr>
          <w:b/>
          <w:i/>
        </w:rPr>
        <w:t>Препоръчваме институциите и представителите на ЕС да използват по-достъпен език и да избягват използването на бюрократични термини в своите съобщения, като същевременно поддържат качеството и техническото равнище на предоставената информация.</w:t>
      </w:r>
      <w:r>
        <w:rPr>
          <w:b/>
        </w:rPr>
        <w:t xml:space="preserve"> </w:t>
      </w:r>
      <w:r>
        <w:rPr>
          <w:b/>
        </w:rPr>
      </w:r>
      <w:commentRangeEnd w:id="4"/>
      <w:r>
        <w:commentReference w:id="4"/>
      </w:r>
      <w:r>
        <w:rPr>
          <w:b/>
        </w:rPr>
        <w:t xml:space="preserve">Съюзът следва също така да адаптира информацията, която предоставя на гражданите, като използва различни канали за комуникация и различни аудитории (напр. вестници, телевизия, социални медии). ЕС следва да положи специални усилия за адаптиране на комуникацията към цифровите медии, за да увеличи капацитета си за достигане до младите хора.“ </w:t>
      </w:r>
    </w:p>
    <w:p>
      <w:pPr>
        <w:pStyle w:val="Normal"/>
        <w:rPr/>
      </w:pPr>
      <w:r>
        <w:rPr/>
        <w:t xml:space="preserve"> </w:t>
      </w:r>
    </w:p>
    <w:p>
      <w:pPr>
        <w:pStyle w:val="Normal"/>
        <w:rPr/>
      </w:pPr>
      <w:r>
        <w:rPr/>
        <w:t xml:space="preserve">Препоръчваме тази мярка, тъй като наличието на разбираема информация ще позволи на Съюза да достигне до повече европейски граждани, а не само до тези, които са ангажирани. С новите съвременни инструменти, насочени към конкретни аудитории, гражданите ще получат по-добро разбиране за дейностите и политиките на ЕС, особено за младите хора, които не се чувстват близо до ЕС или не са свързани с него. </w:t>
      </w:r>
    </w:p>
    <w:p>
      <w:pPr>
        <w:pStyle w:val="Normal"/>
        <w:rPr/>
      </w:pPr>
      <w:r>
        <w:rPr/>
      </w:r>
    </w:p>
    <w:p>
      <w:pPr>
        <w:pStyle w:val="Titre3"/>
        <w:numPr>
          <w:ilvl w:val="2"/>
          <w:numId w:val="2"/>
        </w:numPr>
        <w:rPr/>
      </w:pPr>
      <w:bookmarkStart w:id="147" w:name="__RefHeading___Toc297229_1346298689"/>
      <w:bookmarkEnd w:id="147"/>
      <w:r>
        <w:rPr/>
        <w:t xml:space="preserve">Ос 5: Засилване на участието на гражданите </w:t>
      </w:r>
    </w:p>
    <w:p>
      <w:pPr>
        <w:pStyle w:val="Normal"/>
        <w:rPr/>
      </w:pPr>
      <w:r>
        <w:rPr/>
        <w:t xml:space="preserve"> </w:t>
      </w:r>
    </w:p>
    <w:p>
      <w:pPr>
        <w:pStyle w:val="Titre4"/>
        <w:numPr>
          <w:ilvl w:val="3"/>
          <w:numId w:val="2"/>
        </w:numPr>
        <w:rPr/>
      </w:pPr>
      <w:bookmarkStart w:id="148" w:name="__RefHeading___Toc297231_1346298689"/>
      <w:bookmarkEnd w:id="148"/>
      <w:r>
        <w:rPr/>
        <w:t xml:space="preserve">Подос 5.1 Участие на гражданите </w:t>
      </w:r>
    </w:p>
    <w:p>
      <w:pPr>
        <w:pStyle w:val="Normal"/>
        <w:rPr/>
      </w:pPr>
      <w:r>
        <w:rPr/>
        <w:t xml:space="preserve"> </w:t>
      </w:r>
    </w:p>
    <w:p>
      <w:pPr>
        <w:pStyle w:val="P68B1DB1Normal15"/>
        <w:rPr>
          <w:b/>
          <w:b/>
        </w:rPr>
      </w:pPr>
      <w:r>
        <w:rPr/>
        <w:t xml:space="preserve">34. „Препоръчваме независимите граждански наблюдатели да присъстват във всички процеси на вземане на решения в ЕС. Следва да има постоянен форум или орган от представители на гражданите, който да отговаря за разпространението на релевантна и важна информация до всички граждани на Съюза, определени като такива. Тези граждани ще се ангажират с всички останали европейски граждани чрез подход „отгоре-надолу„/отдолу нагоре, който ще продължи да развива диалога между гражданите и институциите на ЕС.“ </w:t>
      </w:r>
    </w:p>
    <w:p>
      <w:pPr>
        <w:pStyle w:val="Normal"/>
        <w:rPr/>
      </w:pPr>
      <w:r>
        <w:rPr/>
        <w:t xml:space="preserve"> </w:t>
      </w:r>
    </w:p>
    <w:p>
      <w:pPr>
        <w:pStyle w:val="Normal"/>
        <w:rPr/>
      </w:pPr>
      <w:r>
        <w:rPr/>
        <w:t xml:space="preserve">Гражданите, разбира се, заслужават да бъдат информирани по всички въпроси и е важно да се гарантира, че политиците не могат да пренебрегнат някои от въпросите, които биха предпочели да пренебрегнат. Подобна мярка би запълнила пропастта между гражданите и избраните представители чрез създаване на нови пътища за доверие. </w:t>
      </w:r>
    </w:p>
    <w:p>
      <w:pPr>
        <w:pStyle w:val="Normal"/>
        <w:rPr/>
      </w:pPr>
      <w:r>
        <w:rPr/>
        <w:t xml:space="preserve"> </w:t>
      </w:r>
    </w:p>
    <w:p>
      <w:pPr>
        <w:pStyle w:val="P68B1DB1Normal15"/>
        <w:rPr>
          <w:b/>
          <w:b/>
        </w:rPr>
      </w:pPr>
      <w:r>
        <w:rPr/>
        <w:t xml:space="preserve"> </w:t>
      </w:r>
      <w:r>
        <w:rPr/>
        <w:t xml:space="preserve">35. „Препоръчваме Съюзът да възобнови обсъждането на конституцията на Европа с оглед на изготвянето на конституция, вдъхновена от гражданите на Съюза. Гражданите трябва да могат да гласуват за такава конституция. За да се избегне конфликт с държавите членки, ценностите на правата на човека и демокрацията следва да бъдат включени приоритетно в тази конституция. При изготвянето на такава конституция трябва да се вземат предвид предишните усилия, които никога не са довели до конституция. </w:t>
      </w:r>
    </w:p>
    <w:p>
      <w:pPr>
        <w:pStyle w:val="Normal"/>
        <w:rPr/>
      </w:pPr>
      <w:r>
        <w:rPr/>
        <w:t xml:space="preserve"> </w:t>
      </w:r>
    </w:p>
    <w:p>
      <w:pPr>
        <w:pStyle w:val="Normal"/>
        <w:rPr/>
      </w:pPr>
      <w:r>
        <w:rPr/>
        <w:t xml:space="preserve">Защото тази конституция ще ангажира младите хора в политиката на равнище ЕС и ще осуети силите на национализма, които набират сила. Тя ще даде общо определение за това какво представлява демокрацията в Европа и ще се прилага еднакво във всички държави членки. Защото ЕС споделя общи ценности в областта на демокрацията и правата на човека. Тъй като гражданите ще имат възможност да участват в процеса на вземане на решения и да се идентифицират в по-голяма степен със Съюза, като участват в този процес. </w:t>
      </w:r>
    </w:p>
    <w:p>
      <w:pPr>
        <w:pStyle w:val="Normal"/>
        <w:rPr/>
      </w:pPr>
      <w:r>
        <w:rPr/>
        <w:t xml:space="preserve"> </w:t>
      </w:r>
    </w:p>
    <w:p>
      <w:pPr>
        <w:pStyle w:val="P68B1DB1Normal15"/>
        <w:rPr>
          <w:b/>
          <w:b/>
        </w:rPr>
      </w:pPr>
      <w:r>
        <w:rPr/>
        <w:t xml:space="preserve">36. Препоръчваме политиците да бъдат по-отговорни в начина, по който представляват гражданите, които са ги избрали. По-специално младите хора са особено отделени от политиката и не се вземат на сериозно, когато участват. Но незаинтересоваността е универсален проблем и хората от всички възрасти трябва да бъдат по-ангажирани, отколкото са сега. </w:t>
      </w:r>
    </w:p>
    <w:p>
      <w:pPr>
        <w:pStyle w:val="Normal"/>
        <w:rPr/>
      </w:pPr>
      <w:r>
        <w:rPr/>
        <w:t xml:space="preserve"> </w:t>
      </w:r>
    </w:p>
    <w:p>
      <w:pPr>
        <w:pStyle w:val="Normal"/>
        <w:rPr/>
      </w:pPr>
      <w:r>
        <w:rPr/>
        <w:t xml:space="preserve">Защото определението за демокрация трябва да бъде актуализирано. Трябва да помним какво всъщност е демокрацията. Защото младите хора са имали достатъчно и са разочаровани от политиците, които виждат като елити, които не споделят мнението си. Ето защо гражданите трябва да бъдат по-ангажирани по оригинален и привлекателен начин. Образователната система, социалните медии и всички други форми на медиите биха могли да изпълняват тази роля през целия жизнен цикъл и на всички езици. </w:t>
      </w:r>
    </w:p>
    <w:p>
      <w:pPr>
        <w:pStyle w:val="Normal"/>
        <w:rPr/>
      </w:pPr>
      <w:r>
        <w:rPr/>
        <w:t xml:space="preserve"> </w:t>
      </w:r>
    </w:p>
    <w:p>
      <w:pPr>
        <w:pStyle w:val="Titre4"/>
        <w:numPr>
          <w:ilvl w:val="3"/>
          <w:numId w:val="2"/>
        </w:numPr>
        <w:rPr/>
      </w:pPr>
      <w:bookmarkStart w:id="149" w:name="__RefHeading___Toc297233_1346298689"/>
      <w:bookmarkEnd w:id="149"/>
      <w:r>
        <w:rPr/>
        <w:t xml:space="preserve">Подос 5.2 Участие на гражданите </w:t>
      </w:r>
    </w:p>
    <w:p>
      <w:pPr>
        <w:pStyle w:val="Normal"/>
        <w:rPr/>
      </w:pPr>
      <w:r>
        <w:rPr/>
        <w:t xml:space="preserve"> </w:t>
      </w:r>
    </w:p>
    <w:p>
      <w:pPr>
        <w:pStyle w:val="P68B1DB1Normal15"/>
        <w:rPr>
          <w:b/>
          <w:b/>
        </w:rPr>
      </w:pPr>
      <w:r>
        <w:rPr/>
        <w:t xml:space="preserve">37. „Препоръчваме ЕС да се доближи по-настойчиво до гражданите. За да се постигне това, държавите членки следва да участват в насърчаването на участието на гражданите в Съюза. Съюзът следва да насърчава използването на механизми за гражданско участие чрез създаване на търговски и рекламни кампании. Националните и местните власти следва да бъдат задължени да участват в този процес. Съюзът следва да гарантира ефективността на платформите за демокрация на участието.“ </w:t>
      </w:r>
    </w:p>
    <w:p>
      <w:pPr>
        <w:pStyle w:val="Normal"/>
        <w:rPr/>
      </w:pPr>
      <w:r>
        <w:rPr/>
        <w:t xml:space="preserve"> </w:t>
      </w:r>
    </w:p>
    <w:p>
      <w:pPr>
        <w:pStyle w:val="Normal"/>
        <w:rPr/>
      </w:pPr>
      <w:r>
        <w:rPr/>
        <w:t xml:space="preserve">Препоръчваме това, защото платформата, която вече съществува, трябва да бъде укрепена и по-ефективна: трябва да има повече обратна връзка от гражданите към ЕС и обратно. В рамките на ЕС няма достатъчно дебати както между гражданите, така и между правителствата. Защото гражданите не внасят петиции, или защото не знаят, че механизмът съществува, или защото не вярват, че такива петиции могат да бъдат успешни. </w:t>
      </w:r>
    </w:p>
    <w:p>
      <w:pPr>
        <w:pStyle w:val="Normal"/>
        <w:rPr/>
      </w:pPr>
      <w:r>
        <w:rPr/>
        <w:t xml:space="preserve"> </w:t>
      </w:r>
    </w:p>
    <w:p>
      <w:pPr>
        <w:pStyle w:val="P68B1DB1Normal15"/>
        <w:rPr>
          <w:b/>
          <w:b/>
        </w:rPr>
      </w:pPr>
      <w:r>
        <w:rPr/>
        <w:t xml:space="preserve">38. „Препоръчваме Съюзът да създаде и приложи учебни програми за училищата относно това, което се прави в ЕС по отношение на механизмите за участие. Тези програми следва да бъдат включени в учебните програми по европейско гражданство и етика, като съдържанието им е адаптирано към възрастта на учениците. Трябва да има и програми за възрастни. Програмите за учене през целия живот следва да се предоставят на разположение на гражданите, за да се задълбочат познанията им за възможностите за участие на гражданите в Съюза.“ </w:t>
      </w:r>
    </w:p>
    <w:p>
      <w:pPr>
        <w:pStyle w:val="Normal"/>
        <w:rPr/>
      </w:pPr>
      <w:r>
        <w:rPr/>
        <w:t xml:space="preserve"> </w:t>
      </w:r>
    </w:p>
    <w:p>
      <w:pPr>
        <w:pStyle w:val="Normal"/>
        <w:rPr/>
      </w:pPr>
      <w:r>
        <w:rPr/>
        <w:t xml:space="preserve">Ние препоръчваме тази мярка, защото тя е важна за бъдещето на нашите деца. Гражданите искат да знаят как да изразят гласа си. Важно е те да знаят точните механизми и как могат да бъдат използвани, така че гласът им да бъде чут от Съюза. Това е важно всички европейски граждани да бъдат поставени на равни начала. Като европейски граждани трябва да знаем как да използваме правата си. Като европейски граждани имаме право да знаем тази информация. </w:t>
      </w:r>
    </w:p>
    <w:p>
      <w:pPr>
        <w:pStyle w:val="Normal"/>
        <w:rPr/>
      </w:pPr>
      <w:r>
        <w:rPr/>
        <w:t xml:space="preserve"> </w:t>
      </w:r>
    </w:p>
    <w:p>
      <w:pPr>
        <w:pStyle w:val="Titre4"/>
        <w:numPr>
          <w:ilvl w:val="3"/>
          <w:numId w:val="2"/>
        </w:numPr>
        <w:rPr/>
      </w:pPr>
      <w:bookmarkStart w:id="150" w:name="__RefHeading___Toc297235_1346298689"/>
      <w:bookmarkEnd w:id="150"/>
      <w:r>
        <w:rPr/>
        <w:t xml:space="preserve">Подос 5.3 Участие на гражданите </w:t>
      </w:r>
    </w:p>
    <w:p>
      <w:pPr>
        <w:pStyle w:val="Normal"/>
        <w:rPr/>
      </w:pPr>
      <w:r>
        <w:rPr/>
        <w:t xml:space="preserve"> </w:t>
      </w:r>
    </w:p>
    <w:p>
      <w:pPr>
        <w:pStyle w:val="P68B1DB1Normal15"/>
        <w:rPr>
          <w:b/>
          <w:b/>
        </w:rPr>
      </w:pPr>
      <w:r>
        <w:rPr/>
        <w:t xml:space="preserve">39. Препоръчваме на Съюза да организира граждански асамблеи. Настоятелно препоръчваме те да бъдат въведени съгласно правно обвързващ и задължителен закон или подзаконов акт. Тези граждански асамблеи следва да се провеждат на всеки 12—18 месеца. Участието на гражданите не следва да бъде задължително, а следва да бъде насърчавано, като същевременно се организира въз основа на ограничени мандати. Участниците трябва да бъдат избрани на случаен принцип в съответствие с критериите за представителност. Те не трябва да представляват организации от какъвто и да е вид и не следва да бъдат призовавани да участват поради професионалната си функция, когато са членове на събранието. Ако е необходимо, експертите ще оказват съдействие, за да се гарантира, че членовете на събранието разполагат с достатъчно информация за обсъждане. Вземането на решения ще бъде в ръцете на гражданите. Съюзът трябва да гарантира ангажираността на политиците с решенията, взети от гражданите в гражданските асамблеи. Ако предложенията на гражданите бъдат пренебрегнати или изрично отхвърлени, европейските институции трябва да докладват за тях, като посочат причините, поради които е взето това решение. </w:t>
      </w:r>
    </w:p>
    <w:p>
      <w:pPr>
        <w:pStyle w:val="Normal"/>
        <w:rPr/>
      </w:pPr>
      <w:r>
        <w:rPr/>
        <w:t xml:space="preserve"> </w:t>
      </w:r>
    </w:p>
    <w:p>
      <w:pPr>
        <w:pStyle w:val="Normal"/>
        <w:rPr/>
      </w:pPr>
      <w:r>
        <w:rPr/>
        <w:t xml:space="preserve">Препоръчваме създаването на граждански асамблеи, защото искаме гражданите да се чувстват по-близо до европейските институции и да допринасят пряко за вземането на решения, ръка за ръка с политиците, за да се засили чувството за принадлежност и пряка ефективност. Освен това искаме политическите партии да бъдат подведени под отговорност пред гражданите, включително техните избирателни програми. </w:t>
      </w:r>
    </w:p>
    <w:p>
      <w:pPr>
        <w:pStyle w:val="Normal"/>
        <w:rPr/>
      </w:pPr>
      <w:r>
        <w:rPr/>
        <w:t xml:space="preserve"> </w:t>
      </w:r>
    </w:p>
    <w:p>
      <w:pPr>
        <w:pStyle w:val="Titre3"/>
        <w:numPr>
          <w:ilvl w:val="2"/>
          <w:numId w:val="2"/>
        </w:numPr>
        <w:rPr/>
      </w:pPr>
      <w:bookmarkStart w:id="151" w:name="__RefHeading___Toc297237_1346298689"/>
      <w:bookmarkEnd w:id="151"/>
      <w:r>
        <w:rPr/>
        <w:t xml:space="preserve">Приложение: ДРУГИ ПРЕПОРЪКИ, РАЗГЛЕДАНИ ОТ ЕКСПЕРТНАТА ГРУПА, НО НЕПРИЕТИ </w:t>
      </w:r>
    </w:p>
    <w:p>
      <w:pPr>
        <w:pStyle w:val="Normal"/>
        <w:rPr/>
      </w:pPr>
      <w:r>
        <w:rPr/>
        <w:t xml:space="preserve"> </w:t>
      </w:r>
    </w:p>
    <w:p>
      <w:pPr>
        <w:pStyle w:val="Titre4"/>
        <w:numPr>
          <w:ilvl w:val="3"/>
          <w:numId w:val="2"/>
        </w:numPr>
        <w:rPr/>
      </w:pPr>
      <w:bookmarkStart w:id="152" w:name="__RefHeading___Toc297239_1346298689"/>
      <w:bookmarkEnd w:id="152"/>
      <w:r>
        <w:rPr/>
        <w:t xml:space="preserve">Ос 1: Гарантиране на правата и недискриминацията </w:t>
      </w:r>
    </w:p>
    <w:p>
      <w:pPr>
        <w:pStyle w:val="Normal"/>
        <w:rPr/>
      </w:pPr>
      <w:r>
        <w:rPr/>
        <w:t xml:space="preserve"> </w:t>
      </w:r>
    </w:p>
    <w:p>
      <w:pPr>
        <w:pStyle w:val="Normal"/>
        <w:rPr/>
      </w:pPr>
      <w:r>
        <w:rPr/>
        <w:t xml:space="preserve">Подос 1.1 Недискриминация/Подос 1.2 Равенство между половете </w:t>
      </w:r>
    </w:p>
    <w:p>
      <w:pPr>
        <w:pStyle w:val="Normal"/>
        <w:rPr/>
      </w:pPr>
      <w:r>
        <w:rPr/>
        <w:t xml:space="preserve"> </w:t>
      </w:r>
    </w:p>
    <w:p>
      <w:pPr>
        <w:pStyle w:val="P68B1DB1Normal15"/>
        <w:rPr>
          <w:b/>
          <w:b/>
        </w:rPr>
      </w:pPr>
      <w:r>
        <w:rPr/>
        <w:t>„</w:t>
      </w:r>
      <w:r>
        <w:rPr/>
        <w:t xml:space="preserve">Препоръчваме ЕС активно да включва малцинствата в изготвянето на политики по ключови аспекти на държавните институции (напр. полицията и НПО). Препоръчваме на Съюза да създаде консултативен съвет, избиран пряко от малцинствата. Тя следва да се състои основно от представители на малцинствата, като същевременно включва и представители на НПО. Тя следва да има обучителна роля за повишаване на осведомеността на държавните служители за нуждите на малцинствата. Този орган трябва да има вето върху малцинствените въпроси. </w:t>
      </w:r>
    </w:p>
    <w:p>
      <w:pPr>
        <w:pStyle w:val="Normal"/>
        <w:rPr/>
      </w:pPr>
      <w:r>
        <w:rPr/>
        <w:t xml:space="preserve">Препоръчваме това, защото гласовете на малцинствата не се чуват достатъчно. Те следва да се изразяват от свое име, по самоопределен начин и на професионално равнище; ето защо комбинирахме представителство чрез гласуване и експертиза. </w:t>
      </w:r>
    </w:p>
    <w:p>
      <w:pPr>
        <w:pStyle w:val="Normal"/>
        <w:rPr/>
      </w:pPr>
      <w:r>
        <w:rPr/>
        <w:t xml:space="preserve"> </w:t>
      </w:r>
    </w:p>
    <w:p>
      <w:pPr>
        <w:pStyle w:val="Titre4"/>
        <w:numPr>
          <w:ilvl w:val="3"/>
          <w:numId w:val="2"/>
        </w:numPr>
        <w:rPr/>
      </w:pPr>
      <w:bookmarkStart w:id="153" w:name="__RefHeading___Toc297241_1346298689"/>
      <w:bookmarkEnd w:id="153"/>
      <w:r>
        <w:rPr/>
        <w:t xml:space="preserve">Ос 2: Защита на демокрацията и върховенството на закона </w:t>
      </w:r>
    </w:p>
    <w:p>
      <w:pPr>
        <w:pStyle w:val="Normal"/>
        <w:rPr/>
      </w:pPr>
      <w:r>
        <w:rPr/>
        <w:t xml:space="preserve"> </w:t>
      </w:r>
    </w:p>
    <w:p>
      <w:pPr>
        <w:pStyle w:val="Normal"/>
        <w:rPr/>
      </w:pPr>
      <w:r>
        <w:rPr/>
        <w:t xml:space="preserve">Подос 2.2 Защита и укрепване на демокрацията/подос 2.4 Медиите и дезинформацията </w:t>
      </w:r>
    </w:p>
    <w:p>
      <w:pPr>
        <w:pStyle w:val="Normal"/>
        <w:rPr/>
      </w:pPr>
      <w:r>
        <w:rPr/>
        <w:t xml:space="preserve"> </w:t>
      </w:r>
    </w:p>
    <w:p>
      <w:pPr>
        <w:pStyle w:val="P68B1DB1Normal15"/>
        <w:rPr>
          <w:b/>
          <w:b/>
        </w:rPr>
      </w:pPr>
      <w:r>
        <w:rPr/>
        <w:t>„</w:t>
      </w:r>
      <w:r>
        <w:rPr/>
        <w:t xml:space="preserve">Препоръчваме създаването на агенция за мониторинг на аудио-визуалните, печатните и цифровите медии на европейско равнище. Тази агенция следва да провери дали националните медии следват безпристрастен и обективен процес при изготвянето на тяхното съдържание. С цел предотвратяване на дезинформацията Агенцията следва да предвиди система за оценяване на надеждността на националните медии. Тази рейтингова система следва да бъде лесна за разбиране от гражданите. </w:t>
      </w:r>
    </w:p>
    <w:p>
      <w:pPr>
        <w:pStyle w:val="Normal"/>
        <w:rPr/>
      </w:pPr>
      <w:r>
        <w:rPr/>
        <w:t xml:space="preserve"> </w:t>
      </w:r>
    </w:p>
    <w:p>
      <w:pPr>
        <w:pStyle w:val="Normal"/>
        <w:rPr/>
      </w:pPr>
      <w:r>
        <w:rPr/>
        <w:t xml:space="preserve">Препоръчваме това, защото се нуждаем от оценка на медиите и тяхната надеждност, но и на разнообразието на медиите в страните от ЕС. Европейската агенция би била най-обективният орган, който да гарантира такава мисия. Освен това подобна рейтингова система позволява на гражданите да правят информиран избор и насърчава медиите да предоставят надеждна информация. Ако рейтинговата система се окаже недостатъчна, за да се гарантира надеждността на медиите, агенцията следва също да бъде оправомощена да налага санкции. </w:t>
      </w:r>
    </w:p>
    <w:p>
      <w:pPr>
        <w:pStyle w:val="Normal"/>
        <w:rPr/>
      </w:pPr>
      <w:r>
        <w:rPr/>
        <w:t xml:space="preserve"> </w:t>
      </w:r>
    </w:p>
    <w:p>
      <w:pPr>
        <w:pStyle w:val="Titre3"/>
        <w:numPr>
          <w:ilvl w:val="2"/>
          <w:numId w:val="2"/>
        </w:numPr>
        <w:rPr/>
      </w:pPr>
      <w:bookmarkStart w:id="154" w:name="__RefHeading___Toc297243_1346298689"/>
      <w:bookmarkEnd w:id="154"/>
      <w:r>
        <w:rPr/>
        <w:t xml:space="preserve">Ос 5: Засилване на участието на гражданите </w:t>
      </w:r>
    </w:p>
    <w:p>
      <w:pPr>
        <w:pStyle w:val="Normal"/>
        <w:rPr/>
      </w:pPr>
      <w:r>
        <w:rPr/>
        <w:t xml:space="preserve"> </w:t>
      </w:r>
    </w:p>
    <w:p>
      <w:pPr>
        <w:pStyle w:val="Titre4"/>
        <w:numPr>
          <w:ilvl w:val="3"/>
          <w:numId w:val="2"/>
        </w:numPr>
        <w:rPr/>
      </w:pPr>
      <w:r>
        <w:rPr/>
        <w:t xml:space="preserve">Подос 5.1 Участие на гражданите </w:t>
      </w:r>
    </w:p>
    <w:p>
      <w:pPr>
        <w:pStyle w:val="Normal"/>
        <w:rPr/>
      </w:pPr>
      <w:r>
        <w:rPr/>
        <w:t xml:space="preserve"> </w:t>
      </w:r>
    </w:p>
    <w:p>
      <w:pPr>
        <w:pStyle w:val="P68B1DB1Normal15"/>
        <w:rPr>
          <w:b/>
          <w:b/>
        </w:rPr>
      </w:pPr>
      <w:r>
        <w:rPr/>
        <w:t>„</w:t>
      </w:r>
      <w:r>
        <w:rPr/>
        <w:t xml:space="preserve">Препоръчваме създаването на представителен орган на гражданите, който да обсъжда и да допринася значително за процеса на вземане на решения — когато ключов въпрос за европейските граждани се решава на равнище ЕС (съгласно решението на гражданите — евентуално чрез разследване). Това следва да бъде хетерогенна група от около 100 граждани от всички държави от ЕС, в които всяка държава е представена еднакво. Тя трябва да бъде ротационна група, чиито членове се сменят редовно. </w:t>
      </w:r>
    </w:p>
    <w:p>
      <w:pPr>
        <w:pStyle w:val="Normal"/>
        <w:rPr/>
      </w:pPr>
      <w:r>
        <w:rPr/>
        <w:t xml:space="preserve"> </w:t>
      </w:r>
    </w:p>
    <w:p>
      <w:pPr>
        <w:pStyle w:val="Normal"/>
        <w:rPr/>
      </w:pPr>
      <w:r>
        <w:rPr/>
        <w:t xml:space="preserve">Тъй като е важно да се избягват проблеми като корупцията, които биха могли да възникнат от постоянен представителен орган, е от жизненоважно значение този орган да има еднакво представителство на всички държави, за да се избегне нелоялна власт за вземане на решения. Тъй като този режим на работа ще избегне проблеми, свързани с инсталирането или постоянното използване на отдалечени технологии. </w:t>
      </w:r>
    </w:p>
    <w:p>
      <w:pPr>
        <w:pStyle w:val="Normal"/>
        <w:rPr/>
      </w:pPr>
      <w:r>
        <w:rPr/>
        <w:t xml:space="preserve">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55" w:name="__RefHeading___Toc297245_1346298689"/>
      <w:bookmarkEnd w:id="155"/>
      <w:r>
        <w:rPr/>
        <w:t xml:space="preserve">Европейски граждански панел 3: Изменение на климата и околна среда/Здравеопазване </w:t>
      </w:r>
    </w:p>
    <w:p>
      <w:pPr>
        <w:pStyle w:val="Normal"/>
        <w:rPr/>
      </w:pPr>
      <w:r>
        <w:rPr/>
        <w:t xml:space="preserve"> </w:t>
      </w:r>
    </w:p>
    <w:p>
      <w:pPr>
        <w:pStyle w:val="Normal"/>
        <w:rPr/>
      </w:pPr>
      <w:r>
        <w:rPr/>
        <w:t xml:space="preserve">ПРЕПОРЪКИ, ПРИЕТИ ОТ КОМИСИЯТА (ПРЕДСТОИ ДА БЪДАТ ПРЕДСТАВЕНИ НА ПЛЕНАРНО ЗАСЕДАНИЕ) </w:t>
      </w:r>
    </w:p>
    <w:p>
      <w:pPr>
        <w:pStyle w:val="Normal"/>
        <w:rPr/>
      </w:pPr>
      <w:r>
        <w:rPr/>
        <w:t xml:space="preserve"> </w:t>
      </w:r>
    </w:p>
    <w:p>
      <w:pPr>
        <w:pStyle w:val="Titre3"/>
        <w:numPr>
          <w:ilvl w:val="2"/>
          <w:numId w:val="2"/>
        </w:numPr>
        <w:rPr/>
      </w:pPr>
      <w:bookmarkStart w:id="156" w:name="__RefHeading___Toc297247_1346298689"/>
      <w:bookmarkEnd w:id="156"/>
      <w:r>
        <w:rPr/>
        <w:t xml:space="preserve">Ос 1: По-добри начини на живот </w:t>
      </w:r>
    </w:p>
    <w:p>
      <w:pPr>
        <w:pStyle w:val="Normal"/>
        <w:rPr/>
      </w:pPr>
      <w:r>
        <w:rPr/>
        <w:t xml:space="preserve"> </w:t>
      </w:r>
    </w:p>
    <w:p>
      <w:pPr>
        <w:pStyle w:val="Titre4"/>
        <w:numPr>
          <w:ilvl w:val="3"/>
          <w:numId w:val="2"/>
        </w:numPr>
        <w:rPr/>
      </w:pPr>
      <w:bookmarkStart w:id="157" w:name="__RefHeading___Toc297249_1346298689"/>
      <w:bookmarkEnd w:id="157"/>
      <w:r>
        <w:rPr/>
        <w:t xml:space="preserve">Подос 1.1 Здравословен начин на живот </w:t>
      </w:r>
    </w:p>
    <w:p>
      <w:pPr>
        <w:pStyle w:val="P68B1DB1Normal15"/>
        <w:rPr>
          <w:b/>
          <w:b/>
        </w:rPr>
      </w:pPr>
      <w:r>
        <w:rPr/>
        <w:t xml:space="preserve">1. Препоръчваме ЕС да предоставя субсидии за биологичното земеделие, включително стимули за биологични пестициди, за да стане биологичните продукти по-достъпни. Освен това ЕС трябва да подкрепя образованието на земеделските стопани в областта на биологичното и устойчиво земеделие и монокултурите следва да се избягват. Малките биологични стопанства, неинтензивните стопанства и стопанствата с къси вериги на доставки следва да се възползват от подкрепата, която им позволява да бъдат по-конкурентоспособни. </w:t>
      </w:r>
    </w:p>
    <w:p>
      <w:pPr>
        <w:pStyle w:val="Normal"/>
        <w:rPr/>
      </w:pPr>
      <w:r>
        <w:rPr/>
        <w:t xml:space="preserve"> </w:t>
      </w:r>
    </w:p>
    <w:p>
      <w:pPr>
        <w:pStyle w:val="Normal"/>
        <w:rPr/>
      </w:pPr>
      <w:r>
        <w:rPr/>
        <w:t xml:space="preserve">Субсидирането на биологични продукти ще ги направи по-достъпни. Трябва да помогнем на супермаркетите да използват по-къси вериги на доставки и на дребните земеделски стопани, като им предлагаме възможности да продават своите продукти. Това дава възможност за разширяване на достъпа до по-свежи продукти. Освен това ниските цени на небиологичните продукти не отразяват вредата, която причиняват. </w:t>
      </w:r>
    </w:p>
    <w:p>
      <w:pPr>
        <w:pStyle w:val="Normal"/>
        <w:rPr/>
      </w:pPr>
      <w:r>
        <w:rPr/>
        <w:t xml:space="preserve"> </w:t>
      </w:r>
    </w:p>
    <w:p>
      <w:pPr>
        <w:pStyle w:val="P68B1DB1Normal15"/>
        <w:rPr>
          <w:b/>
          <w:b/>
        </w:rPr>
      </w:pPr>
      <w:r>
        <w:rPr/>
        <w:t xml:space="preserve">2. Сметната палата препоръчва иновациите във вертикалното селско стопанство да се финансират от инвестиции на ЕС. </w:t>
      </w:r>
    </w:p>
    <w:p>
      <w:pPr>
        <w:pStyle w:val="Normal"/>
        <w:rPr/>
      </w:pPr>
      <w:r>
        <w:rPr/>
        <w:t xml:space="preserve">Вертикалното земеделие ни позволява да спестим земя, която вместо това може да се използва за горското стопанство. Той също така не изисква пестициди, което ни позволява да произвеждаме повече органични храни. Освен това тя не е засегната от лоши метеорологични условия, които са все по-чести поради изменението на климата и могат да скъсят веригите на доставки. </w:t>
      </w:r>
    </w:p>
    <w:p>
      <w:pPr>
        <w:pStyle w:val="Normal"/>
        <w:rPr/>
      </w:pPr>
      <w:r>
        <w:rPr/>
        <w:t xml:space="preserve"> </w:t>
      </w:r>
    </w:p>
    <w:p>
      <w:pPr>
        <w:pStyle w:val="P68B1DB1Normal15"/>
        <w:rPr>
          <w:b/>
          <w:b/>
        </w:rPr>
      </w:pPr>
      <w:r>
        <w:rPr/>
        <w:t xml:space="preserve">3. ЕС следва да определи минимални стандарти за качеството на храните, проследимостта на храните и консумацията на сезонни продукти в училищните столове. Поради това здравословните съставки за училищните столове следва да бъдат субсидирани, за да се осигури на учениците качествена храна на достъпни цени. </w:t>
      </w:r>
    </w:p>
    <w:p>
      <w:pPr>
        <w:pStyle w:val="Normal"/>
        <w:rPr/>
      </w:pPr>
      <w:r>
        <w:rPr/>
        <w:t xml:space="preserve"> </w:t>
      </w:r>
    </w:p>
    <w:p>
      <w:pPr>
        <w:pStyle w:val="Normal"/>
        <w:rPr/>
      </w:pPr>
      <w:r>
        <w:rPr/>
        <w:t xml:space="preserve">Придобиваме от ранна възраст навици, които оформят отношението ни към здравето; добрите навици трябва да бъдат насърчавани в училище и учениците могат да ги възпроизвеждат у дома. Това е и въпрос на социална справедливост: всеки ученик от ЕС следва да има право на качествена храна в училище. </w:t>
      </w:r>
    </w:p>
    <w:p>
      <w:pPr>
        <w:pStyle w:val="Normal"/>
        <w:rPr/>
      </w:pPr>
      <w:r>
        <w:rPr/>
        <w:t xml:space="preserve"> </w:t>
      </w:r>
    </w:p>
    <w:p>
      <w:pPr>
        <w:pStyle w:val="P68B1DB1Normal15"/>
        <w:rPr>
          <w:b/>
          <w:b/>
        </w:rPr>
      </w:pPr>
      <w:r>
        <w:rPr/>
        <w:t xml:space="preserve">4. Препоръчваме да се инвестира в нови велосипедни алеи и в подобряване на съществуващите пътеки, за да се направи колоезденето безопасно и привлекателно, както и да се гарантира, че всички възрастови групи могат да се възползват от обучението по правилата за движение по пътищата в Европа, особено за потребителите на електрически велосипеди и хората без шофьорска книжка. От производителите на електрически велосипеди следва да се изисква да предоставят информация относно използването на електрическия велосипед и свързаните с него рискове. Следва да се осигури правна защита на велосипедистите в случай на произшествие с превозно средство (вж. нидерландските правила). Ние подкрепяме зоните без автомобили в градовете (без да се вреди на търговските зони). В по-общ план препоръчваме да се даде приоритет и допълнителни права на велосипедистите и пешеходците пред моторните превозни средства, като същевременно се гарантира пътната безопасност и спазването на правилата за движение. </w:t>
      </w:r>
    </w:p>
    <w:p>
      <w:pPr>
        <w:pStyle w:val="Normal"/>
        <w:rPr/>
      </w:pPr>
      <w:r>
        <w:rPr/>
        <w:t xml:space="preserve"> </w:t>
      </w:r>
    </w:p>
    <w:p>
      <w:pPr>
        <w:pStyle w:val="Normal"/>
        <w:rPr/>
      </w:pPr>
      <w:r>
        <w:rPr/>
        <w:t xml:space="preserve">Тези препоръки са важни, тъй като велосипедът носи ползи по отношение на индивидуалното и общественото здраве, качеството на въздуха, нивата на шума, климата и трафика в центровете на градовете. Велосипедистите и пешеходците трябва да се чувстват в безопасност, като се имат предвид рисковете, свързани с увеличеното използване на електрическия велосипед. Понякога колоезденето липсва или е в лошо състояние. </w:t>
      </w:r>
    </w:p>
    <w:p>
      <w:pPr>
        <w:pStyle w:val="Normal"/>
        <w:rPr/>
      </w:pPr>
      <w:r>
        <w:rPr/>
        <w:t xml:space="preserve"> </w:t>
      </w:r>
    </w:p>
    <w:p>
      <w:pPr>
        <w:pStyle w:val="P68B1DB1Normal15"/>
        <w:rPr>
          <w:b/>
          <w:b/>
        </w:rPr>
      </w:pPr>
      <w:r>
        <w:rPr/>
        <w:t xml:space="preserve">5. Ние препоръчваме интегрирането на производството на храни в общественото образование. Препоръчваме субсидиране и подпомагане на създаването на градини в училищата, ако е възможно, и проекти за градско градинарство в обществени и частни пространства. Рамките за градоустройствено планиране трябва да включват необходимостта от пространство, вода и поддържаща инфраструктура. Например бивши паркинги биха могли да се използват за проекти за екологизиране, вертикални проекти за градинарство биха могли да се извършват върху сгради или получаването на разрешителни за строеж може да бъде обусловено от интегрирането на зелени площи. Сметната палата препоръчва обмен на иновативни и добри практики във всички държави членки. </w:t>
      </w:r>
    </w:p>
    <w:p>
      <w:pPr>
        <w:pStyle w:val="Normal"/>
        <w:rPr/>
      </w:pPr>
      <w:r>
        <w:rPr/>
        <w:t xml:space="preserve"> </w:t>
      </w:r>
    </w:p>
    <w:p>
      <w:pPr>
        <w:pStyle w:val="Normal"/>
        <w:rPr/>
      </w:pPr>
      <w:r>
        <w:rPr/>
        <w:t xml:space="preserve">Проектите за градинарство насърчават устойчивостта на градовете и техните жители, като обединяват хора от различни възрасти и социални групи. Умножаването на зелените площи подобрява качеството на живот, качеството на въздуха, психическото и физическото здраве и околната среда. </w:t>
      </w:r>
    </w:p>
    <w:p>
      <w:pPr>
        <w:pStyle w:val="Normal"/>
        <w:rPr/>
      </w:pPr>
      <w:r>
        <w:rPr/>
        <w:t xml:space="preserve"> </w:t>
      </w:r>
    </w:p>
    <w:p>
      <w:pPr>
        <w:pStyle w:val="Titre4"/>
        <w:numPr>
          <w:ilvl w:val="3"/>
          <w:numId w:val="2"/>
        </w:numPr>
        <w:rPr/>
      </w:pPr>
      <w:bookmarkStart w:id="158" w:name="__RefHeading___Toc297251_1346298689"/>
      <w:bookmarkEnd w:id="158"/>
      <w:r>
        <w:rPr/>
        <w:t xml:space="preserve">Подос 1.2 Екологично образование </w:t>
      </w:r>
    </w:p>
    <w:p>
      <w:pPr>
        <w:pStyle w:val="P68B1DB1Normal15"/>
        <w:rPr>
          <w:b/>
          <w:b/>
        </w:rPr>
      </w:pPr>
      <w:r>
        <w:rPr/>
        <w:t>6. Препоръчваме ЕС да приеме директива, изискваща програмите за градоустройствено планиране да отговарят на специфични екологични изисквания, за да станат градовете по-екологични. Настоящата директива следва да се прилага за частни и обществени блага и пространства, по-специално за нови сгради в процес на разработване. Тя трябва да наложи минимални стандарти, за да се гарантира, че сградите и пространствата са възможно най-зелени. Прилагателното „зелено“ тук се отнася до използването на възобновяеми енергийни източници, намаленото потребление на енергия, ниските емисии на</w:t>
      </w:r>
      <w:r>
        <w:rPr>
          <w:vertAlign w:val="subscript"/>
        </w:rPr>
        <w:t>CO2 и</w:t>
      </w:r>
      <w:r>
        <w:rPr/>
        <w:t xml:space="preserve"> включването на централите в архитектурни проекти. </w:t>
      </w:r>
    </w:p>
    <w:p>
      <w:pPr>
        <w:pStyle w:val="Normal"/>
        <w:rPr/>
      </w:pPr>
      <w:r>
        <w:rPr/>
        <w:t xml:space="preserve"> </w:t>
      </w:r>
    </w:p>
    <w:p>
      <w:pPr>
        <w:pStyle w:val="Normal"/>
        <w:rPr/>
      </w:pPr>
      <w:r>
        <w:rPr/>
        <w:t>По-зелените градове допринасят активно за намаляване на последиците от изменението на климата и по-специално на емисиите на CO2 и</w:t>
      </w:r>
      <w:r>
        <w:rPr>
          <w:vertAlign w:val="subscript"/>
        </w:rPr>
        <w:t>озон</w:t>
      </w:r>
      <w:r>
        <w:rPr/>
        <w:t xml:space="preserve">, които имат отрицателно въздействие върху здравето на гражданите. Инвестициите в по-екологосъобразни градове допринасят за устойчивото развитие на общностите, което носи дългосрочни икономически и социални ползи. </w:t>
      </w:r>
    </w:p>
    <w:p>
      <w:pPr>
        <w:pStyle w:val="Normal"/>
        <w:rPr/>
      </w:pPr>
      <w:r>
        <w:rPr/>
        <w:t xml:space="preserve"> </w:t>
      </w:r>
    </w:p>
    <w:p>
      <w:pPr>
        <w:pStyle w:val="P68B1DB1Normal15"/>
        <w:rPr>
          <w:b/>
          <w:b/>
        </w:rPr>
      </w:pPr>
      <w:r>
        <w:rPr/>
        <w:t xml:space="preserve">7. Препоръчваме ЕС, със съдействието на държавите членки, да разработи, приеме и приложи обща европейска харта, насочена към проблемите на околната среда в тяхната сложност. Хартата ще предостави на държавите членки рамка за организиране на редовни информационни и обучителни кампании, разпространявани чрез всички налични медийни канали и на нов информационен портал, създаден за тази цел. Тези кампании следва да бъдат организирани в целия ЕС и на всички равнища, за да се повиши осведомеността за околната среда сред всички граждани. </w:t>
      </w:r>
    </w:p>
    <w:p>
      <w:pPr>
        <w:pStyle w:val="Normal"/>
        <w:rPr/>
      </w:pPr>
      <w:r>
        <w:rPr/>
        <w:t xml:space="preserve"> </w:t>
      </w:r>
    </w:p>
    <w:p>
      <w:pPr>
        <w:pStyle w:val="Normal"/>
        <w:rPr/>
      </w:pPr>
      <w:r>
        <w:rPr/>
        <w:t xml:space="preserve">Липсата на координация между държавите членки възпрепятства ефективността на съществуващите кампании и забавя усилията за справяне с глобалното предизвикателство, свързано с изменението на климата. Една обща харта ще насърчи полезните взаимодействия между плановете за действие на държавите членки, като гарантира по-голяма ефективност на усилията. Освен това тя ще гарантира, че на гражданите се предоставя последователна и последователна информация относно въздействието на ежедневните им действия, като например избора на начин на транспорт и третирането на техните отпадъци. </w:t>
      </w:r>
    </w:p>
    <w:p>
      <w:pPr>
        <w:pStyle w:val="Normal"/>
        <w:rPr/>
      </w:pPr>
      <w:r>
        <w:rPr/>
        <w:t xml:space="preserve"> </w:t>
      </w:r>
    </w:p>
    <w:p>
      <w:pPr>
        <w:pStyle w:val="Titre3"/>
        <w:numPr>
          <w:ilvl w:val="2"/>
          <w:numId w:val="2"/>
        </w:numPr>
        <w:rPr/>
      </w:pPr>
      <w:bookmarkStart w:id="159" w:name="__RefHeading___Toc297253_1346298689"/>
      <w:bookmarkEnd w:id="159"/>
      <w:r>
        <w:rPr/>
        <w:t xml:space="preserve">Ос 2: Опазване на околната среда и здравето </w:t>
      </w:r>
    </w:p>
    <w:p>
      <w:pPr>
        <w:pStyle w:val="Titre4"/>
        <w:numPr>
          <w:ilvl w:val="3"/>
          <w:numId w:val="2"/>
        </w:numPr>
        <w:rPr/>
      </w:pPr>
      <w:bookmarkStart w:id="160" w:name="__RefHeading___Toc297255_1346298689"/>
      <w:bookmarkEnd w:id="160"/>
      <w:r>
        <w:rPr/>
        <w:t xml:space="preserve">Подос 2.1 Здрава природна среда </w:t>
      </w:r>
    </w:p>
    <w:p>
      <w:pPr>
        <w:pStyle w:val="P68B1DB1Normal15"/>
        <w:rPr>
          <w:b/>
          <w:b/>
        </w:rPr>
      </w:pPr>
      <w:r>
        <w:rPr/>
        <w:t xml:space="preserve">8. Препоръчваме единна система за оценка на въздействието върху околната среда, която показва цялостния отпечатък върху околната среда на всеки наличен продукт, закупен в ЕС. Продуктите от трети държави трябва да спазват тази екологична система по прозрачен начин. Тази система следва да се основава на ясни критерии за класификация, приложими за самите продукти, и да използва например QR код, който предоставя по-подробна информация за продукта. </w:t>
      </w:r>
    </w:p>
    <w:p>
      <w:pPr>
        <w:pStyle w:val="Normal"/>
        <w:rPr/>
      </w:pPr>
      <w:r>
        <w:rPr/>
        <w:t xml:space="preserve"> </w:t>
      </w:r>
    </w:p>
    <w:p>
      <w:pPr>
        <w:pStyle w:val="Normal"/>
        <w:rPr/>
      </w:pPr>
      <w:r>
        <w:rPr/>
        <w:t xml:space="preserve">Тази информация за жизнения цикъл на продуктите е от основно значение за всички граждани на ЕС, за да се даде възможност на потребителите при пазаруване. Това ще даде възможност на гражданите на ЕС да вземат отговорни решения, които ще допринесат за опазването на тяхната околна среда. </w:t>
      </w:r>
    </w:p>
    <w:p>
      <w:pPr>
        <w:pStyle w:val="Normal"/>
        <w:rPr/>
      </w:pPr>
      <w:r>
        <w:rPr/>
        <w:t xml:space="preserve"> </w:t>
      </w:r>
    </w:p>
    <w:p>
      <w:pPr>
        <w:pStyle w:val="P68B1DB1Normal15"/>
        <w:rPr>
          <w:b/>
          <w:b/>
        </w:rPr>
      </w:pPr>
      <w:r>
        <w:rPr/>
        <w:t xml:space="preserve">9. Препоръчваме да се направят повече инвестиции за проучване на нови екологосъобразни енергийни източници и, до внедряването на тези нови източници, да се заделят допълнителни инвестиции за съществуващите оптимални решения за производство на енергия. Препоръчваме също така прозрачно информиране и образоване на европейските граждани относно конкретни енергийни източници. Настоятелно препоръчваме да се вземат предвид цялостното екологично и социално въздействие на процеса на производство на енергия за настоящите и бъдещите поколения. </w:t>
      </w:r>
    </w:p>
    <w:p>
      <w:pPr>
        <w:pStyle w:val="Normal"/>
        <w:rPr/>
      </w:pPr>
      <w:r>
        <w:rPr/>
        <w:t xml:space="preserve"> </w:t>
      </w:r>
    </w:p>
    <w:p>
      <w:pPr>
        <w:pStyle w:val="Normal"/>
        <w:rPr/>
      </w:pPr>
      <w:r>
        <w:rPr/>
        <w:t xml:space="preserve">Изправени сме пред много високи нива на въглеродни емисии и други токсични вещества от производството на енергия, които влошават качеството на въздуха и климата. За да спазим насоките на ЕС, препоръките от докладите на Междуправителствения комитет по изменение на климата и целите на COP26, трябва да засилим научните изследвания и инвестициите за постигане на неутрално по отношение на климата производство на енергия. </w:t>
      </w:r>
    </w:p>
    <w:p>
      <w:pPr>
        <w:pStyle w:val="Normal"/>
        <w:rPr/>
      </w:pPr>
      <w:r>
        <w:rPr/>
        <w:t xml:space="preserve"> </w:t>
      </w:r>
    </w:p>
    <w:p>
      <w:pPr>
        <w:pStyle w:val="Titre4"/>
        <w:numPr>
          <w:ilvl w:val="3"/>
          <w:numId w:val="2"/>
        </w:numPr>
        <w:rPr/>
      </w:pPr>
      <w:bookmarkStart w:id="161" w:name="__RefHeading___Toc297257_1346298689"/>
      <w:bookmarkEnd w:id="161"/>
      <w:r>
        <w:rPr/>
        <w:t xml:space="preserve">Подос 2.2 Опазване на биологичното разнообразие </w:t>
      </w:r>
    </w:p>
    <w:p>
      <w:pPr>
        <w:pStyle w:val="P68B1DB1Normal15"/>
        <w:rPr>
          <w:b/>
          <w:b/>
        </w:rPr>
      </w:pPr>
      <w:r>
        <w:rPr/>
        <w:t xml:space="preserve">10. Препоръчваме драстично да се намали употребата на химически пестициди и торове във всички видове селско стопанство, като се гарантира прилагането на по-строги общи стандарти, ускоряване на научните изследвания в областта на естествените алтернативи и подкрепа за приемането на нови решения, включително обучение за земеделските стопани. </w:t>
      </w:r>
    </w:p>
    <w:p>
      <w:pPr>
        <w:pStyle w:val="Normal"/>
        <w:rPr/>
      </w:pPr>
      <w:r>
        <w:rPr/>
        <w:t xml:space="preserve"> </w:t>
      </w:r>
    </w:p>
    <w:p>
      <w:pPr>
        <w:pStyle w:val="Normal"/>
        <w:rPr/>
      </w:pPr>
      <w:r>
        <w:rPr/>
        <w:t xml:space="preserve">Въпреки че е постигнат напредък по отношение на торовете и алтернативните пестициди, повечето от тях все още не могат да се използват от големите стопанства. Поради това са необходими по-постоянни усилия за разработване на нови решения. Научните изследвания следва да бъдат насърчавани чрез публични разходи и по-високи стандарти за използването на пестициди и торове. Резултатите от научните изследвания трябва бързо да се разпространяват на равнище ЕС. </w:t>
      </w:r>
    </w:p>
    <w:p>
      <w:pPr>
        <w:pStyle w:val="Normal"/>
        <w:rPr/>
      </w:pPr>
      <w:r>
        <w:rPr/>
        <w:t xml:space="preserve"> </w:t>
      </w:r>
    </w:p>
    <w:p>
      <w:pPr>
        <w:pStyle w:val="P68B1DB1Normal15"/>
        <w:rPr>
          <w:b/>
          <w:b/>
        </w:rPr>
      </w:pPr>
      <w:r>
        <w:rPr/>
        <w:t xml:space="preserve">11. Препоръчваме да се разширят защитените зони за опазване на биологичното разнообразие (бозайници, птици, насекоми и растения) и да се укрепи върховенството на закона по отношение на човешката намеса в тези зони. Защитените територии ще се разглеждат не само като островчета, но и като континуум с по-зелени градски зони, в съответствие с хармонизираните стандарти на ЕС. </w:t>
      </w:r>
    </w:p>
    <w:p>
      <w:pPr>
        <w:pStyle w:val="Normal"/>
        <w:rPr/>
      </w:pPr>
      <w:r>
        <w:rPr/>
        <w:t xml:space="preserve"> </w:t>
      </w:r>
    </w:p>
    <w:p>
      <w:pPr>
        <w:pStyle w:val="Normal"/>
        <w:rPr/>
      </w:pPr>
      <w:r>
        <w:rPr/>
        <w:t xml:space="preserve">Биоразнообразието страда от обезлесяване. Създаването на защитени територии е едно от основните средства за опазване на сухоземното биологично разнообразие. Въпреки това е трудно да се запазят защитените зони в близост до замърсени градове или да се избегне човешка намеса, когато околните райони оставят малко място за природата. Трябва да озеленим жилищните площи и да ги интегрираме в заобикалящата ги природа. </w:t>
      </w:r>
    </w:p>
    <w:p>
      <w:pPr>
        <w:pStyle w:val="Normal"/>
        <w:rPr/>
      </w:pPr>
      <w:r>
        <w:rPr/>
        <w:t xml:space="preserve"> </w:t>
      </w:r>
    </w:p>
    <w:p>
      <w:pPr>
        <w:pStyle w:val="Normal"/>
        <w:rPr/>
      </w:pPr>
      <w:r>
        <w:rPr>
          <w:b/>
        </w:rPr>
        <w:t>12. Препоръчваме да се пренасочат генерични субсидии към селското стопанство главно към проекти, свързани с развитието на устойчиво селско стопанство, включително зачитане на природата и работниците. Бенефициерите следва да спазват ясни екологични стандарти и да бъдат наблюдавани отблизо.</w:t>
      </w:r>
      <w:r>
        <w:rPr/>
        <w:t xml:space="preserve"> </w:t>
      </w:r>
    </w:p>
    <w:p>
      <w:pPr>
        <w:pStyle w:val="Normal"/>
        <w:rPr/>
      </w:pPr>
      <w:r>
        <w:rPr/>
        <w:t xml:space="preserve"> </w:t>
      </w:r>
    </w:p>
    <w:p>
      <w:pPr>
        <w:pStyle w:val="Normal"/>
        <w:rPr/>
      </w:pPr>
      <w:r>
        <w:rPr/>
        <w:t xml:space="preserve">Считаме, че следва да се насърчава само устойчиво селско стопанство, което предполага преразпределяне на средствата, които понастоящем се използват за общи субсидии. Освен това е възможно да се повиши ефективността на средствата, използвани чрез съсредоточаване върху преобразуващи проекти и иновативни решения, а не върху годишни плащания. Следва да се осигури по-добър мониторинг на екологичното въздействие на селскостопанските дейности и проекти. Правата на човека на работниците също трябва да се разглеждат като неразделна част от устойчивостта. </w:t>
      </w:r>
    </w:p>
    <w:p>
      <w:pPr>
        <w:pStyle w:val="Normal"/>
        <w:rPr/>
      </w:pPr>
      <w:r>
        <w:rPr/>
        <w:t xml:space="preserve"> </w:t>
      </w:r>
    </w:p>
    <w:p>
      <w:pPr>
        <w:pStyle w:val="Normal"/>
        <w:rPr/>
      </w:pPr>
      <w:r>
        <w:rPr>
          <w:b/>
        </w:rPr>
        <w:t>13. Препоръчваме ЕС да гарантира лоялна конкуренция за екологосъобразни селскостопански продукти чрез определяне на по-високи стандарти както за продуктите от ЕС, така и за вносните продукти, като гарантира проследимост, етикетиране и контрол на качеството.</w:t>
      </w:r>
      <w:r>
        <w:rPr/>
        <w:t xml:space="preserve"> </w:t>
      </w:r>
    </w:p>
    <w:p>
      <w:pPr>
        <w:pStyle w:val="Normal"/>
        <w:rPr/>
      </w:pPr>
      <w:r>
        <w:rPr/>
        <w:t xml:space="preserve"> </w:t>
      </w:r>
    </w:p>
    <w:p>
      <w:pPr>
        <w:pStyle w:val="Normal"/>
        <w:rPr/>
      </w:pPr>
      <w:r>
        <w:rPr/>
        <w:t xml:space="preserve">По-ниската производителност на устойчивите селскостопански продукти подкопава тяхната разходна конкурентоспособност. Вносните продукти трябва да отговарят на същите строги стандарти по отношение на въздействието върху околната среда на тяхното производство. Нашите органи следва да могат да гарантират проследимостта на внесените селскостопански продукти. </w:t>
      </w:r>
    </w:p>
    <w:p>
      <w:pPr>
        <w:pStyle w:val="Normal"/>
        <w:rPr/>
      </w:pPr>
      <w:r>
        <w:rPr/>
        <w:t xml:space="preserve"> </w:t>
      </w:r>
    </w:p>
    <w:p>
      <w:pPr>
        <w:pStyle w:val="P68B1DB1Normal15"/>
        <w:rPr>
          <w:b/>
          <w:b/>
        </w:rPr>
      </w:pPr>
      <w:r>
        <w:rPr/>
        <w:t xml:space="preserve">14. Препоръчваме бързо и масово повторно залесяване и залесяване в ЕС благодарение на оптимизираното земеползване. Особено внимание следва да се обърне на повторното залесяване на експлоатирани или унищожени гори и на залесяването на райони с влошени почви. Следва да се насърчават нови, по-отговорни решения за по-добро използване на дървесината, например за замяна на пластмаси и други химикали, постигане на повишена енергийна ефективност от биомаса и рециклиране на дървесни продукти. </w:t>
      </w:r>
    </w:p>
    <w:p>
      <w:pPr>
        <w:pStyle w:val="Normal"/>
        <w:rPr/>
      </w:pPr>
      <w:r>
        <w:rPr/>
        <w:t xml:space="preserve"> </w:t>
      </w:r>
    </w:p>
    <w:p>
      <w:pPr>
        <w:pStyle w:val="Normal"/>
        <w:rPr/>
      </w:pPr>
      <w:r>
        <w:rPr/>
        <w:t xml:space="preserve">Повторното залесяване има ясно положително въздействие върху околната среда и биологичното разнообразие като цяло. В същото време трябва да използваме по-малко дървесина, за да се отопляваме, но повече, за да ги направим продукти с висока добавена стойност; например, за да замените пластмасите, използването на дърво е от първостепенно значение. </w:t>
      </w:r>
    </w:p>
    <w:p>
      <w:pPr>
        <w:pStyle w:val="Normal"/>
        <w:rPr/>
      </w:pPr>
      <w:r>
        <w:rPr/>
        <w:t xml:space="preserve"> </w:t>
      </w:r>
    </w:p>
    <w:p>
      <w:pPr>
        <w:pStyle w:val="Titre4"/>
        <w:numPr>
          <w:ilvl w:val="3"/>
          <w:numId w:val="2"/>
        </w:numPr>
        <w:rPr/>
      </w:pPr>
      <w:bookmarkStart w:id="162" w:name="__RefHeading___Toc297259_1346298689"/>
      <w:bookmarkEnd w:id="162"/>
      <w:r>
        <w:rPr/>
        <w:t xml:space="preserve">Подос 2.3 Безопасни и здравословни храни </w:t>
      </w:r>
    </w:p>
    <w:p>
      <w:pPr>
        <w:pStyle w:val="P68B1DB1Normal15"/>
        <w:rPr>
          <w:b/>
          <w:b/>
        </w:rPr>
      </w:pPr>
      <w:r>
        <w:rPr/>
        <w:t xml:space="preserve">15. Препоръчваме бързо и постепенно премахване на неустойчивите опаковки, използвани за храна, включително пластмасови опаковки и други биоразградими опаковки. За тази цел предлагаме да се предложат финансови стимули на дружествата, преминаващи към напълно биоразградими форми на опаковане, да инвестират в намирането на алтернативи и да налагат санкции на дружествата, които не използват биоразградими опаковки. </w:t>
      </w:r>
    </w:p>
    <w:p>
      <w:pPr>
        <w:pStyle w:val="Normal"/>
        <w:rPr/>
      </w:pPr>
      <w:r>
        <w:rPr/>
        <w:t xml:space="preserve"> </w:t>
      </w:r>
    </w:p>
    <w:p>
      <w:pPr>
        <w:pStyle w:val="Normal"/>
        <w:rPr/>
      </w:pPr>
      <w:r>
        <w:rPr/>
        <w:t xml:space="preserve">Пластмасовите отпадъци, особено пластмасовите микрочастици, стават все по-изобилни и бавно разграждащи се. Консумацията на пластмаса подкопава качеството и безопасността на храните и същевременно създава рискове за здравето на хората и животните. Освен това съществуващото законодателство на ЕС за намаляване на биоразградимите опаковки е недостатъчно. </w:t>
      </w:r>
    </w:p>
    <w:p>
      <w:pPr>
        <w:pStyle w:val="Normal"/>
        <w:rPr/>
      </w:pPr>
      <w:r>
        <w:rPr/>
        <w:t xml:space="preserve"> </w:t>
      </w:r>
    </w:p>
    <w:p>
      <w:pPr>
        <w:pStyle w:val="P68B1DB1Normal15"/>
        <w:rPr>
          <w:b/>
          <w:b/>
        </w:rPr>
      </w:pPr>
      <w:r>
        <w:rPr/>
        <w:t xml:space="preserve">16. Препоръчваме постепенното изоставяне на интензивното земеделие, включително прекратяване на влошаващите се условия на живот на животните. Предлагаме да се установят общи стандарти за животновъдството (напр. максимален брой животни, адаптирано външно пространство) и да се инвестира повече в неинтензивни методи (широко и устойчиво селско стопанство), като се предоставят финансови стимули и обучение за земеделските стопани в подкрепа на това развитие. </w:t>
      </w:r>
    </w:p>
    <w:p>
      <w:pPr>
        <w:pStyle w:val="Normal"/>
        <w:rPr/>
      </w:pPr>
      <w:r>
        <w:rPr/>
        <w:t xml:space="preserve"> </w:t>
      </w:r>
    </w:p>
    <w:p>
      <w:pPr>
        <w:pStyle w:val="Normal"/>
        <w:rPr/>
      </w:pPr>
      <w:r>
        <w:rPr/>
        <w:t xml:space="preserve">Постепенното премахване на интензивното селско стопанство ще намали нивата на замърсяване на околната среда и ще засили опазването на природата. Освен това постепенното премахване на интензивното животновъдство ще намали количеството на лекарствата, необходими за борба с болестите по животните и за подобряване на качеството на нашия хранителен режим. Интензивното земеделие също така не зачита хуманното отношение към животните, но съществуват по-устойчиви форми на земеделие, като например екстензивно земеделие; необходимо е да се предоставят субсидии на земеделските стопани, за да им се помогне да поемат по този път. </w:t>
      </w:r>
    </w:p>
    <w:p>
      <w:pPr>
        <w:pStyle w:val="Normal"/>
        <w:rPr/>
      </w:pPr>
      <w:r>
        <w:rPr/>
        <w:t xml:space="preserve"> </w:t>
      </w:r>
    </w:p>
    <w:p>
      <w:pPr>
        <w:pStyle w:val="P68B1DB1Normal15"/>
        <w:rPr>
          <w:b/>
          <w:b/>
        </w:rPr>
      </w:pPr>
      <w:r>
        <w:rPr/>
        <w:t xml:space="preserve">17. Препоръчваме да се засили контролът върху забраната на ненужната употреба на антибиотици и други ветеринарномедицински продукти във фуражните добавки: нека да направим тази инициатива да се случи! Предлагаме използването на антибиотици в животновъдството да бъде разрешено само когато е абсолютно необходимо, за да се защитят здравето на животните и хуманното отношение към тях, а не по превантивен начин. Освен това е необходимо да се инвестира повече в търсенето на по-ефективни антибиотици, като се разработват алтернативи, като същевременно се надгражда върху текущите изследвания в тази област. </w:t>
      </w:r>
    </w:p>
    <w:p>
      <w:pPr>
        <w:pStyle w:val="Normal"/>
        <w:rPr/>
      </w:pPr>
      <w:r>
        <w:rPr/>
        <w:t xml:space="preserve"> </w:t>
      </w:r>
    </w:p>
    <w:p>
      <w:pPr>
        <w:pStyle w:val="Normal"/>
        <w:rPr/>
      </w:pPr>
      <w:r>
        <w:rPr/>
        <w:t xml:space="preserve">Човешката резистентност към антибиотици се намалява поради консумацията на храна, получена от животни, на които са приложени антибиотици. Освен това е необходимо време, за да се разработят подходящи решения за замяна на съществуващите антибиотици и да се гарантира, че земеделските стопани са информирани и желаят да ги използват. Признаваме, че съществуват директиви на ЕС за антибиотиците; те обаче не са били прилагани по един и същ начин във всички държави членки. И накрая, с ветеринарномедицинските продукти се злоупотребява с допингови цели; следователно по-строгото законодателство в тази област ще подобри хуманното отношение към животните и ще подобри тяхното качество на живот. </w:t>
      </w:r>
    </w:p>
    <w:p>
      <w:pPr>
        <w:pStyle w:val="Normal"/>
        <w:rPr/>
      </w:pPr>
      <w:r>
        <w:rPr/>
        <w:t xml:space="preserve"> </w:t>
      </w:r>
    </w:p>
    <w:p>
      <w:pPr>
        <w:pStyle w:val="P68B1DB1Normal15"/>
        <w:rPr>
          <w:b/>
          <w:b/>
        </w:rPr>
      </w:pPr>
      <w:r>
        <w:rPr/>
        <w:t xml:space="preserve">18. Сметната палата препоръчва законодателството на ЕС да изисква докладване за употребата на хормонални вещества и вещества, нарушаващи функциите на ендокринната система, в производството на храни, за да се уточни видът, количеството и експозицията на крайния продукт, използван. Етикетите, ясно указващи присъстващите вещества и причините за тяхната употреба, трябва да фигурират върху опаковката на всички съответни хранителни продукти. Освен това изследванията относно въздействието на хормоналните вещества и ендокринните нарушители върху човешкото здраве следва да бъдат ускорени. </w:t>
      </w:r>
    </w:p>
    <w:p>
      <w:pPr>
        <w:pStyle w:val="Normal"/>
        <w:rPr/>
      </w:pPr>
      <w:r>
        <w:rPr/>
        <w:t xml:space="preserve"> </w:t>
      </w:r>
    </w:p>
    <w:p>
      <w:pPr>
        <w:pStyle w:val="Normal"/>
        <w:rPr/>
      </w:pPr>
      <w:r>
        <w:rPr/>
        <w:t xml:space="preserve">Понастоящем проследимостта на хранителните продукти е недостатъчна, по-специално по отношение на хормоналните вещества и веществата, нарушаващи функциите на ендокринната система. Считаме, че прозрачността в производството на храни е необходима, за да се отговори на отговорността. Освен това потребителите следва да могат да знаят състава, в неговата цялост, на хранителните продукти, които консумират, и да могат свободно да избират това, което ядат. Освен това няма достатъчно изследвания относно въздействието върху хората (и потенциалните рискове), свързани с консумацията на хранителни продукти, съдържащи хормонални вещества и нарушители на функциите на ендокринната система. </w:t>
      </w:r>
    </w:p>
    <w:p>
      <w:pPr>
        <w:pStyle w:val="Normal"/>
        <w:rPr/>
      </w:pPr>
      <w:r>
        <w:rPr/>
        <w:t xml:space="preserve"> </w:t>
      </w:r>
    </w:p>
    <w:p>
      <w:pPr>
        <w:pStyle w:val="P68B1DB1Normal15"/>
        <w:rPr>
          <w:b/>
          <w:b/>
        </w:rPr>
      </w:pPr>
      <w:r>
        <w:rPr/>
        <w:t xml:space="preserve">19. Препоръчваме да се обезкуражи консумацията на преработени храни, като се прилагат данъци върху храните, които са вредни за здравето, и като се инвестират средства в здравословни храни. Предлагаме да се създаде общоевропейска система за оценка на здравословните храни въз основа на най-добрите практики в държавите членки и да се поставят етикети върху храните, за да се информират потребителите за тяхното въздействие върху здравето. </w:t>
      </w:r>
    </w:p>
    <w:p>
      <w:pPr>
        <w:pStyle w:val="Normal"/>
        <w:rPr/>
      </w:pPr>
      <w:r>
        <w:rPr/>
        <w:t xml:space="preserve"> </w:t>
      </w:r>
    </w:p>
    <w:p>
      <w:pPr>
        <w:pStyle w:val="Normal"/>
        <w:rPr/>
      </w:pPr>
      <w:r>
        <w:rPr/>
        <w:t xml:space="preserve">По този начин събраните средства могат да бъдат използвани за разработване на кампании за повишаване на осведомеността и популяризиране, даване на приоритет на здравословното хранене в образователния сектор и намаляване на видимостта на нездравословните храни в супермаркетите. Инвестициите в здравословни храни допринасят също така за подобряване на общото здравословно състояние на населението и следователно за намаляване на равнището на публичните разходи, необходими за справяне със здравословните проблеми, произтичащи от лошото хранене. Освен това ние вярваме, че данъците и субсидиите ще насърчат предприятията да произвеждат по-здравословна храна. </w:t>
      </w:r>
    </w:p>
    <w:p>
      <w:pPr>
        <w:pStyle w:val="Normal"/>
        <w:rPr/>
      </w:pPr>
      <w:r>
        <w:rPr/>
        <w:t xml:space="preserve"> </w:t>
      </w:r>
    </w:p>
    <w:p>
      <w:pPr>
        <w:pStyle w:val="Titre3"/>
        <w:numPr>
          <w:ilvl w:val="2"/>
          <w:numId w:val="2"/>
        </w:numPr>
        <w:rPr/>
      </w:pPr>
      <w:bookmarkStart w:id="163" w:name="__RefHeading___Toc297261_1346298689"/>
      <w:bookmarkEnd w:id="163"/>
      <w:r>
        <w:rPr/>
        <w:t xml:space="preserve">Ос 3: преориентиране на икономиката и потреблението </w:t>
      </w:r>
    </w:p>
    <w:p>
      <w:pPr>
        <w:pStyle w:val="Titre4"/>
        <w:numPr>
          <w:ilvl w:val="3"/>
          <w:numId w:val="2"/>
        </w:numPr>
        <w:rPr/>
      </w:pPr>
      <w:bookmarkStart w:id="164" w:name="__RefHeading___Toc297263_1346298689"/>
      <w:bookmarkEnd w:id="164"/>
      <w:r>
        <w:rPr/>
        <w:t xml:space="preserve">Подос 3.1 Регулиране на свръхпроизводството и свръхпотреблението </w:t>
      </w:r>
    </w:p>
    <w:p>
      <w:pPr>
        <w:pStyle w:val="P68B1DB1Normal15"/>
        <w:rPr>
          <w:b/>
          <w:b/>
        </w:rPr>
      </w:pPr>
      <w:r>
        <w:rPr/>
        <w:t xml:space="preserve">20. Препоръчваме на ЕС да предприеме повече мерки, за да позволи на потребителите да използват продуктите по-дълго и да ги насърчи да го правят. ЕС следва да се бори с планираното остаряване чрез удължаване на гаранцията за продукта и определяне на максимална цена за резервните части след изтичане на гаранционния срок. Всички държави членки следва да въведат данъчно облекчение за ремонтните услуги, какъвто е случаят в Швеция. От производителите следва да се изисква да посочат очаквания жизнен цикъл на своите продукти. ЕС следва да предоставя информация относно начините за повторна употреба и поправка на продуктите чрез уебсайт и чрез образование. </w:t>
      </w:r>
    </w:p>
    <w:p>
      <w:pPr>
        <w:pStyle w:val="Normal"/>
        <w:rPr/>
      </w:pPr>
      <w:r>
        <w:rPr/>
        <w:t xml:space="preserve"> </w:t>
      </w:r>
    </w:p>
    <w:p>
      <w:pPr>
        <w:pStyle w:val="Normal"/>
        <w:rPr/>
      </w:pPr>
      <w:r>
        <w:rPr/>
        <w:t xml:space="preserve">Нашето общество на отпадъци не е жизнеспособно, защото генерира твърде много отпадъци. Чрез прилагането на предложените мерки ще се развием към общество, в което продуктите ще бъдат повторно използвани и ремонтирани, броят на които ще намалее, като по този начин ще се намали свръхпотреблението. </w:t>
      </w:r>
    </w:p>
    <w:p>
      <w:pPr>
        <w:pStyle w:val="Normal"/>
        <w:rPr/>
      </w:pPr>
      <w:r>
        <w:rPr/>
        <w:t xml:space="preserve"> </w:t>
      </w:r>
    </w:p>
    <w:p>
      <w:pPr>
        <w:pStyle w:val="P68B1DB1Normal15"/>
        <w:rPr>
          <w:b/>
          <w:b/>
        </w:rPr>
      </w:pPr>
      <w:r>
        <w:rPr/>
        <w:t xml:space="preserve">21. Препоръчваме ЕС да прилага по-строги екологични стандарти и да гарантира справедливи условия на труд по цялата производствена верига. Производствените стандарти на ЕС следва да бъдат по-устойчиви и хармонизирани между държавите членки и да се прилагат по отношение на вносните стоки. Тези стандарти трябва да имат и социален характер, включително достойни доходи за работниците и задоволителни условия на труд във фабриките. Трябва да има последствия за стоки, които не отговарят на тези стандарти. </w:t>
      </w:r>
    </w:p>
    <w:p>
      <w:pPr>
        <w:pStyle w:val="Normal"/>
        <w:rPr/>
      </w:pPr>
      <w:r>
        <w:rPr/>
        <w:t xml:space="preserve"> </w:t>
      </w:r>
    </w:p>
    <w:p>
      <w:pPr>
        <w:pStyle w:val="Normal"/>
        <w:rPr/>
      </w:pPr>
      <w:r>
        <w:rPr/>
        <w:t xml:space="preserve">Важно е да се установят екологични и социално хомогенни производствени стандарти в Европа, за да се гарантира, че всички предлагани продукти се произвеждат по устойчив начин. Тези мерки са от съществено значение за преориентиране на нашата икономика и за промяна на моделите на производство на предприятията. </w:t>
      </w:r>
    </w:p>
    <w:p>
      <w:pPr>
        <w:pStyle w:val="Normal"/>
        <w:rPr/>
      </w:pPr>
      <w:r>
        <w:rPr/>
        <w:t xml:space="preserve"> </w:t>
      </w:r>
    </w:p>
    <w:p>
      <w:pPr>
        <w:pStyle w:val="P68B1DB1Normal15"/>
        <w:rPr>
          <w:b/>
          <w:b/>
        </w:rPr>
      </w:pPr>
      <w:r>
        <w:rPr/>
        <w:t xml:space="preserve">22. Препоръчваме ЕС и държавите членки да въведат мерки за ограничаване на рекламата на продукти, които вредят на околната среда. Продуктите с ниска трайност следва да подлежат на задължителна клауза за липса на отговорност във всички форми на реклама, която да показва, че те са вредни за околната среда. ЕС трябва да забрани рекламата на продукти, които изобщо не са устойчиви. </w:t>
      </w:r>
    </w:p>
    <w:p>
      <w:pPr>
        <w:pStyle w:val="Normal"/>
        <w:rPr/>
      </w:pPr>
      <w:r>
        <w:rPr/>
        <w:t xml:space="preserve"> </w:t>
      </w:r>
    </w:p>
    <w:p>
      <w:pPr>
        <w:pStyle w:val="Normal"/>
        <w:rPr/>
      </w:pPr>
      <w:r>
        <w:rPr/>
        <w:t xml:space="preserve">Рекламата насърчава потреблението; продуктите, които вредят на околната среда, не трябва да бъдат изтъквани. По този начин потребителите ще бъдат по-малко склонни да купуват вредни за околната среда продукти. </w:t>
      </w:r>
    </w:p>
    <w:p>
      <w:pPr>
        <w:pStyle w:val="Normal"/>
        <w:rPr/>
      </w:pPr>
      <w:r>
        <w:rPr/>
        <w:t xml:space="preserve"> </w:t>
      </w:r>
    </w:p>
    <w:p>
      <w:pPr>
        <w:pStyle w:val="P68B1DB1Normal15"/>
        <w:rPr>
          <w:b/>
          <w:b/>
        </w:rPr>
      </w:pPr>
      <w:r>
        <w:rPr/>
        <w:t xml:space="preserve">23. ЕС препоръчва на ЕС да създаде и разработи инфраструктура за депозитни системи за всички първични опаковки от стъкло, пластмаса, алуминий и др. по еднакъв начин в целия ЕС. Производителите следва, доколкото е възможно, да използват повторно връщащата се опаковка, като ги стерилизират, а не просто да рециклират материалите. В допълнение към опаковките за храни и напитки, устройството трябва да обхваща и други видове бутилки и контейнери, като например бутилки с шампоан. </w:t>
      </w:r>
    </w:p>
    <w:p>
      <w:pPr>
        <w:pStyle w:val="Normal"/>
        <w:rPr/>
      </w:pPr>
      <w:r>
        <w:rPr/>
        <w:t xml:space="preserve"> </w:t>
      </w:r>
    </w:p>
    <w:p>
      <w:pPr>
        <w:pStyle w:val="Normal"/>
        <w:rPr/>
      </w:pPr>
      <w:r>
        <w:rPr/>
        <w:t xml:space="preserve">Понастоящем потребителите изхвърлят твърде много опаковки, замърсяват и унищожават екосистемите ни. Системите за депониране спомагат за намаляване на отпадъците, като насърчават гражданите да връщат опаковките, вместо да ги изхвърлят. Чрез развитието на тази система ще използваме по-малко ресурси; количеството на генерираните отпадъци ще бъде намалено. </w:t>
      </w:r>
    </w:p>
    <w:p>
      <w:pPr>
        <w:pStyle w:val="Normal"/>
        <w:rPr/>
      </w:pPr>
      <w:r>
        <w:rPr/>
        <w:t xml:space="preserve"> </w:t>
      </w:r>
    </w:p>
    <w:p>
      <w:pPr>
        <w:pStyle w:val="Titre4"/>
        <w:numPr>
          <w:ilvl w:val="3"/>
          <w:numId w:val="2"/>
        </w:numPr>
        <w:rPr/>
      </w:pPr>
      <w:bookmarkStart w:id="165" w:name="__RefHeading___Toc297265_1346298689"/>
      <w:bookmarkEnd w:id="165"/>
      <w:r>
        <w:rPr/>
        <w:t xml:space="preserve">Подос 3.2 Намаляване на отпадъците </w:t>
      </w:r>
    </w:p>
    <w:p>
      <w:pPr>
        <w:pStyle w:val="P68B1DB1Normal15"/>
        <w:rPr>
          <w:b/>
          <w:b/>
        </w:rPr>
      </w:pPr>
      <w:r>
        <w:rPr/>
        <w:t xml:space="preserve">24. Препоръчваме да се насърчава по-силното прилагане на политиките в областта на кръговата икономика на европейско равнище, насочени както към предприятията, така и към гражданите, под формата на финансови стимули за спазващите ги лица. </w:t>
      </w:r>
    </w:p>
    <w:p>
      <w:pPr>
        <w:pStyle w:val="Normal"/>
        <w:rPr/>
      </w:pPr>
      <w:r>
        <w:rPr/>
        <w:t xml:space="preserve"> </w:t>
      </w:r>
    </w:p>
    <w:p>
      <w:pPr>
        <w:pStyle w:val="Normal"/>
        <w:rPr/>
      </w:pPr>
      <w:r>
        <w:rPr/>
        <w:t xml:space="preserve">Много хора в крайна сметка ще се окажат безработни, ако производствените компании намалят работната си сила или дори се окажат в състояние на прекратяване на плащането/фермента. Мерките за преквалификация на безработните ще насърчат екологосъобразни практики, като същевременно ще ограничат безработицата и ще насърчат модернизирането на диверсифицираната икономика. </w:t>
      </w:r>
    </w:p>
    <w:p>
      <w:pPr>
        <w:pStyle w:val="Normal"/>
        <w:rPr/>
      </w:pPr>
      <w:r>
        <w:rPr/>
        <w:t xml:space="preserve"> </w:t>
      </w:r>
    </w:p>
    <w:p>
      <w:pPr>
        <w:pStyle w:val="P68B1DB1Normal15"/>
        <w:rPr>
          <w:b/>
          <w:b/>
        </w:rPr>
      </w:pPr>
      <w:r>
        <w:rPr/>
        <w:t xml:space="preserve">25. Препоръчваме ЕС да регулира използването на безопасни за околната среда опаковки (т.е. опаковки на базата на биоразградими или рециклируеми или по-устойчиви материали, ако е възможно) и/или използването на по-малко обемисти опаковки, също с QR код, предоставящ информация, свързана с процеса на рециклиране и/или обезвреждане на опаковките след употреба. </w:t>
      </w:r>
    </w:p>
    <w:p>
      <w:pPr>
        <w:pStyle w:val="Normal"/>
        <w:rPr/>
      </w:pPr>
      <w:r>
        <w:rPr/>
        <w:t xml:space="preserve"> </w:t>
      </w:r>
    </w:p>
    <w:p>
      <w:pPr>
        <w:pStyle w:val="Normal"/>
        <w:rPr/>
      </w:pPr>
      <w:r>
        <w:rPr/>
        <w:t xml:space="preserve">Тази препоръка ще доведе до намаляване на опаковките, намаляване на отпадъците и съответно до замърсяване; следователно околната среда ще бъде по-чиста и в крайна сметка въглеродният отпечатък ще бъде по-малък. Данъчната тежест върху производителите също ще бъде по-ниска. </w:t>
      </w:r>
    </w:p>
    <w:p>
      <w:pPr>
        <w:pStyle w:val="Normal"/>
        <w:rPr/>
      </w:pPr>
      <w:r>
        <w:rPr/>
        <w:t xml:space="preserve"> </w:t>
      </w:r>
    </w:p>
    <w:p>
      <w:pPr>
        <w:pStyle w:val="Titre4"/>
        <w:numPr>
          <w:ilvl w:val="3"/>
          <w:numId w:val="2"/>
        </w:numPr>
        <w:rPr/>
      </w:pPr>
      <w:bookmarkStart w:id="166" w:name="__RefHeading___Toc297267_1346298689"/>
      <w:bookmarkEnd w:id="166"/>
      <w:r>
        <w:rPr/>
        <w:t xml:space="preserve">Подос 3.3 Справедливи продукти, равен достъп и справедливо потребление </w:t>
      </w:r>
    </w:p>
    <w:p>
      <w:pPr>
        <w:pStyle w:val="P68B1DB1Normal15"/>
        <w:rPr>
          <w:b/>
          <w:b/>
        </w:rPr>
      </w:pPr>
      <w:r>
        <w:rPr/>
        <w:t xml:space="preserve">26. Препоръчваме на Европейския съюз да създаде правна рамка, за да се гарантира, че всички европейски потребители имат финансово достъпен и подобрен достъп до качествени и местни хранителни продукти. </w:t>
      </w:r>
    </w:p>
    <w:p>
      <w:pPr>
        <w:pStyle w:val="Normal"/>
        <w:rPr/>
      </w:pPr>
      <w:r>
        <w:rPr/>
        <w:t xml:space="preserve"> </w:t>
      </w:r>
    </w:p>
    <w:p>
      <w:pPr>
        <w:pStyle w:val="Normal"/>
        <w:rPr/>
      </w:pPr>
      <w:r>
        <w:rPr/>
        <w:t xml:space="preserve">В действителност понастоящем няма общо тълкуване на равнището на ЕС на това, което следва да се счита за местна и качествена храна. Тази празнина трябва да бъде запълнена. </w:t>
      </w:r>
    </w:p>
    <w:p>
      <w:pPr>
        <w:pStyle w:val="Normal"/>
        <w:rPr/>
      </w:pPr>
      <w:r>
        <w:rPr/>
        <w:t xml:space="preserve">Вносът на продукти с лошо качество има пряко отрицателно въздействие върху околната среда. За да се борим с изменението на климата, трябва да се справим с всички негови причини, включително с вноса на продукти с ниско качество: необходимо е да се намали разстоянието за транспорт и да се популяризират сезонните продукти. </w:t>
      </w:r>
    </w:p>
    <w:p>
      <w:pPr>
        <w:pStyle w:val="Normal"/>
        <w:rPr/>
      </w:pPr>
      <w:r>
        <w:rPr/>
        <w:t xml:space="preserve">Тази препоръка е обещаваща, тъй като може да се прилага и за нехранителни продукти. </w:t>
      </w:r>
    </w:p>
    <w:p>
      <w:pPr>
        <w:pStyle w:val="Normal"/>
        <w:rPr/>
      </w:pPr>
      <w:r>
        <w:rPr/>
        <w:t xml:space="preserve"> </w:t>
      </w:r>
    </w:p>
    <w:p>
      <w:pPr>
        <w:pStyle w:val="P68B1DB1Normal15"/>
        <w:rPr>
          <w:b/>
          <w:b/>
        </w:rPr>
      </w:pPr>
      <w:r>
        <w:rPr/>
        <w:t xml:space="preserve">27. Препоръчваме на Европейския съюз да насърчава научноизследователската и развойната дейност чрез програми за финансиране, за да се гарантира, че на европейския пазар се предлагат по-устойчиви и достъпни продукти на пазара. Европейският съюз трябва също така да проведе консултации с гражданите на всички равнища на вземане на решения, включително на местно равнище, за да определи техните нужди от устойчиви продукти. </w:t>
      </w:r>
    </w:p>
    <w:p>
      <w:pPr>
        <w:pStyle w:val="Normal"/>
        <w:rPr/>
      </w:pPr>
      <w:r>
        <w:rPr/>
        <w:t xml:space="preserve"> </w:t>
      </w:r>
    </w:p>
    <w:p>
      <w:pPr>
        <w:pStyle w:val="Normal"/>
        <w:rPr/>
      </w:pPr>
      <w:r>
        <w:rPr/>
        <w:t xml:space="preserve">Считаме, че научните изследвания в областта на устойчивите продукти са недостатъчни и че съществува спешна необходимост от отпускане на повече финансови ресурси за научни изследвания, така че европейците да имат достъп до по-достъпни устойчиви продукти. </w:t>
      </w:r>
    </w:p>
    <w:p>
      <w:pPr>
        <w:pStyle w:val="Normal"/>
        <w:rPr/>
      </w:pPr>
      <w:r>
        <w:rPr/>
        <w:t xml:space="preserve">Гражданите трябва да участват в процеса на вземане на решения. Програмата за научноизследователски и иновационни дейности трябва да бъде изготвена съвместно с гражданите. Те следва да бъдат информирани за последващите действия и резултатите следва да им бъдат съобщени. </w:t>
      </w:r>
    </w:p>
    <w:p>
      <w:pPr>
        <w:pStyle w:val="Normal"/>
        <w:rPr/>
      </w:pPr>
      <w:r>
        <w:rPr/>
      </w:r>
    </w:p>
    <w:p>
      <w:pPr>
        <w:pStyle w:val="P68B1DB1Normal15"/>
        <w:rPr>
          <w:b/>
          <w:b/>
        </w:rPr>
      </w:pPr>
      <w:r>
        <w:rPr/>
        <w:t xml:space="preserve">28. Препоръчваме на Европейския съюз да въведе регулаторен механизъм за модните изделия, които навлизат на общия пазар. Този механизъм ще има за цел да насърчи по-доброто потребление чрез показател, който гарантира, че продуктът отговаря на критериите за устойчивост. </w:t>
      </w:r>
    </w:p>
    <w:p>
      <w:pPr>
        <w:pStyle w:val="Normal"/>
        <w:rPr/>
      </w:pPr>
      <w:r>
        <w:rPr/>
        <w:t xml:space="preserve"> </w:t>
      </w:r>
    </w:p>
    <w:p>
      <w:pPr>
        <w:pStyle w:val="Normal"/>
        <w:rPr/>
      </w:pPr>
      <w:r>
        <w:rPr/>
        <w:t xml:space="preserve">Модният сектор, който произвежда твърде много стоки с лошо качество извън европейските граници, не прилага етични стандарти и не възприема устойчиво поведение. </w:t>
      </w:r>
    </w:p>
    <w:p>
      <w:pPr>
        <w:pStyle w:val="Normal"/>
        <w:rPr/>
      </w:pPr>
      <w:r>
        <w:rPr/>
        <w:t xml:space="preserve">Трябва да намерим справедлив механизъм, който ще позволи на потребителите да консумират по-добре. Важно е обаче да не се увеличават данъците, което би имало отрицателни последици за потребителите чрез намаляване на покупателната им способност. </w:t>
      </w:r>
    </w:p>
    <w:p>
      <w:pPr>
        <w:pStyle w:val="Normal"/>
        <w:rPr/>
      </w:pPr>
      <w:r>
        <w:rPr/>
        <w:t xml:space="preserve">Потребителите следва да знаят при какви условия се произвеждат продуктите, които купуват, и дали отговарят на устойчиви стандарти за качество. </w:t>
      </w:r>
    </w:p>
    <w:p>
      <w:pPr>
        <w:pStyle w:val="Normal"/>
        <w:rPr/>
      </w:pPr>
      <w:r>
        <w:rPr/>
        <w:t xml:space="preserve"> </w:t>
      </w:r>
    </w:p>
    <w:p>
      <w:pPr>
        <w:pStyle w:val="Titre3"/>
        <w:numPr>
          <w:ilvl w:val="2"/>
          <w:numId w:val="2"/>
        </w:numPr>
        <w:rPr/>
      </w:pPr>
      <w:bookmarkStart w:id="167" w:name="__RefHeading___Toc297269_1346298689"/>
      <w:bookmarkEnd w:id="167"/>
      <w:r>
        <w:rPr/>
        <w:t xml:space="preserve">Ос 4: към устойчиво общество </w:t>
      </w:r>
    </w:p>
    <w:p>
      <w:pPr>
        <w:pStyle w:val="Titre4"/>
        <w:numPr>
          <w:ilvl w:val="3"/>
          <w:numId w:val="2"/>
        </w:numPr>
        <w:rPr/>
      </w:pPr>
      <w:bookmarkStart w:id="168" w:name="__RefHeading___Toc297271_1346298689"/>
      <w:bookmarkEnd w:id="168"/>
      <w:r>
        <w:rPr/>
        <w:t xml:space="preserve">Подос 4.1 Възобновяеми енергии, отсега нататък </w:t>
      </w:r>
    </w:p>
    <w:p>
      <w:pPr>
        <w:pStyle w:val="P68B1DB1Normal15"/>
        <w:rPr>
          <w:b/>
          <w:b/>
        </w:rPr>
      </w:pPr>
      <w:r>
        <w:rPr/>
        <w:t xml:space="preserve">29. Препоръчваме ЕС да предприеме стъпки, за да направи филтрите за CO2 задължителни, особено за електроцентралите, работещи с въглища, по време на преходен период, докато продължаваме да разчитаме на конвенционалната енергия. Освен това Сметната палата препоръчва ЕС да предоставя финансова помощ на държавите членки, които не разполагат с финансови ресурси за прилагане на филтри за CO2. Помощта зависи от спазването на политиките на ЕС в областта на климата, свързани с Парижкото споразумение, Зеления пакт и всеки нов законодателен акт в областта на климата. </w:t>
      </w:r>
    </w:p>
    <w:p>
      <w:pPr>
        <w:pStyle w:val="Normal"/>
        <w:rPr/>
      </w:pPr>
      <w:r>
        <w:rPr>
          <w:b/>
        </w:rPr>
        <w:t>Това е конкретна стъпка, която трябва да се предприеме успоредно с продължаващите инвестиции в научни изследвания в областта на безопасността на производството на енергия и която има за цел да помогне на държавите — членки на ЕС, постепенно да постигнат общите цели за намаляване на емисиите на CO2.</w:t>
      </w:r>
      <w:r>
        <w:rPr/>
        <w:t xml:space="preserve"> </w:t>
      </w:r>
    </w:p>
    <w:p>
      <w:pPr>
        <w:pStyle w:val="Normal"/>
        <w:rPr/>
      </w:pPr>
      <w:r>
        <w:rPr/>
        <w:t xml:space="preserve"> </w:t>
      </w:r>
    </w:p>
    <w:p>
      <w:pPr>
        <w:pStyle w:val="Normal"/>
        <w:rPr/>
      </w:pPr>
      <w:r>
        <w:rPr/>
        <w:t xml:space="preserve">Знаем, че използването на конвенционални горива води до емисии на парникови газове и че държавите — членки на ЕС, трябва да намалят използването на конвенционални горива, за да се съобразят с Парижкото споразумение. Тъй като не е възможно незабавно да се прекратят емисиите на CO2 и все още сме зависими от въглищата, трябва да предприемем действия в краткосрочен и средносрочен план. </w:t>
      </w:r>
    </w:p>
    <w:p>
      <w:pPr>
        <w:pStyle w:val="Normal"/>
        <w:rPr/>
      </w:pPr>
      <w:r>
        <w:rPr/>
        <w:t xml:space="preserve">Намаляването на емисиите на CO2 е от общ интерес за всички граждани както в рамките на ЕС, така и извън него; ЕС, като институция, има свои отговорности, а институцията отправя препоръки и предлага решения, тъй като държавите членки не могат да постигнат целите сами. </w:t>
      </w:r>
    </w:p>
    <w:p>
      <w:pPr>
        <w:pStyle w:val="Normal"/>
        <w:rPr/>
      </w:pPr>
      <w:r>
        <w:rPr/>
      </w:r>
    </w:p>
    <w:p>
      <w:pPr>
        <w:pStyle w:val="P68B1DB1Normal15"/>
        <w:rPr>
          <w:b/>
          <w:b/>
        </w:rPr>
      </w:pPr>
      <w:r>
        <w:rPr/>
        <w:t xml:space="preserve">30. Препоръчваме да се намали интензивното промишлено животновъдство, за да се намали производството на метан и замърсяването на водата. За тази цел ЕС преразглежда общата селскостопанска политика, за да насочи субсидиите си към устойчиво и местно селско стопанство, включително чрез система за етикетиране, която позволява на потребителите да разпознават устойчиви месни продукти. Също така насърчаваме ЕС да инвестира в методи за повторно използване на отпадъци от животновъдството и други индустрии. </w:t>
      </w:r>
    </w:p>
    <w:p>
      <w:pPr>
        <w:pStyle w:val="Normal"/>
        <w:rPr/>
      </w:pPr>
      <w:r>
        <w:rPr/>
        <w:t xml:space="preserve"> </w:t>
      </w:r>
    </w:p>
    <w:p>
      <w:pPr>
        <w:pStyle w:val="Normal"/>
        <w:rPr/>
      </w:pPr>
      <w:r>
        <w:rPr/>
        <w:t xml:space="preserve">Населението расте, което ще доведе до повишено търсене на месо в бъдеще. Ето защо трябва да се намали консумацията на месо. </w:t>
      </w:r>
    </w:p>
    <w:p>
      <w:pPr>
        <w:pStyle w:val="Normal"/>
        <w:rPr/>
      </w:pPr>
      <w:r>
        <w:rPr/>
        <w:t xml:space="preserve">Тъй като метанът произвежда парникови газове, ние вярваме, че е естествено да започнем с намаляване на емисиите от добитъка. </w:t>
      </w:r>
    </w:p>
    <w:p>
      <w:pPr>
        <w:pStyle w:val="Normal"/>
        <w:rPr/>
      </w:pPr>
      <w:r>
        <w:rPr/>
        <w:t xml:space="preserve">Всички знаем, че трябва да се консумира по-малко месо и следователно броят на говедата трябва да бъде съответно намален. </w:t>
      </w:r>
    </w:p>
    <w:p>
      <w:pPr>
        <w:pStyle w:val="Normal"/>
        <w:rPr/>
      </w:pPr>
      <w:r>
        <w:rPr/>
        <w:t xml:space="preserve"> </w:t>
      </w:r>
    </w:p>
    <w:p>
      <w:pPr>
        <w:pStyle w:val="P68B1DB1Normal15"/>
        <w:rPr>
          <w:b/>
          <w:b/>
        </w:rPr>
      </w:pPr>
      <w:r>
        <w:rPr/>
        <w:t xml:space="preserve">31. Въпреки че производството на зелен водород е скъп процес, тъй като отнема 75 % от енергията, за да се получи 25 % водород, този тип енергия има много положителни аспекти. Най-доброто решение може да бъде производството на енергия без CO2 заедно с разработването на зелен водород. Вятърната енергия следва да се използва за производството на зелен водород и ЕС следва да инвестира повече и да увеличава производството на вятърна енергия и да я съхранява за бъдещи нужди. </w:t>
      </w:r>
    </w:p>
    <w:p>
      <w:pPr>
        <w:pStyle w:val="Normal"/>
        <w:rPr/>
      </w:pPr>
      <w:r>
        <w:rPr/>
        <w:t xml:space="preserve"> </w:t>
      </w:r>
    </w:p>
    <w:p>
      <w:pPr>
        <w:pStyle w:val="Normal"/>
        <w:rPr/>
      </w:pPr>
      <w:r>
        <w:rPr/>
        <w:t xml:space="preserve">Зеленият водород е гъвкав и може да се съхранява за употреба, когато е необходимо. Това не води до замърсяване с CO2. </w:t>
      </w:r>
    </w:p>
    <w:p>
      <w:pPr>
        <w:pStyle w:val="Normal"/>
        <w:rPr/>
      </w:pPr>
      <w:r>
        <w:rPr/>
        <w:t xml:space="preserve"> </w:t>
      </w:r>
    </w:p>
    <w:p>
      <w:pPr>
        <w:pStyle w:val="Titre4"/>
        <w:numPr>
          <w:ilvl w:val="3"/>
          <w:numId w:val="2"/>
        </w:numPr>
        <w:rPr/>
      </w:pPr>
      <w:bookmarkStart w:id="169" w:name="__RefHeading___Toc297273_1346298689"/>
      <w:bookmarkEnd w:id="169"/>
      <w:r>
        <w:rPr/>
        <w:t xml:space="preserve">Подос 4.2 Поддържаща промяна </w:t>
      </w:r>
    </w:p>
    <w:p>
      <w:pPr>
        <w:pStyle w:val="P68B1DB1Normal15"/>
        <w:rPr>
          <w:b/>
          <w:b/>
        </w:rPr>
      </w:pPr>
      <w:r>
        <w:rPr/>
        <w:t xml:space="preserve">32. Препоръчваме на ЕС да въведе система за принуда и възнаграждение за борба със замърсяването, включително водата, почвата, въздуха и радиацията. На замърсителите трябва да бъдат наложени глоби, съчетани със задължителната подкрепа на специализирана организация, специално предназначена да помогне на субектите да премахнат замърсяването и да възстановят екосистемата. Тази специализирана организация трябва да играе водеща роля в предотвратяването и контрола на нивата на замърсяване. </w:t>
      </w:r>
    </w:p>
    <w:p>
      <w:pPr>
        <w:pStyle w:val="Normal"/>
        <w:rPr/>
      </w:pPr>
      <w:r>
        <w:rPr/>
        <w:t xml:space="preserve"> </w:t>
      </w:r>
    </w:p>
    <w:p>
      <w:pPr>
        <w:pStyle w:val="Normal"/>
        <w:rPr/>
      </w:pPr>
      <w:r>
        <w:rPr/>
        <w:t xml:space="preserve">Тъй като е важно да се съсредоточим върху отговорностите на замърсителите и да насърчим субектите да намалят замърсяването, като се насочат към нулево замърсяване. От съществено значение е да имаме здрава планета, тъй като тя е пряко свързана с нашето благосъстояние и нашето бъдещо съществуване. </w:t>
      </w:r>
    </w:p>
    <w:p>
      <w:pPr>
        <w:pStyle w:val="Normal"/>
        <w:rPr/>
      </w:pPr>
      <w:r>
        <w:rPr/>
        <w:t xml:space="preserve"> </w:t>
      </w:r>
    </w:p>
    <w:p>
      <w:pPr>
        <w:pStyle w:val="P68B1DB1Normal15"/>
        <w:rPr>
          <w:b/>
          <w:b/>
        </w:rPr>
      </w:pPr>
      <w:r>
        <w:rPr/>
        <w:t xml:space="preserve">33. Препоръчваме ЕС да създаде специален уебсайт/платформа, проверен от множество експерти — с разнообразна и редовно актуализирана научна информация за околната среда — който да е лесно достъпен и прозрачен за всички граждани. Този уебсайт/платформа ще бъде свързан с форум, в който гражданите и експертите могат да си взаимодействат. Също така силно препоръчваме стартирането на медийна кампания за популяризиране на този уебсайт/платформа (например чрез социални медии като YouTube, TikTok и LinkedIn). </w:t>
      </w:r>
    </w:p>
    <w:p>
      <w:pPr>
        <w:pStyle w:val="Normal"/>
        <w:rPr/>
      </w:pPr>
      <w:r>
        <w:rPr/>
        <w:t xml:space="preserve"> </w:t>
      </w:r>
    </w:p>
    <w:p>
      <w:pPr>
        <w:pStyle w:val="Normal"/>
        <w:rPr/>
      </w:pPr>
      <w:r>
        <w:rPr/>
        <w:t xml:space="preserve">Всички граждани трябва да разполагат с независими източници на информация въз основа на научни доказателства, за да разберат предизвикателствата, свързани с изменението на климата (неговите последици и мерките, които трябва да бъдат предприети за нейното обръщане), както и да се справят с фалшиви новини. Медийната кампания ще повиши осведомеността за съществуването на тази платформа/уебсайт. Важно е също така информацията, предоставена от уебсайта/платформата, да е разбираема за всички граждани, с достъп до изходни материали за тези, които желаят да задълбочат темата. </w:t>
      </w:r>
    </w:p>
    <w:p>
      <w:pPr>
        <w:pStyle w:val="Normal"/>
        <w:rPr/>
      </w:pPr>
      <w:r>
        <w:rPr/>
        <w:t xml:space="preserve"> </w:t>
      </w:r>
    </w:p>
    <w:p>
      <w:pPr>
        <w:pStyle w:val="P68B1DB1Normal15"/>
        <w:rPr>
          <w:b/>
          <w:b/>
        </w:rPr>
      </w:pPr>
      <w:r>
        <w:rPr/>
        <w:t xml:space="preserve">34. Сметната палата препоръчва ЕС да намали количеството на внасяните стоки, които не отговарят на стандартите на ЕС за отпечатък върху околната среда. </w:t>
      </w:r>
    </w:p>
    <w:p>
      <w:pPr>
        <w:pStyle w:val="Normal"/>
        <w:rPr/>
      </w:pPr>
      <w:r>
        <w:rPr/>
        <w:t xml:space="preserve"> </w:t>
      </w:r>
    </w:p>
    <w:p>
      <w:pPr>
        <w:pStyle w:val="Normal"/>
        <w:rPr/>
      </w:pPr>
      <w:r>
        <w:rPr/>
        <w:t xml:space="preserve">По този начин гарантираме, че внасяните в ЕС стоки имат по-екологичен отпечатък. Целта е да се намали замърсяването в световен мащаб. Важно е също така да се представят стандартите на държавите, ако желаят да изнасят стоки за ЕС. </w:t>
      </w:r>
    </w:p>
    <w:p>
      <w:pPr>
        <w:pStyle w:val="Normal"/>
        <w:rPr/>
      </w:pPr>
      <w:r>
        <w:rPr/>
        <w:t xml:space="preserve"> </w:t>
      </w:r>
    </w:p>
    <w:p>
      <w:pPr>
        <w:pStyle w:val="P68B1DB1Normal15"/>
        <w:rPr>
          <w:b/>
          <w:b/>
        </w:rPr>
      </w:pPr>
      <w:r>
        <w:rPr/>
        <w:t xml:space="preserve">35. Препоръчваме ЕС да насърчава, насърчава и улеснява диалога относно изменението на климата между всички равнища на вземане на решения, от много местни (граждани) до глобални (национални, международни и междуконтинентални), за да се отговори на опасенията на всички заинтересовани страни. </w:t>
      </w:r>
    </w:p>
    <w:p>
      <w:pPr>
        <w:pStyle w:val="Normal"/>
        <w:rPr/>
      </w:pPr>
      <w:r>
        <w:rPr/>
        <w:t xml:space="preserve"> </w:t>
      </w:r>
    </w:p>
    <w:p>
      <w:pPr>
        <w:pStyle w:val="Normal"/>
        <w:rPr/>
      </w:pPr>
      <w:r>
        <w:rPr/>
        <w:t xml:space="preserve">Защото диалогът и консенсусът са най-добрият начин за справяне с предизвикателствата, свързани с изменението на климата: ако страните се разбират помежду си, има по-голяма готовност да се намери обща основа. </w:t>
      </w:r>
    </w:p>
    <w:p>
      <w:pPr>
        <w:pStyle w:val="Normal"/>
        <w:rPr/>
      </w:pPr>
      <w:r>
        <w:rPr/>
        <w:t xml:space="preserve"> </w:t>
      </w:r>
    </w:p>
    <w:p>
      <w:pPr>
        <w:pStyle w:val="Titre4"/>
        <w:numPr>
          <w:ilvl w:val="3"/>
          <w:numId w:val="2"/>
        </w:numPr>
        <w:rPr/>
      </w:pPr>
      <w:bookmarkStart w:id="170" w:name="__RefHeading___Toc297275_1346298689"/>
      <w:bookmarkEnd w:id="170"/>
      <w:r>
        <w:rPr/>
        <w:t xml:space="preserve">Подос 4.3 Екологосъобразен транспорт </w:t>
      </w:r>
    </w:p>
    <w:p>
      <w:pPr>
        <w:pStyle w:val="Normal"/>
        <w:rPr/>
      </w:pPr>
      <w:r>
        <w:rPr>
          <w:b/>
        </w:rPr>
        <w:t>36. Препоръчваме ЕС да подкрепи финансово европейските държави членки за подобряване на свързаността в селските райони. Това изисква развитието на европейска мрежа за обществен транспорт, основана на достъпни цени (приоритизиране на железопътния транспорт) и стимули за използване на обществения транспорт. За тази цел свързаността с интернет следва също така да бъде развита в кратък и реалистичен срок в селските райони.</w:t>
      </w:r>
      <w:r>
        <w:rPr/>
        <w:t xml:space="preserve"> </w:t>
      </w:r>
    </w:p>
    <w:p>
      <w:pPr>
        <w:pStyle w:val="Normal"/>
        <w:rPr/>
      </w:pPr>
      <w:r>
        <w:rPr/>
        <w:t xml:space="preserve"> </w:t>
      </w:r>
    </w:p>
    <w:p>
      <w:pPr>
        <w:pStyle w:val="Normal"/>
        <w:rPr/>
      </w:pPr>
      <w:r>
        <w:rPr/>
        <w:t xml:space="preserve">Отправяме тази препоръка, тъй като няма равен достъп до обществен транспорт и интернет връзка между селските и градските райони. Един общ европейски проект ще бъде укрепен, тъй като всички граждани ще чувстват, че имат едни и същи права. Укрепването на мрежата за обществен транспорт и интернет свързаността ще насърчи хората да се установят в селските райони. Този процес ще намали замърсяването, тъй като по-малко хора ще живеят в пренаселени градове. </w:t>
      </w:r>
    </w:p>
    <w:p>
      <w:pPr>
        <w:pStyle w:val="Normal"/>
        <w:rPr/>
      </w:pPr>
      <w:r>
        <w:rPr/>
        <w:t xml:space="preserve"> </w:t>
      </w:r>
    </w:p>
    <w:p>
      <w:pPr>
        <w:pStyle w:val="P68B1DB1Normal15"/>
        <w:rPr>
          <w:b/>
          <w:b/>
        </w:rPr>
      </w:pPr>
      <w:r>
        <w:rPr/>
        <w:t xml:space="preserve">37. Препоръчваме да се подобри съществуващата транспортна инфраструктура, която е изпаднала в употреба или може да бъде допълнително подобрена от екологична гледна точка (установяване на електрически влакове). Този процес трябва да се извършва, без да се засягат защитените от околната среда зони. </w:t>
      </w:r>
    </w:p>
    <w:p>
      <w:pPr>
        <w:pStyle w:val="Normal"/>
        <w:rPr/>
      </w:pPr>
      <w:r>
        <w:rPr/>
        <w:t xml:space="preserve"> </w:t>
      </w:r>
    </w:p>
    <w:p>
      <w:pPr>
        <w:pStyle w:val="Normal"/>
        <w:rPr/>
      </w:pPr>
      <w:r>
        <w:rPr/>
        <w:t>Подобряването на съществуващата инфраструктура би предотвратило изразходването на твърде много ресурси и би навредило на важни защитени зони за опазване на биологичното разнообразие. Увеличаването на железопътната инфраструктура би намалило емисиите на CO2 и би</w:t>
      </w:r>
      <w:r>
        <w:rPr>
          <w:vertAlign w:val="subscript"/>
        </w:rPr>
        <w:t>насърчило мобилността</w:t>
      </w:r>
      <w:r>
        <w:rPr/>
        <w:t xml:space="preserve"> на хората от градските към селските райони. </w:t>
      </w:r>
    </w:p>
    <w:p>
      <w:pPr>
        <w:pStyle w:val="Normal"/>
        <w:rPr/>
      </w:pPr>
      <w:r>
        <w:rPr/>
        <w:t xml:space="preserve"> </w:t>
      </w:r>
    </w:p>
    <w:p>
      <w:pPr>
        <w:pStyle w:val="P68B1DB1Normal15"/>
        <w:rPr>
          <w:b/>
          <w:b/>
        </w:rPr>
      </w:pPr>
      <w:r>
        <w:rPr/>
        <w:t xml:space="preserve">38. Препоръчваме ЕС да насърчава закупуването на електрически превозни средства, които отговарят на добрите стандарти за живот на батерията. За тази цел ЕС би могъл да предприеме стимули за всички държави членки и да подобри електроенергийната инфраструктура. Същевременно ЕС следва да инвестира в разработването на други чисти технологии, като биогорива и водород за превозни средства, чиято електрификация е трудна за постигане, като например лодки и камиони. </w:t>
      </w:r>
    </w:p>
    <w:p>
      <w:pPr>
        <w:pStyle w:val="Normal"/>
        <w:rPr/>
      </w:pPr>
      <w:r>
        <w:rPr/>
        <w:t xml:space="preserve"> </w:t>
      </w:r>
    </w:p>
    <w:p>
      <w:pPr>
        <w:pStyle w:val="Normal"/>
        <w:rPr/>
      </w:pPr>
      <w:r>
        <w:rPr/>
        <w:t xml:space="preserve">Ние правим тази препоръка, защото електричеството е най-бързият начин за намаляване на емисиите от превозните средства, с други енергийни източници като водород и биогорива. Всъщност най-бързото, икономично и осъществимо решение е електричеството, следвано от биогоривата. В дългосрочен план зеленият водород следва да играе допълваща роля в обхващането на видовете транспорт, които не могат да бъдат електрифицирани. </w:t>
      </w:r>
    </w:p>
    <w:p>
      <w:pPr>
        <w:pStyle w:val="Normal"/>
        <w:rPr/>
      </w:pPr>
      <w:r>
        <w:rPr/>
        <w:t xml:space="preserve"> </w:t>
      </w:r>
    </w:p>
    <w:p>
      <w:pPr>
        <w:pStyle w:val="Titre3"/>
        <w:numPr>
          <w:ilvl w:val="2"/>
          <w:numId w:val="2"/>
        </w:numPr>
        <w:rPr/>
      </w:pPr>
      <w:bookmarkStart w:id="171" w:name="__RefHeading___Toc297277_1346298689"/>
      <w:bookmarkEnd w:id="171"/>
      <w:r>
        <w:rPr/>
        <w:t xml:space="preserve">Ос 5 Грижа за всички </w:t>
      </w:r>
    </w:p>
    <w:p>
      <w:pPr>
        <w:pStyle w:val="Titre4"/>
        <w:numPr>
          <w:ilvl w:val="3"/>
          <w:numId w:val="2"/>
        </w:numPr>
        <w:rPr/>
      </w:pPr>
      <w:bookmarkStart w:id="172" w:name="__RefHeading___Toc297279_1346298689"/>
      <w:bookmarkEnd w:id="172"/>
      <w:r>
        <w:rPr/>
        <w:t xml:space="preserve">Подос 5.1 Укрепване на системата на здравеопазването </w:t>
      </w:r>
    </w:p>
    <w:p>
      <w:pPr>
        <w:pStyle w:val="P68B1DB1Normal15"/>
        <w:rPr>
          <w:b/>
          <w:b/>
        </w:rPr>
      </w:pPr>
      <w:r>
        <w:rPr/>
        <w:t xml:space="preserve">39. Препоръчваме Европейският съюз да гарантира общи здравни стандарти, но също така да се застъпва за достойни минимални работни заплати, максимално работно време и еднакви стандарти за обучение, за едни и същи квалификации за здравните специалисти в целия Европейски съюз. </w:t>
      </w:r>
    </w:p>
    <w:p>
      <w:pPr>
        <w:pStyle w:val="Normal"/>
        <w:rPr/>
      </w:pPr>
      <w:r>
        <w:rPr/>
        <w:t xml:space="preserve"> </w:t>
      </w:r>
    </w:p>
    <w:p>
      <w:pPr>
        <w:pStyle w:val="Normal"/>
        <w:rPr/>
      </w:pPr>
      <w:r>
        <w:rPr/>
        <w:t xml:space="preserve">Ако нямаме общи стандарти за здравеопазване, заплати и общо обучение за здравните специалисти, различията между държавите членки биха могли да доведат до небалансирани ситуации в целия Европейски съюз. Стандартизацията на здравеопазването би могла да допринесе за по-силна, по-ефикасна и по-устойчива система (напр. кризата с COVID-19 по отношение на стабилността на нашите системи). Това би улеснило също така обмена на знания и информация в сектора на здравните специалисти. </w:t>
      </w:r>
    </w:p>
    <w:p>
      <w:pPr>
        <w:pStyle w:val="Normal"/>
        <w:rPr/>
      </w:pPr>
      <w:r>
        <w:rPr/>
        <w:t xml:space="preserve"> </w:t>
      </w:r>
    </w:p>
    <w:p>
      <w:pPr>
        <w:pStyle w:val="P68B1DB1Normal15"/>
        <w:rPr>
          <w:b/>
          <w:b/>
        </w:rPr>
      </w:pPr>
      <w:r>
        <w:rPr/>
        <w:t xml:space="preserve">40. Препоръчваме на Европейския съюз да гарантира, че леченията в целия ЕС са с еднакво качество и на справедлива местна цена. Това би могло да се гарантира, например чрез разширяване на правомощията на Европейската агенция по лекарствата (EMA) или чрез създаване на нова европейска агенция за обществени поръчки, която да бъде компетентна да преговаря и да получава по-подходящи цени за лекарствата за всички държави членки. Рискът от монополи във фармацевтичната промишленост трябва да бъде сведен до минимум. </w:t>
      </w:r>
    </w:p>
    <w:p>
      <w:pPr>
        <w:pStyle w:val="Normal"/>
        <w:rPr/>
      </w:pPr>
      <w:r>
        <w:rPr/>
        <w:t xml:space="preserve"> </w:t>
      </w:r>
    </w:p>
    <w:p>
      <w:pPr>
        <w:pStyle w:val="Normal"/>
        <w:rPr/>
      </w:pPr>
      <w:r>
        <w:rPr/>
        <w:t xml:space="preserve">Равенството между медицинските разпоредби и лечението в ЕС гарантира равни здравни права за всички европейски граждани. Увеличаването на покупателната способност осигурява по-добри условия за закупуване. Това обаче не следва да води до монополни структури и фармацевтично лобиране. Управлението на кризата с COVID-19 беше добър пример за съвместно управление на здравеопазването от страна на Европейския съюз като цяло. </w:t>
      </w:r>
    </w:p>
    <w:p>
      <w:pPr>
        <w:pStyle w:val="Normal"/>
        <w:rPr/>
      </w:pPr>
      <w:r>
        <w:rPr/>
        <w:t xml:space="preserve"> </w:t>
      </w:r>
    </w:p>
    <w:p>
      <w:pPr>
        <w:pStyle w:val="P68B1DB1Normal15"/>
        <w:rPr>
          <w:b/>
          <w:b/>
        </w:rPr>
      </w:pPr>
      <w:r>
        <w:rPr/>
        <w:t xml:space="preserve">41. Препоръчваме да се създаде европейска база данни за здравните грижи, в която медицинските досиета да бъдат достъпни в случай на спешност или заболяване. Участието следва да бъде незадължително и следва да се гарантира защита на личните данни. </w:t>
      </w:r>
    </w:p>
    <w:p>
      <w:pPr>
        <w:pStyle w:val="Normal"/>
        <w:rPr/>
      </w:pPr>
      <w:r>
        <w:rPr/>
        <w:t xml:space="preserve"> </w:t>
      </w:r>
    </w:p>
    <w:p>
      <w:pPr>
        <w:pStyle w:val="Normal"/>
        <w:rPr/>
      </w:pPr>
      <w:r>
        <w:rPr/>
        <w:t xml:space="preserve">Достъпът до данни и използването на данни дават възможност за бърза реакция в случаите, когато животът е изложен на риск. Пиратството или злоупотребата са основни заплахи за такава европейска система от бази данни за здравеопазването, следователно необходимостта от осигуряване на данни, като същевременно участието остава незадължително и, разбира се, за предотвратяване на заплахи, свързани със сигурността. </w:t>
      </w:r>
    </w:p>
    <w:p>
      <w:pPr>
        <w:pStyle w:val="Normal"/>
        <w:rPr/>
      </w:pPr>
      <w:r>
        <w:rPr/>
        <w:t xml:space="preserve"> </w:t>
      </w:r>
    </w:p>
    <w:p>
      <w:pPr>
        <w:pStyle w:val="P68B1DB1Normal15"/>
        <w:rPr>
          <w:b/>
          <w:b/>
        </w:rPr>
      </w:pPr>
      <w:r>
        <w:rPr/>
        <w:t xml:space="preserve">42. Сметната палата препоръчва на Европейския съюз да продължи да разработва и синхронизира съществуващите програми за научни изследвания и иновации в областта на здравеопазването, какъвто е случаят със съществуващата програма „Хоризонт Европа“. Резултатите от изследванията следва да бъдат свободно достъпни във всички държави членки. </w:t>
      </w:r>
    </w:p>
    <w:p>
      <w:pPr>
        <w:pStyle w:val="Normal"/>
        <w:rPr/>
      </w:pPr>
      <w:r>
        <w:rPr/>
        <w:t xml:space="preserve"> </w:t>
      </w:r>
    </w:p>
    <w:p>
      <w:pPr>
        <w:pStyle w:val="Normal"/>
        <w:rPr/>
      </w:pPr>
      <w:r>
        <w:rPr/>
        <w:t xml:space="preserve">Научното сътрудничество на равнище ЕС би могло да обогати научния капацитет и познанията на отделните изследователи. Обменът на знания би могъл например да доведе до ранна диагностика и по-добро лечение за намаляване на сериозните и фаталните заболявания в цяла Европа. Това би насърчило и европейската самодостатъчност в областта на лекарствата и оборудването. </w:t>
      </w:r>
    </w:p>
    <w:p>
      <w:pPr>
        <w:pStyle w:val="Normal"/>
        <w:rPr/>
      </w:pPr>
      <w:r>
        <w:rPr/>
        <w:t xml:space="preserve"> </w:t>
      </w:r>
    </w:p>
    <w:p>
      <w:pPr>
        <w:pStyle w:val="P68B1DB1Normal15"/>
        <w:rPr>
          <w:b/>
          <w:b/>
        </w:rPr>
      </w:pPr>
      <w:r>
        <w:rPr/>
        <w:t xml:space="preserve">43. Сметната палата препоръчва на ЕС да увеличи бюджета си за съвместни проекти за научни изследвания и иновации в областта на здравеопазването (без бюджетни съкращения в други програми на ЕС, свързани със здравеопазването). Това също така би укрепило европейските научноизследователски и научноизследователски институции като цяло. </w:t>
      </w:r>
    </w:p>
    <w:p>
      <w:pPr>
        <w:pStyle w:val="Normal"/>
        <w:rPr/>
      </w:pPr>
      <w:r>
        <w:rPr/>
        <w:t xml:space="preserve"> </w:t>
      </w:r>
    </w:p>
    <w:p>
      <w:pPr>
        <w:pStyle w:val="Normal"/>
        <w:rPr/>
      </w:pPr>
      <w:r>
        <w:rPr/>
        <w:t xml:space="preserve">Научните изследвания и инвестициите в областта на здравеопазването ще укрепят превантивната медицина в дългосрочен план и ще намалят разходите, свързани със здравето. Увеличеното финансиране би могло да предотврати изтичането на мозъци от Европа към други развити страни с по-високи бюджети за научноизследователска и развойна дейност за здравеопазване. Това финансиране не следва да идва от съществуващите финансови средства за здравеопазване. </w:t>
      </w:r>
    </w:p>
    <w:p>
      <w:pPr>
        <w:pStyle w:val="Normal"/>
        <w:rPr/>
      </w:pPr>
      <w:r>
        <w:rPr/>
        <w:t xml:space="preserve"> </w:t>
      </w:r>
    </w:p>
    <w:p>
      <w:pPr>
        <w:pStyle w:val="Titre4"/>
        <w:numPr>
          <w:ilvl w:val="3"/>
          <w:numId w:val="2"/>
        </w:numPr>
        <w:rPr/>
      </w:pPr>
      <w:bookmarkStart w:id="173" w:name="__RefHeading___Toc297281_1346298689"/>
      <w:bookmarkEnd w:id="173"/>
      <w:r>
        <w:rPr/>
        <w:t xml:space="preserve">Подос 5.2 По-широк поглед върху здравето </w:t>
      </w:r>
    </w:p>
    <w:p>
      <w:pPr>
        <w:pStyle w:val="P68B1DB1Normal15"/>
        <w:rPr>
          <w:b/>
          <w:b/>
        </w:rPr>
      </w:pPr>
      <w:r>
        <w:rPr/>
        <w:t xml:space="preserve">44. Препоръчваме да се създаде седмица на здравето като инициатива на ЕС във всички държави членки, същата седмица, посветена на всички здравни въпроси, с акцент върху психичното здраве. През тази седмица всички основни теми, свързани с психичното здраве, ще бъдат разгледани и популяризирани колективно, както и други вече съществуващи инициативи, като например тези на психичното здраве в Европа. </w:t>
      </w:r>
    </w:p>
    <w:p>
      <w:pPr>
        <w:pStyle w:val="Normal"/>
        <w:rPr/>
      </w:pPr>
      <w:r>
        <w:rPr/>
        <w:t xml:space="preserve"> </w:t>
      </w:r>
    </w:p>
    <w:p>
      <w:pPr>
        <w:pStyle w:val="Normal"/>
        <w:rPr/>
      </w:pPr>
      <w:r>
        <w:rPr/>
        <w:t xml:space="preserve">Отправяме тази препоръка, защото всички европейски граждани трябва да се чувстват приети и включени, особено ако страдат от проблеми с психичното здраве. Освен това е необходимо да се стандартизират и подобрят осведомеността относно проблемите, свързани с психичното здраве, както и да се предотвратят свързаните с тях социални проблеми, като например дискриминацията. Освен това, тъй като проблемите с психичното здраве се увеличиха с пандемията и вероятно ще продължат, тази инициатива е още по-важна. </w:t>
      </w:r>
    </w:p>
    <w:p>
      <w:pPr>
        <w:pStyle w:val="Normal"/>
        <w:rPr/>
      </w:pPr>
      <w:r>
        <w:rPr/>
        <w:t xml:space="preserve"> </w:t>
      </w:r>
    </w:p>
    <w:p>
      <w:pPr>
        <w:pStyle w:val="P68B1DB1Normal15"/>
        <w:rPr>
          <w:b/>
          <w:b/>
        </w:rPr>
      </w:pPr>
      <w:r>
        <w:rPr/>
        <w:t xml:space="preserve">45. Препоръчваме продуктите за хигиена на жените да престанат да се считат за луксозни стоки по отношение на данъчното облагане, тъй като те са основни продукти. Също така препоръчваме хормоналните контрацептивни продукти, използвани по медицински причини, като фибромиалгия и ендометриоза, да се облагат като редовно медицинско лечение. Препоръчваме също така Европейският съюз да насърчава хармонизирането на медицинско асистираното репродуктивно лечение за всички жени (единични или омъжени) във всички държави членки. </w:t>
      </w:r>
    </w:p>
    <w:p>
      <w:pPr>
        <w:pStyle w:val="Normal"/>
        <w:rPr/>
      </w:pPr>
      <w:r>
        <w:rPr/>
        <w:t xml:space="preserve"> </w:t>
      </w:r>
    </w:p>
    <w:p>
      <w:pPr>
        <w:pStyle w:val="Normal"/>
        <w:rPr/>
      </w:pPr>
      <w:r>
        <w:rPr/>
        <w:t xml:space="preserve">В някои европейски страни хигиенните продукти на жените се облагат като луксозни стоки, което е несправедливо. Някои хормонални контрацептиви се използват за медицински цели и следователно трябва да се облагат съответно. Тъй като репродуктивното лечение на жените, като например ин витро оплождането и методите за замразяване на яйца, имат различни условия за допустимост в различните държави членки, и Европейският съюз трябва да се стреми да ги хармонизира. </w:t>
      </w:r>
    </w:p>
    <w:p>
      <w:pPr>
        <w:pStyle w:val="Normal"/>
        <w:rPr/>
      </w:pPr>
      <w:r>
        <w:rPr/>
        <w:t xml:space="preserve"> </w:t>
      </w:r>
    </w:p>
    <w:p>
      <w:pPr>
        <w:pStyle w:val="P68B1DB1Normal15"/>
        <w:rPr>
          <w:b/>
          <w:b/>
        </w:rPr>
      </w:pPr>
      <w:r>
        <w:rPr/>
        <w:t xml:space="preserve">46. Препоръчваме на Европейския съюз да заеме твърда позиция, за да насърчи всички държави членки да включат в учебните си програми, когато е целесъобразно, въпроси, свързани с психичното здраве и сексуалното образование. За да помогне на държавите членки да приемат тези въпроси в училищните програми, Европейският съюз следва да разработи и предостави стандартна програма по въпросите на психичното здраве и сексуалните въпроси. </w:t>
      </w:r>
    </w:p>
    <w:p>
      <w:pPr>
        <w:pStyle w:val="Normal"/>
        <w:rPr/>
      </w:pPr>
      <w:r>
        <w:rPr/>
        <w:t xml:space="preserve"> </w:t>
      </w:r>
    </w:p>
    <w:p>
      <w:pPr>
        <w:pStyle w:val="Normal"/>
        <w:rPr/>
      </w:pPr>
      <w:r>
        <w:rPr/>
        <w:t xml:space="preserve">Необходимо е да се намалят дискриминацията и табутата по отношение на психичните проблеми. Дезинформацията и ненаучните подходи също трябва да бъдат избягвани. В допълнение, сексуалното образование е от основно значение за здравословния живот и общността и предотвратява проблеми като тийнейджърска бременност. </w:t>
      </w:r>
    </w:p>
    <w:p>
      <w:pPr>
        <w:pStyle w:val="Normal"/>
        <w:rPr/>
      </w:pPr>
      <w:r>
        <w:rPr/>
        <w:t xml:space="preserve"> </w:t>
      </w:r>
    </w:p>
    <w:p>
      <w:pPr>
        <w:pStyle w:val="P68B1DB1Normal15"/>
        <w:rPr>
          <w:b/>
          <w:b/>
        </w:rPr>
      </w:pPr>
      <w:r>
        <w:rPr/>
        <w:t xml:space="preserve">47. Препоръчваме на Европейския съюз да разработи по-добра комуникационна система за всички свои инициативи в областта на психичното здраве, а именно портала за обществено здраве относно най-добрите практики, в рамките на държавите членки и за всички граждани. Членовете на ЕП биха могли да представят тези най-добри практики един на друг, за да ги направят по-добре известни във всички държави членки. </w:t>
      </w:r>
    </w:p>
    <w:p>
      <w:pPr>
        <w:pStyle w:val="Normal"/>
        <w:rPr/>
      </w:pPr>
      <w:r>
        <w:rPr/>
        <w:t xml:space="preserve"> </w:t>
      </w:r>
    </w:p>
    <w:p>
      <w:pPr>
        <w:pStyle w:val="Normal"/>
        <w:rPr/>
      </w:pPr>
      <w:r>
        <w:rPr/>
        <w:t xml:space="preserve">Гражданите не са добре информирани за инициативите на ЕС и споделянето на най-добри практики ни позволява да се учим един от друг. </w:t>
      </w:r>
    </w:p>
    <w:p>
      <w:pPr>
        <w:pStyle w:val="Normal"/>
        <w:rPr/>
      </w:pPr>
      <w:r>
        <w:rPr/>
        <w:t xml:space="preserve"> </w:t>
      </w:r>
    </w:p>
    <w:p>
      <w:pPr>
        <w:pStyle w:val="Titre4"/>
        <w:numPr>
          <w:ilvl w:val="3"/>
          <w:numId w:val="2"/>
        </w:numPr>
        <w:rPr/>
      </w:pPr>
      <w:bookmarkStart w:id="174" w:name="__RefHeading___Toc297283_1346298689"/>
      <w:bookmarkEnd w:id="174"/>
      <w:r>
        <w:rPr/>
        <w:t xml:space="preserve">Подос 5.3 Равен достъп до здравеопазване за всички </w:t>
      </w:r>
    </w:p>
    <w:p>
      <w:pPr>
        <w:pStyle w:val="P68B1DB1Normal15"/>
        <w:rPr>
          <w:b/>
          <w:b/>
        </w:rPr>
      </w:pPr>
      <w:r>
        <w:rPr/>
        <w:t xml:space="preserve">48. Препоръчваме ЕС да установи и насърчи минимални стандарти за качествени стоматологични грижи, включително профилактика, за всички държави — членки на ЕС. На децата, групите с ниски доходи и други уязвими групи следва да се предоставят безплатни стоматологични грижи. В рамките на 15—20 години ЕС следва да гарантира, че стоматологичните грижи на достъпни цени са достъпни за всички. </w:t>
      </w:r>
    </w:p>
    <w:p>
      <w:pPr>
        <w:pStyle w:val="Normal"/>
        <w:rPr/>
      </w:pPr>
      <w:r>
        <w:rPr/>
        <w:t xml:space="preserve"> </w:t>
      </w:r>
    </w:p>
    <w:p>
      <w:pPr>
        <w:pStyle w:val="Normal"/>
        <w:rPr/>
      </w:pPr>
      <w:r>
        <w:rPr/>
        <w:t xml:space="preserve">Отправяме тази препоръка, тъй като понастоящем стоматологичните грижи не са достъпни за много хора, живеещи в ЕС. Липсата на дентална грижа и дентална профилактика е пагубна за тяхното здраве и житейски перспективи. ЕС следва да започне с определянето на минимален стандарт за стоматологични грижи и да изисква безплатни стоматологични грижи за деца и групи с ниски доходи. В крайна сметка всеки трябва да има право на качествена стоматологична помощ. </w:t>
      </w:r>
    </w:p>
    <w:p>
      <w:pPr>
        <w:pStyle w:val="Normal"/>
        <w:rPr/>
      </w:pPr>
      <w:r>
        <w:rPr/>
        <w:t xml:space="preserve"> </w:t>
      </w:r>
    </w:p>
    <w:p>
      <w:pPr>
        <w:pStyle w:val="P68B1DB1Normal15"/>
        <w:rPr>
          <w:b/>
          <w:b/>
        </w:rPr>
      </w:pPr>
      <w:r>
        <w:rPr/>
        <w:t xml:space="preserve">49. Препоръчваме да се включат здравеопазването и здравеопазването в компетенциите, споделяни между ЕС и неговите държави членки. За да се включи тази нова споделена компетентност, е необходимо да се измени член 4 от Договора за функционирането на Европейския съюз (ДФЕС). </w:t>
      </w:r>
    </w:p>
    <w:p>
      <w:pPr>
        <w:pStyle w:val="Normal"/>
        <w:rPr/>
      </w:pPr>
      <w:r>
        <w:rPr/>
        <w:t xml:space="preserve"> </w:t>
      </w:r>
    </w:p>
    <w:p>
      <w:pPr>
        <w:pStyle w:val="Normal"/>
        <w:rPr/>
      </w:pPr>
      <w:r>
        <w:rPr/>
        <w:t xml:space="preserve">Отправяме тази препоръка, тъй като понастоящем Европейският съюз не разполага с достатъчно правомощия да законодателства в областта на здравеопазването. Пандемията от COVID-19 показа необходимостта от засилено присъствие на ЕС в здравните политики. Това изменение на Договора ще позволи на ЕС да направи повече, за да гарантира здравно обслужване за всички граждани на ЕС и да издава обвързващи регламенти и решения. </w:t>
      </w:r>
    </w:p>
    <w:p>
      <w:pPr>
        <w:pStyle w:val="Normal"/>
        <w:rPr/>
      </w:pPr>
      <w:r>
        <w:rPr/>
        <w:t xml:space="preserve"> </w:t>
      </w:r>
    </w:p>
    <w:p>
      <w:pPr>
        <w:pStyle w:val="P68B1DB1Normal15"/>
        <w:rPr>
          <w:b/>
          <w:b/>
        </w:rPr>
      </w:pPr>
      <w:r>
        <w:rPr/>
        <w:t xml:space="preserve">50. Препоръчваме ЕС да предлага безплатни курсове за първа помощ за всички граждани на ЕС. ЕС би могъл да обмисли възможността тези курсове да станат задължителни за студентите и на работното място (както в публичния, така и в частния сектор). Тези курсове също трябва да бъдат практични, повтарящи се и адаптирани към възрастта на учениците. Минималният брой дефибрилатори следва да бъде на разположение и на обществени места във всички държави — членки на ЕС. </w:t>
      </w:r>
    </w:p>
    <w:p>
      <w:pPr>
        <w:pStyle w:val="Normal"/>
        <w:rPr/>
      </w:pPr>
      <w:r>
        <w:rPr/>
        <w:t xml:space="preserve"> </w:t>
      </w:r>
    </w:p>
    <w:p>
      <w:pPr>
        <w:pStyle w:val="Normal"/>
        <w:rPr/>
      </w:pPr>
      <w:r>
        <w:rPr/>
        <w:t xml:space="preserve">Препоръчваме го, защото много хора в Европейския съюз не са готови да действат, когато човек се нуждае от помощ и защото не познават техниките за оказване на първа помощ. Ето защо много животи са изгубени. На някои обществени места няма дефибрилатор. </w:t>
      </w:r>
    </w:p>
    <w:p>
      <w:pPr>
        <w:pStyle w:val="Normal"/>
        <w:rPr/>
      </w:pPr>
      <w:r>
        <w:rPr/>
        <w:t xml:space="preserve"> </w:t>
      </w:r>
    </w:p>
    <w:p>
      <w:pPr>
        <w:pStyle w:val="P68B1DB1Normal15"/>
        <w:rPr>
          <w:b/>
          <w:b/>
        </w:rPr>
      </w:pPr>
      <w:r>
        <w:rPr/>
        <w:t xml:space="preserve">51. Препоръчваме на Европейския съюз да гарантира, че частните доставчици на здравно обслужване не се възползват несправедливо от публични средства и не се възползват от ресурсите на системите за обществено здравеопазване. Европейският съюз следва да отправи категорични препоръки към държавите членки за увеличаване на финансирането за общественото здравеопазване. </w:t>
      </w:r>
    </w:p>
    <w:p>
      <w:pPr>
        <w:pStyle w:val="Normal"/>
        <w:rPr/>
      </w:pPr>
      <w:r>
        <w:rPr/>
        <w:t xml:space="preserve"> </w:t>
      </w:r>
    </w:p>
    <w:p>
      <w:pPr>
        <w:pStyle w:val="Normal"/>
        <w:rPr/>
      </w:pPr>
      <w:r>
        <w:rPr/>
        <w:t xml:space="preserve">Отправяме тази препоръка, защото Европейският съюз и неговите държави членки имат задължението да осигурят достъп до здравни грижи за всички свои граждани. Освен това по-силната система за обществено здравеопазване изисква също така по-добра подготвеност за бъдещи пандемии. </w:t>
      </w:r>
    </w:p>
    <w:p>
      <w:pPr>
        <w:pStyle w:val="Normal"/>
        <w:rPr/>
      </w:pPr>
      <w:r>
        <w:rPr/>
        <w:t xml:space="preserve"> </w:t>
      </w:r>
    </w:p>
    <w:p>
      <w:pPr>
        <w:pStyle w:val="Titre3"/>
        <w:numPr>
          <w:ilvl w:val="2"/>
          <w:numId w:val="2"/>
        </w:numPr>
        <w:rPr/>
      </w:pPr>
      <w:bookmarkStart w:id="175" w:name="__RefHeading___Toc297285_1346298689"/>
      <w:bookmarkEnd w:id="175"/>
      <w:r>
        <w:rPr/>
        <w:t xml:space="preserve">Приложение: ДРУГИ ПРЕПОРЪКИ, РАЗГЛЕДАНИ ОТ ЕКСПЕРТНАТА ГРУПА, КОИТО НЕ СА ПРИЕТИ </w:t>
      </w:r>
    </w:p>
    <w:p>
      <w:pPr>
        <w:pStyle w:val="Titre4"/>
        <w:numPr>
          <w:ilvl w:val="3"/>
          <w:numId w:val="2"/>
        </w:numPr>
        <w:rPr/>
      </w:pPr>
      <w:bookmarkStart w:id="176" w:name="__RefHeading___Toc297287_1346298689"/>
      <w:bookmarkEnd w:id="176"/>
      <w:r>
        <w:rPr/>
        <w:t xml:space="preserve">Ос 1: По-добри начини на живот </w:t>
      </w:r>
    </w:p>
    <w:p>
      <w:pPr>
        <w:pStyle w:val="Normal"/>
        <w:rPr/>
      </w:pPr>
      <w:r>
        <w:rPr/>
        <w:t xml:space="preserve">Подос 1.1 Здравословен начин на живот </w:t>
      </w:r>
    </w:p>
    <w:p>
      <w:pPr>
        <w:pStyle w:val="P68B1DB1Normal15"/>
        <w:rPr>
          <w:b/>
          <w:b/>
        </w:rPr>
      </w:pPr>
      <w:r>
        <w:rPr/>
        <w:t xml:space="preserve">Сметната палата препоръчва на ЕС да изпрати препоръка до всички държави членки относно най-добрите практики за забрана или ограничаване на рекламата на алкохол и тютюневи изделия във всички форми на медиите и за всички възрастови групи, но със специално внимание към младата публика. ЕС следва да гарантира прилагането на законите, ограничаващи продажбата на тези продукти на непълнолетни лица. Всички държави членки следва да гарантират прилагането със санкции на правните разпоредби относно тютюнопушенето на обществени места, по-специално в училищата, и да създадат пространства, запазени за пушачите. </w:t>
      </w:r>
    </w:p>
    <w:p>
      <w:pPr>
        <w:pStyle w:val="Normal"/>
        <w:rPr/>
      </w:pPr>
      <w:r>
        <w:rPr/>
        <w:t xml:space="preserve"> </w:t>
      </w:r>
    </w:p>
    <w:p>
      <w:pPr>
        <w:pStyle w:val="Normal"/>
        <w:rPr/>
      </w:pPr>
      <w:r>
        <w:rPr/>
        <w:t xml:space="preserve">Вредният за здравето начин на живот не може да се появи в рекламата и трябва да бъде по-малко видим в обществения живот. Освен това, тъй като алкохолът и тютюнът са сред най-използваните вредни вещества, тази препоръка ще предотврати злоупотребата с тях. </w:t>
      </w:r>
    </w:p>
    <w:p>
      <w:pPr>
        <w:pStyle w:val="Normal"/>
        <w:rPr/>
      </w:pPr>
      <w:r>
        <w:rPr/>
        <w:t xml:space="preserve"> </w:t>
      </w:r>
    </w:p>
    <w:p>
      <w:pPr>
        <w:pStyle w:val="P68B1DB1Normal15"/>
        <w:rPr>
          <w:b/>
          <w:b/>
        </w:rPr>
      </w:pPr>
      <w:r>
        <w:rPr/>
        <w:t xml:space="preserve">Препоръчваме ЕС да насърчава държавите членки да включат курсове в националните училищни програми, за да се научат как да готвят по устойчив, здравословен и вкусен начин. За тази цел ЕС може да предостави здравословни готварски ръководства както онлайн, така и в печатен вид. Младите хора трябва да бъдат достигнати чрез активна реклама в традиционните и социалните медии. Също така трябва да образоваме родителите да се научат как най-добре да използват храната, за да възприемат здравословен начин на живот. Научните изследвания в тази област следва да бъдат насърчавани и обогатявани. </w:t>
      </w:r>
    </w:p>
    <w:p>
      <w:pPr>
        <w:pStyle w:val="Normal"/>
        <w:rPr/>
      </w:pPr>
      <w:r>
        <w:rPr/>
        <w:t xml:space="preserve"> </w:t>
      </w:r>
    </w:p>
    <w:p>
      <w:pPr>
        <w:pStyle w:val="Normal"/>
        <w:rPr/>
      </w:pPr>
      <w:r>
        <w:rPr/>
        <w:t xml:space="preserve">Организирането на класове по готвене и хранене в училище би подобрило здравето на младите хора и би попречило на консумацията на бързо хранене. Образоването на младите хора ще им позволи да обяснят на родителите си какво са научили. В допълнение, образоването на родителите за здравословния начин на живот би им позволило да дадат пример на децата си. </w:t>
      </w:r>
    </w:p>
    <w:p>
      <w:pPr>
        <w:pStyle w:val="Normal"/>
        <w:rPr/>
      </w:pPr>
      <w:r>
        <w:rPr/>
      </w:r>
    </w:p>
    <w:p>
      <w:pPr>
        <w:pStyle w:val="P68B1DB1Normal15"/>
        <w:rPr>
          <w:b/>
          <w:b/>
        </w:rPr>
      </w:pPr>
      <w:r>
        <w:rPr/>
        <w:t xml:space="preserve">Препоръчваме да се засили обществената кампания на Европейската комисия за здравословен начин на живот, HealthyLifestyle4All и положителното въздействие на социалната дейност чрез конкретни примери и всеобхватна стратегия. Следва да се определят информационни кампании за добре структурирани целеви групи и да се изберат подходящи средства за комуникация за всяка от тези групи. Освен това е важно да се въведат системи за възнаграждение и стимули за насърчаване на положителното поведение. Кампаниите следва да включват инфлуенсъри, знаменитости или органи. Те трябва да подчертаят двойната полза за здравето, околната среда и климата. Освен това във всички държави членки следва да се отпускат безвъзмездни средства за насърчаване на безплатната публична спортна инфраструктура. </w:t>
      </w:r>
    </w:p>
    <w:p>
      <w:pPr>
        <w:pStyle w:val="Normal"/>
        <w:rPr/>
      </w:pPr>
      <w:r>
        <w:rPr/>
        <w:t xml:space="preserve"> </w:t>
      </w:r>
    </w:p>
    <w:p>
      <w:pPr>
        <w:pStyle w:val="Normal"/>
        <w:rPr/>
      </w:pPr>
      <w:r>
        <w:rPr/>
        <w:t xml:space="preserve">Здравословният начин на живот има положителен ефект върху здравната система, тъй като намалява здравословните проблеми. Физическото здраве влияе на психичното здраве и щастието. Настоящите кампании не са достатъчно известни. Те са по-ефективни и мотивиращи, когато личности и инфлуенсъри са свързани с него. </w:t>
      </w:r>
    </w:p>
    <w:p>
      <w:pPr>
        <w:pStyle w:val="Normal"/>
        <w:rPr/>
      </w:pPr>
      <w:r>
        <w:rPr/>
        <w:t xml:space="preserve"> </w:t>
      </w:r>
    </w:p>
    <w:p>
      <w:pPr>
        <w:pStyle w:val="P68B1DB1Normal15"/>
        <w:rPr>
          <w:b/>
          <w:b/>
        </w:rPr>
      </w:pPr>
      <w:r>
        <w:rPr/>
        <w:t xml:space="preserve">Препоръчваме информационна кампания за здравословно хранене и хранене. ЕС следва да насърчава по-високо данъчно облагане на месото и захарта в държавите членки. Тя следва да проучи възможностите за разграничаване между здравословни и вредни храни и да прилага диференциран ДДС за тях. Препоръчваме поставянето на много ясни предупредителни сигнали върху продукти, които са много вредни за здравето (като тютюневите изделия). Освен това препоръчваме общоевропейска система за оценка на хранителните стойности, която да предоставя подходяща информация и QR код, който да позволява на потребителите да вземат по-добре информирани решения. Проучете възможностите да направите здравословните храни по-евтини от нездравословната храна и допълнително насърчавайте фермерите да произвеждат здравословни продукти. </w:t>
      </w:r>
    </w:p>
    <w:p>
      <w:pPr>
        <w:pStyle w:val="Normal"/>
        <w:rPr/>
      </w:pPr>
      <w:r>
        <w:rPr/>
        <w:t xml:space="preserve"> </w:t>
      </w:r>
    </w:p>
    <w:p>
      <w:pPr>
        <w:pStyle w:val="Normal"/>
        <w:rPr/>
      </w:pPr>
      <w:r>
        <w:rPr/>
        <w:t xml:space="preserve">Здравословното хранене е в основата на здравословния живот. Необходимо е да се намеси както от страна на производителя, така и от страна на потребителя. Производството на здравословни продукти също има положително въздействие върху околната среда и може да подпомогне местните земеделски стопани. Ако производството на здравословни храни се увеличи, цените падат и търсенето се увеличава. </w:t>
      </w:r>
    </w:p>
    <w:p>
      <w:pPr>
        <w:pStyle w:val="Normal"/>
        <w:rPr/>
      </w:pPr>
      <w:r>
        <w:rPr/>
        <w:t xml:space="preserve"> </w:t>
      </w:r>
    </w:p>
    <w:p>
      <w:pPr>
        <w:pStyle w:val="Normal"/>
        <w:rPr/>
      </w:pPr>
      <w:r>
        <w:rPr/>
        <w:t xml:space="preserve">Подос 1.2 Екологично образование </w:t>
      </w:r>
    </w:p>
    <w:p>
      <w:pPr>
        <w:pStyle w:val="P68B1DB1Normal15"/>
        <w:rPr>
          <w:b/>
          <w:b/>
        </w:rPr>
      </w:pPr>
      <w:r>
        <w:rPr/>
        <w:t xml:space="preserve">Препоръчваме ЕС да създаде механизъм за финансиране за насърчаване на включването на дългосрочна програма за екологично образование в националните образователни системи за децата в началните и средните училища. Този механизъм за финансиране следва да включва финансиране за родители, нуждаещи се от финансова помощ. </w:t>
      </w:r>
    </w:p>
    <w:p>
      <w:pPr>
        <w:pStyle w:val="Normal"/>
        <w:rPr/>
      </w:pPr>
      <w:r>
        <w:rPr/>
        <w:t xml:space="preserve"> </w:t>
      </w:r>
    </w:p>
    <w:p>
      <w:pPr>
        <w:pStyle w:val="Normal"/>
        <w:rPr/>
      </w:pPr>
      <w:r>
        <w:rPr/>
        <w:t xml:space="preserve">Настоящите образователни системи не съдържат достатъчно практически елементи, които улесняват преките и дълбоки взаимодействия между децата и околната среда. Съществуващите програми, разработени в краткосрочен план, са разнородни и не насърчават необходимата промяна в отношението. Родителите следва да бъдат подкрепяни, за да се гарантира, че всички деца могат да се възползват еднакво от програмата и че нито едно от тях не е изключено по финансови причини. </w:t>
      </w:r>
    </w:p>
    <w:p>
      <w:pPr>
        <w:pStyle w:val="Normal"/>
        <w:rPr/>
      </w:pPr>
      <w:r>
        <w:rPr/>
        <w:t xml:space="preserve"> </w:t>
      </w:r>
    </w:p>
    <w:p>
      <w:pPr>
        <w:pStyle w:val="Titre4"/>
        <w:numPr>
          <w:ilvl w:val="3"/>
          <w:numId w:val="2"/>
        </w:numPr>
        <w:rPr/>
      </w:pPr>
      <w:bookmarkStart w:id="177" w:name="__RefHeading___Toc297289_1346298689"/>
      <w:bookmarkEnd w:id="177"/>
      <w:r>
        <w:rPr/>
        <w:t xml:space="preserve">Ос 2: Опазване на околната среда и здравето </w:t>
      </w:r>
    </w:p>
    <w:p>
      <w:pPr>
        <w:pStyle w:val="Normal"/>
        <w:rPr/>
      </w:pPr>
      <w:r>
        <w:rPr/>
        <w:t xml:space="preserve">Подос 2.1 Здрава природна среда </w:t>
      </w:r>
    </w:p>
    <w:p>
      <w:pPr>
        <w:pStyle w:val="P68B1DB1Normal15"/>
        <w:rPr>
          <w:b/>
          <w:b/>
        </w:rPr>
      </w:pPr>
      <w:r>
        <w:rPr/>
        <w:t xml:space="preserve">Препоръчваме незабавно да се въведе възможно най-висок стандарт за качество на водата в целия ЕС. За да пестим вода, предлагаме система за възнаграждение, основана на цените на водата, за да насърчим и насърчим по-малко потребление, например: 1) чрез създаване на динамична система, която обезкуражава потребителите да надвишават средното потребление на вода (например 10 % увеличение на потреблението на вода води до 11 % увеличение на цената), 2) чрез създаване на пазарна система за квоти за вода, замърсена от производствените предприятия, която би била подобна на вече съществуващия пазар на разрешителни за въглеродни емисии. </w:t>
      </w:r>
    </w:p>
    <w:p>
      <w:pPr>
        <w:pStyle w:val="Normal"/>
        <w:rPr/>
      </w:pPr>
      <w:r>
        <w:rPr/>
        <w:t xml:space="preserve"> </w:t>
      </w:r>
    </w:p>
    <w:p>
      <w:pPr>
        <w:pStyle w:val="Normal"/>
        <w:rPr/>
      </w:pPr>
      <w:r>
        <w:rPr/>
        <w:t xml:space="preserve">Тази препоръка е оправдана от факта, че увеличенията на цените насърчават всички потребители да вземат по-добре информирани решения. Като се имат предвид различните реалности в държавите от ЕС и за да се постигне социално справедлива система, можем да подкрепим по-бедните хора в тяхното управление на водите чрез съвместни инвестиции в инфраструктура за водоснабдяване и научни изследвания. </w:t>
      </w:r>
    </w:p>
    <w:p>
      <w:pPr>
        <w:pStyle w:val="Normal"/>
        <w:rPr/>
      </w:pPr>
      <w:r>
        <w:rPr/>
        <w:t xml:space="preserve"> </w:t>
      </w:r>
    </w:p>
    <w:p>
      <w:pPr>
        <w:pStyle w:val="Titre4"/>
        <w:numPr>
          <w:ilvl w:val="3"/>
          <w:numId w:val="2"/>
        </w:numPr>
        <w:rPr/>
      </w:pPr>
      <w:bookmarkStart w:id="178" w:name="__RefHeading___Toc297291_1346298689"/>
      <w:bookmarkEnd w:id="178"/>
      <w:r>
        <w:rPr/>
        <w:t xml:space="preserve">Ос 3: преориентиране на икономиката и потреблението </w:t>
      </w:r>
    </w:p>
    <w:p>
      <w:pPr>
        <w:pStyle w:val="Normal"/>
        <w:rPr/>
      </w:pPr>
      <w:r>
        <w:rPr/>
        <w:t xml:space="preserve">Подос 3.1 Регулиране на свръхпроизводството и свръхпотреблението </w:t>
      </w:r>
    </w:p>
    <w:p>
      <w:pPr>
        <w:pStyle w:val="P68B1DB1Normal15"/>
        <w:rPr>
          <w:b/>
          <w:b/>
        </w:rPr>
      </w:pPr>
      <w:r>
        <w:rPr/>
        <w:t xml:space="preserve">Препоръчваме ЕС да наложи глоби на компании, които елиминират непродадените продукти, произведени чрез свръхпроизводство. </w:t>
      </w:r>
    </w:p>
    <w:p>
      <w:pPr>
        <w:pStyle w:val="Normal"/>
        <w:rPr/>
      </w:pPr>
      <w:r>
        <w:rPr/>
        <w:t xml:space="preserve"> </w:t>
      </w:r>
    </w:p>
    <w:p>
      <w:pPr>
        <w:pStyle w:val="Normal"/>
        <w:rPr/>
      </w:pPr>
      <w:r>
        <w:rPr/>
        <w:t xml:space="preserve">В някои случаи компаниите смятат, че е по-рентабилно да се изхвърлят непродадени стоки, а не да се рециклират или да се използват повторно. Поради това е важно да се предотврати свръхпроизводството чрез налагане на глоби, така че тази практика вече да не е рентабилна за производителите. </w:t>
      </w:r>
    </w:p>
    <w:p>
      <w:pPr>
        <w:pStyle w:val="Normal"/>
        <w:rPr/>
      </w:pPr>
      <w:r>
        <w:rPr/>
        <w:t xml:space="preserve"> </w:t>
      </w:r>
    </w:p>
    <w:p>
      <w:pPr>
        <w:pStyle w:val="Normal"/>
        <w:rPr/>
      </w:pPr>
      <w:r>
        <w:rPr/>
        <w:t xml:space="preserve">Подос 3.2 Намаляване на отпадъците </w:t>
      </w:r>
    </w:p>
    <w:p>
      <w:pPr>
        <w:pStyle w:val="P68B1DB1Normal15"/>
        <w:rPr>
          <w:b/>
          <w:b/>
        </w:rPr>
      </w:pPr>
      <w:r>
        <w:rPr/>
        <w:t xml:space="preserve">Препоръчваме ЕС да разработи и приложи политика за управление на отпадъците за домакинствата и гражданите, като насочи вниманието към действителното количество отпадъци, които те произвеждат, и я допълни с необходимите мерки за повишаване на осведомеността на гражданите относно ползите от намаляването на генерирането на отпадъци и селективното събиране на отпадъци. Следва също така да се прилагат мерки, насочени към семейства в неравностойно социално положение (напр. млади семейства с деца, възрастни хора и т.н.), като същевременно се зачита принципът „никой да не бъде изоставен“. </w:t>
      </w:r>
    </w:p>
    <w:p>
      <w:pPr>
        <w:pStyle w:val="Normal"/>
        <w:rPr/>
      </w:pPr>
      <w:r>
        <w:rPr/>
        <w:t xml:space="preserve"> </w:t>
      </w:r>
    </w:p>
    <w:p>
      <w:pPr>
        <w:pStyle w:val="Normal"/>
        <w:rPr/>
      </w:pPr>
      <w:r>
        <w:rPr/>
        <w:t xml:space="preserve">Целта на тази политика е да се разработи единен подход към управлението на отпадъците в домакинствата; той също така улеснява опазването на околната среда чрез намаляване на отпадъците, допълнително стимулира кръговата икономика и повишава ефективността на събирането на отпадъци. И накрая, което не е пренебрежимо малко, то повишава осведомеността на гражданите и засилва чувството за екологична отговорност. </w:t>
      </w:r>
    </w:p>
    <w:p>
      <w:pPr>
        <w:pStyle w:val="Normal"/>
        <w:rPr/>
      </w:pPr>
      <w:r>
        <w:rPr/>
        <w:t xml:space="preserve"> </w:t>
      </w:r>
    </w:p>
    <w:p>
      <w:pPr>
        <w:pStyle w:val="P68B1DB1Normal15"/>
        <w:rPr>
          <w:b/>
          <w:b/>
        </w:rPr>
      </w:pPr>
      <w:r>
        <w:rPr/>
        <w:t xml:space="preserve">Препоръчваме ЕС да насърчава свободната конкуренция и да насърчава частния сектор да допринася по-активно за третирането на отпадъците, включително отпадъчните води, както и за дейностите по рециклиране и оползотворяване на отпадъците. </w:t>
      </w:r>
    </w:p>
    <w:p>
      <w:pPr>
        <w:pStyle w:val="Normal"/>
        <w:rPr/>
      </w:pPr>
      <w:r>
        <w:rPr/>
        <w:t xml:space="preserve"> </w:t>
      </w:r>
    </w:p>
    <w:p>
      <w:pPr>
        <w:pStyle w:val="Normal"/>
        <w:rPr/>
      </w:pPr>
      <w:r>
        <w:rPr/>
        <w:t xml:space="preserve">ЕС е подходящото равнище за изпълнение на настоящата препоръка, тъй като тя допълва Рамковата директива за отпадъците и плана за действие за кръговата икономика. Освен това изпълнението на препоръката ще укрепи иновативните решения за управление на отпадъците, ще подобри качеството на управлението на отпадъците и ще увеличи обема на третираните отпадъци, тъй като в тези дейности ще участват повече предприятия. </w:t>
      </w:r>
    </w:p>
    <w:p>
      <w:pPr>
        <w:pStyle w:val="Normal"/>
        <w:rPr/>
      </w:pPr>
      <w:r>
        <w:rPr/>
        <w:t xml:space="preserve"> </w:t>
      </w:r>
    </w:p>
    <w:p>
      <w:pPr>
        <w:pStyle w:val="Normal"/>
        <w:rPr/>
      </w:pPr>
      <w:r>
        <w:rPr/>
        <w:t xml:space="preserve">Подос 3.3 Справедливи продукти, равен достъп и справедливо потребление </w:t>
      </w:r>
    </w:p>
    <w:p>
      <w:pPr>
        <w:pStyle w:val="P68B1DB1Normal15"/>
        <w:rPr>
          <w:b/>
          <w:b/>
        </w:rPr>
      </w:pPr>
      <w:r>
        <w:rPr/>
        <w:t xml:space="preserve">Препоръчваме преместването на промишлени отрасли в Европейския съюз, за да се осигурят висококачествени справедливи продукти и да се повлияе на проблемите, свързани с климата. </w:t>
      </w:r>
    </w:p>
    <w:p>
      <w:pPr>
        <w:pStyle w:val="Normal"/>
        <w:rPr/>
      </w:pPr>
      <w:r>
        <w:rPr/>
        <w:t xml:space="preserve"> </w:t>
      </w:r>
    </w:p>
    <w:p>
      <w:pPr>
        <w:pStyle w:val="Normal"/>
        <w:rPr/>
      </w:pPr>
      <w:r>
        <w:rPr/>
        <w:t xml:space="preserve">Европейският съюз разполага с ноу-хау, което трябва да бъде популяризирано на собствения му пазар. </w:t>
      </w:r>
    </w:p>
    <w:p>
      <w:pPr>
        <w:pStyle w:val="Normal"/>
        <w:rPr/>
      </w:pPr>
      <w:r>
        <w:rPr/>
        <w:t xml:space="preserve">Поради преместването на отрасли извън ЕС, особено в Азия, някои професионални умения също се преместват. Тази препоръка включва професионалното обучение на европейските работници. Подчертаваме необходимостта от избягване на преместването между различните държави членки, за да се избегне нелоялната конкуренция. </w:t>
      </w:r>
    </w:p>
    <w:p>
      <w:pPr>
        <w:pStyle w:val="Normal"/>
        <w:rPr/>
      </w:pPr>
      <w:r>
        <w:rPr/>
        <w:t xml:space="preserve">Наблюдавахме, че масовото преместване на промишлени отрасли по света оказва въздействие върху европейската промишленост. Ето защо местното производство ще подобри здравето на гражданите и околната среда. </w:t>
      </w:r>
    </w:p>
    <w:p>
      <w:pPr>
        <w:pStyle w:val="Normal"/>
        <w:rPr/>
      </w:pPr>
      <w:r>
        <w:rPr/>
      </w:r>
    </w:p>
    <w:p>
      <w:pPr>
        <w:pStyle w:val="Titre4"/>
        <w:numPr>
          <w:ilvl w:val="3"/>
          <w:numId w:val="2"/>
        </w:numPr>
        <w:rPr/>
      </w:pPr>
      <w:bookmarkStart w:id="179" w:name="__RefHeading___Toc297293_1346298689"/>
      <w:bookmarkEnd w:id="179"/>
      <w:r>
        <w:rPr/>
        <w:t xml:space="preserve">Ос 4: към устойчиво общество </w:t>
      </w:r>
    </w:p>
    <w:p>
      <w:pPr>
        <w:pStyle w:val="Normal"/>
        <w:rPr/>
      </w:pPr>
      <w:r>
        <w:rPr/>
        <w:t xml:space="preserve">Подос 4.3 Екологосъобразен транспорт </w:t>
      </w:r>
    </w:p>
    <w:p>
      <w:pPr>
        <w:pStyle w:val="P68B1DB1Normal15"/>
        <w:rPr>
          <w:b/>
          <w:b/>
        </w:rPr>
      </w:pPr>
      <w:r>
        <w:rPr/>
        <w:t xml:space="preserve">Препоръчваме големите градове да бъдат глобени или субсидирани в зависимост от екологичните и замърсяващи характеристики на техния обществен транспорт (електрически превозни средства, зелен обществен транспорт, създаване на пешеходни зони, насърчаване на използването на велосипеди и др.). По-специално глобите или субсидиите, приложими за местните органи в даден град, следва да се определят въз основа на промените в екологичния транспорт в сравнение с изходната ситуация в този град. Европейският съюз е този, който чрез своето законодателство следва да определи показатели за изпълнението на мерките, свързани със замърсяването, и да определи пропорционалното намаляване. Във връзка с това следва да се вземе предвид началната точка на всеки град. </w:t>
      </w:r>
    </w:p>
    <w:p>
      <w:pPr>
        <w:pStyle w:val="Normal"/>
        <w:rPr/>
      </w:pPr>
      <w:r>
        <w:rPr/>
        <w:t xml:space="preserve"> </w:t>
      </w:r>
    </w:p>
    <w:p>
      <w:pPr>
        <w:pStyle w:val="Normal"/>
        <w:rPr/>
      </w:pPr>
      <w:r>
        <w:rPr/>
        <w:t xml:space="preserve">Отправяме тази препоръка, защото градовете са засегнати от замърсяването на въздуха, което е причинило здравословни проблеми. Развитието на екологосъобразен транспорт би подобрило живота и здравето на хората и би намалило парниковия ефект. Субсидиите и санкциите са ефективни мерки за насърчаване на промяната и улесняване на приспособяването към различни ситуации в различните градове. </w:t>
      </w:r>
    </w:p>
    <w:p>
      <w:pPr>
        <w:pStyle w:val="Normal"/>
        <w:rPr/>
      </w:pPr>
      <w:r>
        <w:rPr/>
        <w:t xml:space="preserve"> </w:t>
      </w:r>
    </w:p>
    <w:p>
      <w:pPr>
        <w:pStyle w:val="P68B1DB1Normal15"/>
        <w:rPr>
          <w:b/>
          <w:b/>
        </w:rPr>
      </w:pPr>
      <w:r>
        <w:rPr/>
        <w:t xml:space="preserve">Препоръчваме законодателството на ЕС да ограничи и регулира използването на полети на къси разстояния и круизни кораби. На хората трябва да се предлагат екологосъобразни транспортни алтернативи. Една такава алтернатива следва да бъде стандартизацията на железниците, за да се свържат европейските столици. Препоръчваме също така ЕС да предостави субсидии, за да направи превоза на стоки по-екологосъобразен, включително железопътен и корабен транспорт (за кратки пътувания). </w:t>
      </w:r>
    </w:p>
    <w:p>
      <w:pPr>
        <w:pStyle w:val="Normal"/>
        <w:rPr/>
      </w:pPr>
      <w:r>
        <w:rPr/>
        <w:t xml:space="preserve"> </w:t>
      </w:r>
    </w:p>
    <w:p>
      <w:pPr>
        <w:pStyle w:val="Normal"/>
        <w:rPr/>
      </w:pPr>
      <w:r>
        <w:rPr/>
        <w:t xml:space="preserve">Ние правим тази препоръка, защото пътуванията на къси разстояния са твърде чести, замърсяващи и лесни за подмяна. Ограничаването на круизните кораби би намалило морското замърсяване (голям екологичен проблем), както и отрицателното въздействие върху крайбрежните градове. Ето защо трябва да въведем по-достъпни алтернативи на по-замърсяващите решения. Единното междурелсие би подобрило железопътните връзки между европейските столици. </w:t>
      </w:r>
    </w:p>
    <w:p>
      <w:pPr>
        <w:pStyle w:val="Normal"/>
        <w:rPr/>
      </w:pPr>
      <w:r>
        <w:rPr/>
        <w:t xml:space="preserve"> </w:t>
      </w:r>
    </w:p>
    <w:p>
      <w:pPr>
        <w:pStyle w:val="Titre4"/>
        <w:numPr>
          <w:ilvl w:val="3"/>
          <w:numId w:val="2"/>
        </w:numPr>
        <w:rPr/>
      </w:pPr>
      <w:bookmarkStart w:id="180" w:name="__RefHeading___Toc297295_1346298689"/>
      <w:bookmarkEnd w:id="180"/>
      <w:r>
        <w:rPr/>
        <w:t xml:space="preserve">Ос 5: Грижа за всички </w:t>
      </w:r>
    </w:p>
    <w:p>
      <w:pPr>
        <w:pStyle w:val="Normal"/>
        <w:rPr/>
      </w:pPr>
      <w:r>
        <w:rPr/>
        <w:t xml:space="preserve">Подос 5.2 По-широк поглед върху здравето </w:t>
      </w:r>
    </w:p>
    <w:p>
      <w:pPr>
        <w:pStyle w:val="Normal"/>
        <w:rPr>
          <w:b/>
          <w:b/>
        </w:rPr>
      </w:pPr>
      <w:r>
        <w:rPr>
          <w:b/>
        </w:rPr>
        <w:t>Препоръчваме на Европейския съюз, в съответствие със своята</w:t>
      </w:r>
      <w:r>
        <w:rPr>
          <w:b/>
        </w:rPr>
        <w:commentReference w:id="5"/>
      </w:r>
      <w:r>
        <w:rPr>
          <w:b/>
        </w:rPr>
        <w:t xml:space="preserve"> кампания HealthyLife4All, също така да насърчава инициативи като социални спортни събития, училищни спортни дейности, Олимпийски игри, отворени за всички възрасти и всички спортове [не за професионалисти]. Също така препоръчваме разработването на безплатно европейско спортно приложение за насърчаване на колективните спортни дейности. Това приложение трябва да помогне на хората да се срещнат чрез спорта. Освен това тези инициативи следва да бъдат широко известни и разпространени. </w:t>
      </w:r>
    </w:p>
    <w:p>
      <w:pPr>
        <w:pStyle w:val="Normal"/>
        <w:rPr/>
      </w:pPr>
      <w:r>
        <w:rPr/>
        <w:t xml:space="preserve"> </w:t>
      </w:r>
    </w:p>
    <w:p>
      <w:pPr>
        <w:pStyle w:val="Normal"/>
        <w:rPr/>
      </w:pPr>
      <w:r>
        <w:rPr/>
        <w:t xml:space="preserve">За да се подобри здравето на европейското население, Европейският съюз трябва да насърчава спорта и здравословния начин на живот. В допълнение, населението много често не е наясно с връзката между спорта и здравословния начин на живот. Приложението е важно, защото хората са по-склонни да спортуват, ако го правят заедно.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81" w:name="__RefHeading___Toc297297_1346298689"/>
      <w:bookmarkEnd w:id="181"/>
      <w:r>
        <w:rPr/>
        <w:t xml:space="preserve">Европейски граждански панел 4: „ЕС в света/Миграция“ </w:t>
      </w:r>
    </w:p>
    <w:p>
      <w:pPr>
        <w:pStyle w:val="Normal"/>
        <w:rPr/>
      </w:pPr>
      <w:r>
        <w:rPr/>
        <w:t xml:space="preserve">ПРЕПОРЪКИ, ПРИЕТИ ОТ КОМИСИЯТА (ПРЕДСТОИ ДА БЪДАТ ПРЕДСТАВЕНИ НА ПЛЕНАРНО ЗАСЕДАНИЕ) </w:t>
      </w:r>
    </w:p>
    <w:p>
      <w:pPr>
        <w:pStyle w:val="Normal"/>
        <w:rPr/>
      </w:pPr>
      <w:r>
        <w:rPr/>
      </w:r>
    </w:p>
    <w:p>
      <w:pPr>
        <w:pStyle w:val="Titre3"/>
        <w:numPr>
          <w:ilvl w:val="2"/>
          <w:numId w:val="2"/>
        </w:numPr>
        <w:rPr/>
      </w:pPr>
      <w:bookmarkStart w:id="182" w:name="__RefHeading___Toc297299_1346298689"/>
      <w:bookmarkEnd w:id="182"/>
      <w:r>
        <w:rPr/>
        <w:t xml:space="preserve">Ос 1: Самодостатъчност и стабилност </w:t>
      </w:r>
    </w:p>
    <w:p>
      <w:pPr>
        <w:pStyle w:val="Titre4"/>
        <w:numPr>
          <w:ilvl w:val="3"/>
          <w:numId w:val="2"/>
        </w:numPr>
        <w:rPr/>
      </w:pPr>
      <w:bookmarkStart w:id="183" w:name="__RefHeading___Toc297301_1346298689"/>
      <w:bookmarkEnd w:id="183"/>
      <w:r>
        <w:rPr/>
        <w:t xml:space="preserve">Подос 1.1 — Автономия на ЕС </w:t>
      </w:r>
    </w:p>
    <w:p>
      <w:pPr>
        <w:pStyle w:val="Normal"/>
        <w:rPr>
          <w:b/>
          <w:b/>
        </w:rPr>
      </w:pPr>
      <w:r>
        <w:rPr>
          <w:b/>
        </w:rPr>
        <w:t>1. Препоръчваме стратегическите европейски производствени продукти (като селскостопански продукти, полупроводници, медицински продукти или иновативни цифрови и екологични технологии) да бъдат допълнително насърчавани и финансово подкрепяни, за да бъдат достъпни и достъпни за европейските потребители и да се намалят, доколкото е възможно, зависимостта от неевропейски доставчици. Тази подкрепа би могла да включва структурни и регионални мерки, подкрепа за поддържането на промишлеността и веригите на доставки в рамките на Съюза,</w:t>
      </w:r>
      <w:r>
        <w:rPr>
          <w:b/>
        </w:rPr>
        <w:commentReference w:id="6"/>
      </w:r>
      <w:r>
        <w:rPr>
          <w:b/>
        </w:rPr>
        <w:t xml:space="preserve"> данъчниоблекчения, субсидии, активна политика за МСП или образователни програми за запазване на съответните умения и работни места в Европа. Въпреки това активната промишлена политика следва да бъде избирателна и да е насочена към иновативни продукти или продукти, които са от съществено значение за гарантиране на основни стоки и услуги. </w:t>
      </w:r>
    </w:p>
    <w:p>
      <w:pPr>
        <w:pStyle w:val="Normal"/>
        <w:rPr/>
      </w:pPr>
      <w:r>
        <w:rPr/>
        <w:t xml:space="preserve"> </w:t>
      </w:r>
    </w:p>
    <w:p>
      <w:pPr>
        <w:pStyle w:val="Normal"/>
        <w:rPr/>
      </w:pPr>
      <w:r>
        <w:rPr/>
        <w:t xml:space="preserve">Препоръчваме тези мерки, тъй като Европа е твърде зависима от </w:t>
      </w:r>
      <w:commentRangeStart w:id="7"/>
      <w:r>
        <w:rPr/>
        <w:t>неевропейски доставчици</w:t>
      </w:r>
      <w:r>
        <w:rPr/>
      </w:r>
      <w:commentRangeEnd w:id="7"/>
      <w:r>
        <w:commentReference w:id="7"/>
      </w:r>
      <w:r>
        <w:rPr/>
        <w:t xml:space="preserve"> в ключови области, които рискуват да предизвикат дипломатически конфликти и да доведат до недостиг на основни продукти или услуги или до стратегическо значение. Тъй като производствените разходи в ЕС като цяло са по-високи, отколкото другаде по света, една политика на активно насърчаване и подкрепа за тези продукти ще позволи на европейците да купуват конкурентоспособни европейски продукти и да бъдат насърчавани да го правят. Тази политика също така ще засили европейската конкурентоспособност и ще запази бъдещите индустрии и работни места в Европа. Освен това по-голямата регионализация на производството ще намали транспортните разходи и ще избегне влошаването на състоянието на околната среда. </w:t>
      </w:r>
    </w:p>
    <w:p>
      <w:pPr>
        <w:pStyle w:val="Normal"/>
        <w:rPr/>
      </w:pPr>
      <w:r>
        <w:rPr/>
        <w:t xml:space="preserve"> </w:t>
      </w:r>
    </w:p>
    <w:p>
      <w:pPr>
        <w:pStyle w:val="P68B1DB1Normal15"/>
        <w:rPr>
          <w:b/>
          <w:b/>
        </w:rPr>
      </w:pPr>
      <w:r>
        <w:rPr/>
        <w:t>2. Препоръчваме на ЕС да намали зависимостта си от вноса на нефт и газ. Това ще изисква активна подкрепа за проекти за обществен транспорт и енергийна ефективност, европейска високоскоростна железопътна мрежа за товарен превоз, разширяване на доставките на чиста и възобновяема енергия (включително слънчева и вятърна енергия) и алтернативни технологии (като водород или оползотворяване на отпадъци от енергия). Европейският съюз следва също така да насърчава промяна в начина на мислене и да насърчава изоставянето на частни автомобили в полза на обществения транспорт, споделянето на автомобили с помощта на електрически превозни средства и велосипеди.</w:t>
      </w:r>
    </w:p>
    <w:p>
      <w:pPr>
        <w:pStyle w:val="Normal"/>
        <w:rPr/>
      </w:pPr>
      <w:r>
        <w:rPr/>
      </w:r>
    </w:p>
    <w:p>
      <w:pPr>
        <w:pStyle w:val="Normal"/>
        <w:rPr/>
      </w:pPr>
      <w:r>
        <w:rPr/>
        <w:t>Препоръчваме тези мерки, тъй като те създават ситуация, която насърчава както автономността на Европа чрез намаляване на външните ѝ зависимости, така и постигането на амбициозни</w:t>
      </w:r>
      <w:r>
        <w:rPr>
          <w:vertAlign w:val="subscript"/>
        </w:rPr>
        <w:t>цели за намаляване на емисиите на CO2</w:t>
      </w:r>
      <w:r>
        <w:rPr/>
        <w:t xml:space="preserve">. Те също така ще дадат възможност на Европа да се превърне в основен участник в бъдещите технологии, да укрепи икономиката си и да създаде работни места. </w:t>
      </w:r>
    </w:p>
    <w:p>
      <w:pPr>
        <w:pStyle w:val="Normal"/>
        <w:rPr/>
      </w:pPr>
      <w:r>
        <w:rPr/>
        <w:t xml:space="preserve"> </w:t>
      </w:r>
    </w:p>
    <w:p>
      <w:pPr>
        <w:pStyle w:val="P68B1DB1Normal15"/>
        <w:rPr>
          <w:b/>
          <w:b/>
        </w:rPr>
      </w:pPr>
      <w:r>
        <w:rPr/>
        <w:t xml:space="preserve">3. Препоръчваме да се приеме закон на равнище ЕС, за да се гарантира, че всички процеси на производство и доставка в ЕС и вносни стоки отговарят на европейските стандарти за качество, етика и устойчивост, както и на всички приложими европейски стандарти в областта на правата на човека, както и че продуктите, които отговарят на тези критерии, са сертифицирани. </w:t>
      </w:r>
    </w:p>
    <w:p>
      <w:pPr>
        <w:pStyle w:val="Normal"/>
        <w:rPr/>
      </w:pPr>
      <w:r>
        <w:rPr/>
        <w:t xml:space="preserve"> </w:t>
      </w:r>
    </w:p>
    <w:p>
      <w:pPr>
        <w:pStyle w:val="Normal"/>
        <w:rPr/>
      </w:pPr>
      <w:r>
        <w:rPr/>
        <w:t xml:space="preserve">Препоръчваме тези мерки, тъй като те позволяват на потребителите и търговците да имат лесен достъп до информация за продуктите, които купуват или продават. За да направите това, просто се консултирайте със системата за сертифициране. Сертифицирането също така намалява разликата между евтините и скъпите продукти, предлагани на пазара. Евтините продукти няма да отговарят на необходимите критерии и следователно няма да могат да се представят като с добро качество. Като отговаря на критериите за сертифициране, околната среда ще бъде защитена, спестявайки ресурси и насърчавайки отговорното потребление. </w:t>
      </w:r>
    </w:p>
    <w:p>
      <w:pPr>
        <w:pStyle w:val="Normal"/>
        <w:rPr/>
      </w:pPr>
      <w:r>
        <w:rPr/>
        <w:t xml:space="preserve"> </w:t>
      </w:r>
    </w:p>
    <w:p>
      <w:pPr>
        <w:pStyle w:val="P68B1DB1Normal15"/>
        <w:rPr>
          <w:b/>
          <w:b/>
        </w:rPr>
      </w:pPr>
      <w:r>
        <w:rPr/>
        <w:t xml:space="preserve">4. Препоръчваме изпълнението на европейска програма за подпомагане на малките местни производители в стратегически сектори във всички държави членки. Тези производители биха се възползвали от професионално обучение, финансова подкрепа чрез субсидии и (когато суровините са налични в Съюза) стимул за производство на по-приемливи стоки в ущърб на вноса. </w:t>
      </w:r>
    </w:p>
    <w:p>
      <w:pPr>
        <w:pStyle w:val="Normal"/>
        <w:rPr/>
      </w:pPr>
      <w:r>
        <w:rPr/>
        <w:t xml:space="preserve"> </w:t>
      </w:r>
    </w:p>
    <w:p>
      <w:pPr>
        <w:pStyle w:val="Normal"/>
        <w:rPr/>
      </w:pPr>
      <w:r>
        <w:rPr/>
        <w:t xml:space="preserve">Сметната палата препоръчва тези мерки, тъй като чрез подпомагане на производителите в стратегически сектори, разположени в Съюза, Съюзът е в състояние да придобие своята икономическа независимост в тези сектори. Това може само да насърчи укрепването на целия производствен процес и по този начин да насърчи иновациите. Това ще доведе до по-устойчиво производство на суровини в ЕС, което ще намали транспортните разходи и ще опазва околната среда. </w:t>
      </w:r>
    </w:p>
    <w:p>
      <w:pPr>
        <w:pStyle w:val="Normal"/>
        <w:rPr/>
      </w:pPr>
      <w:r>
        <w:rPr/>
        <w:t xml:space="preserve"> </w:t>
      </w:r>
    </w:p>
    <w:p>
      <w:pPr>
        <w:pStyle w:val="P68B1DB1Normal15"/>
        <w:rPr>
          <w:b/>
          <w:b/>
        </w:rPr>
      </w:pPr>
      <w:r>
        <w:rPr/>
        <w:t xml:space="preserve">5. Препоръчваме да се подобри прилагането на правата на човека на европейско равнище, както следва: повишаване на осведомеността сред държавите, които не спазват, доколкото е целесъобразно, Европейската конвенция за правата на човека (ЕКПЧ) или Конвенцията за защита на правата на човека и основните свободи; да осигури строг мониторинг, координиран от Европейския съюз и Информационното табло в областта на правосъдието, на степента, в която правата на човека се спазват в различните държави членки, и да гарантира стриктното им спазване чрез различни форми на санкции. </w:t>
      </w:r>
    </w:p>
    <w:p>
      <w:pPr>
        <w:pStyle w:val="Normal"/>
        <w:rPr/>
      </w:pPr>
      <w:r>
        <w:rPr/>
        <w:t xml:space="preserve"> </w:t>
      </w:r>
    </w:p>
    <w:p>
      <w:pPr>
        <w:pStyle w:val="Normal"/>
        <w:rPr/>
      </w:pPr>
      <w:r>
        <w:rPr/>
        <w:t xml:space="preserve">Препоръчваме тези мерки, тъй като правата на човека вече са били приети от държавите членки, когато са ратифицирали Европейската конвенция за правата на човека, но сега е необходимо да се подобри тяхното приемане във всяка от държавите членки, така че правата на човека да бъдат известни и активно прилагани в тези държави членки. </w:t>
      </w:r>
    </w:p>
    <w:p>
      <w:pPr>
        <w:pStyle w:val="Normal"/>
        <w:rPr/>
      </w:pPr>
      <w:r>
        <w:rPr/>
        <w:t xml:space="preserve"> </w:t>
      </w:r>
    </w:p>
    <w:p>
      <w:pPr>
        <w:pStyle w:val="P68B1DB1Normal15"/>
        <w:rPr>
          <w:b/>
          <w:b/>
        </w:rPr>
      </w:pPr>
      <w:r>
        <w:rPr/>
        <w:t xml:space="preserve">6. Препоръчваме да се започне преглед и да се организира интензивна комуникационна кампания на европейско равнище, за да се гарантира, че EURES (мрежата на европейските служби по заетостта), порталът на ЕС за имиграция и Европейският инструмент за профил на уменията за граждани на трети държави са по-добре познати на европейските граждани и се използват по-често от дружествата от ЕС за публикуване и рекламиране на техните предложения за работа. </w:t>
      </w:r>
    </w:p>
    <w:p>
      <w:pPr>
        <w:pStyle w:val="Normal"/>
        <w:rPr/>
      </w:pPr>
      <w:r>
        <w:rPr/>
        <w:t xml:space="preserve"> </w:t>
      </w:r>
    </w:p>
    <w:p>
      <w:pPr>
        <w:pStyle w:val="Normal"/>
        <w:rPr/>
      </w:pPr>
      <w:r>
        <w:rPr/>
        <w:t xml:space="preserve">Препоръчваме да не се създава нова онлайн платформа за публикуване на предложения за работа за млади европейци. Вече има повече от достатъчно инициативи от този вид на европейско равнище. Считаме, че за да се повиши осведомеността за съществуващата работна сила и възможностите за заетост на европейско равнище, е за предпочитане да се подобри това, което вече съществува. </w:t>
      </w:r>
    </w:p>
    <w:p>
      <w:pPr>
        <w:pStyle w:val="Normal"/>
        <w:rPr/>
      </w:pPr>
      <w:r>
        <w:rPr/>
        <w:t xml:space="preserve"> </w:t>
      </w:r>
    </w:p>
    <w:p>
      <w:pPr>
        <w:pStyle w:val="Titre4"/>
        <w:numPr>
          <w:ilvl w:val="3"/>
          <w:numId w:val="2"/>
        </w:numPr>
        <w:rPr/>
      </w:pPr>
      <w:bookmarkStart w:id="184" w:name="__RefHeading___Toc297303_1346298689"/>
      <w:bookmarkEnd w:id="184"/>
      <w:r>
        <w:rPr/>
        <w:t xml:space="preserve">Подос 1.2 — Граници </w:t>
      </w:r>
    </w:p>
    <w:p>
      <w:pPr>
        <w:pStyle w:val="P68B1DB1Normal15"/>
        <w:rPr>
          <w:b/>
          <w:b/>
        </w:rPr>
      </w:pPr>
      <w:r>
        <w:rPr/>
        <w:t xml:space="preserve">7. Препоръчваме създаването на механизъм за трудова миграция в ЕС въз основа на реалните нужди на европейските пазари на труда. Следва да има единна система за признаване на професионалните и академичните дипломи, които съществуват в Европейския съюз и в трети държави. Следва да има предложения за професионална квалификация, както и предложения за културна и езикова интеграция на квалифицирани мигранти. Лицата, търсещи убежище с подходяща квалификация, следва да имат достъп до пазара на труда. Следва да има интегрирана агенция, за която може да бъде създадена европейската мрежа на службите по заетостта. </w:t>
      </w:r>
    </w:p>
    <w:p>
      <w:pPr>
        <w:pStyle w:val="Normal"/>
        <w:rPr/>
      </w:pPr>
      <w:r>
        <w:rPr/>
        <w:t xml:space="preserve"> </w:t>
      </w:r>
    </w:p>
    <w:p>
      <w:pPr>
        <w:pStyle w:val="Normal"/>
        <w:rPr/>
      </w:pPr>
      <w:r>
        <w:rPr/>
        <w:t xml:space="preserve">Препоръчваме тези мерки, тъй като Европа се нуждае от квалифицирана работна ръка в определени сектори, в които не е възможно да се покрие напълно търсенето от страна на работниците в ЕС. Понастоящем няма достатъчно жизнеспособни начини за законно кандидатстване за разрешение за работа в ЕС. Европейската система за признаване на професионалните и академичните дипломи ще улесни посрещането на тези нужди и ще опрости трудовата миграция в рамките на Съюза и трудовата миграция от държави извън Съюза. По този начин търсенето на работна ръка би могло да бъде по-добре задоволено и незаконната имиграция да бъде по-добре управлявана. Отварянето на механизма за трудова миграция за лицата, търсещи убежище, би ускорило тяхната интеграция в европейските икономики и общества. </w:t>
      </w:r>
    </w:p>
    <w:p>
      <w:pPr>
        <w:pStyle w:val="Normal"/>
        <w:rPr/>
      </w:pPr>
      <w:r>
        <w:rPr/>
        <w:t xml:space="preserve"> </w:t>
      </w:r>
    </w:p>
    <w:p>
      <w:pPr>
        <w:pStyle w:val="P68B1DB1Normal15"/>
        <w:rPr>
          <w:b/>
          <w:b/>
        </w:rPr>
      </w:pPr>
      <w:r>
        <w:rPr/>
        <w:t xml:space="preserve">8. Препоръчваме на Европейския съюз да укрепи законодателството си, за да даде на Frontex повече правомощия и независимост. По този начин той ще може да се намесва във всички държави членки, за да гарантира защитата на всички външни граници на Съюза. Съюзът обаче следва да извършва одити на организационните процеси на Frontex, тъй като тя трябва да функционира по прозрачен начин, за да се избегне всякакъв вид злоупотреби. </w:t>
      </w:r>
    </w:p>
    <w:p>
      <w:pPr>
        <w:pStyle w:val="Normal"/>
        <w:rPr/>
      </w:pPr>
      <w:r>
        <w:rPr/>
        <w:t xml:space="preserve"> </w:t>
      </w:r>
    </w:p>
    <w:p>
      <w:pPr>
        <w:pStyle w:val="Normal"/>
        <w:rPr/>
      </w:pPr>
      <w:r>
        <w:rPr/>
        <w:t xml:space="preserve">Препоръчваме тези мерки, тъй като според нас е неприемливо на Frontex да бъде отказан достъп до границите, особено когато е налице нарушение на правата на човека. Искаме да сме сигурни, че Frontex прилага европейското законодателство. Самата Frontex трябва да подлежи на проверки и проверки, за да се избегне всяко неподходящо поведение в нея. </w:t>
      </w:r>
    </w:p>
    <w:p>
      <w:pPr>
        <w:pStyle w:val="Normal"/>
        <w:rPr/>
      </w:pPr>
      <w:r>
        <w:rPr/>
        <w:t xml:space="preserve"> </w:t>
      </w:r>
    </w:p>
    <w:p>
      <w:pPr>
        <w:pStyle w:val="P68B1DB1Normal15"/>
        <w:rPr>
          <w:b/>
          <w:b/>
        </w:rPr>
      </w:pPr>
      <w:r>
        <w:rPr/>
        <w:t xml:space="preserve">9. Препоръчваме на Европейския съюз да организира, по-специално за икономическите мигранти, възможността за избор на граждани в страната на произход (въз основа на техните доказани умения, опит и т.н.), за да се определи кой би могъл да дойде на работа в ЕС според нуждите на икономиката и свободните работни места в приемащата държава. Тези критерии за подбор трябва да бъдат публични и достъпни за всички. За тази цел следва да бъде създадена Европейска агенция за имиграция (онлайн). </w:t>
      </w:r>
    </w:p>
    <w:p>
      <w:pPr>
        <w:pStyle w:val="Normal"/>
        <w:rPr/>
      </w:pPr>
      <w:r>
        <w:rPr/>
        <w:t xml:space="preserve"> </w:t>
      </w:r>
    </w:p>
    <w:p>
      <w:pPr>
        <w:pStyle w:val="Normal"/>
        <w:rPr/>
      </w:pPr>
      <w:r>
        <w:rPr/>
        <w:t xml:space="preserve">Препоръчваме тези мерки, тъй като по този начин вече няма да има нужда от незаконно преминаване на границите. Потокът от хора, влизащи в ЕС, ще бъде контролиран, което ще намали натиска по границите, като същевременно ще улесни посрещането на нуждите от работна ръка на приемащите държави. </w:t>
      </w:r>
    </w:p>
    <w:p>
      <w:pPr>
        <w:pStyle w:val="Normal"/>
        <w:rPr/>
      </w:pPr>
      <w:r>
        <w:rPr/>
        <w:t xml:space="preserve"> </w:t>
      </w:r>
    </w:p>
    <w:p>
      <w:pPr>
        <w:pStyle w:val="P68B1DB1Normal15"/>
        <w:rPr>
          <w:b/>
          <w:b/>
        </w:rPr>
      </w:pPr>
      <w:r>
        <w:rPr/>
        <w:t xml:space="preserve">10. Препоръчваме на Европейския съюз да гарантира, че политиката и съоръженията за приемане са идентични на всички граници, зачитат правата на човека и гарантират безопасността и здравето на всички мигранти (включително например бременни жени и деца). </w:t>
      </w:r>
    </w:p>
    <w:p>
      <w:pPr>
        <w:pStyle w:val="Normal"/>
        <w:rPr/>
      </w:pPr>
      <w:r>
        <w:rPr/>
        <w:t xml:space="preserve"> </w:t>
      </w:r>
    </w:p>
    <w:p>
      <w:pPr>
        <w:pStyle w:val="Normal"/>
        <w:rPr/>
      </w:pPr>
      <w:r>
        <w:rPr/>
        <w:t xml:space="preserve">Препоръчваме тези мерки, защото отдаваме голямо значение на равното третиране на мигрантите по всички граници. Искаме да гарантираме, че мигрантите няма да останат твърде дълго на границите и че държавите членки са затрупани от потока от мигранти. Държавите членки трябва да бъдат добре оборудвани, за да ги настанят. </w:t>
      </w:r>
    </w:p>
    <w:p>
      <w:pPr>
        <w:pStyle w:val="Normal"/>
        <w:rPr/>
      </w:pPr>
      <w:r>
        <w:rPr/>
        <w:t xml:space="preserve"> </w:t>
      </w:r>
    </w:p>
    <w:p>
      <w:pPr>
        <w:pStyle w:val="Titre3"/>
        <w:numPr>
          <w:ilvl w:val="2"/>
          <w:numId w:val="2"/>
        </w:numPr>
        <w:rPr/>
      </w:pPr>
      <w:bookmarkStart w:id="185" w:name="__RefHeading___Toc297305_1346298689"/>
      <w:bookmarkEnd w:id="185"/>
      <w:r>
        <w:rPr/>
        <w:t xml:space="preserve">Ос 2: ЕС като международен партньор </w:t>
      </w:r>
    </w:p>
    <w:p>
      <w:pPr>
        <w:pStyle w:val="Titre4"/>
        <w:numPr>
          <w:ilvl w:val="3"/>
          <w:numId w:val="2"/>
        </w:numPr>
        <w:rPr/>
      </w:pPr>
      <w:bookmarkStart w:id="186" w:name="__RefHeading___Toc297307_1346298689"/>
      <w:bookmarkEnd w:id="186"/>
      <w:r>
        <w:rPr/>
        <w:t xml:space="preserve">Подос 2.1 — Търговия и отношения от етична гледна точка </w:t>
      </w:r>
    </w:p>
    <w:p>
      <w:pPr>
        <w:pStyle w:val="P68B1DB1Normal15"/>
        <w:rPr>
          <w:b/>
          <w:b/>
        </w:rPr>
      </w:pPr>
      <w:r>
        <w:rPr/>
        <w:t xml:space="preserve">11. Препоръчваме ЕС да наложи ограничения върху вноса на продукти от държави, които позволяват детски труд. За тази цел следва да се изготви черен списък на дружествата, който да се актуализира редовно в съответствие с развитието. Препоръчваме също така да се осигури постепенен достъп до образование за децата, които спират да работят, както и да се повиши осведомеността на потребителите относно детския труд чрез информация, официално разпространявана от Европейския съюз, например чрез кампании или разказване на истории. </w:t>
      </w:r>
    </w:p>
    <w:p>
      <w:pPr>
        <w:pStyle w:val="Normal"/>
        <w:rPr/>
      </w:pPr>
      <w:r>
        <w:rPr/>
        <w:t xml:space="preserve"> </w:t>
      </w:r>
    </w:p>
    <w:p>
      <w:pPr>
        <w:pStyle w:val="Normal"/>
        <w:rPr/>
      </w:pPr>
      <w:r>
        <w:rPr/>
        <w:t xml:space="preserve">Препоръчваме тези мерки, защото считаме, че съществува връзка между липсата на образование и детския труд. С тази препоръка искаме да повишим осведомеността на потребителите и да намалим търсенето на продукти, произвеждани от деца, така че тази практика да изчезне. </w:t>
      </w:r>
    </w:p>
    <w:p>
      <w:pPr>
        <w:pStyle w:val="Normal"/>
        <w:rPr/>
      </w:pPr>
      <w:r>
        <w:rPr/>
        <w:t xml:space="preserve"> </w:t>
      </w:r>
    </w:p>
    <w:p>
      <w:pPr>
        <w:pStyle w:val="P68B1DB1Normal15"/>
        <w:rPr>
          <w:b/>
          <w:b/>
        </w:rPr>
      </w:pPr>
      <w:r>
        <w:rPr/>
        <w:t xml:space="preserve">12. Препоръчваме на Европейския съюз да развие партньорства с развиващите се страни, за да подкрепи тяхната инфраструктура и да обмени експертен опит в замяна на взаимноизгодни търговски споразумения, които да ги придружават при прехода към зелени енергийни източници. </w:t>
      </w:r>
    </w:p>
    <w:p>
      <w:pPr>
        <w:pStyle w:val="Normal"/>
        <w:rPr/>
      </w:pPr>
      <w:r>
        <w:rPr/>
        <w:t xml:space="preserve"> </w:t>
      </w:r>
    </w:p>
    <w:p>
      <w:pPr>
        <w:pStyle w:val="Normal"/>
        <w:rPr/>
      </w:pPr>
      <w:r>
        <w:rPr/>
        <w:t xml:space="preserve">Препоръчваме тези мерки за улесняване на прехода на развиващите се страни към енергия от възобновяеми източници чрез търговски партньорства и дипломатически споразумения. По този начин Европейският съюз и развиващите се страни ще развият добри дългосрочни отношения, които биха допринесли за борбата с изменението на климата. </w:t>
      </w:r>
    </w:p>
    <w:p>
      <w:pPr>
        <w:pStyle w:val="Normal"/>
        <w:rPr/>
      </w:pPr>
      <w:r>
        <w:rPr/>
        <w:t xml:space="preserve"> </w:t>
      </w:r>
    </w:p>
    <w:p>
      <w:pPr>
        <w:pStyle w:val="P68B1DB1Normal15"/>
        <w:rPr>
          <w:b/>
          <w:b/>
        </w:rPr>
      </w:pPr>
      <w:r>
        <w:rPr/>
        <w:t xml:space="preserve">13. Препоръчваме на Европейския съюз да наложи европейски показател за въздействието върху околната среда (екоскор) върху всички потребителски продукти. Ecoscore ще се изчислява въз основа на емисиите от производството и транспорта, както и на вредността на съдържанието, въз основа на списък на опасните продукти. Ecoscore следва да се управлява и контролира от европейски орган. </w:t>
      </w:r>
    </w:p>
    <w:p>
      <w:pPr>
        <w:pStyle w:val="Normal"/>
        <w:rPr/>
      </w:pPr>
      <w:r>
        <w:rPr/>
        <w:t xml:space="preserve"> </w:t>
      </w:r>
    </w:p>
    <w:p>
      <w:pPr>
        <w:pStyle w:val="Normal"/>
        <w:rPr/>
      </w:pPr>
      <w:r>
        <w:rPr/>
        <w:t xml:space="preserve">Препоръчваме тези мерки, така че европейските потребители да са по-добре запознати с отпечатъка върху околната среда на продуктите, които купуват. Ecoscore ще улесни посочването на степента, до която даден продукт зачита околната среда чрез мащаб, който е общ за цяла Европа. Ecoscore следва да има QR код на гърба на продукта, за да може да се консултира с допълнителна информация за неговия отпечатък върху околната среда. </w:t>
      </w:r>
    </w:p>
    <w:p>
      <w:pPr>
        <w:pStyle w:val="Normal"/>
        <w:rPr/>
      </w:pPr>
      <w:r>
        <w:rPr/>
        <w:t xml:space="preserve"> </w:t>
      </w:r>
    </w:p>
    <w:p>
      <w:pPr>
        <w:pStyle w:val="Titre4"/>
        <w:numPr>
          <w:ilvl w:val="3"/>
          <w:numId w:val="2"/>
        </w:numPr>
        <w:rPr/>
      </w:pPr>
      <w:bookmarkStart w:id="187" w:name="__RefHeading___Toc297309_1346298689"/>
      <w:bookmarkEnd w:id="187"/>
      <w:r>
        <w:rPr/>
        <w:t xml:space="preserve">Подос 2.2 — Международни действия в областта на климата </w:t>
      </w:r>
    </w:p>
    <w:p>
      <w:pPr>
        <w:pStyle w:val="P68B1DB1Normal15"/>
        <w:rPr>
          <w:b/>
          <w:b/>
        </w:rPr>
      </w:pPr>
      <w:r>
        <w:rPr/>
        <w:t xml:space="preserve">14. Препоръчваме на Европейския съюз да приеме стратегия, която да го направи по-автономен в производството на енергия. Европейски орган, обединяващ настоящите европейски енергийни институции, следва да координира развитието на енергията от възобновяеми източници в съответствие с нуждите, капацитета и ресурсите на държавите членки, като същевременно зачита техния суверенитет. Институциите биха насърчили обмена на знания помежду си, за да изпълнят тази стратегия. </w:t>
      </w:r>
    </w:p>
    <w:p>
      <w:pPr>
        <w:pStyle w:val="Normal"/>
        <w:rPr/>
      </w:pPr>
      <w:r>
        <w:rPr/>
        <w:t xml:space="preserve"> </w:t>
      </w:r>
    </w:p>
    <w:p>
      <w:pPr>
        <w:pStyle w:val="Normal"/>
        <w:rPr/>
      </w:pPr>
      <w:r>
        <w:rPr/>
        <w:t xml:space="preserve">Препоръчваме тези мерки, защото сегашната ни зависимост ни прави уязвими в случай на политическо напрежение със страните, в които внасяме нашата енергия. Сега виждаме това с кризата в електроснабдяването. Тази координация обаче трябва да зачита суверенитета на всяка държава. </w:t>
      </w:r>
    </w:p>
    <w:p>
      <w:pPr>
        <w:pStyle w:val="Normal"/>
        <w:rPr/>
      </w:pPr>
      <w:r>
        <w:rPr/>
        <w:t xml:space="preserve"> </w:t>
      </w:r>
    </w:p>
    <w:p>
      <w:pPr>
        <w:pStyle w:val="P68B1DB1Normal15"/>
        <w:rPr>
          <w:b/>
          <w:b/>
        </w:rPr>
      </w:pPr>
      <w:r>
        <w:rPr/>
        <w:t xml:space="preserve">15. Препоръчваме да се засилят екологичните стандарти за износ на отпадъци в рамките на ЕС и извън него, както и по-строг контрол и санкции за спиране на незаконния износ. ЕС следва да насърчава държавите членки да продължат да рециклират собствените си отпадъци и да ги използват за производство на енергия. </w:t>
      </w:r>
    </w:p>
    <w:p>
      <w:pPr>
        <w:pStyle w:val="Normal"/>
        <w:rPr/>
      </w:pPr>
      <w:r>
        <w:rPr/>
        <w:t xml:space="preserve"> </w:t>
      </w:r>
    </w:p>
    <w:p>
      <w:pPr>
        <w:pStyle w:val="Normal"/>
        <w:rPr/>
      </w:pPr>
      <w:r>
        <w:rPr/>
        <w:t xml:space="preserve">Препоръчваме тези мерки да сложат край на екологичните щети от страна на държавите, които изхвърлят отпадъците си в ущърб на други държави, особено когато е налице пълно неспазване на екологичните стандарти. </w:t>
      </w:r>
    </w:p>
    <w:p>
      <w:pPr>
        <w:pStyle w:val="Normal"/>
        <w:rPr/>
      </w:pPr>
      <w:r>
        <w:rPr/>
        <w:t xml:space="preserve"> </w:t>
      </w:r>
    </w:p>
    <w:p>
      <w:pPr>
        <w:pStyle w:val="P68B1DB1Normal15"/>
        <w:rPr>
          <w:b/>
          <w:b/>
        </w:rPr>
      </w:pPr>
      <w:r>
        <w:rPr/>
        <w:t xml:space="preserve">16. Препоръчваме ЕС да насърчава по-решително текущия екологичен преход, като се стреми към премахване на замърсяващите опаковки. Това следва да се постигне чрез насърчаване на намаляването на опаковките или чрез насърчаване на по-екологосъобразните опаковки. За да могат малките предприятия да се адаптират, те следва да получат подкрепа и корекции. </w:t>
      </w:r>
    </w:p>
    <w:p>
      <w:pPr>
        <w:pStyle w:val="Normal"/>
        <w:rPr/>
      </w:pPr>
      <w:r>
        <w:rPr/>
        <w:t xml:space="preserve"> </w:t>
      </w:r>
    </w:p>
    <w:p>
      <w:pPr>
        <w:pStyle w:val="Normal"/>
        <w:rPr/>
      </w:pPr>
      <w:r>
        <w:rPr/>
        <w:t xml:space="preserve">Препоръчваме тези мерки, защото трябва да намалим използването на природни ресурси, включително суровини от държави извън ЕС. Трябва също така да намалим щетите, причинени от европейците на нашата планета и нейния климат. От съществено значение е да се подкрепят по-добре малките предприятия, така че те да могат да се адаптират, без да се налага да повишават цените си. </w:t>
      </w:r>
    </w:p>
    <w:p>
      <w:pPr>
        <w:pStyle w:val="Normal"/>
        <w:rPr/>
      </w:pPr>
      <w:r>
        <w:rPr/>
        <w:t xml:space="preserve"> </w:t>
      </w:r>
    </w:p>
    <w:p>
      <w:pPr>
        <w:pStyle w:val="P68B1DB1Normal15"/>
        <w:rPr>
          <w:b/>
          <w:b/>
        </w:rPr>
      </w:pPr>
      <w:r>
        <w:rPr/>
        <w:t xml:space="preserve">17. Препоръчваме на страните от Европейския съюз да разгледат по-сериозно въпроса за ядрената енергетика заедно. Следва да се засили сътрудничеството, за да се оцени използването на ядрената енергия и нейната роля в прехода на Европа към зелена енергия. </w:t>
      </w:r>
    </w:p>
    <w:p>
      <w:pPr>
        <w:pStyle w:val="Normal"/>
        <w:rPr/>
      </w:pPr>
      <w:r>
        <w:rPr/>
        <w:t xml:space="preserve"> </w:t>
      </w:r>
    </w:p>
    <w:p>
      <w:pPr>
        <w:pStyle w:val="Normal"/>
        <w:rPr/>
      </w:pPr>
      <w:r>
        <w:rPr/>
        <w:t xml:space="preserve">Ние препоръчваме тези мерки, защото ядреният въпрос не може да бъде решен от страна в изолация. Понастоящем в половината от държавите членки има повече от 100 реактора, а новите реактори са в процес на изграждане. Тъй като споделяме обща електроенергийна мрежа, нисковъглеродната електроенергия, която те произвеждат, е от полза за всички европейци и увеличава енергийната автономност на нашия континент. Освен това изоставянето на ядрени отпадъци или авария би засегнало няколко държави. Независимо дали използването на ядрената енергия се решава или не, европейците трябва да го обсъдят заедно и да определят по-конвергентни стратегии, като същевременно зачитат националния суверенитет. </w:t>
      </w:r>
    </w:p>
    <w:p>
      <w:pPr>
        <w:pStyle w:val="Normal"/>
        <w:rPr/>
      </w:pPr>
      <w:r>
        <w:rPr/>
        <w:t xml:space="preserve"> </w:t>
      </w:r>
    </w:p>
    <w:p>
      <w:pPr>
        <w:pStyle w:val="Titre4"/>
        <w:numPr>
          <w:ilvl w:val="3"/>
          <w:numId w:val="2"/>
        </w:numPr>
        <w:rPr/>
      </w:pPr>
      <w:bookmarkStart w:id="188" w:name="__RefHeading___Toc297311_1346298689"/>
      <w:bookmarkEnd w:id="188"/>
      <w:r>
        <w:rPr/>
        <w:t xml:space="preserve">Подос 2.3 — Насърчаване на европейските ценности </w:t>
      </w:r>
    </w:p>
    <w:p>
      <w:pPr>
        <w:pStyle w:val="P68B1DB1Normal15"/>
        <w:rPr>
          <w:b/>
          <w:b/>
        </w:rPr>
      </w:pPr>
      <w:r>
        <w:rPr/>
        <w:t xml:space="preserve">18. ЕС трябва да бъде по-близо до гражданите. Препоръчваме на ЕС да установи и укрепи връзките с гражданите и местните институции като местните власти, училищата и общините. Целта е да се подобри прозрачността, да се достигне до гражданите, да се информират по-добре за конкретни инициативи на ЕС и да се съобщава по-добре общата информация на ЕС. </w:t>
      </w:r>
    </w:p>
    <w:p>
      <w:pPr>
        <w:pStyle w:val="Normal"/>
        <w:rPr/>
      </w:pPr>
      <w:r>
        <w:rPr/>
        <w:t xml:space="preserve"> </w:t>
      </w:r>
    </w:p>
    <w:p>
      <w:pPr>
        <w:pStyle w:val="Normal"/>
        <w:rPr/>
      </w:pPr>
      <w:r>
        <w:rPr/>
        <w:t xml:space="preserve">Препоръчваме тези мерки, тъй като настоящата информация за ЕС не е достатъчно достъпна за всички социални групи и не засяга обикновените граждани. Те често са скучни, трудни за разбиране и неприятелски. Това положение трябва да се промени, така че гражданите да имат ясна визия за действията и ролята на ЕС. За да се привлече обществен интерес, свързаната с ЕС информация трябва да бъде лесна за намиране, мотивираща, интересна и написана на общ език. Ето и нашите предложения: организиране на посещения на европейски политици в училища, радио кампании под формата на подкасти, писма, статии в пресата, рекламни автобуси и социални медии, местни граждански асамблеи и създаване на работна група специално за подобряване на комуникацията в ЕС. Тези мерки ще позволят на гражданите да получат информация за ЕС, която не се филтрира от националните медии. </w:t>
      </w:r>
    </w:p>
    <w:p>
      <w:pPr>
        <w:pStyle w:val="Normal"/>
        <w:rPr/>
      </w:pPr>
      <w:r>
        <w:rPr/>
        <w:t xml:space="preserve"> </w:t>
      </w:r>
    </w:p>
    <w:p>
      <w:pPr>
        <w:pStyle w:val="P68B1DB1Normal15"/>
        <w:rPr>
          <w:b/>
          <w:b/>
        </w:rPr>
      </w:pPr>
      <w:r>
        <w:rPr/>
        <w:t xml:space="preserve">19. Препоръчваме по-голямо участие на гражданите в политиките на ЕС. Предлагаме организирането на прояви с пряко участие на гражданите по модела на Конференцията за бъдещето на Европа. Те следва да бъдат организирани на национално, местно и европейско равнище. ЕС следва да определи последователна стратегия и централизирани насоки за тези събития. </w:t>
      </w:r>
    </w:p>
    <w:p>
      <w:pPr>
        <w:pStyle w:val="Normal"/>
        <w:rPr/>
      </w:pPr>
      <w:r>
        <w:rPr/>
        <w:t xml:space="preserve"> </w:t>
      </w:r>
    </w:p>
    <w:p>
      <w:pPr>
        <w:pStyle w:val="Normal"/>
        <w:rPr/>
      </w:pPr>
      <w:r>
        <w:rPr/>
        <w:t xml:space="preserve">Сметната палата препоръчва тези мерки, тъй като тези учения за демокрация на участието ще предоставят правилна информация за ЕС и ще подобрят качеството на политиките на ЕС. Проявите следва да бъдат организирани по такъв начин, че да популяризират основните ценности на Съюза — демокрация и гражданско участие. Тези събития ще дадат възможност на политиците да покажат на гражданите, че за тях е важно гражданите да бъдат информирани за текущите събития и да са свързани с тяхното определение. Централизираните насоки ще гарантират последователност и последователност на националните и местните конференции. </w:t>
      </w:r>
    </w:p>
    <w:p>
      <w:pPr>
        <w:pStyle w:val="Normal"/>
        <w:rPr/>
      </w:pPr>
      <w:r>
        <w:rPr/>
        <w:t xml:space="preserve"> </w:t>
      </w:r>
    </w:p>
    <w:p>
      <w:pPr>
        <w:pStyle w:val="Titre3"/>
        <w:numPr>
          <w:ilvl w:val="2"/>
          <w:numId w:val="2"/>
        </w:numPr>
        <w:rPr/>
      </w:pPr>
      <w:bookmarkStart w:id="189" w:name="__RefHeading___Toc297313_1346298689"/>
      <w:bookmarkEnd w:id="189"/>
      <w:r>
        <w:rPr/>
        <w:t xml:space="preserve">Ос 3: Силен ЕС в един мирен свят </w:t>
      </w:r>
    </w:p>
    <w:p>
      <w:pPr>
        <w:pStyle w:val="Titre4"/>
        <w:numPr>
          <w:ilvl w:val="3"/>
          <w:numId w:val="2"/>
        </w:numPr>
        <w:rPr/>
      </w:pPr>
      <w:bookmarkStart w:id="190" w:name="__RefHeading___Toc297315_1346298689"/>
      <w:bookmarkEnd w:id="190"/>
      <w:r>
        <w:rPr/>
        <w:t xml:space="preserve">Подос 3.1 — Сигурност и отбрана </w:t>
      </w:r>
    </w:p>
    <w:p>
      <w:pPr>
        <w:pStyle w:val="P68B1DB1Normal15"/>
        <w:rPr>
          <w:b/>
          <w:b/>
        </w:rPr>
      </w:pPr>
      <w:r>
        <w:rPr/>
        <w:t xml:space="preserve">20. Препоръчваме бъдещите „Общи въоръжени сили на Европейския съюз“ да се използват предимно за целите на отбраната. Всяко агресивно военно действие, независимо от естеството му, е изключено. В Европа това би предоставило средства за оказване на помощ в случай на криза, особено в случай на природно бедствие. Извън европейските граници това би позволило разполагането на ресурси в територии с изключителни обстоятелства, изключително в рамките на правен мандат на Съвета за сигурност на ООН и следователно в съответствие с международното право. </w:t>
      </w:r>
    </w:p>
    <w:p>
      <w:pPr>
        <w:pStyle w:val="Normal"/>
        <w:rPr/>
      </w:pPr>
      <w:r>
        <w:rPr/>
        <w:t xml:space="preserve"> </w:t>
      </w:r>
    </w:p>
    <w:p>
      <w:pPr>
        <w:pStyle w:val="Normal"/>
        <w:rPr/>
      </w:pPr>
      <w:r>
        <w:rPr/>
        <w:t xml:space="preserve">Ако бъде приложен, това ще позволи на Европейския съюз да се разглежда като надежден, отговорен, силен и мирен партньор на международната сцена. По този начин засиленият му капацитет да реагира на кризисни ситуации в страната и в чужбина следва да защитава основните си ценности. </w:t>
      </w:r>
    </w:p>
    <w:p>
      <w:pPr>
        <w:pStyle w:val="Normal"/>
        <w:rPr/>
      </w:pPr>
      <w:r>
        <w:rPr/>
        <w:t xml:space="preserve"> </w:t>
      </w:r>
    </w:p>
    <w:p>
      <w:pPr>
        <w:pStyle w:val="Titre4"/>
        <w:numPr>
          <w:ilvl w:val="3"/>
          <w:numId w:val="2"/>
        </w:numPr>
        <w:rPr/>
      </w:pPr>
      <w:bookmarkStart w:id="191" w:name="__RefHeading___Toc297317_1346298689"/>
      <w:bookmarkEnd w:id="191"/>
      <w:r>
        <w:rPr/>
        <w:t xml:space="preserve">Подос 3.2 — Решения и външна политика на ЕС </w:t>
      </w:r>
    </w:p>
    <w:p>
      <w:pPr>
        <w:pStyle w:val="P68B1DB1Normal15"/>
        <w:rPr>
          <w:b/>
          <w:b/>
        </w:rPr>
      </w:pPr>
      <w:r>
        <w:rPr/>
        <w:t xml:space="preserve">21. Препоръчваме всички области, в които решенията се вземат с единодушие, да се вземат с квалифицирано мнозинство. Единствените изключения следва да бъдат приемането на нови държави членки в Съюза и изменението на основните принципи на Съюза, залегнали в член 2 от Договора от Лисабон и в Хартата на основните права на Европейския съюз. </w:t>
      </w:r>
    </w:p>
    <w:p>
      <w:pPr>
        <w:pStyle w:val="Normal"/>
        <w:rPr/>
      </w:pPr>
      <w:r>
        <w:rPr/>
        <w:t xml:space="preserve"> </w:t>
      </w:r>
    </w:p>
    <w:p>
      <w:pPr>
        <w:pStyle w:val="Normal"/>
        <w:rPr/>
      </w:pPr>
      <w:r>
        <w:rPr/>
        <w:t xml:space="preserve">Това би укрепило позицията на ЕС в света чрез представяне на единен фронт спрямо трети държави и би улеснило цялостния капацитет за реагиране, включително реакция при кризи. </w:t>
      </w:r>
    </w:p>
    <w:p>
      <w:pPr>
        <w:pStyle w:val="Normal"/>
        <w:rPr/>
      </w:pPr>
      <w:r>
        <w:rPr/>
        <w:t xml:space="preserve"> </w:t>
      </w:r>
    </w:p>
    <w:p>
      <w:pPr>
        <w:pStyle w:val="P68B1DB1Normal15"/>
        <w:rPr>
          <w:b/>
          <w:b/>
        </w:rPr>
      </w:pPr>
      <w:r>
        <w:rPr/>
        <w:t xml:space="preserve">22. Препоръчваме на Европейския съюз да засили капацитета си за налагане на санкции на държави членки, правителства, образувания, групи или организации и физически лица, които не спазват неговите основни принципи, споразумения и закони. Наложително е санкциите, които вече съществуват, да се прилагат бързо и ефективно да се спазват. Санкциите, наложени на трети държави, следва да бъдат пропорционални на действията, които са ги задействали, да бъдат ефективни и да се прилагат своевременно. </w:t>
      </w:r>
    </w:p>
    <w:p>
      <w:pPr>
        <w:pStyle w:val="Normal"/>
        <w:rPr/>
      </w:pPr>
      <w:r>
        <w:rPr/>
        <w:t xml:space="preserve"> </w:t>
      </w:r>
    </w:p>
    <w:p>
      <w:pPr>
        <w:pStyle w:val="Normal"/>
        <w:rPr/>
      </w:pPr>
      <w:r>
        <w:rPr/>
        <w:t xml:space="preserve">За да може ЕС да бъде надежден и надежден, той трябва да наложи санкции на онези, които нарушават неговите принципи. Тези санкции следва да се прилагат ефективно и експедитивно и да подлежат на контрол. </w:t>
      </w:r>
    </w:p>
    <w:p>
      <w:pPr>
        <w:pStyle w:val="Normal"/>
        <w:rPr/>
      </w:pPr>
      <w:r>
        <w:rPr/>
        <w:t xml:space="preserve"> </w:t>
      </w:r>
    </w:p>
    <w:p>
      <w:pPr>
        <w:pStyle w:val="Titre4"/>
        <w:numPr>
          <w:ilvl w:val="3"/>
          <w:numId w:val="2"/>
        </w:numPr>
        <w:rPr/>
      </w:pPr>
      <w:bookmarkStart w:id="192" w:name="__RefHeading___Toc297319_1346298689"/>
      <w:bookmarkEnd w:id="192"/>
      <w:r>
        <w:rPr/>
        <w:t xml:space="preserve">Подос 3.3 — Съседни държави и разширяване </w:t>
      </w:r>
    </w:p>
    <w:p>
      <w:pPr>
        <w:pStyle w:val="P68B1DB1Normal15"/>
        <w:rPr>
          <w:b/>
          <w:b/>
        </w:rPr>
      </w:pPr>
      <w:r>
        <w:rPr/>
        <w:t xml:space="preserve">23. Препоръчваме на Европейския съюз да отпусне специален бюджет за разработването на образователни програми, посветени на функционирането на ЕС и неговите ценности. След това тези програми ще бъдат предлагани на държавите членки, ако желаят да ги интегрират в учебните си програми (начално и средно образование и университети). В допълнение, специален курс по ЕС и неговото функциониране може да бъде предложен на студенти, които желаят да учат в друга европейска страна чрез програмата „Еразъм“. Студентите, които изберат този курс, ще получат приоритет, за да се възползват от тези програми „Еразъм“. </w:t>
      </w:r>
    </w:p>
    <w:p>
      <w:pPr>
        <w:pStyle w:val="Normal"/>
        <w:rPr/>
      </w:pPr>
      <w:r>
        <w:rPr/>
        <w:t xml:space="preserve"> </w:t>
      </w:r>
    </w:p>
    <w:p>
      <w:pPr>
        <w:pStyle w:val="Normal"/>
        <w:rPr/>
      </w:pPr>
      <w:r>
        <w:rPr/>
        <w:t xml:space="preserve">Препоръчваме тези мерки, за да се увеличи чувството за принадлежност към ЕС. По този начин гражданите ще се идентифицират по-добре със Съюза и ще предадат неговите ценности. Освен това тези мерки ще подобрят прозрачността по отношение на функционирането на ЕС и ползите от това да бъдат част от него, както и борбата срещу антиевропейските движения. Тези мерки следва да възпират държавите членки да напуснат ЕС. </w:t>
      </w:r>
    </w:p>
    <w:p>
      <w:pPr>
        <w:pStyle w:val="Normal"/>
        <w:rPr/>
      </w:pPr>
      <w:r>
        <w:rPr/>
        <w:t xml:space="preserve"> </w:t>
      </w:r>
    </w:p>
    <w:p>
      <w:pPr>
        <w:pStyle w:val="P68B1DB1Normal15"/>
        <w:rPr>
          <w:b/>
          <w:b/>
        </w:rPr>
      </w:pPr>
      <w:r>
        <w:rPr/>
        <w:t xml:space="preserve">24. Препоръчваме ЕС да използва в по-голяма степен своята политическа и икономическа тежест в отношенията си с други държави, за да предотврати възможността някои държави членки да бъдат подложени на двустранен икономически, политически и социален натиск. </w:t>
      </w:r>
    </w:p>
    <w:p>
      <w:pPr>
        <w:pStyle w:val="Normal"/>
        <w:rPr/>
      </w:pPr>
      <w:r>
        <w:rPr/>
        <w:t xml:space="preserve"> </w:t>
      </w:r>
    </w:p>
    <w:p>
      <w:pPr>
        <w:pStyle w:val="Normal"/>
        <w:rPr/>
      </w:pPr>
      <w:r>
        <w:rPr/>
        <w:t xml:space="preserve">Препоръчваме тези мерки по три причини. На първо място, те ще засилят чувството за единство в рамките на ЕС. Второ, едностранната реакция ще бъде ясен, силен и бърз отговор, за да се избегне всякакъв опит от страна на трети държави да тормозят или да предприемат мерки срещу държавите — членки на ЕС. И накрая, те ще укрепят сигурността на Съюза и ще гарантират, че нито една държава членка не се чувства изоставена или пренебрегната. Двустранните реакции разделят ЕС и са слабост, която трети държави използват срещу нас. </w:t>
      </w:r>
    </w:p>
    <w:p>
      <w:pPr>
        <w:pStyle w:val="Normal"/>
        <w:rPr/>
      </w:pPr>
      <w:r>
        <w:rPr/>
        <w:t xml:space="preserve"> </w:t>
      </w:r>
    </w:p>
    <w:p>
      <w:pPr>
        <w:pStyle w:val="P68B1DB1Normal15"/>
        <w:rPr>
          <w:b/>
          <w:b/>
        </w:rPr>
      </w:pPr>
      <w:r>
        <w:rPr/>
        <w:t xml:space="preserve">25. „Препоръчваме на Съюза да подобри комуникационната си стратегия“. От една страна, ЕС следва да увеличи видимостта си в социалните мрежи и активно да популяризира неговото съдържание. От друга страна, тя следва да продължи да организира конференции като Конференцията за бъдещето на Европа всяка година. Препоръчваме също така тя да продължи да насърчава иновациите, като насърчава достъпна европейска социална мрежа. </w:t>
      </w:r>
    </w:p>
    <w:p>
      <w:pPr>
        <w:pStyle w:val="Normal"/>
        <w:rPr/>
      </w:pPr>
      <w:r>
        <w:rPr/>
        <w:t xml:space="preserve"> </w:t>
      </w:r>
    </w:p>
    <w:p>
      <w:pPr>
        <w:pStyle w:val="Normal"/>
        <w:rPr/>
      </w:pPr>
      <w:r>
        <w:rPr/>
        <w:t xml:space="preserve">Тези предложения не само ще достигнат до младите хора, но и ще увеличат интереса и участието на европейските граждани чрез по-привлекателен и ефективен инструмент за комуникация. Организирането на прояви, като например Конференцията за бъдещето на Европа, следва да даде възможност на гражданите да участват в по-голяма степен в процеса на вземане на решения и да гарантира, че техните гласове са чути. </w:t>
      </w:r>
    </w:p>
    <w:p>
      <w:pPr>
        <w:pStyle w:val="Normal"/>
        <w:rPr/>
      </w:pPr>
      <w:r>
        <w:rPr/>
        <w:t xml:space="preserve"> </w:t>
      </w:r>
    </w:p>
    <w:p>
      <w:pPr>
        <w:pStyle w:val="P68B1DB1Normal15"/>
        <w:rPr>
          <w:b/>
          <w:b/>
        </w:rPr>
      </w:pPr>
      <w:r>
        <w:rPr/>
        <w:t xml:space="preserve">26. Препоръчваме на държавите членки да приемат силна визия и обща стратегия за хармонизиране и консолидиране на европейската идентичност и единство преди по-нататъшното разширяване на Съюза. </w:t>
      </w:r>
    </w:p>
    <w:p>
      <w:pPr>
        <w:pStyle w:val="Normal"/>
        <w:rPr/>
      </w:pPr>
      <w:r>
        <w:rPr/>
        <w:t xml:space="preserve"> </w:t>
      </w:r>
    </w:p>
    <w:p>
      <w:pPr>
        <w:pStyle w:val="Normal"/>
        <w:rPr/>
      </w:pPr>
      <w:r>
        <w:rPr/>
        <w:t xml:space="preserve">Считаме, че е от съществено значение да се укрепи ЕС и да се укрепят отношенията между държавите членки, преди да се обмисли интеграцията на други държави. Колкото повече държави членки в ЕС, толкова по-сложен е процесът на вземане на решения; оттук и значението на преразглеждането на единодушното гласуване в процесите на вземане на решения. </w:t>
      </w:r>
    </w:p>
    <w:p>
      <w:pPr>
        <w:pStyle w:val="Normal"/>
        <w:rPr/>
      </w:pPr>
      <w:r>
        <w:rPr/>
        <w:t xml:space="preserve"> </w:t>
      </w:r>
    </w:p>
    <w:p>
      <w:pPr>
        <w:pStyle w:val="Titre3"/>
        <w:numPr>
          <w:ilvl w:val="2"/>
          <w:numId w:val="2"/>
        </w:numPr>
        <w:rPr/>
      </w:pPr>
      <w:bookmarkStart w:id="193" w:name="__RefHeading___Toc297321_1346298689"/>
      <w:bookmarkEnd w:id="193"/>
      <w:r>
        <w:rPr/>
        <w:t xml:space="preserve">Ос 4: Миграция от човешка гледна точка </w:t>
      </w:r>
    </w:p>
    <w:p>
      <w:pPr>
        <w:pStyle w:val="Titre4"/>
        <w:numPr>
          <w:ilvl w:val="3"/>
          <w:numId w:val="2"/>
        </w:numPr>
        <w:rPr/>
      </w:pPr>
      <w:bookmarkStart w:id="194" w:name="__RefHeading___Toc297323_1346298689"/>
      <w:bookmarkEnd w:id="194"/>
      <w:r>
        <w:rPr/>
        <w:t xml:space="preserve">Подос 4.1 — Преодоляване на причините за емиграцията </w:t>
      </w:r>
    </w:p>
    <w:p>
      <w:pPr>
        <w:pStyle w:val="P68B1DB1Normal15"/>
        <w:rPr>
          <w:b/>
          <w:b/>
        </w:rPr>
      </w:pPr>
      <w:r>
        <w:rPr/>
        <w:t xml:space="preserve">27. Препоръчваме на Европейския съюз да участва активно в икономическото развитие на трети държави и държави, от които произхождат най-големите потоци от мигранти. С помощта на съответните органи (местни НПО и местни политици, експерти на място и т.н.) ЕС следва да потърси начини за мирна и ефективна намеса в държавите, от които произхождат най-големите потоци от мигранти и които са се съгласили с условията за сътрудничество. Тези интервенции следва да имат осезаемо и измеримо въздействие, което следва да бъде ясно подчертано, за да могат европейските граждани да разберат политиката на Съюза в областта на помощта за развитие. По този начин действията на ЕС в областта на помощта за развитие следва да станат по-видими. </w:t>
      </w:r>
    </w:p>
    <w:p>
      <w:pPr>
        <w:pStyle w:val="Normal"/>
        <w:rPr/>
      </w:pPr>
      <w:r>
        <w:rPr/>
        <w:t xml:space="preserve"> </w:t>
      </w:r>
    </w:p>
    <w:p>
      <w:pPr>
        <w:pStyle w:val="Normal"/>
        <w:rPr/>
      </w:pPr>
      <w:r>
        <w:rPr/>
        <w:t xml:space="preserve">Дори ако ЕС работи в областта на международното развитие, той трябва да продължи своите действия и да инвестира в прозрачността и видимостта на своята политика в тази област. </w:t>
      </w:r>
    </w:p>
    <w:p>
      <w:pPr>
        <w:pStyle w:val="Normal"/>
        <w:rPr/>
      </w:pPr>
      <w:r>
        <w:rPr/>
        <w:t xml:space="preserve"> </w:t>
      </w:r>
    </w:p>
    <w:p>
      <w:pPr>
        <w:pStyle w:val="P68B1DB1Normal15"/>
        <w:rPr>
          <w:b/>
          <w:b/>
        </w:rPr>
      </w:pPr>
      <w:r>
        <w:rPr/>
        <w:t xml:space="preserve">28. Препоръчваме да се създаде обща европейска рамка за хармонизиране на условията на труд в целия Съюз (минимална работна заплата, работно време и т.н.). ЕС следва да се стреми да създава общи основни трудови стандарти, за да попречи на гражданите да напускат страната си, за да търсят по-добри условия на труд другаде. В рамките на тези стандарти ЕС следва да засили ролята на профсъюзите на транснационално равнище По този начин ЕС ще признае, че вътрешната икономическа миграция (миграция на гражданите на ЕС) е сериозен проблем. </w:t>
      </w:r>
    </w:p>
    <w:p>
      <w:pPr>
        <w:pStyle w:val="Normal"/>
        <w:rPr/>
      </w:pPr>
      <w:r>
        <w:rPr/>
        <w:t xml:space="preserve"> </w:t>
      </w:r>
    </w:p>
    <w:p>
      <w:pPr>
        <w:pStyle w:val="Normal"/>
        <w:rPr/>
      </w:pPr>
      <w:r>
        <w:rPr/>
        <w:t xml:space="preserve">Тази препоръка произтича от констатацията, че голям брой хора в ЕС мигрират по икономически причини поради различията в условията на труд между държавите членки. Необходимо е да се предотврати изтичането на мозъци, така че държавите членки да запазят своите таланти и работна сила Ние подкрепяме свободното движение на гражданите, но считаме, че миграцията на гражданите на ЕС между различните държави членки, когато това не е желателно, се дължи на икономически причини. Ето защо е важно да се създаде обща рамка за работа. </w:t>
      </w:r>
    </w:p>
    <w:p>
      <w:pPr>
        <w:pStyle w:val="Normal"/>
        <w:rPr/>
      </w:pPr>
      <w:r>
        <w:rPr/>
        <w:t xml:space="preserve"> </w:t>
      </w:r>
    </w:p>
    <w:p>
      <w:pPr>
        <w:pStyle w:val="Titre4"/>
        <w:numPr>
          <w:ilvl w:val="3"/>
          <w:numId w:val="2"/>
        </w:numPr>
        <w:rPr/>
      </w:pPr>
      <w:bookmarkStart w:id="195" w:name="__RefHeading___Toc297325_1346298689"/>
      <w:bookmarkEnd w:id="195"/>
      <w:r>
        <w:rPr/>
        <w:t xml:space="preserve">Подос 4.2 — Човешки съображения </w:t>
      </w:r>
    </w:p>
    <w:p>
      <w:pPr>
        <w:pStyle w:val="P68B1DB1Normal15"/>
        <w:rPr>
          <w:b/>
          <w:b/>
        </w:rPr>
      </w:pPr>
      <w:r>
        <w:rPr/>
        <w:t xml:space="preserve">29. Препоръчваме прилагането на обща миграционна политика, основана на принципа на солидарност. Искаме да се съсредоточим върху бежанския проблем. Общата процедура за всички държави — членки на ЕС, следва да се основава на най-ефективните практики във всички държави от ЕС. Тази процедура следва да се прилага проактивно от националните органи и от администрацията на ЕС. </w:t>
      </w:r>
    </w:p>
    <w:p>
      <w:pPr>
        <w:pStyle w:val="Normal"/>
        <w:rPr/>
      </w:pPr>
      <w:r>
        <w:rPr/>
        <w:t xml:space="preserve"> </w:t>
      </w:r>
    </w:p>
    <w:p>
      <w:pPr>
        <w:pStyle w:val="Normal"/>
        <w:rPr/>
      </w:pPr>
      <w:r>
        <w:rPr/>
        <w:t xml:space="preserve">Проблемът с бежанците засяга всички държави членки. Понастоящем тези държави имат твърде различни практики, което има отрицателно въздействие върху бежанците и гражданите на ЕС. Поради това е необходимо да се възприеме съгласуван и последователен подход. </w:t>
      </w:r>
    </w:p>
    <w:p>
      <w:pPr>
        <w:pStyle w:val="Normal"/>
        <w:rPr/>
      </w:pPr>
      <w:r>
        <w:rPr/>
        <w:t xml:space="preserve"> </w:t>
      </w:r>
    </w:p>
    <w:p>
      <w:pPr>
        <w:pStyle w:val="P68B1DB1Normal15"/>
        <w:rPr>
          <w:b/>
          <w:b/>
        </w:rPr>
      </w:pPr>
      <w:r>
        <w:rPr/>
        <w:t xml:space="preserve">30. Препоръчваме на ЕС да увеличи усилията си за информиране и образоване на гражданите на държавите членки по въпроси, свързани с миграцията. Това следва да се постигне чрез образоване на децата възможно най-рано от началото на началното училище по теми като миграцията и интеграцията. Ако комбинираме това ранно образование с дейностите на НПО и младежки организации, както и с широкомащабни медийни кампании, бихме могли напълно да постигнем целта си. Освен това могат да се използват много комуникационни медии: листовки, телевизионни и социални мрежи и др. </w:t>
      </w:r>
    </w:p>
    <w:p>
      <w:pPr>
        <w:pStyle w:val="Normal"/>
        <w:rPr/>
      </w:pPr>
      <w:r>
        <w:rPr/>
        <w:t xml:space="preserve"> </w:t>
      </w:r>
    </w:p>
    <w:p>
      <w:pPr>
        <w:pStyle w:val="Normal"/>
        <w:rPr/>
      </w:pPr>
      <w:r>
        <w:rPr/>
        <w:t xml:space="preserve">Важно е да се покаже, че миграцията има и много положителни аспекти, като например допълнителната работна сила. Бихме искали да подчертаем колко е важно да се повиши осведомеността за двата процеса, така че гражданите да разберат причините и последиците от миграцията, за да се премахне стигмата, която възниква от възприемането като мигрант. </w:t>
      </w:r>
    </w:p>
    <w:p>
      <w:pPr>
        <w:pStyle w:val="Normal"/>
        <w:rPr/>
      </w:pPr>
      <w:r>
        <w:rPr/>
        <w:t xml:space="preserve"> </w:t>
      </w:r>
    </w:p>
    <w:p>
      <w:pPr>
        <w:pStyle w:val="Titre4"/>
        <w:numPr>
          <w:ilvl w:val="3"/>
          <w:numId w:val="2"/>
        </w:numPr>
        <w:rPr/>
      </w:pPr>
      <w:bookmarkStart w:id="196" w:name="__RefHeading___Toc297327_1346298689"/>
      <w:bookmarkEnd w:id="196"/>
      <w:r>
        <w:rPr/>
        <w:t xml:space="preserve">Подос 4.3 — Граници </w:t>
      </w:r>
    </w:p>
    <w:p>
      <w:pPr>
        <w:pStyle w:val="P68B1DB1Normal15"/>
        <w:rPr>
          <w:b/>
          <w:b/>
        </w:rPr>
      </w:pPr>
      <w:r>
        <w:rPr/>
        <w:t xml:space="preserve">31. Препоръчваме Директива 2013/33/ЕС относно минималните стандарти за приемане на лица, търсещи убежище, в държавите членки да бъде заменена със задължителен регламент на ЕС, който ще се прилага еднакво във всички държави членки. Следва да се даде приоритет на подобряването на съоръженията за приемане и настаняване. Сметната палата препоръчва създаването на специален орган на ЕС за наблюдение на прилагането на регламента. </w:t>
      </w:r>
    </w:p>
    <w:p>
      <w:pPr>
        <w:pStyle w:val="Normal"/>
        <w:rPr/>
      </w:pPr>
      <w:r>
        <w:rPr/>
        <w:t xml:space="preserve"> </w:t>
      </w:r>
    </w:p>
    <w:p>
      <w:pPr>
        <w:pStyle w:val="Normal"/>
        <w:rPr/>
      </w:pPr>
      <w:r>
        <w:rPr/>
        <w:t xml:space="preserve">Всъщност директивата не се прилага еднакво във всички държави членки. Трябва да избягваме да повтаряме условията, наблюдавани в бежанския лагер Мория. Поради това препоръчаният регламент следва да бъде приложен и да включва задължителни санкции. Органът за наблюдение следва да бъде стабилен и надежден. </w:t>
      </w:r>
    </w:p>
    <w:p>
      <w:pPr>
        <w:pStyle w:val="Normal"/>
        <w:rPr/>
      </w:pPr>
      <w:r>
        <w:rPr/>
        <w:t xml:space="preserve"> </w:t>
      </w:r>
    </w:p>
    <w:p>
      <w:pPr>
        <w:pStyle w:val="P68B1DB1Normal15"/>
        <w:rPr>
          <w:b/>
          <w:b/>
        </w:rPr>
      </w:pPr>
      <w:r>
        <w:rPr/>
        <w:t xml:space="preserve">32. Препоръчваме на ЕС да гарантира, че всички лица, търсещи убежище и бежанци, преминават езикови курсове и курсове по интеграция, докато се разглеждат молбите им за пребиваване. Курсовете трябва да бъдат задължителни, безплатни и да включват лична помощ за първоначална интеграция. Те трябва да започнат в рамките на две седмици от заявлението за пребиваване. Следва също така да бъдат въведени механизми за стимулиране и санкции. </w:t>
      </w:r>
    </w:p>
    <w:p>
      <w:pPr>
        <w:pStyle w:val="Normal"/>
        <w:rPr/>
      </w:pPr>
      <w:r>
        <w:rPr/>
        <w:t xml:space="preserve"> </w:t>
      </w:r>
    </w:p>
    <w:p>
      <w:pPr>
        <w:pStyle w:val="Normal"/>
        <w:rPr/>
      </w:pPr>
      <w:r>
        <w:rPr/>
        <w:t xml:space="preserve">Изучаването на езика и разбирането на културата, историята и етиката на страната на пристигане е съществена стъпка в интеграцията. Продължителността на забавянето преди началото на първоначалния процес на интеграция оказва отрицателно въздействие върху социалната асимилация на мигрантите. Механизмите за налагане на санкции могат да помогнат за установяване на готовността на мигрантите да се интегрират. </w:t>
      </w:r>
    </w:p>
    <w:p>
      <w:pPr>
        <w:pStyle w:val="Normal"/>
        <w:rPr/>
      </w:pPr>
      <w:r>
        <w:rPr/>
        <w:t xml:space="preserve"> </w:t>
      </w:r>
    </w:p>
    <w:p>
      <w:pPr>
        <w:pStyle w:val="Titre3"/>
        <w:numPr>
          <w:ilvl w:val="2"/>
          <w:numId w:val="2"/>
        </w:numPr>
        <w:rPr/>
      </w:pPr>
      <w:bookmarkStart w:id="197" w:name="__RefHeading___Toc297329_1346298689"/>
      <w:bookmarkEnd w:id="197"/>
      <w:r>
        <w:rPr/>
        <w:t xml:space="preserve">Ос 5: Отговорност и солидарност в ЕС </w:t>
      </w:r>
    </w:p>
    <w:p>
      <w:pPr>
        <w:pStyle w:val="Titre4"/>
        <w:numPr>
          <w:ilvl w:val="3"/>
          <w:numId w:val="2"/>
        </w:numPr>
        <w:rPr/>
      </w:pPr>
      <w:bookmarkStart w:id="198" w:name="__RefHeading___Toc297331_1346298689"/>
      <w:bookmarkEnd w:id="198"/>
      <w:r>
        <w:rPr/>
        <w:t xml:space="preserve">Подос 5.1 — Разпределение на мигрантите </w:t>
      </w:r>
    </w:p>
    <w:p>
      <w:pPr>
        <w:pStyle w:val="P68B1DB1Normal15"/>
        <w:rPr>
          <w:b/>
          <w:b/>
        </w:rPr>
      </w:pPr>
      <w:r>
        <w:rPr/>
        <w:t xml:space="preserve">33. Препоръчваме да се замени дъблинската система с правно обвързващ договор, за да се гарантира справедливо, балансирано и пропорционално разпределение на лицата, търсещи убежище, в ЕС въз основа на солидарност и правосъдие. Понастоящем от бежанците се изисква да кандидатстват за убежище в първата държава членка на пристигане. Тази промяна на системата трябва да бъде възможно най-бърза. Предложението на Европейската комисия за нов Пакт на ЕС за миграцията и убежището от 2020 г. е добро начало и следва да приеме правна форма, тъй като предвижда квоти за разпределението на бежанците между държавите — членки на ЕС. </w:t>
      </w:r>
    </w:p>
    <w:p>
      <w:pPr>
        <w:pStyle w:val="Normal"/>
        <w:rPr/>
      </w:pPr>
      <w:r>
        <w:rPr/>
        <w:t xml:space="preserve"> </w:t>
      </w:r>
    </w:p>
    <w:p>
      <w:pPr>
        <w:pStyle w:val="Normal"/>
        <w:rPr/>
      </w:pPr>
      <w:r>
        <w:rPr/>
        <w:t xml:space="preserve">Препоръчваме това, защото настоящата система от Дъблин не зачита принципите на солидарност и справедливост. То създава голяма тежест за държавите членки в близост до външните граници на ЕС, които лицата, търсещи убежище, преминават, за да влязат на нейна територия. Всички държави членки трябва да поемат отговорност за управлението на бежанските потоци към ЕС. ЕС е общност на споделени ценности и трябва да действа съобразно с това. </w:t>
      </w:r>
    </w:p>
    <w:p>
      <w:pPr>
        <w:pStyle w:val="Normal"/>
        <w:rPr/>
      </w:pPr>
      <w:r>
        <w:rPr/>
        <w:t xml:space="preserve"> </w:t>
      </w:r>
    </w:p>
    <w:p>
      <w:pPr>
        <w:pStyle w:val="P68B1DB1Normal15"/>
        <w:rPr>
          <w:b/>
          <w:b/>
        </w:rPr>
      </w:pPr>
      <w:r>
        <w:rPr/>
        <w:t xml:space="preserve">34. Препоръчваме ЕС да подпомага своите държави членки при обработването на молбите за убежище с по-бързи темпове и в съответствие с общи стандарти. Освен това на бежанците следва да се предоставят хуманитарни жилища. За да се разтоварят държавите на пристигане и да могат да обработват молбите им за убежище другаде, препоръчваме бежанците да бъдат преместени бързо и ефективно в различните държави членки след първото им пристигане в ЕС. За тази цел е необходима финансова и организационна подкрепа от страна на ЕС от Агенцията на ЕС в областта на убежището. Лицата, чиято молба за убежище е била отхвърлена, трябва ефективно да бъдат върнати в страната им на произход, при условие че страната им на произход се счита за сигурна. </w:t>
      </w:r>
    </w:p>
    <w:p>
      <w:pPr>
        <w:pStyle w:val="Normal"/>
        <w:rPr/>
      </w:pPr>
      <w:r>
        <w:rPr/>
        <w:t xml:space="preserve"> </w:t>
      </w:r>
    </w:p>
    <w:p>
      <w:pPr>
        <w:pStyle w:val="Normal"/>
        <w:rPr/>
      </w:pPr>
      <w:r>
        <w:rPr/>
        <w:t xml:space="preserve">Препоръчваме това, тъй като понастоящем процедурите за предоставяне на убежище отнемат твърде много време и могат да се различават в отделните държави членки. Чрез ускоряване на процедурите за предоставяне на убежище бежанците прекарват по-малко време в очакване на окончателно решение в местата за временно настаняване. Търсещите убежище могат да бъдат интегрирани по-бързо. </w:t>
      </w:r>
    </w:p>
    <w:p>
      <w:pPr>
        <w:pStyle w:val="Normal"/>
        <w:rPr/>
      </w:pPr>
      <w:r>
        <w:rPr/>
        <w:t xml:space="preserve"> </w:t>
      </w:r>
    </w:p>
    <w:p>
      <w:pPr>
        <w:pStyle w:val="P68B1DB1Normal15"/>
        <w:rPr>
          <w:b/>
          <w:b/>
        </w:rPr>
      </w:pPr>
      <w:r>
        <w:rPr/>
        <w:t xml:space="preserve">35. Препоръчваме силна финансова, логистична и оперативна подкрепа на ЕС за управлението на първия прием, което може да доведе до интеграция или репатриране на незаконни мигранти. Бенефициерите на тази подкрепа са граничните държави на ЕС, които понасят тежестта на миграционния поток. </w:t>
      </w:r>
    </w:p>
    <w:p>
      <w:pPr>
        <w:pStyle w:val="Normal"/>
        <w:rPr/>
      </w:pPr>
      <w:r>
        <w:rPr/>
        <w:t xml:space="preserve"> </w:t>
      </w:r>
    </w:p>
    <w:p>
      <w:pPr>
        <w:pStyle w:val="Normal"/>
        <w:rPr/>
      </w:pPr>
      <w:r>
        <w:rPr/>
        <w:t xml:space="preserve">Поради географското си местоположение някои </w:t>
      </w:r>
      <w:commentRangeStart w:id="8"/>
      <w:r>
        <w:rPr/>
        <w:t>държави</w:t>
      </w:r>
      <w:r>
        <w:rPr/>
      </w:r>
      <w:commentRangeEnd w:id="8"/>
      <w:r>
        <w:commentReference w:id="8"/>
      </w:r>
      <w:r>
        <w:rPr/>
        <w:t xml:space="preserve"> членки са най-засегнати от притока на мигранти. </w:t>
      </w:r>
    </w:p>
    <w:p>
      <w:pPr>
        <w:pStyle w:val="Normal"/>
        <w:rPr/>
      </w:pPr>
      <w:r>
        <w:rPr/>
        <w:t xml:space="preserve"> </w:t>
      </w:r>
    </w:p>
    <w:p>
      <w:pPr>
        <w:pStyle w:val="P68B1DB1Normal15"/>
        <w:rPr>
          <w:b/>
          <w:b/>
        </w:rPr>
      </w:pPr>
      <w:r>
        <w:rPr/>
        <w:t xml:space="preserve">36. Сметната палата препоръчва засилване на мандата на Агенцията на ЕС в областта на убежището с цел постигане на справедливо разпределение на лицата, търсещи убежище, между държавите членки. За да се постигне това, следва да се вземат предвид нуждите на тези лица, търсещи убежище, както и логистичният и икономически капацитет на държавите членки и техните нужди на пазара на труда. </w:t>
      </w:r>
    </w:p>
    <w:p>
      <w:pPr>
        <w:pStyle w:val="Normal"/>
        <w:rPr/>
      </w:pPr>
      <w:r>
        <w:rPr/>
        <w:t xml:space="preserve"> </w:t>
      </w:r>
    </w:p>
    <w:p>
      <w:pPr>
        <w:pStyle w:val="Normal"/>
        <w:rPr/>
      </w:pPr>
      <w:r>
        <w:rPr/>
        <w:t xml:space="preserve">Координираното и централизирано разпределение на лицата, търсещи убежище, считано за справедливо от държавите членки и техните граждани, избягва хаотичните ситуации и социалното напрежение и укрепва солидарността между държавите членки. </w:t>
      </w:r>
    </w:p>
    <w:p>
      <w:pPr>
        <w:pStyle w:val="Normal"/>
        <w:rPr/>
      </w:pPr>
      <w:r>
        <w:rPr/>
        <w:t xml:space="preserve"> </w:t>
      </w:r>
    </w:p>
    <w:p>
      <w:pPr>
        <w:pStyle w:val="Titre4"/>
        <w:numPr>
          <w:ilvl w:val="3"/>
          <w:numId w:val="2"/>
        </w:numPr>
        <w:rPr/>
      </w:pPr>
      <w:bookmarkStart w:id="199" w:name="__RefHeading___Toc297333_1346298689"/>
      <w:bookmarkEnd w:id="199"/>
      <w:r>
        <w:rPr/>
        <w:t xml:space="preserve">Подос 5.2 — Общ подход към убежището </w:t>
      </w:r>
    </w:p>
    <w:p>
      <w:pPr>
        <w:pStyle w:val="P68B1DB1Normal15"/>
        <w:rPr>
          <w:b/>
          <w:b/>
        </w:rPr>
      </w:pPr>
      <w:r>
        <w:rPr/>
        <w:t xml:space="preserve">37. Препоръчваме или да се създаде всеобхватна европейска институция, или да се укрепи Агенцията на ЕС в областта на убежището, така че тя да може да обработва молбите за убежище за целия Европейски съюз и да действа въз основа на единни стандарти. Агенцията следва също така да отговаря за разпределението на бежанците по справедлив начин. Тя следва също така да определи сигурните и опасни страни на произход и да отговаря за връщането на търсещите убежище лица, чиито молби са били отхвърлени. </w:t>
      </w:r>
    </w:p>
    <w:p>
      <w:pPr>
        <w:pStyle w:val="Normal"/>
        <w:rPr/>
      </w:pPr>
      <w:r>
        <w:rPr/>
        <w:t xml:space="preserve"> </w:t>
      </w:r>
    </w:p>
    <w:p>
      <w:pPr>
        <w:pStyle w:val="Normal"/>
        <w:rPr/>
      </w:pPr>
      <w:r>
        <w:rPr/>
        <w:t xml:space="preserve">Настоящата политика в областта на убежището се характеризира с неясни отговорности и различни стандарти между държавите — членки на ЕС. Следователно третирането на процедурите за предоставяне на убежище не е еднакво в различните държави членки. Освен това понастоящем Агенцията на Европейския съюз в областта на убежището има само правомощия за влияние. Тя може да консултира само държавите членки по въпроси, свързани с убежището. </w:t>
      </w:r>
    </w:p>
    <w:p>
      <w:pPr>
        <w:pStyle w:val="Normal"/>
        <w:rPr/>
      </w:pPr>
      <w:r>
        <w:rPr/>
        <w:t xml:space="preserve"> </w:t>
      </w:r>
    </w:p>
    <w:p>
      <w:pPr>
        <w:pStyle w:val="P68B1DB1Normal15"/>
        <w:rPr>
          <w:b/>
          <w:b/>
        </w:rPr>
      </w:pPr>
      <w:r>
        <w:rPr/>
        <w:t xml:space="preserve">38. Препоръчваме незабавното създаване на специализирани центрове за предоставяне на убежище за непридружени ненавършили пълнолетие лица във всички държави — членки на ЕС. Целта е да се приемат и да се грижат за малолетните и непълнолетните в съответствие с техните специални нужди и възможно най-скоро. </w:t>
      </w:r>
    </w:p>
    <w:p>
      <w:pPr>
        <w:pStyle w:val="Normal"/>
        <w:rPr/>
      </w:pPr>
      <w:r>
        <w:rPr/>
        <w:t xml:space="preserve"> </w:t>
      </w:r>
    </w:p>
    <w:p>
      <w:pPr>
        <w:pStyle w:val="Normal"/>
        <w:rPr/>
      </w:pPr>
      <w:r>
        <w:rPr/>
        <w:t xml:space="preserve">Ние отправяме тази препоръка, защото: </w:t>
      </w:r>
    </w:p>
    <w:p>
      <w:pPr>
        <w:pStyle w:val="Normal"/>
        <w:rPr/>
      </w:pPr>
      <w:r>
        <w:rPr/>
        <w:t xml:space="preserve">1) Много непълнолетни е вероятно да бъдат травматизирани (защото идват от зони на конфликт); </w:t>
      </w:r>
    </w:p>
    <w:p>
      <w:pPr>
        <w:pStyle w:val="Normal"/>
        <w:rPr/>
      </w:pPr>
      <w:r>
        <w:rPr/>
        <w:t xml:space="preserve">2) Различните деца имат различни нужди (в зависимост от възрастта, здравето и т.н.); </w:t>
      </w:r>
    </w:p>
    <w:p>
      <w:pPr>
        <w:pStyle w:val="Normal"/>
        <w:rPr/>
      </w:pPr>
      <w:r>
        <w:rPr/>
        <w:t xml:space="preserve">(3) Ако бъде изпълнено, то ще гарантира, че уязвимите и травматизирани непълнолетни лица получават всички необходими грижи във възможно най-кратък срок; </w:t>
      </w:r>
    </w:p>
    <w:p>
      <w:pPr>
        <w:pStyle w:val="Normal"/>
        <w:rPr/>
      </w:pPr>
      <w:r>
        <w:rPr/>
        <w:t xml:space="preserve">4) тези ненавършили пълнолетие лица са бъдещи европейски граждани и следователно, ако се третират по подходящ начин, следва да допринесат положително за бъдещето на Европа. </w:t>
      </w:r>
    </w:p>
    <w:p>
      <w:pPr>
        <w:pStyle w:val="Normal"/>
        <w:rPr/>
      </w:pPr>
      <w:r>
        <w:rPr/>
        <w:t xml:space="preserve"> </w:t>
      </w:r>
    </w:p>
    <w:p>
      <w:pPr>
        <w:pStyle w:val="P68B1DB1Normal15"/>
        <w:rPr>
          <w:b/>
          <w:b/>
        </w:rPr>
      </w:pPr>
      <w:r>
        <w:rPr/>
        <w:t xml:space="preserve">39. Препоръчваме създаването на обща, бърза и прозрачна система за обработване на молбите за убежище. Този процес следва да предвижда минимални стандарти и да се прилага по един и същ начин във всички държави членки. </w:t>
      </w:r>
    </w:p>
    <w:p>
      <w:pPr>
        <w:pStyle w:val="Normal"/>
        <w:rPr/>
      </w:pPr>
      <w:r>
        <w:rPr/>
        <w:t xml:space="preserve"> </w:t>
      </w:r>
    </w:p>
    <w:p>
      <w:pPr>
        <w:pStyle w:val="Normal"/>
        <w:rPr/>
      </w:pPr>
      <w:r>
        <w:rPr/>
        <w:t xml:space="preserve">Ние отправяме тази препоръка, защото: </w:t>
      </w:r>
    </w:p>
    <w:p>
      <w:pPr>
        <w:pStyle w:val="Normal"/>
        <w:rPr/>
      </w:pPr>
      <w:r>
        <w:rPr/>
        <w:t xml:space="preserve">(1) Ако тази препоръка бъде изпълнена, обработването на молбите за убежище би било по-бързо и по-прозрачно; </w:t>
      </w:r>
    </w:p>
    <w:p>
      <w:pPr>
        <w:pStyle w:val="Normal"/>
        <w:rPr/>
      </w:pPr>
      <w:r>
        <w:rPr/>
        <w:t xml:space="preserve">2) забавянето на настоящите процедури води до незаконност и престъпност; </w:t>
      </w:r>
    </w:p>
    <w:p>
      <w:pPr>
        <w:pStyle w:val="Normal"/>
        <w:rPr/>
      </w:pPr>
      <w:r>
        <w:rPr/>
        <w:t xml:space="preserve">Минималните стандарти, предвидени в нашата препоръка, трябва да включват зачитане на правата на човека, здравето и образователните нужди на лицата, търсещи убежище; </w:t>
      </w:r>
    </w:p>
    <w:p>
      <w:pPr>
        <w:pStyle w:val="Normal"/>
        <w:rPr/>
      </w:pPr>
      <w:r>
        <w:rPr/>
        <w:t xml:space="preserve">4) изпълнението на тази препоръка би довело до по-добър достъп до заетост и самодостатъчност, което би позволило положителен принос за европейското общество; лицата, търсещи убежище, чийто професионален статус е узаконен, е по-малко вероятно да бъдат малтретирани в тяхната работна среда; това би могло само да насърчи интеграцията на всички заинтересовани страни; </w:t>
      </w:r>
    </w:p>
    <w:p>
      <w:pPr>
        <w:pStyle w:val="Normal"/>
        <w:rPr/>
      </w:pPr>
      <w:r>
        <w:rPr/>
        <w:t xml:space="preserve">5) удълженият престой в центровете за убежище оказва неблагоприятно въздействие върху психичното здраве и благосъстоянието на обитателите. </w:t>
      </w:r>
    </w:p>
    <w:p>
      <w:pPr>
        <w:pStyle w:val="Normal"/>
        <w:rPr/>
      </w:pPr>
      <w:r>
        <w:rPr/>
        <w:t xml:space="preserve"> </w:t>
      </w:r>
    </w:p>
    <w:p>
      <w:pPr>
        <w:pStyle w:val="P68B1DB1Normal15"/>
        <w:rPr>
          <w:b/>
          <w:b/>
        </w:rPr>
      </w:pPr>
      <w:r>
        <w:rPr/>
        <w:t xml:space="preserve">40. Настоятелно препоръчваме да се направи цялостен преглед на всички споразумения и законодателство, уреждащи убежището и имиграцията в Европа. Препоръчваме да се възприеме подход за цяла Европа. </w:t>
      </w:r>
    </w:p>
    <w:p>
      <w:pPr>
        <w:pStyle w:val="Normal"/>
        <w:rPr/>
      </w:pPr>
      <w:r>
        <w:rPr/>
        <w:t xml:space="preserve"> </w:t>
      </w:r>
    </w:p>
    <w:p>
      <w:pPr>
        <w:pStyle w:val="Normal"/>
        <w:rPr/>
      </w:pPr>
      <w:r>
        <w:rPr/>
        <w:t xml:space="preserve">Ние отправяме тази препоръка, защото: </w:t>
      </w:r>
    </w:p>
    <w:p>
      <w:pPr>
        <w:pStyle w:val="Normal"/>
        <w:rPr/>
      </w:pPr>
      <w:r>
        <w:rPr/>
        <w:t xml:space="preserve">От 2015 г. насам всички текущи споразумения са неприложими, непрактични и неподходящи; </w:t>
      </w:r>
    </w:p>
    <w:p>
      <w:pPr>
        <w:pStyle w:val="Normal"/>
        <w:rPr/>
      </w:pPr>
      <w:r>
        <w:rPr/>
        <w:t xml:space="preserve">2) ЕС следва да се разглежда като основната „агенция“, която наблюдава всички други агенции и НПО, чиято задача е да се занимават пряко с въпроси, свързани с убежището; </w:t>
      </w:r>
    </w:p>
    <w:p>
      <w:pPr>
        <w:pStyle w:val="Normal"/>
        <w:rPr/>
      </w:pPr>
      <w:r>
        <w:rPr/>
        <w:t xml:space="preserve">(3) Държавите членки, които страдат най-много от ситуацията, са тези, които до голяма степен са оставени да се борят с проблема сами; изборът „à la carte“ на някои държави членки не дава представа за единство; </w:t>
      </w:r>
    </w:p>
    <w:p>
      <w:pPr>
        <w:pStyle w:val="Normal"/>
        <w:rPr/>
      </w:pPr>
      <w:r>
        <w:rPr/>
        <w:t xml:space="preserve">4) ново целенасочено законодателство би подобрило бъдещето на всички лица, търсещи убежище, и би укрепило единството на Европа; </w:t>
      </w:r>
    </w:p>
    <w:p>
      <w:pPr>
        <w:pStyle w:val="Normal"/>
        <w:rPr/>
      </w:pPr>
      <w:r>
        <w:rPr/>
        <w:t xml:space="preserve">Недостатъците на действащото законодателство водят до конфликти и липса на хармонизация в цяла Европа и водят до повишена нетърпимост сред европейските граждани към мигрантите. </w:t>
      </w:r>
    </w:p>
    <w:p>
      <w:pPr>
        <w:pStyle w:val="Normal"/>
        <w:rPr/>
      </w:pPr>
      <w:r>
        <w:rPr/>
        <w:t>6) по-строгото и релевантно законодателство би намалило престъпността и злоупотребите с настоящата система за предоставяне на убежище.</w:t>
      </w:r>
    </w:p>
    <w:p>
      <w:pPr>
        <w:pStyle w:val="Normal"/>
        <w:rPr/>
      </w:pPr>
      <w:r>
        <w:rPr/>
        <w:t xml:space="preserve"> </w:t>
      </w:r>
    </w:p>
    <w:p>
      <w:pPr>
        <w:pStyle w:val="Titre3"/>
        <w:numPr>
          <w:ilvl w:val="2"/>
          <w:numId w:val="2"/>
        </w:numPr>
        <w:rPr/>
      </w:pPr>
      <w:bookmarkStart w:id="200" w:name="__RefHeading___Toc297335_1346298689"/>
      <w:bookmarkEnd w:id="200"/>
      <w:r>
        <w:rPr/>
        <w:t xml:space="preserve">Приложение: ДРУГИ ПРЕПОРЪКИ, РАЗГЛЕДАНИ ОТ ЕКСПЕРТНАТА ГРУПА, НО НЕПРИЕТИ </w:t>
      </w:r>
    </w:p>
    <w:p>
      <w:pPr>
        <w:pStyle w:val="Titre4"/>
        <w:numPr>
          <w:ilvl w:val="3"/>
          <w:numId w:val="2"/>
        </w:numPr>
        <w:rPr/>
      </w:pPr>
      <w:bookmarkStart w:id="201" w:name="__RefHeading___Toc297337_1346298689"/>
      <w:bookmarkEnd w:id="201"/>
      <w:r>
        <w:rPr/>
        <w:t xml:space="preserve">Ос 1: Самодостатъчност и стабилност </w:t>
      </w:r>
    </w:p>
    <w:p>
      <w:pPr>
        <w:pStyle w:val="Normal"/>
        <w:rPr/>
      </w:pPr>
      <w:r>
        <w:rPr/>
        <w:t xml:space="preserve">Подос 1.1 — Автономия на ЕС </w:t>
      </w:r>
    </w:p>
    <w:p>
      <w:pPr>
        <w:pStyle w:val="P68B1DB1Normal15"/>
        <w:rPr>
          <w:b/>
          <w:b/>
        </w:rPr>
      </w:pPr>
      <w:r>
        <w:rPr/>
        <w:t xml:space="preserve">При поискване от развиващите се страни препоръчваме програмите за интервенция за икономическо развитие да бъдат разработени въз основа на партньорства, съобразени с нуждите на всяка държава и/или въз основа на търговски споразумения. Това изисква първо да се оцени икономическият потенциал на въпросните държави и след това да им се предостави необходимата икономическа подкрепа и професионално обучение. </w:t>
      </w:r>
    </w:p>
    <w:p>
      <w:pPr>
        <w:pStyle w:val="Normal"/>
        <w:rPr/>
      </w:pPr>
      <w:r>
        <w:rPr/>
        <w:t xml:space="preserve">Това би довело до по-голяма промишлена независимост и би подобрило цялостната миграционна ситуация чрез създаване на работни места; това ще доведе и до по-добри търговски споразумения в развиващите се страни. </w:t>
      </w:r>
    </w:p>
    <w:p>
      <w:pPr>
        <w:pStyle w:val="Normal"/>
        <w:rPr/>
      </w:pPr>
      <w:r>
        <w:rPr/>
        <w:t xml:space="preserve"> </w:t>
      </w:r>
    </w:p>
    <w:p>
      <w:pPr>
        <w:pStyle w:val="Titre4"/>
        <w:numPr>
          <w:ilvl w:val="3"/>
          <w:numId w:val="2"/>
        </w:numPr>
        <w:rPr/>
      </w:pPr>
      <w:bookmarkStart w:id="202" w:name="__RefHeading___Toc297339_1346298689"/>
      <w:bookmarkEnd w:id="202"/>
      <w:r>
        <w:rPr/>
        <w:t xml:space="preserve">Ос 2: ЕС като международен партньор </w:t>
      </w:r>
    </w:p>
    <w:p>
      <w:pPr>
        <w:pStyle w:val="Normal"/>
        <w:rPr/>
      </w:pPr>
      <w:r>
        <w:rPr/>
        <w:t xml:space="preserve">Подос 2.1 — Етична перспектива за търговските отношения </w:t>
      </w:r>
    </w:p>
    <w:p>
      <w:pPr>
        <w:pStyle w:val="P68B1DB1Normal15"/>
        <w:rPr>
          <w:b/>
          <w:b/>
        </w:rPr>
      </w:pPr>
      <w:r>
        <w:rPr/>
        <w:t xml:space="preserve">Сметната палата препоръчва ЕС да въведе правила, изискващи от дружествата да одитират своята верига на доставки и редовно да представя изчерпателен одитен доклад, както и разпоредби за възнаграждаване или ограничаване на вноса въз основа на етични критерии. Дружествата следва да представят вътрешен и/или външен одитен доклад въз основа на техния размер. </w:t>
      </w:r>
    </w:p>
    <w:p>
      <w:pPr>
        <w:pStyle w:val="Normal"/>
        <w:rPr/>
      </w:pPr>
      <w:r>
        <w:rPr/>
        <w:t xml:space="preserve"> </w:t>
      </w:r>
    </w:p>
    <w:p>
      <w:pPr>
        <w:pStyle w:val="Normal"/>
        <w:rPr/>
      </w:pPr>
      <w:r>
        <w:rPr/>
        <w:t xml:space="preserve">Необходимо е да се развие етичният аспект на търговията с ЕС. Това може да се постигне чрез наблюдение на бизнес дейностите в международните вериги на доставки и насърчаване на дружествата да се държат според етични критерии, като опасни продукти, трудови права и условия, детски труд и опазване на околната среда. Тази препоръка няма да се прилага за онлайн продукти, закупени директно от потребителя. </w:t>
      </w:r>
    </w:p>
    <w:p>
      <w:pPr>
        <w:pStyle w:val="Normal"/>
        <w:rPr/>
      </w:pPr>
      <w:r>
        <w:rPr/>
        <w:t xml:space="preserve"> </w:t>
      </w:r>
    </w:p>
    <w:p>
      <w:pPr>
        <w:pStyle w:val="Titre4"/>
        <w:numPr>
          <w:ilvl w:val="3"/>
          <w:numId w:val="2"/>
        </w:numPr>
        <w:rPr/>
      </w:pPr>
      <w:bookmarkStart w:id="203" w:name="__RefHeading___Toc297341_1346298689"/>
      <w:bookmarkEnd w:id="203"/>
      <w:r>
        <w:rPr/>
        <w:t xml:space="preserve">Ос 3: Силен ЕС в един мирен свят </w:t>
      </w:r>
    </w:p>
    <w:p>
      <w:pPr>
        <w:pStyle w:val="Normal"/>
        <w:rPr/>
      </w:pPr>
      <w:r>
        <w:rPr/>
        <w:t xml:space="preserve">Подос 3.1 — Сигурност и отбрана </w:t>
      </w:r>
    </w:p>
    <w:p>
      <w:pPr>
        <w:pStyle w:val="P68B1DB1Normal15"/>
        <w:rPr>
          <w:b/>
          <w:b/>
        </w:rPr>
      </w:pPr>
      <w:r>
        <w:rPr/>
        <w:t xml:space="preserve">Препоръчваме да се преосмисли сегашната европейска архитектура за сигурност, за да стане тя по-ефективна и ефективна наднационална структура с увеличен капацитет с оглед на създаването на обща армия на Европейския съюз. За тази цел националните въоръжени сили трябва постепенно да се слеят и трансформират. Целта е това сливане на военни способности в целия Европейски съюз да насърчи и европейската интеграция в дългосрочен план. Създаването на обща армия на ЕС ще изисква и ново споразумение за сътрудничество с държавите — членки на ЕС, и неевропейските членки на НАТО. </w:t>
      </w:r>
    </w:p>
    <w:p>
      <w:pPr>
        <w:pStyle w:val="Normal"/>
        <w:rPr/>
      </w:pPr>
      <w:r>
        <w:rPr/>
        <w:t xml:space="preserve"> </w:t>
      </w:r>
    </w:p>
    <w:p>
      <w:pPr>
        <w:pStyle w:val="Normal"/>
        <w:rPr/>
      </w:pPr>
      <w:r>
        <w:rPr/>
        <w:t xml:space="preserve">Ако тази препоръка бъде изпълнена, считаме, че военните структури в рамките на Европейския съюз ще станат по-рентабилни и по-способни да реагират и да действат, когато е необходимо. Този интегриран подход би укрепил способността на ЕС да действа решително и координирано в критични ситуации. </w:t>
      </w:r>
    </w:p>
    <w:p>
      <w:pPr>
        <w:pStyle w:val="Normal"/>
        <w:rPr/>
      </w:pPr>
      <w:r>
        <w:rPr/>
        <w:t xml:space="preserve"> </w:t>
      </w:r>
    </w:p>
    <w:p>
      <w:pPr>
        <w:pStyle w:val="Titre4"/>
        <w:numPr>
          <w:ilvl w:val="3"/>
          <w:numId w:val="2"/>
        </w:numPr>
        <w:rPr/>
      </w:pPr>
      <w:bookmarkStart w:id="204" w:name="__RefHeading___Toc297343_1346298689"/>
      <w:bookmarkEnd w:id="204"/>
      <w:r>
        <w:rPr/>
        <w:t xml:space="preserve">Ос 4: Емиграция от човешка гледна точка </w:t>
      </w:r>
    </w:p>
    <w:p>
      <w:pPr>
        <w:pStyle w:val="Normal"/>
        <w:rPr/>
      </w:pPr>
      <w:r>
        <w:rPr/>
        <w:t xml:space="preserve">Подос 4.1 — Преодоляване на причините за емиграцията </w:t>
      </w:r>
    </w:p>
    <w:p>
      <w:pPr>
        <w:pStyle w:val="P68B1DB1Normal15"/>
        <w:rPr>
          <w:b/>
          <w:b/>
        </w:rPr>
      </w:pPr>
      <w:r>
        <w:rPr/>
        <w:t xml:space="preserve">Препоръчваме ЕС да въведе протокол за действие в подготовка за следващата миграционна криза — тази на климатичните бежанци. Съгласно този протокол ЕС трябва да разшири определението за бежанци и лица, търсещи убежище, за да включи и засегнатите от изменението на климата. Тъй като страната на произход на много мигранти ще стане необитаема, протоколът трябва също така да гарантира, че се откриват нови употреби за районите, засегнати от изменението на климата, с цел подпомагане на тези, които са напуснали тези райони. Например, наводнените райони могат да се използват за създаване на вятърни паркове. </w:t>
      </w:r>
    </w:p>
    <w:p>
      <w:pPr>
        <w:pStyle w:val="Normal"/>
        <w:rPr/>
      </w:pPr>
      <w:r>
        <w:rPr/>
        <w:t xml:space="preserve"> </w:t>
      </w:r>
    </w:p>
    <w:p>
      <w:pPr>
        <w:pStyle w:val="Normal"/>
        <w:rPr/>
      </w:pPr>
      <w:r>
        <w:rPr/>
        <w:t xml:space="preserve">Ние отправяме тази препоръка, защото всички ние сме отговорни за кризата с климата. Така че ние носим отговорност към тези, които са най-засегнати. Дори и да нямаме нито прогнози, нито конкретни данни за бъдещите бежанци, изменението на климата несъмнено ще засегне милиони хора. </w:t>
      </w:r>
    </w:p>
    <w:p>
      <w:pPr>
        <w:pStyle w:val="Normal"/>
        <w:rPr/>
      </w:pPr>
      <w:r>
        <w:rPr/>
        <w:t xml:space="preserve"> </w:t>
      </w:r>
    </w:p>
    <w:p>
      <w:pPr>
        <w:pStyle w:val="Normal"/>
        <w:rPr/>
      </w:pPr>
      <w:r>
        <w:rPr/>
        <w:t xml:space="preserve">Подос 4.2 — Човешки съображения </w:t>
      </w:r>
    </w:p>
    <w:p>
      <w:pPr>
        <w:pStyle w:val="P68B1DB1Normal15"/>
        <w:rPr>
          <w:b/>
          <w:b/>
        </w:rPr>
      </w:pPr>
      <w:r>
        <w:rPr/>
        <w:t xml:space="preserve">Препоръчваме законните и хуманитарните пътища и транспортни средства да бъдат укрепени и финансирани незабавно, така че бежанците да могат да се придвижват от кризисни райони по организиран начин. Следва да се създаде и регулира специална система за безопасност за европейските коридори от органа, специално създаден за тази цел. Тази агенция трябва да бъде създадена в съответствие със законодателната процедура и да разполага със специални правомощия, предвидени в нейния процедурен правилник. </w:t>
      </w:r>
    </w:p>
    <w:p>
      <w:pPr>
        <w:pStyle w:val="Normal"/>
        <w:rPr/>
      </w:pPr>
      <w:r>
        <w:rPr/>
        <w:t xml:space="preserve"> </w:t>
      </w:r>
    </w:p>
    <w:p>
      <w:pPr>
        <w:pStyle w:val="Normal"/>
        <w:rPr/>
      </w:pPr>
      <w:r>
        <w:rPr/>
        <w:t xml:space="preserve">Трафикът на хора и контрабандата на мигранти са сериозни проблеми, които трябва да бъдат решени. Нашата препоръка със сигурност ще намали тези опасения. </w:t>
      </w:r>
    </w:p>
    <w:p>
      <w:pPr>
        <w:pStyle w:val="Normal"/>
        <w:rPr/>
      </w:pPr>
      <w:r>
        <w:rPr/>
        <w:t xml:space="preserve"> </w:t>
      </w:r>
    </w:p>
    <w:p>
      <w:pPr>
        <w:pStyle w:val="Normal"/>
        <w:rPr/>
      </w:pPr>
      <w:r>
        <w:rPr/>
        <w:t xml:space="preserve">Подос 4.3 — Граници </w:t>
      </w:r>
    </w:p>
    <w:p>
      <w:pPr>
        <w:pStyle w:val="P68B1DB1Normal15"/>
        <w:rPr>
          <w:b/>
          <w:b/>
        </w:rPr>
      </w:pPr>
      <w:r>
        <w:rPr/>
        <w:t xml:space="preserve">Препоръчваме европейска директива да гарантира, че всяко жилище във всяка държава членка има не повече от 30 % жители на трети държави. Очаква се тази цел да бъде постигната до 2030 г. и държавите — членки на ЕС, трябва да получат подкрепа за изпълнението на тази цел. </w:t>
      </w:r>
    </w:p>
    <w:p>
      <w:pPr>
        <w:pStyle w:val="Normal"/>
        <w:rPr/>
      </w:pPr>
      <w:r>
        <w:rPr/>
        <w:t xml:space="preserve"> </w:t>
      </w:r>
    </w:p>
    <w:p>
      <w:pPr>
        <w:pStyle w:val="Normal"/>
        <w:rPr/>
      </w:pPr>
      <w:r>
        <w:rPr/>
        <w:t xml:space="preserve">Отправяме тази препоръка, защото едно по-справедливо географско разпределение ще доведе до по-добро приемане на мигрантите от местното население и по този начин ще им даде възможност да се интегрират по-добре. Този процент се основава на неотдавнашно политическо споразумение в Дания. </w:t>
      </w:r>
      <w:r>
        <w:br w:type="page"/>
      </w:r>
    </w:p>
    <w:p>
      <w:pPr>
        <w:pStyle w:val="Titre1"/>
        <w:numPr>
          <w:ilvl w:val="0"/>
          <w:numId w:val="2"/>
        </w:numPr>
        <w:rPr/>
      </w:pPr>
      <w:bookmarkStart w:id="205" w:name="__RefHeading___Toc297345_1346298689"/>
      <w:bookmarkEnd w:id="205"/>
      <w:r>
        <w:rPr/>
        <w:t xml:space="preserve">II A — Национални комитети: Белгия </w:t>
      </w:r>
    </w:p>
    <w:p>
      <w:pPr>
        <w:pStyle w:val="Normal"/>
        <w:spacing w:before="1285" w:after="57"/>
        <w:rPr/>
      </w:pPr>
      <w:r>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120130" cy="815975"/>
            <wp:effectExtent l="0" t="0" r="0" b="0"/>
            <wp:wrapSquare wrapText="largest"/>
            <wp:docPr id="74" name="Снимка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Снимка 32" descr=""/>
                    <pic:cNvPicPr>
                      <a:picLocks noChangeAspect="1" noChangeArrowheads="1"/>
                    </pic:cNvPicPr>
                  </pic:nvPicPr>
                  <pic:blipFill>
                    <a:blip r:embed="rId84"/>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pPr>
      <w:r>
        <w:rPr/>
        <w:t xml:space="preserve">Тук ще намерите всички препоръки, направени от 50-те граждани на гражданския панел, организиран под егидата на заместник министър-председателя и министър на външните и европейските въпроси Софи Вилмес като принос на белгийското федерално правителство към Конференцията за бъдещето на Европа. Темата на този панел беше „Как да включим гражданите в по-голяма степен в европейската демокрация“. Въпреки че е добре наясно, че Конференцията има по-широк обхват от въпросите, свързани с ЕС, предметът на тази група изяснява защо толкова много изрични препратки към ЕС и неговите институции са отправени. Когато е целесъобразно, се прави позоваване на Европа като цяло. </w:t>
      </w:r>
    </w:p>
    <w:p>
      <w:pPr>
        <w:pStyle w:val="P68B1DB1Normal19"/>
        <w:widowControl w:val="false"/>
        <w:spacing w:lineRule="exact" w:line="388" w:before="146" w:after="0"/>
        <w:ind w:left="0" w:right="0" w:hanging="0"/>
        <w:jc w:val="left"/>
        <w:rPr>
          <w:rFonts w:ascii="Times New Roman" w:hAnsi="Times New Roman"/>
          <w:color w:val="000000"/>
          <w:sz w:val="24"/>
        </w:rPr>
      </w:pPr>
      <w:r>
        <w:rPr/>
        <w:t xml:space="preserve"> </w:t>
      </w:r>
    </w:p>
    <w:p>
      <w:pPr>
        <w:pStyle w:val="P68B1DB1Normal21"/>
        <w:widowControl w:val="false"/>
        <w:spacing w:lineRule="exact" w:line="316" w:before="102" w:after="0"/>
        <w:ind w:left="0" w:right="176" w:hanging="0"/>
        <w:jc w:val="left"/>
        <w:rPr/>
      </w:pPr>
      <w:r>
        <w:rPr>
          <w:color w:val="000000"/>
        </w:rPr>
        <w:t xml:space="preserve">За да се отразят всички мнения на гражданите, настоящият доклад представя всички препоръки, включително тези, които не са получили обикновено мнозинство на окончателното гласуване по всички препоръки. Те са ясно разпознаваеми поради процента </w:t>
      </w:r>
      <w:r>
        <w:rPr>
          <w:b/>
          <w:color w:val="FF0000"/>
        </w:rPr>
        <w:t>в червено и получер шрифт.</w:t>
      </w:r>
      <w:r>
        <w:rPr>
          <w:color w:val="000000"/>
        </w:rPr>
        <w:t xml:space="preserve"> Освен това някои препоръки си противоречат и дори в заключителните обсъждания гражданите остават неубедителни по отношение на тях. Тези препоръки са разпознаваеми, защото са в </w:t>
      </w:r>
      <w:r>
        <w:rPr>
          <w:i/>
          <w:color w:val="000000"/>
        </w:rPr>
        <w:t>курсив.</w:t>
      </w:r>
      <w:r>
        <w:rPr>
          <w:color w:val="000000"/>
        </w:rPr>
        <w:t xml:space="preserve"> За една единствена препоръка разделението беше толкова ясно, че гласуването завърши с </w:t>
      </w:r>
      <w:r>
        <w:rPr>
          <w:i/>
          <w:color w:val="000000"/>
        </w:rPr>
        <w:t xml:space="preserve">ex-aequo, </w:t>
      </w:r>
      <w:r>
        <w:rPr>
          <w:color w:val="000000"/>
        </w:rPr>
        <w:t xml:space="preserve">което е отбелязано с </w:t>
      </w:r>
      <w:r>
        <w:rPr>
          <w:b/>
          <w:color w:val="FF9900"/>
        </w:rPr>
        <w:t>оранжево и получер шрифт</w:t>
      </w:r>
      <w:r>
        <w:rPr>
          <w:color w:val="000000"/>
        </w:rPr>
        <w:t xml:space="preserve">. Гражданите споделят факта, че мненията по тези препоръки се различават. Поради това те предлагат органите на CoFE и институциите на ЕС да бъдат бдителни при изпълнението на тези препоръки, тъй като съществува форма на разделение, основано на гласуване. </w:t>
      </w:r>
    </w:p>
    <w:p>
      <w:pPr>
        <w:pStyle w:val="Normal"/>
        <w:rPr/>
      </w:pPr>
      <w:r>
        <w:rPr/>
      </w:r>
      <w:r>
        <w:br w:type="page"/>
      </w:r>
    </w:p>
    <w:p>
      <w:pPr>
        <w:pStyle w:val="Normal"/>
        <w:rPr/>
      </w:pPr>
      <w:r>
        <w:rPr/>
        <w:t>1. Комуникация</w:t>
      </w:r>
    </w:p>
    <w:p>
      <w:pPr>
        <w:pStyle w:val="Normal"/>
        <w:rPr/>
      </w:pPr>
      <w:r>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Проблеми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Препоръки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rPr>
              <w:t xml:space="preserve">Подкрепена от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 Съобщението относно ЕС е незадоволително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1.1 Предлагаме да се включат курсове по Европейския съюз от третото ниво на началното училище. Целта е да се достигне до всички граждани и да се подобрят познанията за Европейския съюз.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88,4 %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1.2 Европейският съюз, и по-специално Комисията, следва да предостави образователни материали относно функционирането на Европа на министерствата на образованието на различните държави членки. Освен че обясняват функционирането, състава и правомощията на институциите, тези формации следва да предоставят и кратък преглед на историята на европейската интеграция. Особено внимание следва да се обърне на използването на ясен и разбираем и достъпен език, както и на образователни инструменти, като документални филми, клипове или училищни телевизионни програми, на всичките 24 езика.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95,0 %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pPr>
            <w:r>
              <w:rPr/>
              <w:t xml:space="preserve">2. Европейският проект остава чужд за гражданите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2.1 Предлагаме европейските институции да гарантират в своите съобщения, че по-добре обясняват какво попада в сферата на компетентност на ЕС, но и какво не е в неговата компетентност.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97,6 %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2.2 Европейският съюз следва да включи в съобщението си познати примери от ежедневието на европейците. Тези обяснения следва да се предават в рамките на държавите членки чрез споразумения между европейските институции и националните обществени телевизионни канали, за да се достигне до широка аудитория.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80,5 %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2.3 Освен това гражданите на държавите членки следва да бъдат редовно информирани — например чрез видеоклипове — за ролята на Европейския съюз в други държави членки. По този начин предимствата и недостатъците на Европа ще бъдат представени по-добре в дебатите за бъдещето на Европа.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85,7 %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2.4 С цел укрепване на европейската идентичност предлагаме редовно да се припомня и да се предоставя достъпна информация за това какъв би бил животът на европейците без ЕС и неговите конкретни постижения.</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2.5 Предлагаме също така Денят на Европа (9 май) да се превърне в Европейски официален празник за всички граждани на ЕС.</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2.6 Препоръчваме европейските институции да обърнат още по-голямо внимание на опростяването, разбирането и достъпността на информацията по приоритетните теми, разглеждани на европейско равнище</w:t>
            </w:r>
            <w:r>
              <w:rPr/>
              <w:commentReference w:id="9"/>
            </w:r>
            <w:r>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2.7 Препоръчваме на Европейския съюз да предостави </w:t>
            </w:r>
            <w:commentRangeStart w:id="10"/>
            <w:r>
              <w:rPr/>
              <w:t>таблица с показатели</w:t>
            </w:r>
            <w:r>
              <w:rPr/>
            </w:r>
            <w:commentRangeEnd w:id="10"/>
            <w:r>
              <w:commentReference w:id="10"/>
            </w:r>
            <w:r>
              <w:rPr/>
              <w:t>, показваща за всяка страна ресурсите, разпределени от ЕС за всяка приоритетна тема. Цялата тази информация следва да бъде достъпна на уебсайта на Европейския съюз.</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93,0 %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2.8 Препоръчваме на Европейския съюз да представи ясно текущата законодателна работа. Цялата тази информация следва да бъде достъпна на уебсайта на Европейския съюз.</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2.9 Искаме европейските институции да бъдат по-достъпни за </w:t>
            </w:r>
            <w:commentRangeStart w:id="11"/>
            <w:r>
              <w:rPr/>
              <w:t>европейците</w:t>
            </w:r>
            <w:r>
              <w:rPr/>
            </w:r>
            <w:commentRangeEnd w:id="11"/>
            <w:r>
              <w:commentReference w:id="11"/>
            </w:r>
            <w:r>
              <w:rPr/>
              <w:t>. Участието им в дебатите по време на сесиите на Европейския парламент следва да бъде улеснено.</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2.10 Препоръчваме да се разшири участието в програмата „Еразъм“ за всички студенти, независимо от техния образователен път (професионални технологии, редуване). Всички следва да могат да участват в европейския обмен.</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2.11 Препоръчваме на работещото население да се възползва от европейските програми за обмен, независимо от сектора на дейност, и за местните предприятия. Всички следва да могат да участват в европейския обмен.</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2.12 Препоръчваме да се създадат курсове по европейско гражданство за всички европейски граждани.</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 Законодателството на ЕС не се прилага по същия начин в държавите членки.</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3.1 Препоръчваме на Европейския съюз да използва в по-голяма степен пряко приложимото законодателство в държавите членки. Това би намалило националните различия в прилагането на законодателството на ЕС, което отслабва европейския проект. Това би подобрило и най-важните европейски постижения като вътрешния пазар, еврото и Шенгенското пространство.</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 Европейската демокрация е застрашена.</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4.1 Препоръчваме съобщението на ЕС относно европейската демокрация да припомня безмилостно и недвусмислено какво означава това в Европа за европейците.</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Ценностите и принципите на Договорите на Европейския съюз, към които държавите членки са се присъединили при присъединяването, са необратими. Тяхната защита трябва да продължи да бъде гарантирана.</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4.3 Защитата на ценностите и принципите на Договорите е гарантирана</w:t>
            </w:r>
            <w:r>
              <w:rPr/>
              <w:commentReference w:id="12"/>
            </w:r>
            <w:r>
              <w:rPr/>
              <w:t xml:space="preserve"> от Европейския съд и не може да бъде поставяна под въпрос от държавите членки.</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 Информацията за ЕС не е лесно достъпна и трудна за разбиране</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5.1 Препоръчваме да се засили проверката на информацията по европейски въпроси. Тази информация, разпространявана и проверена от институциите, трябва да бъде лесно достъпна за европейската общественост и за националните медии на всяка държава членка.</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83,3 %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 Националните медии често излъчват негативен образ на ЕС</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6.1 ЕС трябва да присъства в по-голяма степен в ежедневието на европейците, като комуникира по-активно. (Напр. чрез спонсориране, например, на културни събития, които обединяват гражданите и ги карат да се гордеят, че са граждани на ЕС. Докладването и тийзърът също така ще позволят на европейците да имат достъп до</w:t>
            </w:r>
            <w:r>
              <w:rPr/>
              <w:commentReference w:id="13"/>
            </w:r>
            <w:r>
              <w:rPr/>
              <w:t xml:space="preserve"> контекстуализирана информация за ЕС).</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 Гражданите не познават тези, които ги представляват в Европейския парламент.</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7.1 Препоръчваме парламентаристите да бъдат по-добре познати в родните си страни, особено извън изборните периоди. Те трябва да бъдат по-достъпни. Причините за гласуването им в Европейския парламент трябва да бъдат направени по-лесно достъпни за европейските граждани чрез уебсайта на Европейския съюз.</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7.2 Препоръчваме националните политически партии да гарантират подмладяването на кандидатите в списъците, представени на изборите за Европейски парламент. Такъв мандат не следва да се разглежда като награда за добри и лоялни услуги, предоставяни в рамките на националната политика.</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74,4 %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 Съобщението на ЕС е твърде еднакво; не се взема предвид разнообразието на населението</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8.1 За да достигне до достатъчно широка и разнообразна аудитория, препоръчваме ЕС да вземе предвид, чрез приобщаваща комуникация от етапа на зачеването, образователната степен на засегнатите лица, възможните им увреждания. Освен това препоръчваме също така да се включат физически лица и организации (улица преподаватели, агенти на квартала, CPAS, гражданското общество) в предаването на това съобщение.</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8.2 За да се достигне до работната сила, препоръчваме да се инвестира повече в използването на съществуващите комуникационни канали за периодично предоставяне на подходяща информация за ЕС, например чрез разяснителни програми. Освен това препоръчваме да се разчита на посланици (както физически лица, така и организации), които популяризират проекта на ЕС.</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8.3 За да достигнем до младите хора и студентите, препоръчваме, наред със съществуващите канали като образование и съответни младежки движения, да бъдат призовани посланици, особено за влиятелни лица, които могат да достигнат до младите хора чрез социалните медии. Друга препоръка би била да се организира общоевропейски конкурс за създаване на анимационен герой, който да привлича младите хора и да им изпраща европейски послания.</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8.4 За възрастните хора препоръчваме да се използват същите канали като тези, които се предлагат за работната сила. Освен това препоръчваме да се търси правилният баланс между цифровата и нецифровата комуникация (писмена преса, радио, събития лице в лице), за да се отговори на нуждите на всеки, включително тези, които са по-малко удобни в цифрова среда, както и тези, които са по-малко мобилни в обществото.</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8.5 Препоръчваме чрез курсовете по интеграция, които вече съществуват в много държави членки, ЕС да се ангажира да включи „нови европейци“ (хора, които чрез една или друга законна процедура за имиграция пребивават в ЕС) и да ги информира за другите традиционни канали, чрез които ЕС комуникира. И накрая, препоръчваме да се даде място на местния асоциативен свят.</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76,7 %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8.6 Препоръчваме също така да изведем ЕС по улиците с приобщаваща комуникация. Например могат да се използват (цифрови) билбордове, както и нови средства за комуникация, като QR кодове и традиционни средства.</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62,8 %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8.7 Други препоръки биха били ЕС да стане по-визуален (чрез малки филми или инфографики), да създаде европейско спортно движение, което да създаде връзка/чувство за принадлежност и да направи европейския химн по-известен.</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68,2 %</w:t>
            </w:r>
          </w:p>
        </w:tc>
      </w:tr>
    </w:tbl>
    <w:p>
      <w:pPr>
        <w:pStyle w:val="Normal"/>
        <w:rPr/>
      </w:pPr>
      <w:r>
        <w:rPr/>
      </w:r>
    </w:p>
    <w:p>
      <w:pPr>
        <w:pStyle w:val="Normal"/>
        <w:rPr/>
      </w:pPr>
      <w:r>
        <w:rPr/>
        <w:t>2. Дезинформация</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Проблеми</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Препоръки</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Подкрепена от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Рискът от дезинформация все по-често присъства в медиите</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Препоръчваме преразглеждане на модела за медийно финансиране, както и задължително публикуване на източниците на приходи по ясен и достъпен начин. Моделът на медийното финансиране ги подтиква към сензация и по този начин да публикуват информация извън контекста, превръщайки ги в дезинформация.</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73,8 %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Препоръчваме задължително цитиране на източници от медиите, като предоставяме връзки, за да ги проверим. В противен случай информацията следва да бъде обозначена като непроверена.</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1.3 Препоръчваме Европейският регулатор за борба с дезинформацията (вж. точка 2) да отговаря и за акредитацията на организациите за проверка на информацията („проверки на факти“).</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1.4 Препоръчваме създаването във всяка държава членка на независим орган, отговарящ за проверката на медийната неутралност. Този орган следва да бъде финансиран и наблюдаван от Европейския съюз.</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75,6 %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1.5 Препоръчваме да разпространяваме информация за URL адресите на официалните уебсайтове на ЕС, за да успокоим гражданите за произхода на информацията.</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Много граждани се съмняват в медийния неутралитет</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Препоръчваме създаването на европейски регулатор за борба с дезинформацията. По-специално задачата на този регулатор би била да определи критериите за етикет за неутралност и при необходимост да установи система от санкции или стимули, свързани със спазването на стандартите за неутралност. Като алтернатива може да се обмисли придържане към харта на етиката. Етикетът ще бъде предоставен от независимия национален орган и ще вземе предвид мерките, предприети от медиите за борба с дезинформацията.</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Препоръчваме създаването на европейска гореща линия, която да позволява на гражданите да осъждат дезинформацията относно европейските (политически и икономически) компетентности.</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82,1 %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Гражданите не са наясно с рисковете от невярна информация, на които са изложени.</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Препоръчваме платформите да бъдат задължени да публикуват ясна и разбираема информация относно рисковете от дезинформация, на които са изложени техните потребители. Тази информация следва да се съобщава автоматично веднага след откриването на сметката.</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85,7 %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Препоръчваме задължително обучение за използване на медиите, от ранна възраст и адаптирано към различните нива на образователната система.</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74,4 %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Препоръчваме на Европейския съюз да започне многократни кампании за дезинформация. Тези кампании могат да бъдат идентифицирани с лого или талисман. Европейският съюз би могъл да принуди социалните мрежи да ги предават чрез разпространението на спотове.</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Средствата за борба с дезинформацията са недостатъчни.</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Препоръчваме да публикуваме на ясен и разбираем език информация за алгоритмите, които организират съобщенията, получени от потребителите на платформата.</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83,3 %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Препоръчваме на потребителите да могат да деактивират алгоритмите за повишаване на поведенческите пристрастия по прост начин. Може да се разгледа и задължението за предоставяне на потребителите на достъп до други източници, защитаващи различни позиции по един и същ въпрос.</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80,0 %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Препоръчваме на Европейския съюз да подкрепи създаването на платформа за социални медии, която да отговаря на собствените си стандарти по отношение на неутралността и борбата с дезинформацията. Като алтернатива многоезичната платформа, създадена в подкрепа на Конференцията за бъдещето на Европа, би могла да бъде добавена с нови функции.</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56,4 %</w:t>
            </w:r>
          </w:p>
        </w:tc>
      </w:tr>
    </w:tbl>
    <w:p>
      <w:pPr>
        <w:pStyle w:val="Normal"/>
        <w:rPr/>
      </w:pPr>
      <w:r>
        <w:rPr/>
      </w:r>
    </w:p>
    <w:p>
      <w:pPr>
        <w:pStyle w:val="Normal"/>
        <w:rPr/>
      </w:pPr>
      <w:r>
        <w:rPr/>
        <w:t>3. Граждански панели</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Проблеми</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Препоръки</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Подкрепена от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 Трудности при гарантирането на представителността на гражданския панел. В крайна сметка участва само малка част от населението.</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1.1 Препоръчваме да се следи какво предлага най-новата научна работа по съвещателната демокрация по отношение на вземането на проби, разработването и научното валидиране на метода за подбор, за да се гарантира възможно най-добра представителност.</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89,7 %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Препоръчваме да има достатъчен брой хора около масата, за да се гарантира разнообразието от мнения и профили, включително, но не само, хора, които са пряко свързани с темата.</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1.3 Препоръчваме в критериите за вземане на проби да се добави и критерият за родителство (т.е. дали лицето има деца?), в допълнение към по-традиционните критерии като пол, възраст, място на пребиваване или ниво на образование.</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33,3 %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1.4 Препоръчваме да се определят квоти по географски райони, т.е. да се определи, че група от европейски граждани трябва да бъде съставена от Х души за всеки европейски географски район (предстои да се определи), така че тази група да може наистина да бъде квалифицирана като европейска и смислена.</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1.5 Препоръчваме регистрите на населението (или техният еквивалент, в зависимост от страната) да се използват като основни бази данни за теглене, за да се даде на всеки един и същ шанс да бъде избран и да генерира интерес към даден предмет в рамките на населението.</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1.6 Препоръчваме участниците да бъдат компенсирани, за да оценят инвестициите си и да привлекат хора, които не биха участвали, ако не бяха компенсирани.</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87,5 %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 Препоръчваме да информираме — съвсем минимално: нито твърде много информация, нито твърде сложна информация — първите участници чрез презентации от експерти, за да се гарантира, че дори хора без предварително знание се чувстват комфортно да участват в дискусиите.</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82,9 %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1.7.2 Препоръчваме темата на гражданския панел да се съобщава предварително, така че хората да могат да знаят коя тема се ангажират да обсъждат.</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78,6 %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1.8 Препоръчваме да не се изисква от гражданите да участват.</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Трудности при организирането на панел на европейско равнище.</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Препоръчваме заседанията на Европейския граждански панел да се провеждат в хибриден формат (представителен/дистанциален). Хората, които не могат да се движат физически, също могат да участват.</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2.2 Препоръчваме на Европейския съюз, за по-лесен достъп и организация, да делегира организацията на граждански групи (по европейски теми) на различни равнища на власт на национално равнище.</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2.3 Препоръчваме да се избере една тема за всеки панел, организиран на европейско равнище. Това ще даде възможност на всички участници да обсъдят една и съща тема, независимо от това откъде идват в Европа.</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80,5 %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3. Избягвайте панела </w:t>
              <w:br/>
              <w:t>гражданите не се отклоняват за цели, различни от обявените.</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Препоръчваме на всеки гражданин да представи тема за обсъждане, така че това право да не бъде запазено за политическия свят или за света на лобистите.</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Препоръчваме правото на инициатива да бъде предоставено на Европейския парламент, така че Европейският парламент да определи темата за обсъждане и след това да приеме текстовете, необходими за проследяване на препоръките, произтичащи от разискванията.</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Трудности при вземането на решение как най-добре да се организира процесът за най-добро представителство на гражданите.</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4.1.1 Препоръчваме да се създаде постоянна гражданска комисия заедно с парламента, която да изпълнява конкретни задачи. Той ще бъде подновяван редовно. Това би позволило да се обединят гражданите в дългосрочен план и да се отдели необходимото време за дебати. Времето дава възможност за нюанси на дебати и консенсус. Наред с тази постоянна комисия ad hoc гражданските панели обсъждат теми, избрани от постоянната комисия. Предлагаме да следваме модела на немскоезичната общност.</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54,8 %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4.1.2 Препоръчваме да се създаде само един или повече непостоянни европейски граждански групи, които да се срещат и обсъждат само за определен период от време.</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58,5 %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4.2 Препоръчваме да не се организират европейски граждански панели по неотложни въпроси, тъй като е необходимо достатъчно време, за да се гарантира качеството на дебатите.</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Твърде често гражданите, участващи в инициативи за демокрация на участието, като например граждански панели, не получават обратна информация относно последващите действия във връзка с тяхната работа, независимо дали в краткосрочен или дългосрочен план.</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Препоръчваме на гражданите да предоставят обратна информация относно последващите действия (или не) във връзка с препоръките, издадени след европейски граждански панели. Ако препоръките не бъдат спазени, участващите европейски институции трябва да посочат причините за своето решение (напр. липса на компетентност). За тази цел препоръчваме писането на редовни резюмета по време на целия процес след панел.</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97,5 %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6.1 Препоръчваме да се организират граждански панели, включително с деца от ранна възраст (напр. 10—16 години), за да се повиши осведомеността за участието и дебата. Това може да се организира в училищата.</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59,5 %</w:t>
            </w:r>
          </w:p>
        </w:tc>
      </w:tr>
    </w:tbl>
    <w:p>
      <w:pPr>
        <w:pStyle w:val="Normal"/>
        <w:rPr/>
      </w:pPr>
      <w:r>
        <w:rPr/>
      </w:r>
    </w:p>
    <w:p>
      <w:pPr>
        <w:pStyle w:val="Normal"/>
        <w:rPr/>
      </w:pPr>
      <w:r>
        <w:rPr/>
        <w:t>4. Референдуми</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Проблеми</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Препоръки</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Подкрепена от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0.1 Препоръчваме провеждането на референдуми на европейско равнище по европейските въпроси.</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73,3 %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Културата на референдума варира значително в отделните държави членки.</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Препоръчваме да се възложи проучване за това как да се създаде обща култура на референдума в Европа.</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70,7 %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Препоръчваме проучване (от независими експерти) на необходимостта и възможността за провеждане на референдум по определена тема на европейско ниво</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Формулирането на въпроса, поставен на референдум, може да има отрицателно въздействие, както и възможността да се отговори само с „да„или „не“, което често поляризира дебатите и обществата.</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Препоръчваме създаването на научен комитет, който да мисли как да задава въпроси, които биха били предмет на европейски референдум по възможно най-обективния начин.</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Препоръчваме да се задават въпроси с избор с избор между „да„и „не„, за да се придаде нюанс или дори да се прикрепят условия към „да„и „не“ (т.е. „да, ако„, „не ако“).</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2.3 Препоръчваме белите гласове да не се вземат предвид при изчисляването на всяко мнозинство (обикновено мнозинство или абсолютно мнозинство). Все още трябва да има достатъчно гласове (квотът трябва да бъде спазен).</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Изборът на тема също е деликатен.</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2.4.1 Препоръчваме даден въпрос, повдигнат на европейски референдум, да попада в обхвата на всяка европейска тема, попадаща в областите на компетентност на Европейския съюз.</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2.4.2 Препоръчваме да се изключат теми, които биха могли да бъдат източник на конфликт между държавите членки.</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39,0 %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2.5 Препоръчваме да се задават и технически и трудни въпроси, с ясна формулировка, тъй като хората имат способността да бъдат достатъчно информирани.</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Референдумът не е демократичен инструмент, ако само политическият свят може да реши да организира такъв.</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Препоръчваме на Европейския парламент да има право на инициатива за провеждане на</w:t>
            </w:r>
            <w:r>
              <w:rPr/>
              <w:commentReference w:id="14"/>
            </w:r>
            <w:r>
              <w:rPr/>
              <w:t xml:space="preserve"> европейски референдуми и след това да може да приложи резултата от него (Европейската комисия и Съветът следва да следват без възможност за блокиране).</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Препоръчваме инициативата да може да идва и от самите граждани (напр. като се следват правила, подобни на тези, които се прилагат по отношение на Европейската гражданска инициатива).</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Препоръчваме практическата организация на европейски референдум да бъде неутрален орган.</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4. Консултативният или задължителен аспект на референдума трябва да бъде </w:t>
              <w:br/>
              <w:t>ясно дефинирана.</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4.1.1 Препоръчваме резултатът от европейския референдум да бъде задължителен само когато са изпълнени определени условия по отношение на избирателната активност.</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4.1.2 Препоръчваме резултатите от референдума да бъдат задължителни само ако са достигнати определени мнозинства (51/49, 70/30). Тези условия се определят преди всеки референдум.</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Препоръчваме резултатът от европейския референдум да бъде обвързващ, ако инициативата на неговата организация е поета от граждани (които биха успели да съберат редица подписи за тази цел), но показателни, ако инициативата е предприета от политическа институция.</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Препоръчваме резултатът от европейския референдум да стане задължителен само за определени теми, но не и за тези, за които последиците от гласуването биха могли да бъдат много сериозни.</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40,0 %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Населението често е слабо информирано, преди да бъде призовано да гласува на референдум. В същото време е от решаващо значение да се контролира съобщената информация, за да се избегнат вредни влияния (вътрешни или чуждестранни) върху гласуването.</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Препоръчваме, преди всеки европейски референдум, обществеността да бъде ясно информирана за въздействието на гласуването върху ежедневието им, чрез брошури, както се прави в Швейцария, и/или информационни сесии.</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5.2 Препоръчваме за всеки европейски референдум да се създаде научен комитет, който да гарантира неутралността на съобщената информация.</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Въпреки че референдумът приканва цялото население да гласува директно (за разлика от гражданския панел), винаги има известно отсъствие, повече или по-малко важно.</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6.1.1 Препоръчваме участието в гласуването на европейски референдум да бъде задължително.</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43,6 %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6.1.2 Препоръчваме гласуването на европейски референдум да бъде доброволно.</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6.2 Препоръчваме, за да се намали отсъствията, да се позволи електронно гласуване в допълнение към гласуването на хартиен носител (или в допълнение към други средства за гласуване, като например гласуване по пощата). Електронното гласуване е особено интересно за хората, които отиват на почивка, и също така насърчава хората, които са по-малко заинтересовани от гласуването, защото принудата за пътуване вече не съществува.</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90,0 %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 Твърде често гражданите, участващи в инициативи за демокрация на</w:t>
            </w:r>
            <w:r>
              <w:rPr/>
              <w:commentReference w:id="15"/>
            </w:r>
            <w:r>
              <w:rPr/>
              <w:t xml:space="preserve"> участието като референдуми, не получават връщане на последващите действия във връзка с тяхното гласуване, независимо дали в краткосрочен или дългосрочен план.</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7.1 Препоръчваме на гражданите да предоставят обратна информация относно последващите действия (или не) във връзка с решението, взето от гражданите чрез европейски референдум.</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92,5 %</w:t>
            </w:r>
          </w:p>
        </w:tc>
      </w:tr>
    </w:tbl>
    <w:p>
      <w:pPr>
        <w:pStyle w:val="Normal"/>
        <w:rPr/>
      </w:pPr>
      <w:r>
        <w:rPr/>
      </w:r>
    </w:p>
    <w:p>
      <w:pPr>
        <w:pStyle w:val="Normal"/>
        <w:rPr/>
      </w:pPr>
      <w:r>
        <w:rPr/>
        <w:t>5. Съществуващи инструменти</w:t>
      </w:r>
    </w:p>
    <w:p>
      <w:pPr>
        <w:pStyle w:val="Normal"/>
        <w:rPr/>
      </w:pPr>
      <w:r>
        <w:rPr/>
        <w:t>5.1. Европейски избори.</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Проблеми</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Препоръки</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Подкрепена от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Има разлика в нормативната уредба в различните държави членки</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Предлагаме да има задължително участие в гласуването за Европейския парламент, но с достатъчно информация, за да могат гражданите да разберат причините за това.</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50,0 %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Препоръка ни е да направим избирателните правила за Европейския парламент възможно най-много във всички страни, включително минималната възраст.</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87,2 %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Няма достатъчно разнообразие по отношение на възрастта, произхода и половите критерии на членовете на ЕП.</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2.1.1 Предлагаме членовете на ЕП да бъдат от всички възрасти и произход.</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2.1.2 Предлагаме членовете на ЕП съзнателно да избират за европейска кариера, а не само защото са в края на кариерата си.</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2.1.3 Предлагаме да се избере балансирано разпределение на половете, например чрез редуване на половете в избирателните списъци</w:t>
            </w:r>
            <w:r>
              <w:rPr/>
              <w:commentReference w:id="16"/>
            </w:r>
            <w:r>
              <w:rPr/>
              <w:t>. ЕС трябва да установи тези критерии и да провери дали те са изпълнени в състава на квотата. Ако кандидатът откаже мандата си, мястото му ще заеме следващия кандидат по ред на предпочитание и със същия пол.</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2.1.4 Препоръчваме кандидатите от европейските листи да упражняват мандата си, ако бъдат избрани.</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89,2 %</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Гласуваме за Европейския парламент и нямаме думата в състава на комисията</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Предлагаме да има изменение на договора, с което най-голямата партия в Европейския парламент може да назначи председател на Европейската комисия.</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48,6 %</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Препоръчваме съставът на Европейската комисия да стане по-прозрачен, съгласно някои основни правила, така че съставът да отразява гласа на гражданите и да знае как е направен подборът.</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88,9 %</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Няма много информация за кандидатите, не знаем много за тях и тяхната програма, както и за политическата част, която те ще представляват в Европейския парламент.</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Предлагаме европейските кандидати да се представят на местно равнище по по-конкретен начин със своите цели и програми по различни канали (съобщение).</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84,2 %</w:t>
            </w:r>
          </w:p>
        </w:tc>
      </w:tr>
    </w:tbl>
    <w:p>
      <w:pPr>
        <w:pStyle w:val="Normal"/>
        <w:rPr/>
      </w:pPr>
      <w:r>
        <w:rPr/>
      </w:r>
    </w:p>
    <w:p>
      <w:pPr>
        <w:pStyle w:val="Normal"/>
        <w:rPr/>
      </w:pPr>
      <w:r>
        <w:rPr/>
        <w:t>5.1.2 Европейски омбудсман</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Проблеми</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Препоръки</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Подкрепена от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Сайтът на езици, различни от английски, включва само информация на английски език на първите две страници. Това създава бариера за гражданите, които не овладяват английски език.</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Предлагаме да поставим информацията на началната страница на езика на всеки гражданин и да публикуваме, ако не е възможно да я преведем, новините на английски на друго място в сайта.</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89,2 %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Омбудсманът не е страна по санкцията и евентуално обезщетение за жалбоподателя</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Предлагаме омбудсманът да бъде част от процеса на намиране и прилагане на решението/санкциите/компенсацията и да има глас по въпроса.</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71,1 %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Крайният срок понякога е много дълъг за валидиране на регистрацията на сайта (поща за валидиране) Понякога отнема 24 часа и демотивира гражданина, който преминава към нещо друго.</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Предлагаме да се въведе система за незабавно валидиране.</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Когато подадем жалба, се задава въпросът: използвали ли сте всички възможни процедури? Гражданите не винаги знаят всички процедури и не могат да отговорят на въпроса.</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Предлагаме да се включи връзка към просто представяне/обяснение на други процедури</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w:t>
            </w:r>
            <w:r>
              <w:rPr/>
              <w:commentReference w:id="17"/>
            </w:r>
            <w:r>
              <w:rPr/>
              <w:t>. Уебсайтът на Омбудсмана е добре направен, но няма ясен европейски имидж, така че това води до въпроси към гражданите (на правилния сайт ли съм аз, правдоподобен ли е той?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Предлагаме да преразгледаме графичната харта на сайта и да я приведем в по-голяма степен в съответствие с тази на ЕС (първи съвет: издигане на европейското знаме в горната част на страницата). При първото „кликване“ трябва да е ясно, че гражданинът е на уебсайта на омбудсмана на институциите.</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78,4 %</w:t>
            </w:r>
          </w:p>
        </w:tc>
      </w:tr>
    </w:tbl>
    <w:p>
      <w:pPr>
        <w:pStyle w:val="Normal"/>
        <w:rPr/>
      </w:pPr>
      <w:r>
        <w:rPr/>
      </w:r>
    </w:p>
    <w:p>
      <w:pPr>
        <w:pStyle w:val="Normal"/>
        <w:rPr/>
      </w:pPr>
      <w:r>
        <w:rPr/>
        <w:t>5.1.3 Обществена консултация</w:t>
      </w:r>
      <w:r>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Проблеми</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Препоръки</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Подкрепена от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Уебсайтът на консултациите е променен и гражданинът се изпраща на първа инстанция на остарял сайт. Трябва да потърсите, за да намерите адреса на новия сайт.</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Предлагаме да изтриете стария сайт и първо да се позовете на новия сайт.</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Пътната карта (английски) и становищата (език на гражданския редактор) на консултацията не се превеждат на езика на гражданина читател.</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Настоятелно препоръчваме пътната карта да бъде преведена на езика на гражданите. Пътната карта на английски език блокира всеки гражданин, който не владее</w:t>
            </w:r>
            <w:commentRangeStart w:id="19"/>
            <w:r>
              <w:rPr/>
              <w:t>английски език</w:t>
            </w:r>
            <w:r>
              <w:rPr/>
            </w:r>
            <w:commentRangeEnd w:id="19"/>
            <w:r>
              <w:commentReference w:id="19"/>
            </w:r>
            <w:r>
              <w:rPr/>
              <w:t xml:space="preserve"> в своето участие.</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2.2. Предлагаме да поставите таб/икон „автоматизиран превод“ при всеки преглед, който се свързва с двигател за превод с отворен код като </w:t>
            </w:r>
            <w:commentRangeStart w:id="20"/>
            <w:r>
              <w:rPr/>
              <w:t>Google Translate или DeepL.</w:t>
            </w:r>
            <w:commentRangeEnd w:id="20"/>
            <w:r>
              <w:commentReference w:id="20"/>
            </w:r>
            <w:r>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65,8 %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Трябва да се абонирате за последващи действия във връзка с консултацията</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Предлагаме автоматично проследяване на процеса на всеки, който е реагирал, с възможност за отписване.</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Не знаем дали броят на мненията в определен смисъл влияе на комисията или дали подобни становища се приемат като едно мнение (коефициент или не). Ако броят на мненията в известен смисъл е от значение, ние сме загрижени за тежестта на лобистите/активистите/големите дружества в консултациите и de facto за действията, предприети от ЕС по отношение на гражданите и асоциативния свят.</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Препоръчваме да предоставите ясна информация на сайта за това.</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Ако броят на мненията в една посока има въздействие, препоръчваме да се създаде система, способна да филтрира лобисти/активисти/големи компании и т.н., така че да не им придава непропорционална тежест.</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60,5 %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Препоръчваме да създадете софтуер за изкуствен интелект, който класира различни отзиви и брои противоположни или благоприятни отзиви.</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4.4. Предлагаме да се организират релета между гражданите и сдруженията (военните): да има места, където гражданите биха могли да дойдат и да дадат своето мнение под формата на „Домове на Европа“, които биха могли да спомогнат за разпространението на мненията на гражданите на европейско равнище. Тези места следва да бъдат разположени на различни места, на местно равнище, и да бъдат преместени.</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62,2 %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Формулярът за известие не е ясен: има отворен въпрос и въпросник. Каква е ролята на всеки документ, какво трябва да бъде попълнено?</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Изяснете тази информация на сайта.</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Има твърде много нива на умения, когато става въпрос за инструменти</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 Предлагаме да се създаде диспечерски център, който ще позволи исканията да бъдат насочени към компетентното ниво на власт.</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78,9 %</w:t>
            </w:r>
          </w:p>
        </w:tc>
      </w:tr>
    </w:tbl>
    <w:p>
      <w:pPr>
        <w:pStyle w:val="Normal"/>
        <w:rPr/>
      </w:pPr>
      <w:r>
        <w:rPr/>
      </w:r>
    </w:p>
    <w:p>
      <w:pPr>
        <w:pStyle w:val="Normal"/>
        <w:rPr/>
      </w:pPr>
      <w:r>
        <w:rPr/>
        <w:t>5.1.4 Европейска гражданска инициатива</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Проблеми</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Препоръки</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Подкрепена от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Достъпът до гражданите, които нямат интернет, е по-труден.</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Предлагаме местните власти или библиотеки, които са независими от правителството, да участват в разпространението на тази инициатива и в събирането на подписи. Както по електронен път, така и на хартия. ЕС следва да направи преглед на тази мрежа по държави и да я предостави на инициаторите.</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Броят на държавите, които трябва да участват, е твърде малък, за да получи достатъчна подкрепа.</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Предлагаме да се увеличи броят на страните, от които се събират подписи, до 13 държави, за да се получи по-голяма подкрепа за предложението. Броят на подписите трябва да се спазва пропорционално на броя на жителите.</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Разходите и усилията за събиране на подписи са високи</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Предлагаме да има финансиране от ЕС в подкрепа на тези инициативи.</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Предлагаме да се създаде орган, който да улеснява координацията между различните държави.</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Процедурата е сложна за гражданите.</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Предлагаме да се създаде бюро за помощ, което да помогне на гражданите да завършат процеса.</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Резултатът от гражданската инициатива е неясен.</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Предлагаме да се задължи Европейската комисия да обсъжда и работи по последващите действия във връзка с предложението, а не просто да отговаря и потвърждава получаването. Ако Комисията реши да не предприема действия по предложението, тя трябва да го обоснове.</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5.2 Предлагаме да се организира консултация с гражданите при получаване на европейска гражданска инициатива, за да се поиска становището им по нея, преди комисията да я наблюдава. По този начин ще се избегне наличието само на крайни мнения/гласове за инициативата и на мнението на хора, които не са подписали. Освен това, ако всички граждани дадат своето мнение, предложението ще има по-голяма тежест на равнище ЕС и неговите последващи действия.</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55,3 %</w:t>
            </w:r>
          </w:p>
        </w:tc>
      </w:tr>
    </w:tbl>
    <w:p>
      <w:pPr>
        <w:pStyle w:val="Normal"/>
        <w:rPr/>
      </w:pPr>
      <w:r>
        <w:rPr/>
      </w:r>
    </w:p>
    <w:p>
      <w:pPr>
        <w:pStyle w:val="Normal"/>
        <w:rPr/>
      </w:pPr>
      <w:r>
        <w:rPr/>
        <w:t>5.1.5 Право на петиция</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Проблеми</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Препоръки</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Подкрепена от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Европейската комисия има окончателното решение, няма сигурност за резултата</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Предлагаме препоръката на Европейския парламент да бъде следвана от комисията.</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Има малко прозрачност по отношение на процеса и мотивацията на решението.</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Предлагаме лицето, което внася петицията, да бъде информирано редовно за напредъка и решенията. Окончателното заключение също трябва да бъде мотивирано.</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За гражданите е трудно да докажат необходимостта от ново законодателство.</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Нашата препоръка е петицията да се използва и като инструмент за доказване на необходимостта от ново законодателство.</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78,4 %</w:t>
            </w:r>
          </w:p>
        </w:tc>
      </w:tr>
    </w:tbl>
    <w:p>
      <w:pPr>
        <w:pStyle w:val="Normal"/>
        <w:rPr/>
      </w:pPr>
      <w:r>
        <w:rPr/>
      </w:r>
    </w:p>
    <w:p>
      <w:pPr>
        <w:pStyle w:val="Normal"/>
        <w:rPr/>
      </w:pPr>
      <w:r>
        <w:rPr/>
      </w:r>
    </w:p>
    <w:p>
      <w:pPr>
        <w:pStyle w:val="Normal"/>
        <w:rPr/>
      </w:pPr>
      <w:r>
        <w:rPr/>
      </w:r>
      <w:r>
        <w:br w:type="page"/>
      </w:r>
    </w:p>
    <w:p>
      <w:pPr>
        <w:pStyle w:val="Titre1"/>
        <w:numPr>
          <w:ilvl w:val="0"/>
          <w:numId w:val="2"/>
        </w:numPr>
        <w:rPr/>
      </w:pPr>
      <w:bookmarkStart w:id="206" w:name="__RefHeading___Toc297349_1346298689"/>
      <w:bookmarkEnd w:id="206"/>
      <w:r>
        <w:rPr/>
        <w:t>II Б Национални комитети: Франция</w:t>
      </w:r>
    </w:p>
    <w:p>
      <w:pPr>
        <w:pStyle w:val="Normal"/>
        <w:spacing w:before="15880" w:after="57"/>
        <w:rPr/>
      </w:pPr>
      <w:r>
        <w:rPr/>
        <mc:AlternateContent>
          <mc:Choice Requires="wps">
            <w:drawing>
              <wp:anchor behindDoc="0" distT="72390" distB="72390" distL="72390" distR="72390" simplePos="0" locked="0" layoutInCell="1" allowOverlap="1" relativeHeight="39">
                <wp:simplePos x="0" y="0"/>
                <wp:positionH relativeFrom="column">
                  <wp:posOffset>914400</wp:posOffset>
                </wp:positionH>
                <wp:positionV relativeFrom="paragraph">
                  <wp:posOffset>5288280</wp:posOffset>
                </wp:positionV>
                <wp:extent cx="4782820" cy="1020445"/>
                <wp:effectExtent l="0" t="0" r="0" b="0"/>
                <wp:wrapTopAndBottom/>
                <wp:docPr id="75" name="Рамка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color w:val="FFFFFF"/>
                              </w:rPr>
                            </w:pPr>
                            <w:r>
                              <w:rPr/>
                              <w:t xml:space="preserve">Настоящият документ представлява резюме на доклада „Приносът на гражданите към Конференцията за бъдещето на Европа“, организиран от Франция. Пълната версия на доклада на френски език е достъпна на следния адрес: </w:t>
                            </w:r>
                          </w:p>
                          <w:p>
                            <w:pPr>
                              <w:pStyle w:val="Contenudecadre"/>
                              <w:spacing w:before="57" w:after="57"/>
                              <w:rPr/>
                            </w:pPr>
                            <w:hyperlink r:id="rId85">
                              <w:r>
                                <w:rPr>
                                  <w:rStyle w:val="LienInternet"/>
                                </w:rPr>
                                <w:t>https://participation-citoyenne.gouv.fr/sites/default/files/2021-11/20211126%20-%20COFE%20-%20Rapport%20final.pdf</w:t>
                              </w:r>
                            </w:hyperlink>
                            <w:r>
                              <w:rPr>
                                <w:color w:val="FFFFFF"/>
                              </w:rPr>
                              <w:t xml:space="preserve"> </w:t>
                            </w:r>
                          </w:p>
                        </w:txbxContent>
                      </wps:txbx>
                      <wps:bodyPr lIns="54000" rIns="54000" tIns="54000" bIns="54000">
                        <a:noAutofit/>
                      </wps:bodyPr>
                    </wps:wsp>
                  </a:graphicData>
                </a:graphic>
              </wp:anchor>
            </w:drawing>
          </mc:Choice>
          <mc:Fallback>
            <w:pict>
              <v:rect id="shape_0" ID="Рамка14" fillcolor="#eeeeee" stroked="f" style="position:absolute;margin-left:72pt;margin-top:416.4pt;width:376.5pt;height:80.25pt">
                <w10:wrap type="square"/>
                <v:fill o:detectmouseclick="t" type="solid" color2="#111111" opacity="0.5"/>
                <v:stroke color="#3465a4" joinstyle="round" endcap="flat"/>
                <v:textbox>
                  <w:txbxContent>
                    <w:p>
                      <w:pPr>
                        <w:pStyle w:val="P68B1DB1Contenudecadre22"/>
                        <w:spacing w:before="57" w:after="57"/>
                        <w:rPr>
                          <w:color w:val="FFFFFF"/>
                        </w:rPr>
                      </w:pPr>
                      <w:r>
                        <w:rPr/>
                        <w:t xml:space="preserve">Настоящият документ представлява резюме на доклада „Приносът на гражданите към Конференцията за бъдещето на Европа“, организиран от Франция. Пълната версия на доклада на френски език е достъпна на следния адрес: </w:t>
                      </w:r>
                    </w:p>
                    <w:p>
                      <w:pPr>
                        <w:pStyle w:val="Contenudecadre"/>
                        <w:spacing w:before="57" w:after="57"/>
                        <w:rPr/>
                      </w:pPr>
                      <w:hyperlink r:id="rId86">
                        <w:r>
                          <w:rPr>
                            <w:rStyle w:val="LienInternet"/>
                          </w:rPr>
                          <w:t>https://participation-citoyenne.gouv.fr/sites/default/files/2021-11/20211126%20-%20COFE%20-%20Rapport%20final.pdf</w:t>
                        </w:r>
                      </w:hyperlink>
                      <w:r>
                        <w:rPr>
                          <w:color w:val="FFFFFF"/>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Снимка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Снимка 33" descr=""/>
                    <pic:cNvPicPr>
                      <a:picLocks noChangeAspect="1" noChangeArrowheads="1"/>
                    </pic:cNvPicPr>
                  </pic:nvPicPr>
                  <pic:blipFill>
                    <a:blip r:embed="rId87"/>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5186680</wp:posOffset>
            </wp:positionH>
            <wp:positionV relativeFrom="paragraph">
              <wp:posOffset>6484620</wp:posOffset>
            </wp:positionV>
            <wp:extent cx="838200" cy="485775"/>
            <wp:effectExtent l="0" t="0" r="0" b="0"/>
            <wp:wrapSquare wrapText="largest"/>
            <wp:docPr id="78" name="Снимка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Снимка 38" descr=""/>
                    <pic:cNvPicPr>
                      <a:picLocks noChangeAspect="1" noChangeArrowheads="1"/>
                    </pic:cNvPicPr>
                  </pic:nvPicPr>
                  <pic:blipFill>
                    <a:blip r:embed="rId88"/>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36">
            <wp:simplePos x="0" y="0"/>
            <wp:positionH relativeFrom="column">
              <wp:posOffset>3897630</wp:posOffset>
            </wp:positionH>
            <wp:positionV relativeFrom="paragraph">
              <wp:posOffset>6478270</wp:posOffset>
            </wp:positionV>
            <wp:extent cx="1212850" cy="419100"/>
            <wp:effectExtent l="0" t="0" r="0" b="0"/>
            <wp:wrapSquare wrapText="largest"/>
            <wp:docPr id="79" name="Снимка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Снимка 37" descr=""/>
                    <pic:cNvPicPr>
                      <a:picLocks noChangeAspect="1" noChangeArrowheads="1"/>
                    </pic:cNvPicPr>
                  </pic:nvPicPr>
                  <pic:blipFill>
                    <a:blip r:embed="rId89"/>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80" name="Снимка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Снимка 36" descr=""/>
                    <pic:cNvPicPr>
                      <a:picLocks noChangeAspect="1" noChangeArrowheads="1"/>
                    </pic:cNvPicPr>
                  </pic:nvPicPr>
                  <pic:blipFill>
                    <a:blip r:embed="rId90"/>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1290955</wp:posOffset>
            </wp:positionH>
            <wp:positionV relativeFrom="paragraph">
              <wp:posOffset>6459220</wp:posOffset>
            </wp:positionV>
            <wp:extent cx="1554480" cy="240030"/>
            <wp:effectExtent l="0" t="0" r="0" b="0"/>
            <wp:wrapSquare wrapText="largest"/>
            <wp:docPr id="81" name="Снимка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Снимка 34" descr=""/>
                    <pic:cNvPicPr>
                      <a:picLocks noChangeAspect="1" noChangeArrowheads="1"/>
                    </pic:cNvPicPr>
                  </pic:nvPicPr>
                  <pic:blipFill>
                    <a:blip r:embed="rId91"/>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55">
            <wp:simplePos x="0" y="0"/>
            <wp:positionH relativeFrom="column">
              <wp:posOffset>-47625</wp:posOffset>
            </wp:positionH>
            <wp:positionV relativeFrom="paragraph">
              <wp:posOffset>6496050</wp:posOffset>
            </wp:positionV>
            <wp:extent cx="1281430" cy="614680"/>
            <wp:effectExtent l="0" t="0" r="0" b="0"/>
            <wp:wrapSquare wrapText="largest"/>
            <wp:docPr id="82" name="Снимка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Снимка 35" descr=""/>
                    <pic:cNvPicPr>
                      <a:picLocks noChangeAspect="1" noChangeArrowheads="1"/>
                    </pic:cNvPicPr>
                  </pic:nvPicPr>
                  <pic:blipFill>
                    <a:blip r:embed="rId92"/>
                    <a:stretch>
                      <a:fillRect/>
                    </a:stretch>
                  </pic:blipFill>
                  <pic:spPr bwMode="auto">
                    <a:xfrm>
                      <a:off x="0" y="0"/>
                      <a:ext cx="1281430" cy="614680"/>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rPr>
      </w:pPr>
      <w:r>
        <w:rPr>
          <w:rFonts w:ascii="Times New Roman" w:hAnsi="Times New Roman"/>
          <w:color w:val="000000"/>
          <w:sz w:val="24"/>
        </w:rPr>
      </w:r>
      <w:r>
        <w:br w:type="page"/>
      </w:r>
    </w:p>
    <w:sdt>
      <w:sdtPr>
        <w:docPartObj>
          <w:docPartGallery w:val="Table of Contents"/>
          <w:docPartUnique w:val="true"/>
        </w:docPartObj>
      </w:sdtPr>
      <w:sdtContent>
        <w:p>
          <w:pPr>
            <w:pStyle w:val="TOAHeading"/>
            <w:suppressLineNumbers/>
            <w:ind w:left="0" w:right="0" w:hanging="0"/>
            <w:rPr/>
          </w:pPr>
          <w:r>
            <w:rPr/>
            <w:t>Резюме</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rPr>
              <w:t>II B Panels nationaux : France</w:t>
              <w:tab/>
              <w:t>192</w:t>
            </w:r>
          </w:hyperlink>
        </w:p>
        <w:p>
          <w:pPr>
            <w:pStyle w:val="Tabledesmatiresniveau2"/>
            <w:tabs>
              <w:tab w:val="right" w:pos="9638" w:leader="dot"/>
            </w:tabs>
            <w:rPr/>
          </w:pPr>
          <w:hyperlink w:anchor="__RefHeading___Toc300448_1346298689">
            <w:r>
              <w:rPr>
                <w:rStyle w:val="Sautdindex"/>
              </w:rPr>
              <w:t>Introduction</w:t>
              <w:tab/>
              <w:t>194</w:t>
            </w:r>
          </w:hyperlink>
        </w:p>
        <w:p>
          <w:pPr>
            <w:pStyle w:val="Tabledesmatiresniveau2"/>
            <w:tabs>
              <w:tab w:val="right" w:pos="9638" w:leader="dot"/>
            </w:tabs>
            <w:rPr/>
          </w:pPr>
          <w:hyperlink w:anchor="__RefHeading___Toc300450_1346298689">
            <w:r>
              <w:rPr>
                <w:rStyle w:val="Sautdindex"/>
              </w:rPr>
              <w:t>Présentation des principaux résultats</w:t>
              <w:tab/>
              <w:t>197</w:t>
            </w:r>
          </w:hyperlink>
        </w:p>
        <w:p>
          <w:pPr>
            <w:pStyle w:val="Tabledesmatiresniveau2"/>
            <w:tabs>
              <w:tab w:val="right" w:pos="9638" w:leader="dot"/>
            </w:tabs>
            <w:rPr/>
          </w:pPr>
          <w:hyperlink w:anchor="__RefHeading___Toc300452_1346298689">
            <w:r>
              <w:rPr>
                <w:rStyle w:val="Sautdindex"/>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rPr>
              <w:t>Engagements et partis pris méthodologiques</w:t>
              <w:tab/>
              <w:t>201</w:t>
            </w:r>
          </w:hyperlink>
        </w:p>
        <w:p>
          <w:pPr>
            <w:pStyle w:val="Tabledesmatiresniveau2"/>
            <w:tabs>
              <w:tab w:val="right" w:pos="9638" w:leader="dot"/>
            </w:tabs>
            <w:rPr/>
          </w:pPr>
          <w:hyperlink w:anchor="__RefHeading___Toc300456_1346298689">
            <w:r>
              <w:rPr>
                <w:rStyle w:val="Sautdindex"/>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rPr>
              <w:t>Conclusion</w:t>
              <w:tab/>
              <w:t>221</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r>
        <w:br w:type="page"/>
      </w:r>
    </w:p>
    <w:p>
      <w:pPr>
        <w:pStyle w:val="Titre2"/>
        <w:numPr>
          <w:ilvl w:val="1"/>
          <w:numId w:val="2"/>
        </w:numPr>
        <w:rPr/>
      </w:pPr>
      <w:bookmarkStart w:id="207" w:name="__RefHeading___Toc300448_1346298689"/>
      <w:bookmarkEnd w:id="207"/>
      <w:r>
        <w:rPr/>
        <w:t xml:space="preserve">Въведение </w:t>
      </w:r>
    </w:p>
    <w:p>
      <w:pPr>
        <w:pStyle w:val="P68B1DB1Normal19"/>
        <w:widowControl w:val="false"/>
        <w:spacing w:lineRule="auto" w:line="240" w:before="156" w:after="0"/>
        <w:ind w:left="0" w:right="0" w:hanging="0"/>
        <w:jc w:val="both"/>
        <w:rPr/>
      </w:pPr>
      <w:r>
        <w:rPr/>
        <w:t xml:space="preserve">Конференцията за бъдещето на Европа е безпрецедентно гражданско участие за консултации с гражданите на 27-те държави — членки на Европейския съюз, за да бъдат поставени в центъра на решенията, които ще бъдат взети в продължение на години и десетилетия. Ето защо гражданите на ЕС се приканват да изразят мнението си, като предложат промени и конкретни начини за действие, които ще позволят на Европа да постави нова амбиция и да отговори на глобалните предизвикателства, пред които е изправена днес. </w:t>
      </w:r>
    </w:p>
    <w:p>
      <w:pPr>
        <w:pStyle w:val="P68B1DB1Normal19"/>
        <w:widowControl w:val="false"/>
        <w:spacing w:lineRule="auto" w:line="240" w:before="156" w:after="0"/>
        <w:ind w:left="0" w:right="0" w:hanging="0"/>
        <w:jc w:val="both"/>
        <w:rPr/>
      </w:pPr>
      <w:r>
        <w:rPr/>
        <w:t xml:space="preserve">Френското правителство подкрепя инициативите на тройката председателства на Конференцията за бъдещето на Европа, по-специално като насърчава гражданите си да дадат значителен принос към онлайн платформата и да организират прояви в цялата страна. </w:t>
      </w:r>
    </w:p>
    <w:p>
      <w:pPr>
        <w:pStyle w:val="P68B1DB1Normal19"/>
        <w:widowControl w:val="false"/>
        <w:spacing w:lineRule="auto" w:line="240" w:before="156" w:after="0"/>
        <w:ind w:left="0" w:right="0" w:hanging="0"/>
        <w:jc w:val="left"/>
        <w:rPr/>
      </w:pPr>
      <w:r>
        <w:rPr/>
        <w:t xml:space="preserve">Успоредно с тези европейски инициативи правителството пожела да проведе инициатива за участие на национално равнище. </w:t>
      </w:r>
    </w:p>
    <w:p>
      <w:pPr>
        <w:pStyle w:val="P68B1DB1Normal19"/>
        <w:widowControl w:val="false"/>
        <w:spacing w:lineRule="auto" w:line="240" w:before="156" w:after="0"/>
        <w:ind w:left="0" w:right="0" w:hanging="0"/>
        <w:jc w:val="both"/>
        <w:rPr/>
      </w:pPr>
      <w:r>
        <w:rPr/>
        <w:t xml:space="preserve">С подкрепата на Министерството на отношенията с парламента и участието на гражданите (MRPCC) и експертния опит на Междуведомствения център за гражданско участие (ICPC), Министерството на Европа и външните работи (MEAE) организира гражданско упражнение, основано на силни методологични пристрастия (вж. по-долу „Методически ангажименти и предубеждения“). MEAE се позовава на консорциум от доставчици, състоящ се от Roland Berger, Wavestone, Missions Publiques и Harris Interactive. Регионалните префектури най-накрая изиграха ключова роля в организирането на 18-те конференции в цялата страна. </w:t>
      </w:r>
    </w:p>
    <w:p>
      <w:pPr>
        <w:pStyle w:val="P68B1DB1Normal19"/>
        <w:widowControl w:val="false"/>
        <w:spacing w:lineRule="auto" w:line="240" w:before="156" w:after="0"/>
        <w:ind w:left="0" w:right="0" w:hanging="0"/>
        <w:jc w:val="both"/>
        <w:rPr/>
      </w:pPr>
      <w:r>
        <w:rPr/>
        <w:t xml:space="preserve">В рамките на тази консултация към участниците беше зададен един-единствен въпрос: </w:t>
      </w:r>
      <w:r>
        <w:rPr>
          <w:b/>
          <w:i/>
        </w:rPr>
        <w:t>Като френски граждани, какви промени искате за Европа?</w:t>
      </w:r>
      <w:r>
        <w:rPr/>
        <w:t xml:space="preserve"> (Вж. приложение IV „Мандат за участие“). </w:t>
      </w:r>
    </w:p>
    <w:p>
      <w:pPr>
        <w:pStyle w:val="P68B1DB1Normal19"/>
        <w:widowControl w:val="false"/>
        <w:spacing w:lineRule="auto" w:line="240" w:before="156" w:after="0"/>
        <w:ind w:left="0" w:right="0" w:hanging="0"/>
        <w:jc w:val="both"/>
        <w:rPr/>
      </w:pPr>
      <w:r>
        <w:rPr/>
        <w:t xml:space="preserve">Това национално учение беше под формата на 18 регионални конференции в 13-те метрополни региона и петте френски ултраморски региона, които се проведоха в рамките на три уикенда през септември и октомври 2021 г. и всяка от тях събра между 30 и 50 граждани, избрани чрез жребий (746 общо). След това обобщението на тези 18 регионални панела беше проведено на национална конференция, проведена от 15 до 17 октомври 2021 г. в Икономическия, социален и екологичен съвет (ЕИСК в Париж), която събра 98 доброволни граждани сред участниците в регионалните конференции. </w:t>
      </w:r>
    </w:p>
    <w:p>
      <w:pPr>
        <w:pStyle w:val="P68B1DB1Normal19"/>
        <w:widowControl w:val="false"/>
        <w:spacing w:lineRule="auto" w:line="240" w:before="156" w:after="0"/>
        <w:ind w:left="0" w:right="0" w:hanging="0"/>
        <w:jc w:val="both"/>
        <w:rPr/>
      </w:pPr>
      <w:r>
        <w:rPr/>
        <w:t xml:space="preserve">Освен това и за да се подчертаят думите на младите французи преди Европейската година на младежта през 2022 г., Министерството на Европа и външните работи организира онлайн консултация под </w:t>
      </w:r>
      <w:r>
        <w:rPr>
          <w:i/>
        </w:rPr>
        <w:t>надслов „Говори за младежта“</w:t>
      </w:r>
      <w:r>
        <w:rPr/>
        <w:t xml:space="preserve">в партньорство с Make.org. Повече от 50 000 млади хора на възраст от 15 до 35 години изразиха своите идеи и приоритети за Европа през 2035 г. </w:t>
      </w:r>
    </w:p>
    <w:p>
      <w:pPr>
        <w:pStyle w:val="P68B1DB1Normal19"/>
        <w:widowControl w:val="false"/>
        <w:spacing w:lineRule="auto" w:line="240" w:before="156" w:after="0"/>
        <w:ind w:left="0" w:right="0" w:hanging="0"/>
        <w:jc w:val="left"/>
        <w:rPr>
          <w:rFonts w:ascii="Times New Roman" w:hAnsi="Times New Roman"/>
          <w:color w:val="000000"/>
          <w:sz w:val="24"/>
        </w:rPr>
      </w:pPr>
      <w:r>
        <w:rPr/>
        <w:t xml:space="preserve">Настоящият доклад представя основните резултати от двете консултации, проведени от правителството. </w:t>
      </w:r>
    </w:p>
    <w:p>
      <w:pPr>
        <w:pStyle w:val="Normal"/>
        <w:widowControl w:val="false"/>
        <w:spacing w:lineRule="auto" w:line="240" w:before="156" w:after="0"/>
        <w:ind w:left="0" w:right="0" w:hanging="0"/>
        <w:jc w:val="left"/>
        <w:rPr>
          <w:rFonts w:ascii="Times New Roman" w:hAnsi="Times New Roman"/>
          <w:color w:val="000000"/>
          <w:sz w:val="24"/>
        </w:rPr>
      </w:pPr>
      <w:r>
        <w:rPr>
          <w:rFonts w:ascii="Times New Roman" w:hAnsi="Times New Roman"/>
          <w:color w:val="000000"/>
          <w:sz w:val="24"/>
        </w:rPr>
      </w:r>
    </w:p>
    <w:p>
      <w:pPr>
        <w:pStyle w:val="P68B1DB1Normal23"/>
        <w:widowControl w:val="false"/>
        <w:spacing w:lineRule="auto" w:line="240" w:before="156" w:after="0"/>
        <w:ind w:left="0" w:right="0" w:hanging="0"/>
        <w:jc w:val="left"/>
        <w:rPr>
          <w:rFonts w:ascii="Times New Roman" w:hAnsi="Times New Roman"/>
          <w:color w:val="000000"/>
          <w:sz w:val="24"/>
          <w:u w:val="single"/>
        </w:rPr>
      </w:pPr>
      <w:r>
        <w:rPr/>
        <w:t xml:space="preserve">Методология на консултацията </w:t>
      </w:r>
    </w:p>
    <w:p>
      <w:pPr>
        <w:pStyle w:val="P68B1DB1Normal19"/>
        <w:widowControl w:val="false"/>
        <w:spacing w:lineRule="auto" w:line="240" w:before="156" w:after="0"/>
        <w:ind w:left="0" w:right="0" w:hanging="0"/>
        <w:jc w:val="both"/>
        <w:rPr/>
      </w:pPr>
      <w:r>
        <w:rPr/>
        <w:t xml:space="preserve">Набирането на граждани, участващи в регионални конференции, комбинира случаен подбор на участниците чрез произволно теглене на техните телефонни номера и целенасочена селекция от профили, за да се достигне до панел като представителен за разнообразието на всяка територия. </w:t>
      </w:r>
    </w:p>
    <w:p>
      <w:pPr>
        <w:pStyle w:val="P68B1DB1Normal19"/>
        <w:widowControl w:val="false"/>
        <w:spacing w:lineRule="auto" w:line="240" w:before="156" w:after="0"/>
        <w:ind w:left="0" w:right="0" w:hanging="0"/>
        <w:jc w:val="both"/>
        <w:rPr/>
      </w:pPr>
      <w:r>
        <w:rPr/>
        <w:t xml:space="preserve">По време на регионалните панели участниците се изказаха чрез редуване на работното време в групи за всяка маса от 6 до 8 граждани, придружена от посредник и време на представяне в пленарна зала. По време на времето за размисъл присъстваха експерти, за да отговорят на въпросите на гражданите и да хвърлят светлина, като същевременно поддържат позиция на неутралност. </w:t>
      </w:r>
    </w:p>
    <w:p>
      <w:pPr>
        <w:pStyle w:val="P68B1DB1Normal19"/>
        <w:widowControl w:val="false"/>
        <w:spacing w:lineRule="auto" w:line="240" w:before="156" w:after="0"/>
        <w:ind w:left="0" w:right="0" w:hanging="0"/>
        <w:jc w:val="both"/>
        <w:rPr/>
      </w:pPr>
      <w:r>
        <w:rPr/>
        <w:t xml:space="preserve">Гражданите първо бяха поканени да обсъдят сегашното си възприятие за Европа. След това те изразиха своите </w:t>
      </w:r>
      <w:r>
        <w:rPr>
          <w:b/>
        </w:rPr>
        <w:t>желания за Европа от 2035 г.</w:t>
      </w:r>
      <w:r>
        <w:rPr/>
        <w:t xml:space="preserve">, като група, а след това в пленарна зала. Тези обсъждания позволиха да се установят между 3 и 8 желания за всеки регион. За всяко от тези желания гражданите формулираха </w:t>
      </w:r>
      <w:r>
        <w:rPr>
          <w:b/>
        </w:rPr>
        <w:t>промените</w:t>
      </w:r>
      <w:r>
        <w:rPr/>
        <w:t xml:space="preserve">, които сметнаха за необходими, за да достигнат желаната Европа, и след това ги илюстрираха с конкретни предложения, които да бъдат приложени. Този процес доведе до общо 515 промени и 1 301 конкретни предложения на национално равнище. </w:t>
      </w:r>
    </w:p>
    <w:p>
      <w:pPr>
        <w:pStyle w:val="P68B1DB1Normal19"/>
        <w:widowControl w:val="false"/>
        <w:spacing w:lineRule="auto" w:line="240" w:before="156" w:after="0"/>
        <w:ind w:left="0" w:right="0" w:hanging="0"/>
        <w:jc w:val="left"/>
        <w:rPr/>
      </w:pPr>
      <w:r>
        <w:rPr/>
        <w:t xml:space="preserve">Всяка регионална конференция доведе до изготвянето на регионален обобщаващ доклад, представен на всички участници преди националната конференция. </w:t>
      </w:r>
    </w:p>
    <w:p>
      <w:pPr>
        <w:pStyle w:val="P68B1DB1Normal19"/>
        <w:widowControl w:val="false"/>
        <w:spacing w:lineRule="auto" w:line="240" w:before="156" w:after="0"/>
        <w:ind w:left="0" w:right="0" w:hanging="0"/>
        <w:jc w:val="both"/>
        <w:rPr/>
      </w:pPr>
      <w:r>
        <w:rPr/>
        <w:t xml:space="preserve">Националната обобщаваща конференция събра 98 произволно избрани граждани сред участниците в 18-те регионални конференции. За да се гарантира многообразието на националния панел, шестима граждани бяха привлечени чрез жребий сред доброволците на регионалните конференции в метрополна Франция и Реюнион и 4 граждани за ултрамаринни конференции, като се зачита равенството и разнообразието от възрасти във всяко регионално жребие (вж. приложение II). </w:t>
      </w:r>
    </w:p>
    <w:p>
      <w:pPr>
        <w:pStyle w:val="Normal"/>
        <w:widowControl w:val="false"/>
        <w:spacing w:lineRule="auto" w:line="240" w:before="156" w:after="0"/>
        <w:ind w:left="0" w:right="0" w:hanging="0"/>
        <w:jc w:val="both"/>
        <w:rPr/>
      </w:pPr>
      <w:r>
        <w:rPr>
          <w:rFonts w:ascii="Times New Roman" w:hAnsi="Times New Roman"/>
          <w:color w:val="000000"/>
          <w:sz w:val="24"/>
        </w:rPr>
        <w:t>При подготовката за националната конференция 515-те промени, установени на регионалните конференции, бяха анализирани и съгласувани, когато основното им намерение изглеждаше подобно или близко, така че да представляват 14 групи</w:t>
      </w:r>
      <w:r>
        <w:rPr>
          <w:rFonts w:ascii="Times New Roman" w:hAnsi="Times New Roman"/>
          <w:b/>
          <w:color w:val="000000"/>
          <w:sz w:val="24"/>
        </w:rPr>
        <w:t xml:space="preserve"> </w:t>
      </w:r>
      <w:r>
        <w:rPr>
          <w:rFonts w:ascii="Times New Roman" w:hAnsi="Times New Roman"/>
          <w:color w:val="000000"/>
          <w:sz w:val="24"/>
        </w:rPr>
        <w:t>промени, отразяващи общо желание за Европа (вж. част 6). Тези 14 европейски пожелания послужиха като основа за работата на 98-те участници в националната конференция, чиято мисия беше да обогатят работата, извършвана в регионите, и да се противопоставят на желанията на Европа, промените и предложенията с помощта на двадесет експерти, за да се стигне до списък с приоритетни промени. Всяка група най-накрая избра 3 ключови промени, първата от</w:t>
      </w:r>
      <w:r>
        <w:rPr>
          <w:rFonts w:ascii="Times New Roman" w:hAnsi="Times New Roman"/>
          <w:b/>
          <w:color w:val="000000"/>
          <w:sz w:val="24"/>
        </w:rPr>
        <w:t xml:space="preserve"> </w:t>
      </w:r>
      <w:r>
        <w:rPr>
          <w:rFonts w:ascii="Times New Roman" w:hAnsi="Times New Roman"/>
          <w:color w:val="000000"/>
          <w:sz w:val="24"/>
        </w:rPr>
        <w:t xml:space="preserve">които беше гласувана от всички 98 граждани, като се установи окончателно класиране на 14-те приоритетни промени. Обобщаващият доклад консолидира цялата работа на тази конференция. </w:t>
      </w:r>
      <w:r>
        <w:br w:type="page"/>
      </w:r>
    </w:p>
    <w:p>
      <w:pPr>
        <w:pStyle w:val="P68B1DB1Normal19"/>
        <w:spacing w:lineRule="auto" w:line="240" w:before="156" w:after="0"/>
        <w:ind w:left="0" w:right="0" w:hanging="0"/>
        <w:rPr/>
      </w:pPr>
      <w:r>
        <w:rPr/>
        <w:t xml:space="preserve">Онлайн консултацията „Parole aux Jeunes“, проведена в партньорство с Make.org, се проведе от май до юли 2021 г. Повече от 50 000 участници взеха участие и внесоха близо 3000 предложения за Европа. Въз основа на всички реакции на младите граждани бяха идентифицирани 35 основни идеи, 22 от които бяха широко признати, а 13 бяха обект на противоречия сред участниците (вж. част 11). </w:t>
      </w:r>
    </w:p>
    <w:p>
      <w:pPr>
        <w:pStyle w:val="P68B1DB1Normal19"/>
        <w:widowControl w:val="false"/>
        <w:spacing w:lineRule="auto" w:line="240" w:before="156" w:after="0"/>
        <w:ind w:left="0" w:right="0" w:hanging="0"/>
        <w:jc w:val="left"/>
        <w:rPr/>
      </w:pPr>
      <w:r>
        <w:rPr>
          <w:u w:val="single"/>
        </w:rPr>
        <w:t>Изходна точка и дежурство незабавно</w:t>
      </w:r>
      <w:r>
        <w:rPr/>
        <w:t xml:space="preserve"> </w:t>
      </w:r>
    </w:p>
    <w:p>
      <w:pPr>
        <w:pStyle w:val="P68B1DB1Normal19"/>
        <w:widowControl w:val="false"/>
        <w:spacing w:lineRule="auto" w:line="240" w:before="156" w:after="0"/>
        <w:ind w:left="0" w:right="0" w:hanging="0"/>
        <w:jc w:val="both"/>
        <w:rPr/>
      </w:pPr>
      <w:r>
        <w:rPr/>
        <w:t xml:space="preserve">Настоящият доклад ще бъде представен на правителството от гражданите на 29 ноември 2021 г. в присъствието на френски избрани членове на Пленарната асамблея на Конференцията за бъдещето на Европа. Той ще бъде представен на тройката председателства на Конференцията по време на френското председателство на Съвета на Европейския съюз (PFUE). </w:t>
      </w:r>
    </w:p>
    <w:p>
      <w:pPr>
        <w:pStyle w:val="P68B1DB1Normal19"/>
        <w:widowControl w:val="false"/>
        <w:spacing w:lineRule="auto" w:line="240" w:before="156" w:after="0"/>
        <w:ind w:left="0" w:right="0" w:hanging="0"/>
        <w:jc w:val="both"/>
        <w:rPr/>
      </w:pPr>
      <w:r>
        <w:rPr/>
        <w:t xml:space="preserve">В края на Националната конференция за обобщаване в ЕИСК и с цел да се отговори на високите очаквания на гражданите, изразени чрез жребий, беше създаден Комитет за наблюдение на гражданите, който включваше правото на проследяване на участниците. Тази комисия, съставена от 15 членове — 14 представители на регионални конференции и представител на консултацията „Parole aux Jeunes“, ще има за задача да информира гражданите за бъдещето на техните предложения. На всяко заседание на Пленарната асамблея на Конференцията един или един от членовете на Комитета за наблюдение ще участва като представител на френското учение, за да подчертае предложенията, изложени в настоящия доклад, като същевременно се изгради обща позиция с всички представени европейски граждани. </w:t>
      </w:r>
    </w:p>
    <w:p>
      <w:pPr>
        <w:pStyle w:val="P68B1DB1Normal19"/>
        <w:widowControl w:val="false"/>
        <w:spacing w:lineRule="auto" w:line="240" w:before="156" w:after="0"/>
        <w:ind w:left="0" w:right="0" w:hanging="0"/>
        <w:jc w:val="both"/>
        <w:rPr/>
      </w:pPr>
      <w:r>
        <w:rPr/>
        <w:t xml:space="preserve">Всички документи от френската консултация ще бъдат публични и достъпни за всички на платформата за гражданско участие на френската държава: мандат за участие, регионални резюмета, национален синтез, доклад на гаранта и окончателен доклад. </w:t>
      </w:r>
    </w:p>
    <w:p>
      <w:pPr>
        <w:pStyle w:val="Normal"/>
        <w:spacing w:lineRule="auto" w:line="240" w:before="156" w:after="0"/>
        <w:ind w:left="0" w:right="0" w:hanging="0"/>
        <w:rPr/>
      </w:pPr>
      <w:r>
        <w:rPr/>
      </w:r>
    </w:p>
    <w:p>
      <w:pPr>
        <w:pStyle w:val="Normal"/>
        <w:rPr/>
      </w:pPr>
      <w:r>
        <w:rPr/>
      </w:r>
      <w:r>
        <w:br w:type="page"/>
      </w:r>
    </w:p>
    <w:p>
      <w:pPr>
        <w:pStyle w:val="Titre2"/>
        <w:numPr>
          <w:ilvl w:val="1"/>
          <w:numId w:val="2"/>
        </w:numPr>
        <w:rPr/>
      </w:pPr>
      <w:bookmarkStart w:id="208" w:name="__RefHeading___Toc300450_1346298689"/>
      <w:bookmarkEnd w:id="208"/>
      <w:r>
        <mc:AlternateContent>
          <mc:Choice Requires="wps">
            <w:drawing>
              <wp:anchor behindDoc="0" distT="72390" distB="72390" distL="72390" distR="72390" simplePos="0" locked="0" layoutInCell="1" allowOverlap="1" relativeHeight="46">
                <wp:simplePos x="0" y="0"/>
                <wp:positionH relativeFrom="column">
                  <wp:posOffset>3595370</wp:posOffset>
                </wp:positionH>
                <wp:positionV relativeFrom="paragraph">
                  <wp:posOffset>108585</wp:posOffset>
                </wp:positionV>
                <wp:extent cx="2486660" cy="6927215"/>
                <wp:effectExtent l="0" t="0" r="0" b="0"/>
                <wp:wrapSquare wrapText="bothSides"/>
                <wp:docPr id="83" name="Рамка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Преглед на приноса на Франция към Конференцията за бъдещето на Европа</w:t>
                            </w:r>
                          </w:p>
                          <w:p>
                            <w:pPr>
                              <w:pStyle w:val="Contenudecadre"/>
                              <w:rPr>
                                <w:color w:val="auto"/>
                              </w:rPr>
                            </w:pPr>
                            <w:r>
                              <w:rPr>
                                <w:color w:val="auto"/>
                              </w:rPr>
                            </w:r>
                          </w:p>
                          <w:p>
                            <w:pPr>
                              <w:pStyle w:val="Contenudecadre"/>
                              <w:rPr>
                                <w:color w:val="auto"/>
                              </w:rPr>
                            </w:pPr>
                            <w:r>
                              <w:rPr>
                                <w:color w:val="auto"/>
                              </w:rPr>
                              <w:t>Гражданите, привлечени от жребий, трябваше да отговорят на въпроса: „Като френски граждани, какви промени искате за Европа?“</w:t>
                            </w:r>
                          </w:p>
                          <w:p>
                            <w:pPr>
                              <w:pStyle w:val="Contenudecadre"/>
                              <w:rPr>
                                <w:color w:val="auto"/>
                              </w:rPr>
                            </w:pPr>
                            <w:r>
                              <w:rPr>
                                <w:color w:val="auto"/>
                              </w:rPr>
                            </w:r>
                          </w:p>
                          <w:p>
                            <w:pPr>
                              <w:pStyle w:val="Contenudecadre"/>
                              <w:rPr>
                                <w:color w:val="auto"/>
                              </w:rPr>
                            </w:pPr>
                            <w:r>
                              <w:rPr>
                                <w:color w:val="auto"/>
                              </w:rPr>
                              <w:t xml:space="preserve">Топ 10 приоритетни промени за Европа от 2035 г. </w:t>
                            </w:r>
                          </w:p>
                          <w:p>
                            <w:pPr>
                              <w:pStyle w:val="Contenudecadre"/>
                              <w:rPr>
                                <w:color w:val="auto"/>
                              </w:rPr>
                            </w:pPr>
                            <w:r>
                              <w:rPr>
                                <w:color w:val="auto"/>
                              </w:rPr>
                            </w:r>
                          </w:p>
                          <w:p>
                            <w:pPr>
                              <w:pStyle w:val="Contenudecadre"/>
                              <w:rPr>
                                <w:color w:val="auto"/>
                              </w:rPr>
                            </w:pPr>
                            <w:r>
                              <w:rPr>
                                <w:color w:val="auto"/>
                              </w:rPr>
                              <w:t xml:space="preserve">1. Развийте </w:t>
                            </w:r>
                            <w:r>
                              <w:rPr>
                                <w:b/>
                                <w:color w:val="auto"/>
                              </w:rPr>
                              <w:t>енергийната трезвост,</w:t>
                            </w:r>
                            <w:r>
                              <w:rPr>
                                <w:color w:val="auto"/>
                              </w:rPr>
                              <w:t xml:space="preserve"> за да консумирате по-малко, като спрете излишното</w:t>
                            </w:r>
                          </w:p>
                          <w:p>
                            <w:pPr>
                              <w:pStyle w:val="Contenudecadre"/>
                              <w:rPr>
                                <w:b w:val="false"/>
                                <w:b w:val="false"/>
                                <w:color w:val="auto"/>
                              </w:rPr>
                            </w:pPr>
                            <w:r>
                              <w:rPr>
                                <w:b w:val="false"/>
                                <w:color w:val="auto"/>
                              </w:rPr>
                            </w:r>
                          </w:p>
                          <w:p>
                            <w:pPr>
                              <w:pStyle w:val="Contenudecadre"/>
                              <w:rPr>
                                <w:color w:val="auto"/>
                              </w:rPr>
                            </w:pPr>
                            <w:r>
                              <w:rPr>
                                <w:color w:val="auto"/>
                              </w:rPr>
                              <w:t>2. Укрепване на</w:t>
                            </w:r>
                            <w:r>
                              <w:rPr>
                                <w:b/>
                                <w:color w:val="auto"/>
                              </w:rPr>
                              <w:t>общата отбрана и сигурност на</w:t>
                            </w:r>
                            <w:r>
                              <w:rPr>
                                <w:color w:val="auto"/>
                              </w:rPr>
                              <w:t>Европейския съюз</w:t>
                            </w:r>
                          </w:p>
                          <w:p>
                            <w:pPr>
                              <w:pStyle w:val="Contenudecadre"/>
                              <w:rPr>
                                <w:b w:val="false"/>
                                <w:b w:val="false"/>
                                <w:color w:val="auto"/>
                              </w:rPr>
                            </w:pPr>
                            <w:r>
                              <w:rPr>
                                <w:b w:val="false"/>
                                <w:color w:val="auto"/>
                              </w:rPr>
                            </w:r>
                          </w:p>
                          <w:p>
                            <w:pPr>
                              <w:pStyle w:val="Contenudecadre"/>
                              <w:rPr>
                                <w:color w:val="auto"/>
                              </w:rPr>
                            </w:pPr>
                            <w:r>
                              <w:rPr>
                                <w:color w:val="auto"/>
                              </w:rPr>
                              <w:t xml:space="preserve">3. Насърчаване на </w:t>
                            </w:r>
                            <w:r>
                              <w:rPr>
                                <w:b/>
                                <w:color w:val="auto"/>
                              </w:rPr>
                              <w:t>колективните икономически резултати</w:t>
                            </w:r>
                            <w:r>
                              <w:rPr>
                                <w:color w:val="auto"/>
                              </w:rPr>
                              <w:t xml:space="preserve"> чрез автономна, конкурентоспособна и ценена промишленост от страна на ЕС</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Овластяване на гражданите</w:t>
                            </w:r>
                            <w:r>
                              <w:rPr>
                                <w:color w:val="auto"/>
                              </w:rPr>
                              <w:t xml:space="preserve"> на няколко равнища: участие, вземане на решения, контрол</w:t>
                            </w:r>
                          </w:p>
                          <w:p>
                            <w:pPr>
                              <w:pStyle w:val="Contenudecadre"/>
                              <w:rPr>
                                <w:b w:val="false"/>
                                <w:b w:val="false"/>
                                <w:color w:val="auto"/>
                              </w:rPr>
                            </w:pPr>
                            <w:r>
                              <w:rPr>
                                <w:b w:val="false"/>
                                <w:color w:val="auto"/>
                              </w:rPr>
                            </w:r>
                          </w:p>
                          <w:p>
                            <w:pPr>
                              <w:pStyle w:val="Contenudecadre"/>
                              <w:rPr>
                                <w:color w:val="auto"/>
                              </w:rPr>
                            </w:pPr>
                            <w:r>
                              <w:rPr>
                                <w:color w:val="auto"/>
                              </w:rPr>
                              <w:t xml:space="preserve">5. Преминаване към </w:t>
                            </w:r>
                            <w:r>
                              <w:rPr>
                                <w:b/>
                                <w:color w:val="auto"/>
                              </w:rPr>
                              <w:t>федерация на европейските държави</w:t>
                            </w:r>
                            <w:r>
                              <w:rPr>
                                <w:color w:val="auto"/>
                              </w:rPr>
                              <w:t xml:space="preserve"> със силни компетенции в области от общ интерес</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Предлагат </w:t>
                            </w:r>
                            <w:r>
                              <w:rPr>
                                <w:b/>
                                <w:color w:val="auto"/>
                              </w:rPr>
                              <w:t>програми за обмен</w:t>
                            </w:r>
                            <w:r>
                              <w:rPr>
                                <w:color w:val="auto"/>
                              </w:rPr>
                              <w:t>през целия живот</w:t>
                            </w:r>
                          </w:p>
                        </w:txbxContent>
                      </wps:txbx>
                      <wps:bodyPr lIns="54000" rIns="54000" tIns="54000" bIns="54000">
                        <a:noAutofit/>
                      </wps:bodyPr>
                    </wps:wsp>
                  </a:graphicData>
                </a:graphic>
              </wp:anchor>
            </w:drawing>
          </mc:Choice>
          <mc:Fallback>
            <w:pict>
              <v:rect id="shape_0" ID="Рамка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rPr>
                      </w:pPr>
                      <w:r>
                        <w:rPr>
                          <w:color w:val="auto"/>
                        </w:rPr>
                        <w:t>Преглед на приноса на Франция към Конференцията за бъдещето на Европа</w:t>
                      </w:r>
                    </w:p>
                    <w:p>
                      <w:pPr>
                        <w:pStyle w:val="Contenudecadre"/>
                        <w:rPr>
                          <w:color w:val="auto"/>
                        </w:rPr>
                      </w:pPr>
                      <w:r>
                        <w:rPr>
                          <w:color w:val="auto"/>
                        </w:rPr>
                      </w:r>
                    </w:p>
                    <w:p>
                      <w:pPr>
                        <w:pStyle w:val="Contenudecadre"/>
                        <w:rPr>
                          <w:color w:val="auto"/>
                        </w:rPr>
                      </w:pPr>
                      <w:r>
                        <w:rPr>
                          <w:color w:val="auto"/>
                        </w:rPr>
                        <w:t>Гражданите, привлечени от жребий, трябваше да отговорят на въпроса: „Като френски граждани, какви промени искате за Европа?“</w:t>
                      </w:r>
                    </w:p>
                    <w:p>
                      <w:pPr>
                        <w:pStyle w:val="Contenudecadre"/>
                        <w:rPr>
                          <w:color w:val="auto"/>
                        </w:rPr>
                      </w:pPr>
                      <w:r>
                        <w:rPr>
                          <w:color w:val="auto"/>
                        </w:rPr>
                      </w:r>
                    </w:p>
                    <w:p>
                      <w:pPr>
                        <w:pStyle w:val="Contenudecadre"/>
                        <w:rPr>
                          <w:color w:val="auto"/>
                        </w:rPr>
                      </w:pPr>
                      <w:r>
                        <w:rPr>
                          <w:color w:val="auto"/>
                        </w:rPr>
                        <w:t xml:space="preserve">Топ 10 приоритетни промени за Европа от 2035 г. </w:t>
                      </w:r>
                    </w:p>
                    <w:p>
                      <w:pPr>
                        <w:pStyle w:val="Contenudecadre"/>
                        <w:rPr>
                          <w:color w:val="auto"/>
                        </w:rPr>
                      </w:pPr>
                      <w:r>
                        <w:rPr>
                          <w:color w:val="auto"/>
                        </w:rPr>
                      </w:r>
                    </w:p>
                    <w:p>
                      <w:pPr>
                        <w:pStyle w:val="Contenudecadre"/>
                        <w:rPr>
                          <w:color w:val="auto"/>
                        </w:rPr>
                      </w:pPr>
                      <w:r>
                        <w:rPr>
                          <w:color w:val="auto"/>
                        </w:rPr>
                        <w:t xml:space="preserve">1. Развийте </w:t>
                      </w:r>
                      <w:r>
                        <w:rPr>
                          <w:b/>
                          <w:color w:val="auto"/>
                        </w:rPr>
                        <w:t>енергийната трезвост,</w:t>
                      </w:r>
                      <w:r>
                        <w:rPr>
                          <w:color w:val="auto"/>
                        </w:rPr>
                        <w:t xml:space="preserve"> за да консумирате по-малко, като спрете излишното</w:t>
                      </w:r>
                    </w:p>
                    <w:p>
                      <w:pPr>
                        <w:pStyle w:val="Contenudecadre"/>
                        <w:rPr>
                          <w:b w:val="false"/>
                          <w:b w:val="false"/>
                          <w:color w:val="auto"/>
                        </w:rPr>
                      </w:pPr>
                      <w:r>
                        <w:rPr>
                          <w:b w:val="false"/>
                          <w:color w:val="auto"/>
                        </w:rPr>
                      </w:r>
                    </w:p>
                    <w:p>
                      <w:pPr>
                        <w:pStyle w:val="Contenudecadre"/>
                        <w:rPr>
                          <w:color w:val="auto"/>
                        </w:rPr>
                      </w:pPr>
                      <w:r>
                        <w:rPr>
                          <w:color w:val="auto"/>
                        </w:rPr>
                        <w:t>2. Укрепване на</w:t>
                      </w:r>
                      <w:r>
                        <w:rPr>
                          <w:b/>
                          <w:color w:val="auto"/>
                        </w:rPr>
                        <w:t>общата отбрана и сигурност на</w:t>
                      </w:r>
                      <w:r>
                        <w:rPr>
                          <w:color w:val="auto"/>
                        </w:rPr>
                        <w:t>Европейския съюз</w:t>
                      </w:r>
                    </w:p>
                    <w:p>
                      <w:pPr>
                        <w:pStyle w:val="Contenudecadre"/>
                        <w:rPr>
                          <w:b w:val="false"/>
                          <w:b w:val="false"/>
                          <w:color w:val="auto"/>
                        </w:rPr>
                      </w:pPr>
                      <w:r>
                        <w:rPr>
                          <w:b w:val="false"/>
                          <w:color w:val="auto"/>
                        </w:rPr>
                      </w:r>
                    </w:p>
                    <w:p>
                      <w:pPr>
                        <w:pStyle w:val="Contenudecadre"/>
                        <w:rPr>
                          <w:color w:val="auto"/>
                        </w:rPr>
                      </w:pPr>
                      <w:r>
                        <w:rPr>
                          <w:color w:val="auto"/>
                        </w:rPr>
                        <w:t xml:space="preserve">3. Насърчаване на </w:t>
                      </w:r>
                      <w:r>
                        <w:rPr>
                          <w:b/>
                          <w:color w:val="auto"/>
                        </w:rPr>
                        <w:t>колективните икономически резултати</w:t>
                      </w:r>
                      <w:r>
                        <w:rPr>
                          <w:color w:val="auto"/>
                        </w:rPr>
                        <w:t xml:space="preserve"> чрез автономна, конкурентоспособна и ценена промишленост от страна на ЕС</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Овластяване на гражданите</w:t>
                      </w:r>
                      <w:r>
                        <w:rPr>
                          <w:color w:val="auto"/>
                        </w:rPr>
                        <w:t xml:space="preserve"> на няколко равнища: участие, вземане на решения, контрол</w:t>
                      </w:r>
                    </w:p>
                    <w:p>
                      <w:pPr>
                        <w:pStyle w:val="Contenudecadre"/>
                        <w:rPr>
                          <w:b w:val="false"/>
                          <w:b w:val="false"/>
                          <w:color w:val="auto"/>
                        </w:rPr>
                      </w:pPr>
                      <w:r>
                        <w:rPr>
                          <w:b w:val="false"/>
                          <w:color w:val="auto"/>
                        </w:rPr>
                      </w:r>
                    </w:p>
                    <w:p>
                      <w:pPr>
                        <w:pStyle w:val="Contenudecadre"/>
                        <w:rPr>
                          <w:color w:val="auto"/>
                        </w:rPr>
                      </w:pPr>
                      <w:r>
                        <w:rPr>
                          <w:color w:val="auto"/>
                        </w:rPr>
                        <w:t xml:space="preserve">5. Преминаване към </w:t>
                      </w:r>
                      <w:r>
                        <w:rPr>
                          <w:b/>
                          <w:color w:val="auto"/>
                        </w:rPr>
                        <w:t>федерация на европейските държави</w:t>
                      </w:r>
                      <w:r>
                        <w:rPr>
                          <w:color w:val="auto"/>
                        </w:rPr>
                        <w:t xml:space="preserve"> със силни компетенции в области от общ интерес</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Предлагат </w:t>
                      </w:r>
                      <w:r>
                        <w:rPr>
                          <w:b/>
                          <w:color w:val="auto"/>
                        </w:rPr>
                        <w:t>програми за обмен</w:t>
                      </w:r>
                      <w:r>
                        <w:rPr>
                          <w:color w:val="auto"/>
                        </w:rPr>
                        <w:t>през целия живот</w:t>
                      </w:r>
                    </w:p>
                  </w:txbxContent>
                </v:textbox>
              </v:rect>
            </w:pict>
          </mc:Fallback>
        </mc:AlternateContent>
      </w:r>
      <w:r>
        <w:rPr/>
        <w:t>Представяне на основните резултати</w:t>
      </w:r>
    </w:p>
    <w:p>
      <w:pPr>
        <w:pStyle w:val="P68B1DB1Normal24"/>
        <w:rPr>
          <w:b w:val="false"/>
          <w:b w:val="false"/>
          <w:sz w:val="22"/>
        </w:rPr>
      </w:pPr>
      <w:r>
        <w:rPr/>
        <w:t xml:space="preserve"> </w:t>
      </w:r>
      <w:r>
        <w:rPr/>
        <w:t>(оригиналът е под формата на илюстрация)</w:t>
      </w:r>
    </w:p>
    <w:p>
      <w:pPr>
        <w:pStyle w:val="Normal"/>
        <w:rPr/>
      </w:pPr>
      <w:r>
        <w:rPr/>
        <w:drawing>
          <wp:anchor behindDoc="0" distT="0" distB="0" distL="0" distR="0" simplePos="0" locked="0" layoutInCell="1" allowOverlap="1" relativeHeight="44">
            <wp:simplePos x="0" y="0"/>
            <wp:positionH relativeFrom="column">
              <wp:posOffset>39370</wp:posOffset>
            </wp:positionH>
            <wp:positionV relativeFrom="paragraph">
              <wp:posOffset>95250</wp:posOffset>
            </wp:positionV>
            <wp:extent cx="3488690" cy="5027930"/>
            <wp:effectExtent l="0" t="0" r="0" b="0"/>
            <wp:wrapSquare wrapText="largest"/>
            <wp:docPr id="85" name="Снимка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Снимка 39" descr=""/>
                    <pic:cNvPicPr>
                      <a:picLocks noChangeAspect="1" noChangeArrowheads="1"/>
                    </pic:cNvPicPr>
                  </pic:nvPicPr>
                  <pic:blipFill>
                    <a:blip r:embed="rId93"/>
                    <a:stretch>
                      <a:fillRect/>
                    </a:stretch>
                  </pic:blipFill>
                  <pic:spPr bwMode="auto">
                    <a:xfrm>
                      <a:off x="0" y="0"/>
                      <a:ext cx="3488690" cy="502793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t>Източник: Промени, които спечелиха най-много гласове на Националната конференция за бъдещето на Европа (15—17 октомври 2021 г.)</w:t>
      </w:r>
      <w:r>
        <w:br w:type="page"/>
      </w:r>
    </w:p>
    <w:p>
      <w:pPr>
        <w:pStyle w:val="Normal"/>
        <w:rPr/>
      </w:pPr>
      <w:r>
        <w:rPr/>
        <w:drawing>
          <wp:anchor behindDoc="0" distT="0" distB="0" distL="0" distR="0" simplePos="0" locked="0" layoutInCell="1" allowOverlap="1" relativeHeight="47">
            <wp:simplePos x="0" y="0"/>
            <wp:positionH relativeFrom="column">
              <wp:posOffset>-7620</wp:posOffset>
            </wp:positionH>
            <wp:positionV relativeFrom="paragraph">
              <wp:posOffset>635</wp:posOffset>
            </wp:positionV>
            <wp:extent cx="3395345" cy="4848225"/>
            <wp:effectExtent l="0" t="0" r="0" b="0"/>
            <wp:wrapSquare wrapText="largest"/>
            <wp:docPr id="86" name="Снимка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Снимка 40" descr=""/>
                    <pic:cNvPicPr>
                      <a:picLocks noChangeAspect="1" noChangeArrowheads="1"/>
                    </pic:cNvPicPr>
                  </pic:nvPicPr>
                  <pic:blipFill>
                    <a:blip r:embed="rId94"/>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pPr>
      <w:r>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4710" cy="1648460"/>
                <wp:effectExtent l="0" t="0" r="0" b="0"/>
                <wp:wrapSquare wrapText="bothSides"/>
                <wp:docPr id="87" name="Рамка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Онлайн консултация „Думи за младите хора“</w:t>
                            </w:r>
                          </w:p>
                          <w:p>
                            <w:pPr>
                              <w:pStyle w:val="Contenudecadre"/>
                              <w:rPr>
                                <w:color w:val="auto"/>
                              </w:rPr>
                            </w:pPr>
                            <w:r>
                              <w:rPr>
                                <w:color w:val="auto"/>
                              </w:rPr>
                              <w:t>На 9 май 2021 г. държавният секретар по европейските въпроси започна консултация „дума за младите хора“, проведена от Make.org между май и юли 2021 г.</w:t>
                            </w:r>
                          </w:p>
                          <w:p>
                            <w:pPr>
                              <w:pStyle w:val="Contenudecadre"/>
                              <w:rPr>
                                <w:color w:val="auto"/>
                              </w:rPr>
                            </w:pPr>
                            <w:r>
                              <w:rPr>
                                <w:color w:val="auto"/>
                              </w:rPr>
                              <w:t>50 000 младежи на възраст между 15 и 30 години отговориха на въпроса: „Какви са вашите приоритети за Европа на утрешния ден?“ с внесени 2918 предложения.</w:t>
                            </w:r>
                          </w:p>
                          <w:p>
                            <w:pPr>
                              <w:pStyle w:val="Contenudecadre"/>
                              <w:spacing w:before="57" w:after="57"/>
                              <w:rPr>
                                <w:color w:val="auto"/>
                              </w:rPr>
                            </w:pPr>
                            <w:r>
                              <w:rPr>
                                <w:color w:val="auto"/>
                              </w:rPr>
                              <w:t>Идеите, които френските млади хора предпочитат в контекста на настоящата онлайн консултация, са част от приноса на гражданите към Конференцията за бъдещето на Европа (вж. подробности в част 2 от настоящия доклад).</w:t>
                            </w:r>
                          </w:p>
                        </w:txbxContent>
                      </wps:txbx>
                      <wps:bodyPr lIns="54000" rIns="54000" tIns="54000" bIns="54000">
                        <a:noAutofit/>
                      </wps:bodyPr>
                    </wps:wsp>
                  </a:graphicData>
                </a:graphic>
              </wp:anchor>
            </w:drawing>
          </mc:Choice>
          <mc:Fallback>
            <w:pict>
              <v:rect id="shape_0" ID="Рамка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rPr>
                      </w:pPr>
                      <w:r>
                        <w:rPr>
                          <w:color w:val="auto"/>
                        </w:rPr>
                        <w:t>Онлайн консултация „Думи за младите хора“</w:t>
                      </w:r>
                    </w:p>
                    <w:p>
                      <w:pPr>
                        <w:pStyle w:val="Contenudecadre"/>
                        <w:rPr>
                          <w:color w:val="auto"/>
                        </w:rPr>
                      </w:pPr>
                      <w:r>
                        <w:rPr>
                          <w:color w:val="auto"/>
                        </w:rPr>
                        <w:t>На 9 май 2021 г. държавният секретар по европейските въпроси започна консултация „дума за младите хора“, проведена от Make.org между май и юли 2021 г.</w:t>
                      </w:r>
                    </w:p>
                    <w:p>
                      <w:pPr>
                        <w:pStyle w:val="Contenudecadre"/>
                        <w:rPr>
                          <w:color w:val="auto"/>
                        </w:rPr>
                      </w:pPr>
                      <w:r>
                        <w:rPr>
                          <w:color w:val="auto"/>
                        </w:rPr>
                        <w:t>50 000 младежи на възраст между 15 и 30 години отговориха на въпроса: „Какви са вашите приоритети за Европа на утрешния ден?“ с внесени 2918 предложения.</w:t>
                      </w:r>
                    </w:p>
                    <w:p>
                      <w:pPr>
                        <w:pStyle w:val="Contenudecadre"/>
                        <w:spacing w:before="57" w:after="57"/>
                        <w:rPr>
                          <w:color w:val="auto"/>
                        </w:rPr>
                      </w:pPr>
                      <w:r>
                        <w:rPr>
                          <w:color w:val="auto"/>
                        </w:rPr>
                        <w:t>Идеите, които френските млади хора предпочитат в контекста на настоящата онлайн консултация, са част от приноса на гражданите към Конференцията за бъдещето на Европа (вж. подробности в част 2 от настоящия доклад).</w:t>
                      </w:r>
                    </w:p>
                  </w:txbxContent>
                </v:textbox>
              </v:rect>
            </w:pict>
          </mc:Fallback>
        </mc:AlternateContent>
        <mc:AlternateContent>
          <mc:Choice Requires="wps">
            <w:drawing>
              <wp:anchor behindDoc="0" distT="72390" distB="72390" distL="72390" distR="72390" simplePos="0" locked="0" layoutInCell="1" allowOverlap="1" relativeHeight="45">
                <wp:simplePos x="0" y="0"/>
                <wp:positionH relativeFrom="column">
                  <wp:posOffset>3481070</wp:posOffset>
                </wp:positionH>
                <wp:positionV relativeFrom="paragraph">
                  <wp:posOffset>94615</wp:posOffset>
                </wp:positionV>
                <wp:extent cx="2610485" cy="3150870"/>
                <wp:effectExtent l="0" t="0" r="0" b="0"/>
                <wp:wrapSquare wrapText="bothSides"/>
                <wp:docPr id="89" name="Рамка31"/>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 xml:space="preserve">7. Споделяне на европейските култури чрез </w:t>
                            </w:r>
                            <w:r>
                              <w:rPr>
                                <w:b/>
                                <w:color w:val="auto"/>
                              </w:rPr>
                              <w:t>обединяващи събития и събития</w:t>
                            </w:r>
                          </w:p>
                          <w:p>
                            <w:pPr>
                              <w:pStyle w:val="Contenudecadre"/>
                              <w:rPr>
                                <w:b w:val="false"/>
                                <w:b w:val="false"/>
                                <w:color w:val="auto"/>
                              </w:rPr>
                            </w:pPr>
                            <w:r>
                              <w:rPr>
                                <w:b w:val="false"/>
                                <w:color w:val="auto"/>
                              </w:rPr>
                            </w:r>
                          </w:p>
                          <w:p>
                            <w:pPr>
                              <w:pStyle w:val="Contenudecadre"/>
                              <w:rPr>
                                <w:color w:val="auto"/>
                              </w:rPr>
                            </w:pPr>
                            <w:r>
                              <w:rPr>
                                <w:color w:val="auto"/>
                              </w:rPr>
                              <w:t xml:space="preserve">8.Хармонизиране на </w:t>
                            </w:r>
                            <w:r>
                              <w:rPr>
                                <w:b/>
                                <w:color w:val="auto"/>
                              </w:rPr>
                              <w:t>здравето</w:t>
                            </w:r>
                            <w:r>
                              <w:rPr>
                                <w:color w:val="auto"/>
                              </w:rPr>
                              <w:t xml:space="preserve"> и осигуряване на достъп до него за всички европейци чрез обща здравна политика</w:t>
                            </w:r>
                          </w:p>
                          <w:p>
                            <w:pPr>
                              <w:pStyle w:val="Contenudecadre"/>
                              <w:rPr>
                                <w:b w:val="false"/>
                                <w:b w:val="false"/>
                                <w:color w:val="auto"/>
                              </w:rPr>
                            </w:pPr>
                            <w:r>
                              <w:rPr>
                                <w:b w:val="false"/>
                                <w:color w:val="auto"/>
                              </w:rPr>
                            </w:r>
                          </w:p>
                          <w:p>
                            <w:pPr>
                              <w:pStyle w:val="Contenudecadre"/>
                              <w:rPr>
                                <w:color w:val="auto"/>
                              </w:rPr>
                            </w:pPr>
                            <w:r>
                              <w:rPr>
                                <w:color w:val="auto"/>
                              </w:rPr>
                              <w:t xml:space="preserve">9. Разработване и насочване на </w:t>
                            </w:r>
                            <w:r>
                              <w:rPr>
                                <w:b/>
                                <w:color w:val="auto"/>
                              </w:rPr>
                              <w:t>стратегически канали</w:t>
                            </w:r>
                            <w:r>
                              <w:rPr>
                                <w:color w:val="auto"/>
                              </w:rPr>
                              <w:t xml:space="preserve"> на европейско равнище, за да се гарантира нашият суверенитет</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Подобряване на </w:t>
                            </w:r>
                            <w:r>
                              <w:rPr>
                                <w:b/>
                                <w:color w:val="auto"/>
                              </w:rPr>
                              <w:t>защитата на околната среда и екосистемите</w:t>
                            </w:r>
                            <w:r>
                              <w:rPr>
                                <w:color w:val="auto"/>
                              </w:rPr>
                              <w:t xml:space="preserve"> и създаване на </w:t>
                            </w:r>
                            <w:r>
                              <w:rPr>
                                <w:b/>
                                <w:color w:val="auto"/>
                              </w:rPr>
                              <w:t>защитени зони</w:t>
                            </w:r>
                            <w:r>
                              <w:rPr>
                                <w:color w:val="auto"/>
                              </w:rPr>
                              <w:t xml:space="preserve"> в центъра на градските, крайградските и селските райони</w:t>
                            </w:r>
                          </w:p>
                        </w:txbxContent>
                      </wps:txbx>
                      <wps:bodyPr lIns="54000" rIns="54000" tIns="54000" bIns="54000">
                        <a:noAutofit/>
                      </wps:bodyPr>
                    </wps:wsp>
                  </a:graphicData>
                </a:graphic>
              </wp:anchor>
            </w:drawing>
          </mc:Choice>
          <mc:Fallback>
            <w:pict>
              <v:rect id="shape_0" ID="Рамка31"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rPr>
                      </w:pPr>
                      <w:r>
                        <w:rPr>
                          <w:color w:val="auto"/>
                        </w:rPr>
                        <w:t xml:space="preserve">7. Споделяне на европейските култури чрез </w:t>
                      </w:r>
                      <w:r>
                        <w:rPr>
                          <w:b/>
                          <w:color w:val="auto"/>
                        </w:rPr>
                        <w:t>обединяващи събития и събития</w:t>
                      </w:r>
                    </w:p>
                    <w:p>
                      <w:pPr>
                        <w:pStyle w:val="Contenudecadre"/>
                        <w:rPr>
                          <w:b w:val="false"/>
                          <w:b w:val="false"/>
                          <w:color w:val="auto"/>
                        </w:rPr>
                      </w:pPr>
                      <w:r>
                        <w:rPr>
                          <w:b w:val="false"/>
                          <w:color w:val="auto"/>
                        </w:rPr>
                      </w:r>
                    </w:p>
                    <w:p>
                      <w:pPr>
                        <w:pStyle w:val="Contenudecadre"/>
                        <w:rPr>
                          <w:color w:val="auto"/>
                        </w:rPr>
                      </w:pPr>
                      <w:r>
                        <w:rPr>
                          <w:color w:val="auto"/>
                        </w:rPr>
                        <w:t xml:space="preserve">8.Хармонизиране на </w:t>
                      </w:r>
                      <w:r>
                        <w:rPr>
                          <w:b/>
                          <w:color w:val="auto"/>
                        </w:rPr>
                        <w:t>здравето</w:t>
                      </w:r>
                      <w:r>
                        <w:rPr>
                          <w:color w:val="auto"/>
                        </w:rPr>
                        <w:t xml:space="preserve"> и осигуряване на достъп до него за всички европейци чрез обща здравна политика</w:t>
                      </w:r>
                    </w:p>
                    <w:p>
                      <w:pPr>
                        <w:pStyle w:val="Contenudecadre"/>
                        <w:rPr>
                          <w:b w:val="false"/>
                          <w:b w:val="false"/>
                          <w:color w:val="auto"/>
                        </w:rPr>
                      </w:pPr>
                      <w:r>
                        <w:rPr>
                          <w:b w:val="false"/>
                          <w:color w:val="auto"/>
                        </w:rPr>
                      </w:r>
                    </w:p>
                    <w:p>
                      <w:pPr>
                        <w:pStyle w:val="Contenudecadre"/>
                        <w:rPr>
                          <w:color w:val="auto"/>
                        </w:rPr>
                      </w:pPr>
                      <w:r>
                        <w:rPr>
                          <w:color w:val="auto"/>
                        </w:rPr>
                        <w:t xml:space="preserve">9. Разработване и насочване на </w:t>
                      </w:r>
                      <w:r>
                        <w:rPr>
                          <w:b/>
                          <w:color w:val="auto"/>
                        </w:rPr>
                        <w:t>стратегически канали</w:t>
                      </w:r>
                      <w:r>
                        <w:rPr>
                          <w:color w:val="auto"/>
                        </w:rPr>
                        <w:t xml:space="preserve"> на европейско равнище, за да се гарантира нашият суверенитет</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Подобряване на </w:t>
                      </w:r>
                      <w:r>
                        <w:rPr>
                          <w:b/>
                          <w:color w:val="auto"/>
                        </w:rPr>
                        <w:t>защитата на околната среда и екосистемите</w:t>
                      </w:r>
                      <w:r>
                        <w:rPr>
                          <w:color w:val="auto"/>
                        </w:rPr>
                        <w:t xml:space="preserve"> и създаване на </w:t>
                      </w:r>
                      <w:r>
                        <w:rPr>
                          <w:b/>
                          <w:color w:val="auto"/>
                        </w:rPr>
                        <w:t>защитени зони</w:t>
                      </w:r>
                      <w:r>
                        <w:rPr>
                          <w:color w:val="auto"/>
                        </w:rPr>
                        <w:t xml:space="preserve"> в центъра на градските, крайградските и селските райони</w:t>
                      </w:r>
                    </w:p>
                  </w:txbxContent>
                </v:textbox>
              </v:rect>
            </w:pict>
          </mc:Fallback>
        </mc:AlternateContent>
      </w:r>
    </w:p>
    <w:p>
      <w:pPr>
        <w:pStyle w:val="Titre2"/>
        <w:numPr>
          <w:ilvl w:val="1"/>
          <w:numId w:val="2"/>
        </w:numPr>
        <w:rPr/>
      </w:pPr>
      <w:bookmarkStart w:id="209" w:name="__RefHeading___Toc300452_1346298689"/>
      <w:bookmarkEnd w:id="209"/>
      <w:r>
        <w:rPr/>
        <w:t>Представяне на групите от регионални конференции</w:t>
      </w:r>
    </w:p>
    <w:p>
      <w:pPr>
        <w:pStyle w:val="Normal"/>
        <w:rPr/>
      </w:pPr>
      <w:r>
        <w:rPr/>
        <mc:AlternateContent>
          <mc:Choice Requires="wpg">
            <w:drawing>
              <wp:anchor behindDoc="0" distT="0" distB="0" distL="0" distR="0" simplePos="0" locked="0" layoutInCell="1" allowOverlap="1" relativeHeight="49">
                <wp:simplePos x="0" y="0"/>
                <wp:positionH relativeFrom="column">
                  <wp:posOffset>635</wp:posOffset>
                </wp:positionH>
                <wp:positionV relativeFrom="paragraph">
                  <wp:posOffset>25400</wp:posOffset>
                </wp:positionV>
                <wp:extent cx="5971540" cy="8288020"/>
                <wp:effectExtent l="0" t="0" r="0" b="0"/>
                <wp:wrapNone/>
                <wp:docPr id="91" name="Форма 1"/>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5"/>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Разнообразен панел от 746 граждани</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Преглед на участниците в 18-те регионални конференции</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Земеделски стопани</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Занаятчии — Търговци — Бизнес лидери</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Висши ръководители — либерални професии</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Междинни професии</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Служители</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Работници</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Пенсионери</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Други неактивни</w:t>
                              </w:r>
                            </w:p>
                          </w:txbxContent>
                        </wps:txbx>
                        <wps:bodyPr lIns="90000" rIns="90000" tIns="45000" bIns="45000">
                          <a:noAutofit/>
                        </wps:bodyPr>
                      </wps:wsp>
                    </wpg:wgp>
                  </a:graphicData>
                </a:graphic>
              </wp:anchor>
            </w:drawing>
          </mc:Choice>
          <mc:Fallback>
            <w:pict>
              <v:group id="shape_0" alt="Форма 1"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5" o:detectmouseclick="t"/>
                  <w10:wrap type="none"/>
                  <v:stroke color="#3465a4" joinstyle="round" endcap="flat"/>
                </v:shape>
                <v:rect id="shape_0" stroked="f" style="position:absolute;left:229;top:40;width:8897;height:198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Разнообразен панел от 746 граждани</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Преглед на участниците в 18-те регионални конференции</w:t>
                        </w:r>
                      </w:p>
                    </w:txbxContent>
                  </v:textbox>
                  <w10:wrap type="square"/>
                  <v:fill o:detectmouseclick="t" on="false"/>
                  <v:stroke color="#3465a4" joinstyle="round" endcap="flat"/>
                </v:rect>
                <v:rect id="shape_0" stroked="f" style="position:absolute;left:1;top:9877;width:4112;height:3213">
                  <v:textbo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Земеделски стопани</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Занаятчии — Търговци — Бизнес лидери</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Висши ръководители — либерални професии</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Междинни професии</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Служители</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Работници</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Пенсионери</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Други неактивни</w:t>
                        </w:r>
                      </w:p>
                    </w:txbxContent>
                  </v:textbox>
                  <w10:wrap type="square"/>
                  <v:fill o:detectmouseclick="t" on="false"/>
                  <v:stroke color="#3465a4" joinstyle="round" endcap="flat"/>
                </v:rect>
              </v:group>
            </w:pict>
          </mc:Fallback>
        </mc:AlternateContent>
      </w:r>
    </w:p>
    <w:p>
      <w:pPr>
        <w:pStyle w:val="Normal"/>
        <w:rPr/>
      </w:pPr>
      <w:r>
        <w:rPr/>
      </w:r>
    </w:p>
    <w:p>
      <w:pPr>
        <w:pStyle w:val="Normal"/>
        <w:rPr/>
      </w:pPr>
      <w:r>
        <w:rPr/>
      </w:r>
      <w:r>
        <w:br w:type="page"/>
      </w:r>
    </w:p>
    <w:p>
      <w:pPr>
        <w:pStyle w:val="Normal"/>
        <w:rPr/>
      </w:pPr>
      <w:r>
        <w:rPr/>
        <mc:AlternateContent>
          <mc:Choice Requires="wpg">
            <w:drawing>
              <wp:anchor behindDoc="0" distT="0" distB="0" distL="0" distR="0" simplePos="0" locked="0" layoutInCell="1" allowOverlap="1" relativeHeight="51">
                <wp:simplePos x="0" y="0"/>
                <wp:positionH relativeFrom="column">
                  <wp:posOffset>0</wp:posOffset>
                </wp:positionH>
                <wp:positionV relativeFrom="paragraph">
                  <wp:posOffset>36195</wp:posOffset>
                </wp:positionV>
                <wp:extent cx="5873750" cy="8265160"/>
                <wp:effectExtent l="0" t="0" r="0" b="0"/>
                <wp:wrapNone/>
                <wp:docPr id="92" name="Форма 2"/>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96"/>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Конференции за бъдещето на Европа в цяла Франция</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регионални конференции, 13 в метрополис и 5 в чужбина</w:t>
                              </w:r>
                            </w:p>
                          </w:txbxContent>
                        </wps:txbx>
                        <wps:bodyPr lIns="90000" rIns="90000" tIns="45000" bIns="45000">
                          <a:noAutofit/>
                        </wps:bodyPr>
                      </wps:wsp>
                    </wpg:wgp>
                  </a:graphicData>
                </a:graphic>
              </wp:anchor>
            </w:drawing>
          </mc:Choice>
          <mc:Fallback>
            <w:pict>
              <v:group id="shape_0" alt="Форма 2" style="position:absolute;margin-left:0pt;margin-top:2.85pt;width:462.45pt;height:650.75pt" coordorigin="0,57" coordsize="9249,13015">
                <v:shape id="shape_0" stroked="f" style="position:absolute;left:1;top:1652;width:9247;height:11419" type="shapetype_75">
                  <v:imagedata r:id="rId96" o:detectmouseclick="t"/>
                  <w10:wrap type="none"/>
                  <v:stroke color="#3465a4" joinstyle="round" endcap="flat"/>
                </v:shape>
                <v:rect id="shape_0" stroked="f" style="position:absolute;left:0;top:57;width:9248;height:248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Конференции за бъдещето на Европа в цяла Франция</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регионални конференции, 13 в метрополис и 5 в чужбина</w:t>
                        </w:r>
                      </w:p>
                    </w:txbxContent>
                  </v:textbox>
                  <w10:wrap type="square"/>
                  <v:fill o:detectmouseclick="t" on="false"/>
                  <v:stroke color="#3465a4" joinstyle="round" endcap="flat"/>
                </v:rect>
              </v:group>
            </w:pict>
          </mc:Fallback>
        </mc:AlternateContent>
      </w:r>
    </w:p>
    <w:p>
      <w:pPr>
        <w:pStyle w:val="Normal"/>
        <w:rPr/>
      </w:pPr>
      <w:r>
        <w:rPr/>
      </w:r>
      <w:r>
        <w:br w:type="page"/>
      </w:r>
    </w:p>
    <w:p>
      <w:pPr>
        <w:pStyle w:val="Titre2"/>
        <w:numPr>
          <w:ilvl w:val="1"/>
          <w:numId w:val="2"/>
        </w:numPr>
        <w:spacing w:before="13366" w:after="120"/>
        <w:rPr/>
      </w:pPr>
      <w:bookmarkStart w:id="210" w:name="__RefHeading___Toc300454_1346298689"/>
      <w:bookmarkEnd w:id="210"/>
      <w:r>
        <mc:AlternateContent>
          <mc:Choice Requires="wpg">
            <w:drawing>
              <wp:anchor behindDoc="0" distT="0" distB="0" distL="0" distR="0" simplePos="0" locked="0" layoutInCell="1" allowOverlap="1" relativeHeight="69">
                <wp:simplePos x="0" y="0"/>
                <wp:positionH relativeFrom="column">
                  <wp:posOffset>175895</wp:posOffset>
                </wp:positionH>
                <wp:positionV relativeFrom="paragraph">
                  <wp:posOffset>450215</wp:posOffset>
                </wp:positionV>
                <wp:extent cx="5782945" cy="8488045"/>
                <wp:effectExtent l="0" t="0" r="0" b="0"/>
                <wp:wrapTopAndBottom/>
                <wp:docPr id="93" name="Формуляр3"/>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97"/>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Ангажименти на държавата</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Прозрачност</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Дежурство незабавно</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Неутралитет</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Методологически пристрастия</w:t>
                              </w:r>
                            </w:p>
                          </w:txbxContent>
                        </wps:txbx>
                        <wps:bodyPr lIns="90000" rIns="90000" tIns="45000" bIns="45000">
                          <a:noAutofit/>
                        </wps:bodyPr>
                      </wps:wsp>
                      <pic:pic xmlns:pic="http://schemas.openxmlformats.org/drawingml/2006/picture">
                        <pic:nvPicPr>
                          <pic:cNvPr id="3" name="" descr=""/>
                          <pic:cNvPicPr/>
                        </pic:nvPicPr>
                        <pic:blipFill>
                          <a:blip r:embed="rId98"/>
                          <a:stretch/>
                        </pic:blipFill>
                        <pic:spPr>
                          <a:xfrm>
                            <a:off x="1105560" y="2401560"/>
                            <a:ext cx="4354200" cy="5891040"/>
                          </a:xfrm>
                          <a:prstGeom prst="rect">
                            <a:avLst/>
                          </a:prstGeom>
                          <a:ln>
                            <a:noFill/>
                          </a:ln>
                        </pic:spPr>
                      </pic:pic>
                    </wpg:wgp>
                  </a:graphicData>
                </a:graphic>
              </wp:anchor>
            </w:drawing>
          </mc:Choice>
          <mc:Fallback>
            <w:pict>
              <v:group id="shape_0" alt="Формуляр3" style="position:absolute;margin-left:13.85pt;margin-top:35.45pt;width:455.3pt;height:668.3pt" coordorigin="277,709" coordsize="9106,13366">
                <v:shape id="shape_0" stroked="f" style="position:absolute;left:277;top:709;width:9105;height:13365" type="shapetype_75">
                  <v:imagedata r:id="rId97" o:detectmouseclick="t"/>
                  <w10:wrap type="none"/>
                  <v:stroke color="#3465a4" joinstyle="round" endcap="flat"/>
                </v:shape>
                <v:rect id="shape_0" stroked="f" style="position:absolute;left:2017;top:1240;width:5846;height:646">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Ангажименти на държавата</w:t>
                        </w:r>
                      </w:p>
                    </w:txbxContent>
                  </v:textbox>
                  <w10:wrap type="square"/>
                  <v:fill o:detectmouseclick="t" on="false"/>
                  <v:stroke color="#3465a4" joinstyle="round" endcap="flat"/>
                </v:rect>
                <v:rect id="shape_0" stroked="f" style="position:absolute;left:1488;top:2663;width:1724;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Прозрачност</w:t>
                        </w:r>
                      </w:p>
                    </w:txbxContent>
                  </v:textbox>
                  <w10:wrap type="square"/>
                  <v:fill o:detectmouseclick="t" on="false"/>
                  <v:stroke color="#3465a4" joinstyle="round" endcap="flat"/>
                </v:rect>
                <v:rect id="shape_0" stroked="f" style="position:absolute;left:6509;top:2683;width:1724;height:785">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Дежурство незабавно</w:t>
                        </w:r>
                      </w:p>
                    </w:txbxContent>
                  </v:textbox>
                  <w10:wrap type="square"/>
                  <v:fill o:detectmouseclick="t" on="false"/>
                  <v:stroke color="#3465a4" joinstyle="round" endcap="flat"/>
                </v:rect>
                <v:rect id="shape_0" stroked="f" style="position:absolute;left:4008;top:2701;width:1723;height:463">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Неутралитет</w:t>
                        </w:r>
                      </w:p>
                    </w:txbxContent>
                  </v:textbox>
                  <w10:wrap type="square"/>
                  <v:fill o:detectmouseclick="t" on="false"/>
                  <v:stroke color="#3465a4" joinstyle="round" endcap="flat"/>
                </v:rect>
                <v:rect id="shape_0" stroked="f" style="position:absolute;left:608;top:3917;width:7079;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Методологически пристрастия</w:t>
                        </w:r>
                      </w:p>
                    </w:txbxContent>
                  </v:textbox>
                  <w10:wrap type="square"/>
                  <v:fill o:detectmouseclick="t" on="false"/>
                  <v:stroke color="#3465a4" joinstyle="round" endcap="flat"/>
                </v:rect>
                <v:shape id="shape_0" stroked="f" style="position:absolute;left:2018;top:4491;width:6856;height:9276" type="shapetype_75">
                  <v:imagedata r:id="rId98" o:detectmouseclick="t"/>
                  <w10:wrap type="none"/>
                  <v:stroke color="#3465a4" joinstyle="round" endcap="flat"/>
                </v:shape>
              </v:group>
            </w:pict>
          </mc:Fallback>
        </mc:AlternateContent>
      </w:r>
      <w:r>
        <w:rPr/>
        <w:t xml:space="preserve">Методологически ангажименти и предубеждения </w:t>
      </w:r>
    </w:p>
    <w:p>
      <w:pPr>
        <w:pStyle w:val="Normal"/>
        <w:rPr/>
      </w:pPr>
      <w:r>
        <w:rPr/>
      </w:r>
    </w:p>
    <w:p>
      <w:pPr>
        <w:pStyle w:val="Normal"/>
        <w:rPr/>
      </w:pPr>
      <w:r>
        <w:rPr/>
      </w:r>
    </w:p>
    <w:p>
      <w:pPr>
        <w:pStyle w:val="P68B1DB1Normal32"/>
        <w:spacing w:lineRule="auto" w:line="240" w:before="0" w:after="0"/>
        <w:ind w:left="0" w:right="0" w:hanging="0"/>
        <w:rPr/>
      </w:pPr>
      <w:r>
        <w:rPr>
          <w:rFonts w:ascii="Times New Roman" w:hAnsi="Times New Roman"/>
        </w:rPr>
        <w:t>а.</w:t>
      </w:r>
      <w:r>
        <w:rPr/>
        <w:t xml:space="preserve"> </w:t>
      </w:r>
      <w:r>
        <w:rPr>
          <w:rFonts w:ascii="Times New Roman" w:hAnsi="Times New Roman"/>
        </w:rPr>
        <w:t xml:space="preserve">Държавни ангажименти по отношение на демокрацията на участието </w:t>
      </w:r>
    </w:p>
    <w:p>
      <w:pPr>
        <w:pStyle w:val="P68B1DB1Normal19"/>
        <w:widowControl w:val="false"/>
        <w:spacing w:lineRule="auto" w:line="240" w:before="0" w:after="0"/>
        <w:ind w:left="0" w:right="0" w:hanging="0"/>
        <w:jc w:val="left"/>
        <w:rPr/>
      </w:pPr>
      <w:r>
        <w:rPr/>
        <w:t>Френската част от Конференцията за бъдещето на Европа е част от ангажиментите на държавата към демокрацията на участието, които се основават на три принципа:</w:t>
      </w:r>
      <w:r>
        <w:rPr>
          <w:b/>
        </w:rPr>
        <w:t xml:space="preserve"> прозрачност, неутралност и задължение незабавно</w:t>
      </w:r>
      <w:r>
        <w:rPr/>
        <w:t xml:space="preserve">. </w:t>
      </w:r>
    </w:p>
    <w:p>
      <w:pPr>
        <w:pStyle w:val="P68B1DB1Normal19"/>
        <w:widowControl w:val="false"/>
        <w:spacing w:lineRule="auto" w:line="240" w:before="0" w:after="0"/>
        <w:ind w:left="0" w:right="0" w:hanging="0"/>
        <w:jc w:val="both"/>
        <w:rPr/>
      </w:pPr>
      <w:r>
        <w:rPr/>
        <w:t xml:space="preserve">Подходът на участие задължава организатора да спазва строга методология. Методът на гражданско участие трябва да позволява на гражданите да участват при възможно най-добрите условия и да изразяват мнението си свободно и обосновано.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Прозрачност </w:t>
      </w:r>
    </w:p>
    <w:p>
      <w:pPr>
        <w:pStyle w:val="P68B1DB1Normal19"/>
        <w:widowControl w:val="false"/>
        <w:spacing w:lineRule="auto" w:line="240" w:before="0" w:after="0"/>
        <w:ind w:left="0" w:right="0" w:hanging="0"/>
        <w:jc w:val="left"/>
        <w:rPr/>
      </w:pPr>
      <w:r>
        <w:rPr/>
        <w:t xml:space="preserve">Екипът за организиране на конференцията се ангажира да направи цялата информация относно консултацията достъпна за гражданите: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Рамката, в която се провежда консултацията; •</w:t>
      </w:r>
      <w:r>
        <w:rPr/>
        <w:t xml:space="preserve"> </w:t>
      </w:r>
      <w:r>
        <w:rPr>
          <w:rFonts w:ascii="Times New Roman" w:hAnsi="Times New Roman"/>
        </w:rPr>
        <w:t xml:space="preserve">Поети ангажименти към гражданите;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Целите на консултацията;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Резултатите от консултацията. </w:t>
      </w:r>
    </w:p>
    <w:p>
      <w:pPr>
        <w:pStyle w:val="Normal"/>
        <w:widowControl w:val="false"/>
        <w:spacing w:lineRule="auto" w:line="240" w:before="0" w:after="0"/>
        <w:ind w:left="0" w:right="0" w:hanging="0"/>
        <w:jc w:val="both"/>
        <w:rPr/>
      </w:pPr>
      <w:r>
        <w:rPr>
          <w:rFonts w:ascii="Times New Roman" w:hAnsi="Times New Roman"/>
          <w:color w:val="000000"/>
          <w:sz w:val="24"/>
        </w:rPr>
        <w:t>По този начин методологията на Конференцията за бъдещето на Европа беше установена с постоянната цел да се гарантира прозрачност за гражданите. Методологията за набиране на произволно подбрани граждани, методологическите предубеждения и отношението към речта на гражданите бяха ясно определени. Участниците получиха и резюме на своята регионална конференция по електронна поща в края на конференцията. Освен това всички работни и изходни документи ще бъдат оповестени публично в края на схемата на платформата за гражданско участие на държавата</w:t>
      </w:r>
      <w:r>
        <w:rPr>
          <w:rStyle w:val="Ancredenotedebasdepage"/>
          <w:rStyle w:val="Ancredenotedebasdepage"/>
          <w:rFonts w:ascii="Times New Roman" w:hAnsi="Times New Roman"/>
          <w:color w:val="000000"/>
          <w:sz w:val="16"/>
        </w:rPr>
        <w:footnoteReference w:id="14"/>
      </w:r>
      <w:r>
        <w:rPr>
          <w:rFonts w:ascii="Times New Roman" w:hAnsi="Times New Roman"/>
          <w:color w:val="000000"/>
          <w:sz w:val="24"/>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Normal"/>
        <w:spacing w:lineRule="auto" w:line="240" w:before="0" w:after="0"/>
        <w:ind w:left="0" w:right="0" w:hanging="0"/>
        <w:rPr/>
      </w:pPr>
      <w:r>
        <w:rPr/>
      </w:r>
      <w:r>
        <w:br w:type="page"/>
      </w:r>
    </w:p>
    <w:p>
      <w:pPr>
        <w:pStyle w:val="P68B1DB1Normal33"/>
        <w:spacing w:lineRule="auto" w:line="240" w:before="0" w:after="0"/>
        <w:ind w:left="0" w:right="0" w:hanging="0"/>
        <w:rPr>
          <w:rFonts w:ascii="Times New Roman" w:hAnsi="Times New Roman"/>
          <w:b/>
          <w:b/>
          <w:color w:val="000000"/>
          <w:sz w:val="24"/>
        </w:rPr>
      </w:pPr>
      <w:r>
        <w:rPr/>
        <w:t xml:space="preserve">Неутралитет </w:t>
      </w:r>
    </w:p>
    <w:p>
      <w:pPr>
        <w:pStyle w:val="P68B1DB1Normal19"/>
        <w:widowControl w:val="false"/>
        <w:spacing w:lineRule="auto" w:line="240" w:before="0" w:after="0"/>
        <w:ind w:left="0" w:right="0" w:hanging="0"/>
        <w:jc w:val="both"/>
        <w:rPr/>
      </w:pPr>
      <w:r>
        <w:rPr/>
        <w:t xml:space="preserve">По време на консултацията екипът организатор трябва да гарантира, че той остава неутрален при улесняването на обмена, както и при изготвянето на резюмета, представящи резултатите. Заинтересованите страни в схемата — фасилитатори, посредници, експерти — не следва да изразяват собствените си виждания или да се стремят да ръководят дебата субективно. </w:t>
      </w:r>
    </w:p>
    <w:p>
      <w:pPr>
        <w:pStyle w:val="P68B1DB1Normal19"/>
        <w:widowControl w:val="false"/>
        <w:spacing w:lineRule="auto" w:line="240" w:before="0" w:after="0"/>
        <w:ind w:left="0" w:right="0" w:hanging="0"/>
        <w:jc w:val="both"/>
        <w:rPr/>
      </w:pPr>
      <w:r>
        <w:rPr/>
        <w:t xml:space="preserve">Целта за неутралност е преследвана на всички етапи от консултацията, като по-специално се гарантира безпристрастен подбор на участниците, пълна свобода в дебатите и липса на влияние върху речта на гражданите от страна на спонсора или заинтересованите страни. Този императив за неутралност се реализира чрез обективен и прозрачен процес на набиране на участници, съгласувани методологически отклонения (обратна експертиза, липса на тематична рамка на дебатите) и специален акцент върху позицията на различните оратори (улесняващи, фасилитатори, експерти). И накрая, организационният екип се увери, че оценява всички думи и не филтрира предложенията на гражданите. </w:t>
      </w:r>
    </w:p>
    <w:p>
      <w:pPr>
        <w:pStyle w:val="P68B1DB1Normal19"/>
        <w:widowControl w:val="false"/>
        <w:spacing w:lineRule="auto" w:line="240" w:before="0" w:after="0"/>
        <w:ind w:left="0" w:right="0" w:hanging="0"/>
        <w:jc w:val="both"/>
        <w:rPr/>
      </w:pPr>
      <w:r>
        <w:rPr>
          <w:b/>
        </w:rPr>
        <w:t>Колегиум от трима гаранти</w:t>
      </w:r>
      <w:r>
        <w:rPr/>
        <w:t xml:space="preserve">, назначен от председателите на Народното събрание и Европейския парламент и от правителството, също така гарантира, че всички мнения се изразяват и вземат предвид.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Дежурство незабавно </w:t>
      </w:r>
    </w:p>
    <w:p>
      <w:pPr>
        <w:pStyle w:val="P68B1DB1Normal19"/>
        <w:widowControl w:val="false"/>
        <w:spacing w:lineRule="auto" w:line="240" w:before="0" w:after="0"/>
        <w:ind w:left="0" w:right="0" w:hanging="0"/>
        <w:jc w:val="both"/>
        <w:rPr/>
      </w:pPr>
      <w:r>
        <w:rPr/>
        <w:t xml:space="preserve">Гражданите, независимо дали са участвали или не в консултацията, имат право да бъдат информирани за избраните от тях предложения и за становищата, които са извлекли от тях, и по какви причини. Това се нарича </w:t>
      </w:r>
      <w:r>
        <w:rPr>
          <w:b/>
        </w:rPr>
        <w:t>дълг веднага</w:t>
      </w:r>
      <w:r>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P68B1DB1Normal19"/>
        <w:spacing w:lineRule="auto" w:line="240" w:before="0" w:after="0"/>
        <w:ind w:left="0" w:right="0" w:hanging="0"/>
        <w:jc w:val="both"/>
        <w:rPr/>
      </w:pPr>
      <w:r>
        <w:rPr/>
        <w:t xml:space="preserve">Той се определя от Междуведомствения център за гражданско участие (ICPC) и Междуведомствената дирекция за обществена трансформация (DITP) като ангажимент, поет от публичния орган, вземащ решения, да предостави на гражданите ясен и четлив отговор на резултатите от консултацията. По-конкретно, задължението за последващи действия е да се върнат на гражданите, за да им обяснят как се вземат предвид техните приноси и как оказват въздействие върху процеса на вземане на решения и върху практиките на администрацията. </w:t>
      </w:r>
    </w:p>
    <w:p>
      <w:pPr>
        <w:pStyle w:val="Normal"/>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19"/>
        <w:widowControl w:val="false"/>
        <w:spacing w:lineRule="auto" w:line="240" w:before="0" w:after="0"/>
        <w:ind w:left="0" w:right="0" w:hanging="0"/>
        <w:jc w:val="both"/>
        <w:rPr/>
      </w:pPr>
      <w:r>
        <w:rPr/>
        <w:t xml:space="preserve">Правителството пое това задължение като последващо действие във връзка с Конференцията за бъдещето на Европа и обяви амбициозен механизъм за последващи действия след националната конференция, описана в следващата част на настоящия доклад (вж. „ </w:t>
      </w:r>
      <w:r>
        <w:rPr>
          <w:i/>
        </w:rPr>
        <w:t>Методологични страни“</w:t>
      </w:r>
      <w:r>
        <w:rPr/>
        <w:t xml:space="preserve">).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3"/>
        <w:spacing w:lineRule="auto" w:line="240" w:before="0" w:after="0"/>
        <w:ind w:left="0" w:right="0" w:hanging="0"/>
        <w:jc w:val="both"/>
        <w:rPr>
          <w:rFonts w:ascii="Times New Roman" w:hAnsi="Times New Roman"/>
          <w:b/>
          <w:b/>
          <w:color w:val="000000"/>
          <w:sz w:val="24"/>
        </w:rPr>
      </w:pPr>
      <w:r>
        <w:rPr/>
        <w:t xml:space="preserve">Б. Методически партии </w:t>
      </w:r>
    </w:p>
    <w:p>
      <w:pPr>
        <w:pStyle w:val="P68B1DB1Normal19"/>
        <w:widowControl w:val="false"/>
        <w:spacing w:lineRule="auto" w:line="240" w:before="0" w:after="0"/>
        <w:ind w:left="0" w:right="0" w:hanging="0"/>
        <w:jc w:val="both"/>
        <w:rPr/>
      </w:pPr>
      <w:r>
        <w:rPr/>
        <w:t xml:space="preserve">Тези три държавни ангажимента бяха отразени в методологията на консултацията под формата на </w:t>
      </w:r>
      <w:r>
        <w:rPr>
          <w:b/>
        </w:rPr>
        <w:t>седем силни методологични отклонения</w:t>
      </w:r>
      <w:r>
        <w:rPr/>
        <w:t xml:space="preserve">. </w:t>
      </w:r>
    </w:p>
    <w:p>
      <w:pPr>
        <w:pStyle w:val="Normal"/>
        <w:widowControl w:val="false"/>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35"/>
        <w:widowControl w:val="false"/>
        <w:spacing w:lineRule="auto" w:line="240" w:before="0" w:after="0"/>
        <w:ind w:left="0" w:right="0" w:hanging="0"/>
        <w:jc w:val="both"/>
        <w:rPr/>
      </w:pPr>
      <w:r>
        <w:rPr>
          <w:rFonts w:ascii="Times New Roman" w:hAnsi="Times New Roman"/>
        </w:rPr>
        <w:t>1.</w:t>
      </w:r>
      <w:r>
        <w:rPr/>
        <w:t xml:space="preserve"> </w:t>
      </w:r>
      <w:r>
        <w:rPr>
          <w:rFonts w:ascii="Times New Roman" w:hAnsi="Times New Roman"/>
        </w:rPr>
        <w:t>Териториализация и близост</w:t>
      </w:r>
    </w:p>
    <w:p>
      <w:pPr>
        <w:pStyle w:val="P68B1DB1Normal24"/>
        <w:widowControl w:val="false"/>
        <w:spacing w:lineRule="auto" w:line="240" w:before="0" w:after="0"/>
        <w:ind w:left="0" w:right="0" w:hanging="0"/>
        <w:jc w:val="both"/>
        <w:rPr/>
      </w:pPr>
      <w:r>
        <w:rPr/>
        <w:t xml:space="preserve">Националният компонент на Конференцията за бъдещето на Европа беше под формата на 18 регионални конференции в 13-те метрополни региона и петте френски ултраморски региона, последвани от национална конференция в Париж. С този избор на организиране на панели на местно равнище желанието беше да </w:t>
      </w:r>
      <w:r>
        <w:rPr>
          <w:b/>
        </w:rPr>
        <w:t>се събере възможно най-близо до гражданите глас</w:t>
      </w:r>
      <w:r>
        <w:rPr/>
        <w:t xml:space="preserve">. Тази пристрастност също така обогатява консултацията, като показва линиите на консенсус и несъгласие между териториите по различни теми.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2.</w:t>
      </w:r>
      <w:r>
        <w:rPr/>
        <w:t xml:space="preserve"> </w:t>
      </w:r>
      <w:r>
        <w:rPr>
          <w:rFonts w:ascii="Times New Roman" w:hAnsi="Times New Roman"/>
        </w:rPr>
        <w:t>Многообразие на профилите на гражданите и използване на жребия</w:t>
      </w:r>
    </w:p>
    <w:p>
      <w:pPr>
        <w:pStyle w:val="P68B1DB1Normal24"/>
        <w:widowControl w:val="false"/>
        <w:spacing w:lineRule="auto" w:line="240" w:before="0" w:after="0"/>
        <w:ind w:left="0" w:right="0" w:hanging="0"/>
        <w:jc w:val="both"/>
        <w:rPr/>
      </w:pPr>
      <w:r>
        <w:rPr/>
        <w:t xml:space="preserve">Преди процеса беше определена цел за набиране на 50 граждани на регионална конференция, с изключение на ултрамаринните конференции на Мартиника, Майот, Гваделупа и Гвиана, с по 30 до 40 граждани, и конференцията Grand Est, в която присъстваха и петима германски граждани от трите гранични стационарни кораба. </w:t>
      </w:r>
      <w:r>
        <w:rPr>
          <w:b/>
        </w:rPr>
        <w:t>Произволното генериране</w:t>
      </w:r>
      <w:r>
        <w:rPr/>
        <w:t xml:space="preserve"> на телефонни номера позволи да се привлекат много граждани, поканени да участват в регионални конференции. </w:t>
      </w:r>
    </w:p>
    <w:p>
      <w:pPr>
        <w:pStyle w:val="P68B1DB1Normal24"/>
        <w:widowControl w:val="false"/>
        <w:spacing w:lineRule="auto" w:line="240" w:before="0" w:after="0"/>
        <w:ind w:left="0" w:right="0" w:hanging="0"/>
        <w:jc w:val="both"/>
        <w:rPr/>
      </w:pPr>
      <w:r>
        <w:rPr/>
        <w:t xml:space="preserve">За да отговарят на условията, гражданите, теглени чрез жребий, трябва да са навършили 18 години и да са французи или постоянно пребиваващи в редовна ситуация. Всяка регионална група от граждани трябваше да бъде </w:t>
      </w:r>
      <w:r>
        <w:rPr>
          <w:b/>
        </w:rPr>
        <w:t>представителна за многообразието на регионалното население</w:t>
      </w:r>
      <w:r>
        <w:rPr/>
        <w:t xml:space="preserve">и да обедини различни </w:t>
      </w:r>
      <w:r>
        <w:rPr>
          <w:b/>
        </w:rPr>
        <w:t>гледни точки за Европа</w:t>
      </w:r>
      <w:r>
        <w:rPr/>
        <w:t xml:space="preserve">. Точната методология за набиране на жребий чрез теглене на жребий е определена в приложение II.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3.</w:t>
      </w:r>
      <w:r>
        <w:rPr/>
        <w:t xml:space="preserve"> </w:t>
      </w:r>
      <w:r>
        <w:rPr>
          <w:rFonts w:ascii="Times New Roman" w:hAnsi="Times New Roman"/>
        </w:rPr>
        <w:t>Прозрачност на подхода</w:t>
      </w:r>
    </w:p>
    <w:p>
      <w:pPr>
        <w:pStyle w:val="P68B1DB1Normal24"/>
        <w:widowControl w:val="false"/>
        <w:spacing w:lineRule="auto" w:line="240" w:before="0" w:after="0"/>
        <w:ind w:left="0" w:right="0" w:hanging="0"/>
        <w:jc w:val="both"/>
        <w:rPr/>
      </w:pPr>
      <w:r>
        <w:rPr>
          <w:b/>
        </w:rPr>
        <w:t>Колегиум от трима гаранти</w:t>
      </w:r>
      <w:r>
        <w:rPr/>
        <w:t xml:space="preserve">, назначени от държавния секретар по европейските въпроси, председателя на Народното събрание и председателя на Европейския парламент, следваха целия процес, за да гарантират неговата неутралност и редовност. По-специално гарантите имат: наблюдава искреността на набирането на граждани чрез жребий, отправя препоръки за подбора на експерти и гарантира, че дебатите са добре организирани. В края на процедурата гарантите ще обявят публично своето становище относно консултацията. Този документ ще бъде публикуван на платформата за държавно участие на гражданите. </w:t>
      </w:r>
    </w:p>
    <w:p>
      <w:pPr>
        <w:pStyle w:val="P68B1DB1Normal24"/>
        <w:widowControl w:val="false"/>
        <w:spacing w:lineRule="auto" w:line="240" w:before="0" w:after="0"/>
        <w:ind w:left="0" w:right="0" w:hanging="0"/>
        <w:jc w:val="both"/>
        <w:rPr/>
      </w:pPr>
      <w:r>
        <w:rPr/>
        <w:t xml:space="preserve">Ще бъде публикувана и на платформата за гражданско участие на държавата: резюметата на осемнадесетте регионални конференции, обобщението на всички промени, изразени на регионалните конференции, обобщението на националната конференция и накрая окончателният доклад, представен на правителството.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5"/>
        <w:spacing w:lineRule="auto" w:line="240" w:before="0" w:after="0"/>
        <w:ind w:left="0" w:right="0" w:hanging="0"/>
        <w:jc w:val="both"/>
        <w:rPr/>
      </w:pPr>
      <w:r>
        <w:rPr>
          <w:rFonts w:ascii="Times New Roman" w:hAnsi="Times New Roman"/>
        </w:rPr>
        <w:t>4.</w:t>
      </w:r>
      <w:r>
        <w:rPr/>
        <w:t xml:space="preserve"> </w:t>
      </w:r>
      <w:r>
        <w:rPr>
          <w:rFonts w:ascii="Times New Roman" w:hAnsi="Times New Roman"/>
        </w:rPr>
        <w:t>Открит дебат без наложена тема</w:t>
      </w:r>
    </w:p>
    <w:p>
      <w:pPr>
        <w:pStyle w:val="P68B1DB1Normal24"/>
        <w:widowControl w:val="false"/>
        <w:spacing w:lineRule="auto" w:line="240" w:before="215" w:after="0"/>
        <w:ind w:left="1" w:right="0" w:hanging="0"/>
        <w:jc w:val="left"/>
        <w:rPr/>
      </w:pPr>
      <w:r>
        <w:rPr/>
        <w:t xml:space="preserve">В контекста на тази национална консултация беше формулиран един-единствен въпрос на вниманието на участващите граждани: </w:t>
      </w:r>
      <w:r>
        <w:rPr>
          <w:i/>
        </w:rPr>
        <w:t>Като френски граждани, какви промени искате за Европа?</w:t>
      </w:r>
      <w:r>
        <w:rPr/>
        <w:t xml:space="preserve"> </w:t>
      </w:r>
    </w:p>
    <w:p>
      <w:pPr>
        <w:pStyle w:val="P68B1DB1Normal24"/>
        <w:widowControl w:val="false"/>
        <w:spacing w:lineRule="auto" w:line="240" w:before="235" w:after="0"/>
        <w:ind w:left="1" w:right="0" w:hanging="0"/>
        <w:jc w:val="both"/>
        <w:rPr/>
      </w:pPr>
      <w:r>
        <w:rPr/>
        <w:t xml:space="preserve">Чрез разгръщането и методологията, въведена, гражданите успяха сами да определят дневния ред на желаните промени, без да бъдат ограничавани от конкретна тема или предварителна нормативна рамка. </w:t>
      </w:r>
    </w:p>
    <w:p>
      <w:pPr>
        <w:pStyle w:val="Normal"/>
        <w:widowControl w:val="false"/>
        <w:spacing w:lineRule="auto" w:line="240" w:before="233" w:after="0"/>
        <w:ind w:left="1" w:right="1" w:hanging="0"/>
        <w:jc w:val="both"/>
        <w:rPr/>
      </w:pPr>
      <w:r>
        <w:rPr>
          <w:rFonts w:ascii="Times New Roman" w:hAnsi="Times New Roman"/>
          <w:color w:val="000000"/>
        </w:rPr>
        <w:t>Целта беше да се даде възможност на гражданите на регионални конференции да се ползват с пълна свобода по темите, които желаят да разгледат. По този начин Министерството на Европа и външните работи за националната част на Конференцията за бъдещето на Европа избра да разработи допълващ подход към европейското учение, който е структуриран около девет теми: изменението на климата и околната среда; здраве; по-силна икономика, социална справедливост и заетост; ЕС в света; ценности и права, върховенство на закона, сигурност; дигитална трансформация; Европейска демокрация; миграция; образование, култура, младеж и спорт; други идеи</w:t>
      </w:r>
      <w:r>
        <w:rPr>
          <w:rStyle w:val="Ancredenotedebasdepage"/>
          <w:rStyle w:val="Ancredenotedebasdepage"/>
          <w:rFonts w:ascii="Times New Roman" w:hAnsi="Times New Roman"/>
          <w:color w:val="000000"/>
          <w:sz w:val="14"/>
        </w:rPr>
        <w:footnoteReference w:id="15"/>
      </w:r>
      <w:r>
        <w:rPr>
          <w:rFonts w:ascii="Times New Roman" w:hAnsi="Times New Roman"/>
          <w:color w:val="000000"/>
        </w:rPr>
        <w:t xml:space="preserve">. </w:t>
      </w:r>
    </w:p>
    <w:p>
      <w:pPr>
        <w:pStyle w:val="P68B1DB1Normal24"/>
        <w:widowControl w:val="false"/>
        <w:spacing w:lineRule="auto" w:line="240" w:before="235" w:after="0"/>
        <w:ind w:left="0" w:right="2" w:hanging="0"/>
        <w:jc w:val="left"/>
        <w:rPr/>
      </w:pPr>
      <w:r>
        <w:rPr/>
        <w:t xml:space="preserve">По този начин темите за обмен на регионални конференции бяха определени от самите граждани, а не от спонсора на учението. </w:t>
      </w:r>
    </w:p>
    <w:p>
      <w:pPr>
        <w:pStyle w:val="P68B1DB1Normal35"/>
        <w:widowControl w:val="false"/>
        <w:spacing w:lineRule="exact" w:line="379" w:before="352" w:after="0"/>
        <w:ind w:left="358" w:right="0" w:hanging="0"/>
        <w:jc w:val="left"/>
        <w:rPr/>
      </w:pPr>
      <w:r>
        <w:rPr>
          <w:rFonts w:ascii="Times New Roman" w:hAnsi="Times New Roman"/>
        </w:rPr>
        <w:t>5.</w:t>
      </w:r>
      <w:r>
        <w:rPr/>
        <w:t xml:space="preserve"> </w:t>
      </w:r>
      <w:r>
        <w:rPr>
          <w:rFonts w:ascii="Times New Roman" w:hAnsi="Times New Roman"/>
        </w:rPr>
        <w:t>Обратна експертиза</w:t>
      </w:r>
    </w:p>
    <w:p>
      <w:pPr>
        <w:pStyle w:val="P68B1DB1Normal24"/>
        <w:widowControl w:val="false"/>
        <w:spacing w:lineRule="auto" w:line="240" w:before="218" w:after="0"/>
        <w:ind w:left="1" w:right="0" w:hanging="0"/>
        <w:jc w:val="left"/>
        <w:rPr/>
      </w:pPr>
      <w:r>
        <w:rPr/>
        <w:t xml:space="preserve">За да се повлияе възможно най-малко на участниците в процеса на идентифициране на техните желания за Европа, беше </w:t>
      </w:r>
      <w:r>
        <w:rPr>
          <w:b/>
        </w:rPr>
        <w:t>направен избор да не се предоставя предварителна информация или експертен опит</w:t>
      </w:r>
      <w:r>
        <w:rPr/>
        <w:t xml:space="preserve"> (например относно настоящия проект на Европейския съюз, неговите компетенции или функционирането на институциите), а да се започне от въпросите на самите граждани. Тази методологична пристрастност се основава на принципа на „ </w:t>
      </w:r>
      <w:r>
        <w:rPr>
          <w:i/>
        </w:rPr>
        <w:t>обратния експертен опит</w:t>
      </w:r>
      <w:r>
        <w:rPr/>
        <w:t xml:space="preserve">“, според който </w:t>
      </w:r>
      <w:r>
        <w:rPr>
          <w:b/>
        </w:rPr>
        <w:t>колективното размисъл</w:t>
      </w:r>
      <w:r>
        <w:rPr/>
        <w:t xml:space="preserve"> се основава на опита и мненията на гражданите, които след това разпитват експерти, за да подкрепят дискусиите си и да консолидират работните си хипотези. </w:t>
      </w:r>
    </w:p>
    <w:p>
      <w:pPr>
        <w:pStyle w:val="P68B1DB1Normal24"/>
        <w:widowControl w:val="false"/>
        <w:spacing w:lineRule="auto" w:line="240" w:before="232" w:after="0"/>
        <w:ind w:left="0" w:right="0" w:hanging="0"/>
        <w:jc w:val="both"/>
        <w:rPr/>
      </w:pPr>
      <w:r>
        <w:rPr/>
        <w:t xml:space="preserve">За постигането на тази цел бяха мобилизирани </w:t>
      </w:r>
      <w:r>
        <w:rPr>
          <w:b/>
        </w:rPr>
        <w:t>експерти</w:t>
      </w:r>
      <w:r>
        <w:rPr/>
        <w:t xml:space="preserve"> в различните региони (средно по три), по-специално от академичните среди и информационните центрове Europe Direct в съответните територии. Те присъстваха в събота и неделя, за да отговорят на въпросите на гражданите, говорейки само по тяхно искане. </w:t>
      </w:r>
      <w:r>
        <w:rPr>
          <w:b/>
        </w:rPr>
        <w:t>Проверителите</w:t>
      </w:r>
      <w:r>
        <w:rPr/>
        <w:t xml:space="preserve"> на факти също бяха достъпни</w:t>
      </w:r>
      <w:r>
        <w:rPr>
          <w:i/>
        </w:rPr>
        <w:t>,</w:t>
      </w:r>
      <w:r>
        <w:rPr/>
        <w:t xml:space="preserve">за да се проверят бързо фактическите въпроси, отправени от гражданите. </w:t>
      </w:r>
    </w:p>
    <w:p>
      <w:pPr>
        <w:pStyle w:val="P68B1DB1Normal24"/>
        <w:widowControl w:val="false"/>
        <w:spacing w:lineRule="auto" w:line="240" w:before="235" w:after="0"/>
        <w:ind w:left="0" w:right="1" w:hanging="0"/>
        <w:jc w:val="both"/>
        <w:rPr/>
      </w:pPr>
      <w:r>
        <w:rPr/>
        <w:t xml:space="preserve">На Националната конференция за синтез в ЕИСК участваха 19 експерти на високо равнище от академичните среди, мозъчни тръстове и дипломатически корпуси. Тези експерти придружаваха група през уикенда, което им позволи да задълбочат промените, изразени в регионите. </w:t>
      </w:r>
    </w:p>
    <w:p>
      <w:pPr>
        <w:pStyle w:val="Normal"/>
        <w:spacing w:lineRule="auto" w:line="240" w:before="0" w:after="0"/>
        <w:ind w:left="0" w:right="0" w:hanging="0"/>
        <w:jc w:val="both"/>
        <w:rPr/>
      </w:pPr>
      <w:r>
        <w:rPr/>
      </w:r>
    </w:p>
    <w:p>
      <w:pPr>
        <w:pStyle w:val="P68B1DB1Normal35"/>
        <w:spacing w:lineRule="auto" w:line="240" w:before="0" w:after="0"/>
        <w:ind w:left="0" w:right="0" w:hanging="0"/>
        <w:jc w:val="both"/>
        <w:rPr/>
      </w:pPr>
      <w:r>
        <w:rPr>
          <w:rFonts w:ascii="Times New Roman" w:hAnsi="Times New Roman"/>
        </w:rPr>
        <w:t>6.</w:t>
      </w:r>
      <w:r>
        <w:rPr/>
        <w:t xml:space="preserve"> </w:t>
      </w:r>
      <w:r>
        <w:rPr>
          <w:rFonts w:ascii="Times New Roman" w:hAnsi="Times New Roman"/>
        </w:rPr>
        <w:t>Колегиалност и гъвкаво управление</w:t>
      </w:r>
    </w:p>
    <w:p>
      <w:pPr>
        <w:pStyle w:val="P68B1DB1Normal24"/>
        <w:widowControl w:val="false"/>
        <w:spacing w:lineRule="auto" w:line="240" w:before="212" w:after="0"/>
        <w:ind w:left="0" w:right="0" w:hanging="0"/>
        <w:jc w:val="left"/>
        <w:rPr/>
      </w:pPr>
      <w:r>
        <w:rPr/>
        <w:t xml:space="preserve">Целият процес е </w:t>
      </w:r>
      <w:r>
        <w:rPr>
          <w:b/>
        </w:rPr>
        <w:t>създаден съвместно</w:t>
      </w:r>
      <w:r>
        <w:rPr/>
        <w:t xml:space="preserve"> от Министерството на Европа и външните работи (MEAE). </w:t>
      </w:r>
    </w:p>
    <w:p>
      <w:pPr>
        <w:pStyle w:val="P68B1DB1Normal24"/>
        <w:widowControl w:val="false"/>
        <w:spacing w:lineRule="auto" w:line="240"/>
        <w:ind w:left="0" w:right="4" w:hanging="0"/>
        <w:jc w:val="both"/>
        <w:rPr/>
      </w:pPr>
      <w:r>
        <w:rPr/>
        <w:t xml:space="preserve">с подкрепата на стратегията за участие на Междуведомствения център за гражданско участие (ICPC) на Междуведомствената дирекция за обществена трансформация (DITP) и Министерството на парламентарните отношения и гражданското участие (MRPC). Схемата беше осъществена от консорциум от доставчици, състоящ се от Roland Berger, Wavestone, Missions Publiques и Harris Interactive за управление на процеса, организиране на конференции, изготвяне на доклади и резюмета, в сътрудничество с регионалните префектури за местната организация на регионални конференции. </w:t>
      </w:r>
    </w:p>
    <w:p>
      <w:pPr>
        <w:pStyle w:val="P68B1DB1Normal24"/>
        <w:widowControl w:val="false"/>
        <w:spacing w:lineRule="auto" w:line="240" w:before="232" w:after="0"/>
        <w:ind w:left="0" w:right="4" w:hanging="0"/>
        <w:jc w:val="left"/>
        <w:rPr/>
      </w:pPr>
      <w:r>
        <w:rPr>
          <w:b/>
        </w:rPr>
        <w:t>Специално управление</w:t>
      </w:r>
      <w:r>
        <w:rPr/>
        <w:t xml:space="preserve"> е създадено около проектен екип, председателстван от MEAE, който обединява CPIC, MRPC и консорциума доставчици. </w:t>
      </w:r>
    </w:p>
    <w:p>
      <w:pPr>
        <w:pStyle w:val="P68B1DB1Normal35"/>
        <w:widowControl w:val="false"/>
        <w:spacing w:lineRule="auto" w:line="240" w:before="354" w:after="0"/>
        <w:ind w:left="358" w:right="0" w:hanging="0"/>
        <w:jc w:val="left"/>
        <w:rPr/>
      </w:pPr>
      <w:r>
        <w:rPr>
          <w:rFonts w:ascii="Times New Roman" w:hAnsi="Times New Roman"/>
        </w:rPr>
        <w:t>7.</w:t>
      </w:r>
      <w:r>
        <w:rPr/>
        <w:t xml:space="preserve"> </w:t>
      </w:r>
      <w:r>
        <w:rPr>
          <w:rFonts w:ascii="Times New Roman" w:hAnsi="Times New Roman"/>
        </w:rPr>
        <w:t>Задължение за проследяване и съгласуване с европейското упражнение</w:t>
      </w:r>
    </w:p>
    <w:p>
      <w:pPr>
        <w:pStyle w:val="P68B1DB1Normal19"/>
        <w:widowControl w:val="false"/>
        <w:spacing w:lineRule="auto" w:line="240" w:before="211" w:after="0"/>
        <w:ind w:left="0" w:right="0" w:hanging="0"/>
        <w:jc w:val="left"/>
        <w:rPr/>
      </w:pPr>
      <w:r>
        <w:rPr/>
        <w:t xml:space="preserve">По повод на националната конференция бяха обявени няколко </w:t>
      </w:r>
      <w:r>
        <w:rPr>
          <w:b/>
        </w:rPr>
        <w:t>елемента от последващото задължение на</w:t>
      </w:r>
      <w:r>
        <w:rPr/>
        <w:t xml:space="preserve"> френските институции след провеждането на Конференцията за бъдещето на Европа: </w:t>
      </w:r>
    </w:p>
    <w:p>
      <w:pPr>
        <w:pStyle w:val="P68B1DB1Normal34"/>
        <w:widowControl w:val="false"/>
        <w:spacing w:lineRule="auto" w:line="240" w:before="333" w:after="0"/>
        <w:ind w:left="720" w:right="0" w:hanging="359"/>
        <w:jc w:val="both"/>
        <w:rPr/>
      </w:pPr>
      <w:r>
        <w:rPr>
          <w:rFonts w:ascii="Calibri" w:hAnsi="Calibri"/>
        </w:rPr>
        <w:t>Предоставяне</w:t>
      </w:r>
      <w:r>
        <w:rPr/>
        <w:t xml:space="preserve"> </w:t>
      </w:r>
      <w:r>
        <w:rPr>
          <w:rFonts w:ascii="Times New Roman" w:hAnsi="Times New Roman"/>
          <w:b/>
        </w:rPr>
        <w:t>на цялата информация</w:t>
      </w:r>
      <w:r>
        <w:rPr>
          <w:rFonts w:ascii="Times New Roman" w:hAnsi="Times New Roman"/>
        </w:rPr>
        <w:t xml:space="preserve"> за подхода, настоящия документ, както и обобщаващите доклади от регионалните и националните конференции, по прозрачен и достъпен начин на новата платформа за участие на гражданите, стартирана по повод завръщането на правителството; </w:t>
      </w:r>
    </w:p>
    <w:p>
      <w:pPr>
        <w:pStyle w:val="P68B1DB1Normal34"/>
        <w:widowControl w:val="false"/>
        <w:spacing w:lineRule="auto" w:line="240" w:before="90" w:after="0"/>
        <w:ind w:left="360" w:right="0" w:hanging="0"/>
        <w:jc w:val="left"/>
        <w:rPr/>
      </w:pPr>
      <w:r>
        <w:rPr>
          <w:rFonts w:ascii="Calibri" w:hAnsi="Calibri"/>
        </w:rPr>
        <w:t>-</w:t>
      </w:r>
      <w:r>
        <w:rPr/>
        <w:t xml:space="preserve"> </w:t>
      </w:r>
      <w:r>
        <w:rPr>
          <w:rFonts w:ascii="Times New Roman" w:hAnsi="Times New Roman"/>
        </w:rPr>
        <w:t xml:space="preserve">Организиране на </w:t>
      </w:r>
      <w:r>
        <w:rPr>
          <w:rFonts w:ascii="Times New Roman" w:hAnsi="Times New Roman"/>
          <w:b/>
        </w:rPr>
        <w:t>проява за връщане на правителството</w:t>
      </w:r>
      <w:r>
        <w:rPr>
          <w:rFonts w:ascii="Times New Roman" w:hAnsi="Times New Roman"/>
        </w:rPr>
        <w:t xml:space="preserve"> на окончателния доклад за националния компонент на Конференцията за бъдещето на Европа през ноември 2021 г.; </w:t>
      </w:r>
    </w:p>
    <w:p>
      <w:pPr>
        <w:pStyle w:val="P68B1DB1Normal34"/>
        <w:widowControl w:val="false"/>
        <w:spacing w:lineRule="auto" w:line="240" w:before="90" w:after="0"/>
        <w:ind w:left="720" w:right="0" w:hanging="359"/>
        <w:jc w:val="both"/>
        <w:rPr/>
      </w:pPr>
      <w:r>
        <w:rPr>
          <w:rFonts w:ascii="Calibri" w:hAnsi="Calibri"/>
        </w:rPr>
        <w:t>-</w:t>
      </w:r>
      <w:r>
        <w:rPr/>
        <w:t xml:space="preserve"> </w:t>
      </w:r>
      <w:r>
        <w:rPr>
          <w:rFonts w:ascii="Times New Roman" w:hAnsi="Times New Roman"/>
        </w:rPr>
        <w:t xml:space="preserve">Създаване на граждански </w:t>
      </w:r>
      <w:r>
        <w:rPr>
          <w:rFonts w:ascii="Times New Roman" w:hAnsi="Times New Roman"/>
          <w:b/>
        </w:rPr>
        <w:t>мониторингов комитет, за да</w:t>
      </w:r>
      <w:r>
        <w:rPr>
          <w:rFonts w:ascii="Times New Roman" w:hAnsi="Times New Roman"/>
        </w:rPr>
        <w:t xml:space="preserve"> се гарантира, че резултатът от процеса е в съответствие с направените предложения. Тази комисия ще се състои от 15 граждани, включително 14 участници от регионалните конференции и един участник от консултацията „Думи </w:t>
      </w:r>
      <w:r>
        <w:rPr>
          <w:rFonts w:ascii="Times New Roman" w:hAnsi="Times New Roman"/>
          <w:i/>
        </w:rPr>
        <w:t>за младежта“</w:t>
      </w:r>
      <w:r>
        <w:rPr>
          <w:rFonts w:ascii="Times New Roman" w:hAnsi="Times New Roman"/>
        </w:rPr>
        <w:t xml:space="preserve">; </w:t>
      </w:r>
    </w:p>
    <w:p>
      <w:pPr>
        <w:pStyle w:val="P68B1DB1Normal34"/>
        <w:widowControl w:val="false"/>
        <w:spacing w:lineRule="auto" w:line="240" w:before="95" w:after="0"/>
        <w:ind w:left="360" w:right="0" w:hanging="0"/>
        <w:jc w:val="left"/>
        <w:rPr/>
      </w:pPr>
      <w:r>
        <w:rPr>
          <w:rFonts w:ascii="Calibri" w:hAnsi="Calibri"/>
        </w:rPr>
        <w:t>Предоставяне</w:t>
      </w:r>
      <w:r>
        <w:rPr/>
        <w:t xml:space="preserve"> </w:t>
      </w:r>
      <w:r>
        <w:rPr>
          <w:rFonts w:ascii="Times New Roman" w:hAnsi="Times New Roman"/>
          <w:b/>
        </w:rPr>
        <w:t>на френския принос за Конференцията за бъдещето на Европа на европейските институции</w:t>
      </w:r>
      <w:r>
        <w:rPr>
          <w:rFonts w:ascii="Times New Roman" w:hAnsi="Times New Roman"/>
        </w:rPr>
        <w:t xml:space="preserve"> през януари 2022 г.; </w:t>
      </w:r>
    </w:p>
    <w:p>
      <w:pPr>
        <w:pStyle w:val="P68B1DB1Normal19"/>
        <w:widowControl w:val="false"/>
        <w:spacing w:lineRule="auto" w:line="240" w:before="87" w:after="0"/>
        <w:ind w:left="0" w:right="0" w:hanging="0"/>
        <w:jc w:val="left"/>
        <w:rPr/>
      </w:pPr>
      <w:r>
        <w:rPr/>
        <w:t xml:space="preserve">Предложенията на френските граждани ще бъдат представени в колективния размисъл на държавите членки и европейските институции. Като страна, която председателства Съвета на Европейския съюз през първата половина на 2022 г., Франция ще трябва да изрази гласа на своите граждани, докато работи за определяне на обща позиция на континентална основа. </w:t>
      </w:r>
    </w:p>
    <w:p>
      <w:pPr>
        <w:pStyle w:val="Normal"/>
        <w:widowControl w:val="false"/>
        <w:spacing w:lineRule="exact" w:line="498" w:before="85" w:after="0"/>
        <w:ind w:left="0" w:right="0" w:hanging="0"/>
        <w:jc w:val="left"/>
        <w:rPr>
          <w:rFonts w:ascii="Times New Roman" w:hAnsi="Times New Roman"/>
          <w:b/>
          <w:b/>
          <w:color w:val="000000"/>
          <w:sz w:val="30"/>
        </w:rPr>
      </w:pPr>
      <w:r>
        <w:rPr>
          <w:rFonts w:ascii="Times New Roman" w:hAnsi="Times New Roman"/>
          <w:b/>
          <w:color w:val="000000"/>
          <w:sz w:val="30"/>
        </w:rPr>
      </w:r>
      <w:r>
        <w:br w:type="page"/>
      </w:r>
    </w:p>
    <w:p>
      <w:pPr>
        <w:pStyle w:val="P68B1DB1Titre236"/>
        <w:numPr>
          <w:ilvl w:val="0"/>
          <w:numId w:val="2"/>
        </w:numPr>
        <w:rPr/>
      </w:pPr>
      <w:bookmarkStart w:id="211" w:name="__RefHeading___Toc300456_1346298689"/>
      <w:bookmarkEnd w:id="211"/>
      <w:r>
        <w:rPr/>
        <w:t xml:space="preserve">Първа част: представяне на резултатите от регионалните конференции за бъдещето на Европа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pPr>
      <w:r>
        <w:rPr/>
        <w:t xml:space="preserve">Във всяка от 18-те регионални конференции гражданите изразиха своите желания за Европа през 2035 г. поотделно и след това като група. Между 3 и 8 групи пожелания се появиха във всеки регион, което доведе до общо </w:t>
      </w:r>
      <w:r>
        <w:rPr>
          <w:b/>
        </w:rPr>
        <w:t>101 желани в цяла Франция Европа</w:t>
      </w:r>
      <w:r>
        <w:rPr/>
        <w:t xml:space="preserve">. След това гражданите формулираха промени, които сметнаха за необходими, за да достигнат желаната Европа, и след това ги илюстрираха с конкретни действия. Този процес доведе до общо </w:t>
      </w:r>
      <w:r>
        <w:rPr>
          <w:b/>
        </w:rPr>
        <w:t>515 промени</w:t>
      </w:r>
      <w:r>
        <w:rPr/>
        <w:t xml:space="preserve"> и 1 </w:t>
      </w:r>
      <w:r>
        <w:rPr>
          <w:b/>
        </w:rPr>
        <w:t xml:space="preserve">301 конкретни действия във </w:t>
      </w:r>
      <w:r>
        <w:rPr/>
        <w:t xml:space="preserve">Франция.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pPr>
      <w:r>
        <w:rPr/>
        <w:t>През седмиците, които разделиха регионалните и националните конференции, екипът на проекта извърши групиране на 515 промени в съгласувани групи. Всички промени, изразени в регионите, бяха подложени на лексикологичен анализ и приключиха, когато основното им намерение изглеждаше подобно или близко, така че да се създадат работни групи на националната конференция с общо желание за Европа. И накрая</w:t>
      </w:r>
      <w:r>
        <w:rPr>
          <w:b/>
        </w:rPr>
        <w:t>, установените в регионите промени бяха групирани в 14 различни европейски желания</w:t>
      </w:r>
      <w:r>
        <w:rPr/>
        <w:t xml:space="preserve">. </w:t>
      </w:r>
    </w:p>
    <w:p>
      <w:pPr>
        <w:pStyle w:val="Normal"/>
        <w:rPr/>
      </w:pPr>
      <w:r>
        <w:rPr/>
        <mc:AlternateContent>
          <mc:Choice Requires="wpg">
            <w:drawing>
              <wp:anchor behindDoc="0" distT="0" distB="0" distL="0" distR="0" simplePos="0" locked="0" layoutInCell="1" allowOverlap="1" relativeHeight="52">
                <wp:simplePos x="0" y="0"/>
                <wp:positionH relativeFrom="column">
                  <wp:posOffset>436880</wp:posOffset>
                </wp:positionH>
                <wp:positionV relativeFrom="paragraph">
                  <wp:posOffset>92075</wp:posOffset>
                </wp:positionV>
                <wp:extent cx="5765800" cy="1319530"/>
                <wp:effectExtent l="0" t="0" r="0" b="0"/>
                <wp:wrapTopAndBottom/>
                <wp:docPr id="94" name="Формуляр 11"/>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99"/>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Пожелания</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за Европа 2035</w:t>
                              </w:r>
                            </w:p>
                          </w:txbxContent>
                        </wps:txbx>
                        <wps:bodyPr lIns="90000" rIns="90000" tIns="45000" bIns="45000">
                          <a:noAutofit/>
                        </wps:bodyPr>
                      </wps:wsp>
                      <wps:wsp>
                        <wps:cNvSpPr/>
                        <wps:spPr>
                          <a:xfrm>
                            <a:off x="2309040" y="195120"/>
                            <a:ext cx="145404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Промени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за достигане на тази желана Европа</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Конкретни предложения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за прилагане на тези промени</w:t>
                              </w:r>
                            </w:p>
                          </w:txbxContent>
                        </wps:txbx>
                        <wps:bodyPr lIns="90000" rIns="90000" tIns="45000" bIns="45000">
                          <a:noAutofit/>
                        </wps:bodyPr>
                      </wps:wsp>
                    </wpg:wgp>
                  </a:graphicData>
                </a:graphic>
              </wp:anchor>
            </w:drawing>
          </mc:Choice>
          <mc:Fallback>
            <w:pict>
              <v:group id="shape_0" alt="Формуляр 11" style="position:absolute;margin-left:34.4pt;margin-top:7.25pt;width:453.95pt;height:103.85pt" coordorigin="688,145" coordsize="9079,2077">
                <v:shape id="shape_0" stroked="f" style="position:absolute;left:688;top:145;width:9078;height:1696" type="shapetype_75">
                  <v:imagedata r:id="rId99" o:detectmouseclick="t"/>
                  <w10:wrap type="none"/>
                  <v:stroke color="#3465a4" joinstyle="round" endcap="flat"/>
                </v:shape>
                <v:rect id="shape_0" stroked="f" style="position:absolute;left:2354;top:452;width:1722;height:1377">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Пожелания</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за Европа 2035</w:t>
                        </w:r>
                      </w:p>
                    </w:txbxContent>
                  </v:textbox>
                  <w10:wrap type="square"/>
                  <v:fill o:detectmouseclick="t" on="false"/>
                  <v:stroke color="#3465a4" joinstyle="round" endcap="flat"/>
                </v:rect>
                <v:rect id="shape_0" stroked="f" style="position:absolute;left:4325;top:452;width:2289;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Промени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за достигане на тази желана Европа</w:t>
                        </w:r>
                      </w:p>
                    </w:txbxContent>
                  </v:textbox>
                  <w10:wrap type="square"/>
                  <v:fill o:detectmouseclick="t" on="false"/>
                  <v:stroke color="#3465a4" joinstyle="round" endcap="flat"/>
                </v:rect>
                <v:rect id="shape_0" stroked="f" style="position:absolute;left:6880;top:270;width:2744;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Конкретни предложения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за прилагане на тези промени</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Въпрос към гражданите</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Какво е вашето желание за Европа през 2035 г.?</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Какви промени са необходими за постигането на тази желана Европа?</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Какви конкретни предложения бихте направили за прилагането на тези промени?</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Резултати от регионалните конференции</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101 желания</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промени</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1301 конкретни предложения</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Поръчване на 515 регионални промени в 14 последователни желания на организационния екип</w:t>
            </w:r>
          </w:p>
        </w:tc>
        <w:tc>
          <w:tcPr>
            <w:tcW w:w="4819"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Групиране, приоритизиране и подробно описание на промените от участниците по време на националната конференция</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Резултати от националната конференция</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14 желания</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80 промени</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pPr>
            <w:r>
              <w:rPr/>
              <w:t>Ключови стъпки за изпълнение и критерии за успех за всяка промяна</w:t>
            </w:r>
          </w:p>
        </w:tc>
      </w:tr>
    </w:tbl>
    <w:p>
      <w:pPr>
        <w:pStyle w:val="Normal"/>
        <w:rPr/>
      </w:pPr>
      <w:r>
        <w:rPr/>
      </w:r>
      <w:r>
        <w:br w:type="page"/>
      </w:r>
    </w:p>
    <w:p>
      <w:pPr>
        <w:pStyle w:val="P68B1DB1Normal33"/>
        <w:spacing w:lineRule="auto" w:line="240"/>
        <w:rPr>
          <w:rFonts w:ascii="Times New Roman" w:hAnsi="Times New Roman"/>
          <w:b/>
          <w:b/>
          <w:color w:val="000000"/>
          <w:sz w:val="24"/>
        </w:rPr>
      </w:pPr>
      <w:r>
        <w:rPr/>
        <w:t xml:space="preserve">A. Класиране на 14-те желания на Европа </w:t>
      </w:r>
    </w:p>
    <w:p>
      <w:pPr>
        <w:pStyle w:val="P68B1DB1Normal19"/>
        <w:widowControl w:val="false"/>
        <w:spacing w:lineRule="auto" w:line="240" w:before="322" w:after="0"/>
        <w:ind w:left="0" w:right="0" w:hanging="0"/>
        <w:jc w:val="left"/>
        <w:rPr>
          <w:rFonts w:ascii="Times New Roman" w:hAnsi="Times New Roman"/>
          <w:color w:val="000000"/>
          <w:sz w:val="24"/>
        </w:rPr>
      </w:pPr>
      <w:r>
        <w:rPr/>
        <w:t xml:space="preserve">В края на всяка регионална конференция участващите граждани гласуваха да изразят подкрепата си за промените, набелязани от различните работни групи. </w:t>
      </w:r>
    </w:p>
    <w:p>
      <w:pPr>
        <w:pStyle w:val="Normal"/>
        <w:widowControl w:val="false"/>
        <w:spacing w:lineRule="auto" w:line="240" w:before="332" w:after="0"/>
        <w:ind w:left="0" w:right="0" w:hanging="0"/>
        <w:jc w:val="both"/>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1750" cy="6269990"/>
                <wp:effectExtent l="0" t="0" r="0" b="0"/>
                <wp:wrapTopAndBottom/>
                <wp:docPr id="95" name="Рамка 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color w:val="auto"/>
                              </w:rPr>
                            </w:pPr>
                            <w:r>
                              <w:rPr>
                                <w:color w:val="auto"/>
                              </w:rPr>
                              <w:t xml:space="preserve">Класиране на желанията на Европа по процент на популярност </w:t>
                            </w:r>
                          </w:p>
                        </w:txbxContent>
                      </wps:txbx>
                      <wps:bodyPr lIns="0" rIns="0" tIns="0" bIns="0">
                        <a:noAutofit/>
                      </wps:bodyPr>
                    </wps:wsp>
                  </a:graphicData>
                </a:graphic>
              </wp:anchor>
            </w:drawing>
          </mc:Choice>
          <mc:Fallback>
            <w:pict>
              <v:rect id="shape_0" ID="Рамка 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color w:val="auto"/>
                        </w:rPr>
                      </w:pPr>
                      <w:r>
                        <w:rPr>
                          <w:color w:val="auto"/>
                        </w:rPr>
                        <w:t xml:space="preserve">Класиране на желанията на Европа по процент на популярност </w:t>
                      </w:r>
                    </w:p>
                  </w:txbxContent>
                </v:textbox>
              </v:rect>
            </w:pict>
          </mc:Fallback>
        </mc:AlternateContent>
      </w:r>
      <w:r>
        <w:rPr>
          <w:rFonts w:ascii="Times New Roman" w:hAnsi="Times New Roman"/>
          <w:color w:val="000000"/>
          <w:sz w:val="24"/>
        </w:rPr>
        <w:t xml:space="preserve">Въз основа на обединенията, проведени преди националната конференция за синтез, е възможно да се определи — благодарение на гласовете за промените във всеки регион — желанията на Европа да са най-популярни сред гражданите. По този начин желанията „ </w:t>
      </w:r>
      <w:r>
        <w:rPr>
          <w:rFonts w:ascii="Times New Roman" w:hAnsi="Times New Roman"/>
          <w:i/>
          <w:color w:val="000000"/>
          <w:sz w:val="24"/>
        </w:rPr>
        <w:t>Европа, която поставя образованието на преден план„</w:t>
      </w:r>
      <w:r>
        <w:rPr>
          <w:rFonts w:ascii="Times New Roman" w:hAnsi="Times New Roman"/>
          <w:color w:val="000000"/>
          <w:sz w:val="24"/>
        </w:rPr>
        <w:t xml:space="preserve"> и „ </w:t>
      </w:r>
      <w:r>
        <w:rPr>
          <w:rFonts w:ascii="Times New Roman" w:hAnsi="Times New Roman"/>
          <w:i/>
          <w:color w:val="000000"/>
          <w:sz w:val="24"/>
        </w:rPr>
        <w:t>по-близка и достъпна Европа</w:t>
      </w:r>
      <w:r>
        <w:rPr>
          <w:rFonts w:ascii="Times New Roman" w:hAnsi="Times New Roman"/>
          <w:color w:val="000000"/>
          <w:sz w:val="24"/>
        </w:rPr>
        <w:t>“</w:t>
      </w:r>
      <w:r>
        <w:rPr>
          <w:rFonts w:ascii="Times New Roman" w:hAnsi="Times New Roman"/>
          <w:i/>
          <w:color w:val="000000"/>
          <w:sz w:val="24"/>
        </w:rPr>
        <w:t xml:space="preserve"> </w:t>
      </w:r>
      <w:r>
        <w:rPr>
          <w:rFonts w:ascii="Times New Roman" w:hAnsi="Times New Roman"/>
          <w:color w:val="000000"/>
          <w:sz w:val="24"/>
        </w:rPr>
        <w:t xml:space="preserve">бяха широко приветствани, като промените бяха подкрепени средно от 56 % от гражданите на регионалните конференции. </w:t>
      </w:r>
    </w:p>
    <w:p>
      <w:pPr>
        <w:pStyle w:val="Normal"/>
        <w:rPr/>
      </w:pPr>
      <w:r>
        <w:rPr/>
        <mc:AlternateContent>
          <mc:Choice Requires="wpg">
            <w:drawing>
              <wp:anchor behindDoc="0" distT="0" distB="0" distL="0" distR="0" simplePos="0" locked="0" layoutInCell="1" allowOverlap="1" relativeHeight="53">
                <wp:simplePos x="0" y="0"/>
                <wp:positionH relativeFrom="column">
                  <wp:posOffset>273050</wp:posOffset>
                </wp:positionH>
                <wp:positionV relativeFrom="paragraph">
                  <wp:posOffset>506095</wp:posOffset>
                </wp:positionV>
                <wp:extent cx="4505960" cy="6283960"/>
                <wp:effectExtent l="0" t="0" r="0" b="0"/>
                <wp:wrapTopAndBottom/>
                <wp:docPr id="97" name="Форма 4"/>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100"/>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Какви промени бихте искали да бъдат приложени?</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Европа, която поставя образованието на преден план</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По-близка и достъпна Европа</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Европа със споделени култури и идентичности</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Европа, ангажирана с предизвикателството, свързано с климата и околната среда</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По-обединена Европа</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Солидарност Европа, която защитава</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Европа, която гарантира зачитането на основните права</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Конкурентоспособна и иновативна Европа</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Европа, която насърчава устойчивото развитие</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По-демократична Европа</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Европа с по-ефективно управление</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Европа, която защитава интересите си</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Мощна Европа в света</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Европа, в която преобладават интересите на всяка държава</w:t>
                              </w:r>
                            </w:p>
                          </w:txbxContent>
                        </wps:txbx>
                        <wps:bodyPr lIns="90000" rIns="90000" tIns="45000" bIns="45000">
                          <a:noAutofit/>
                        </wps:bodyPr>
                      </wps:wsp>
                    </wpg:wgp>
                  </a:graphicData>
                </a:graphic>
              </wp:anchor>
            </w:drawing>
          </mc:Choice>
          <mc:Fallback>
            <w:pict>
              <v:group id="shape_0" alt="Форма 4" style="position:absolute;margin-left:21.5pt;margin-top:39.85pt;width:354.75pt;height:494.75pt" coordorigin="430,797" coordsize="7095,9895">
                <v:shape id="shape_0" stroked="f" style="position:absolute;left:4005;top:1727;width:3121;height:8964" type="shapetype_75">
                  <v:imagedata r:id="rId100" o:detectmouseclick="t"/>
                  <w10:wrap type="none"/>
                  <v:stroke color="#3465a4" joinstyle="round" endcap="flat"/>
                </v:shape>
                <v:rect id="shape_0" stroked="f" style="position:absolute;left:2243;top:797;width:5281;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Какви промени бихте искали да бъдат приложени?</w:t>
                        </w:r>
                      </w:p>
                    </w:txbxContent>
                  </v:textbox>
                  <w10:wrap type="square"/>
                  <v:fill o:detectmouseclick="t" on="false"/>
                  <v:stroke color="#3465a4" joinstyle="round" endcap="flat"/>
                </v:rect>
                <v:rect id="shape_0" stroked="f" style="position:absolute;left:430;top:1960;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Европа, която поставя образованието на преден план</w:t>
                        </w:r>
                      </w:p>
                    </w:txbxContent>
                  </v:textbox>
                  <w10:wrap type="square"/>
                  <v:fill o:detectmouseclick="t" on="false"/>
                  <v:stroke color="#3465a4" joinstyle="round" endcap="flat"/>
                </v:rect>
                <v:rect id="shape_0" stroked="f" style="position:absolute;left:430;top:2497;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По-близка и достъпна Европа</w:t>
                        </w:r>
                      </w:p>
                    </w:txbxContent>
                  </v:textbox>
                  <w10:wrap type="square"/>
                  <v:fill o:detectmouseclick="t" on="false"/>
                  <v:stroke color="#3465a4" joinstyle="round" endcap="flat"/>
                </v:rect>
                <v:rect id="shape_0" stroked="f" style="position:absolute;left:430;top:3235;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Европа със споделени култури и идентичности</w:t>
                        </w:r>
                      </w:p>
                    </w:txbxContent>
                  </v:textbox>
                  <w10:wrap type="square"/>
                  <v:fill o:detectmouseclick="t" on="false"/>
                  <v:stroke color="#3465a4" joinstyle="round" endcap="flat"/>
                </v:rect>
                <v:rect id="shape_0" stroked="f" style="position:absolute;left:430;top:386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Европа, ангажирана с предизвикателството, свързано с климата и околната среда</w:t>
                        </w:r>
                      </w:p>
                    </w:txbxContent>
                  </v:textbox>
                  <w10:wrap type="square"/>
                  <v:fill o:detectmouseclick="t" on="false"/>
                  <v:stroke color="#3465a4" joinstyle="round" endcap="flat"/>
                </v:rect>
                <v:rect id="shape_0" stroked="f" style="position:absolute;left:430;top:4463;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По-обединена Европа</w:t>
                        </w:r>
                      </w:p>
                    </w:txbxContent>
                  </v:textbox>
                  <w10:wrap type="square"/>
                  <v:fill o:detectmouseclick="t" on="false"/>
                  <v:stroke color="#3465a4" joinstyle="round" endcap="flat"/>
                </v:rect>
                <v:rect id="shape_0" stroked="f" style="position:absolute;left:430;top:4940;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Солидарност Европа, която защитава</w:t>
                        </w:r>
                      </w:p>
                    </w:txbxContent>
                  </v:textbox>
                  <w10:wrap type="square"/>
                  <v:fill o:detectmouseclick="t" on="false"/>
                  <v:stroke color="#3465a4" joinstyle="round" endcap="flat"/>
                </v:rect>
                <v:rect id="shape_0" stroked="f" style="position:absolute;left:430;top:557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Европа, която гарантира зачитането на основните права</w:t>
                        </w:r>
                      </w:p>
                    </w:txbxContent>
                  </v:textbox>
                  <w10:wrap type="square"/>
                  <v:fill o:detectmouseclick="t" on="false"/>
                  <v:stroke color="#3465a4" joinstyle="round" endcap="flat"/>
                </v:rect>
                <v:rect id="shape_0" stroked="f" style="position:absolute;left:430;top:6259;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Конкурентоспособна и иновативна Европа</w:t>
                        </w:r>
                      </w:p>
                    </w:txbxContent>
                  </v:textbox>
                  <w10:wrap type="square"/>
                  <v:fill o:detectmouseclick="t" on="false"/>
                  <v:stroke color="#3465a4" joinstyle="round" endcap="flat"/>
                </v:rect>
                <v:rect id="shape_0" stroked="f" style="position:absolute;left:430;top:6959;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Европа, която насърчава устойчивото развитие</w:t>
                        </w:r>
                      </w:p>
                    </w:txbxContent>
                  </v:textbox>
                  <w10:wrap type="square"/>
                  <v:fill o:detectmouseclick="t" on="false"/>
                  <v:stroke color="#3465a4" joinstyle="round" endcap="flat"/>
                </v:rect>
                <v:rect id="shape_0" stroked="f" style="position:absolute;left:430;top:7482;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По-демократична Европа</w:t>
                        </w:r>
                      </w:p>
                    </w:txbxContent>
                  </v:textbox>
                  <w10:wrap type="square"/>
                  <v:fill o:detectmouseclick="t" on="false"/>
                  <v:stroke color="#3465a4" joinstyle="round" endcap="flat"/>
                </v:rect>
                <v:rect id="shape_0" stroked="f" style="position:absolute;left:430;top:7989;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Европа с по-ефективно управление</w:t>
                        </w:r>
                      </w:p>
                    </w:txbxContent>
                  </v:textbox>
                  <w10:wrap type="square"/>
                  <v:fill o:detectmouseclick="t" on="false"/>
                  <v:stroke color="#3465a4" joinstyle="round" endcap="flat"/>
                </v:rect>
                <v:rect id="shape_0" stroked="f" style="position:absolute;left:430;top:8834;width:3491;height:34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Европа, която защитава интересите си</w:t>
                        </w:r>
                      </w:p>
                    </w:txbxContent>
                  </v:textbox>
                  <w10:wrap type="square"/>
                  <v:fill o:detectmouseclick="t" on="false"/>
                  <v:stroke color="#3465a4" joinstyle="round" endcap="flat"/>
                </v:rect>
                <v:rect id="shape_0" stroked="f" style="position:absolute;left:430;top:9494;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Мощна Европа в света</w:t>
                        </w:r>
                      </w:p>
                    </w:txbxContent>
                  </v:textbox>
                  <w10:wrap type="square"/>
                  <v:fill o:detectmouseclick="t" on="false"/>
                  <v:stroke color="#3465a4" joinstyle="round" endcap="flat"/>
                </v:rect>
                <v:rect id="shape_0" stroked="f" style="position:absolute;left:430;top:10052;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Европа, в която преобладават интересите на всяка държава</w:t>
                        </w:r>
                      </w:p>
                    </w:txbxContent>
                  </v:textbox>
                  <w10:wrap type="square"/>
                  <v:fill o:detectmouseclick="t" on="false"/>
                  <v:stroke color="#3465a4" joinstyle="round" endcap="flat"/>
                </v:rect>
              </v:group>
            </w:pict>
          </mc:Fallback>
        </mc:AlternateContent>
      </w:r>
      <w:r>
        <w:br w:type="page"/>
      </w:r>
    </w:p>
    <w:p>
      <w:pPr>
        <w:pStyle w:val="P68B1DB1Normal33"/>
        <w:rPr>
          <w:rFonts w:ascii="Times New Roman" w:hAnsi="Times New Roman"/>
          <w:b/>
          <w:b/>
          <w:color w:val="000000"/>
          <w:sz w:val="24"/>
        </w:rPr>
      </w:pPr>
      <w:r>
        <w:rPr/>
        <w:t xml:space="preserve">Б. Представяне на 14-те приоритетни промени, произтичащи от националната конференция </w:t>
      </w:r>
    </w:p>
    <w:p>
      <w:pPr>
        <w:pStyle w:val="P68B1DB1Normal19"/>
        <w:widowControl w:val="false"/>
        <w:spacing w:lineRule="exact" w:line="388" w:before="322" w:after="0"/>
        <w:ind w:left="0" w:right="0" w:hanging="0"/>
        <w:jc w:val="left"/>
        <w:rPr/>
      </w:pPr>
      <w:r>
        <w:rPr/>
        <w:t xml:space="preserve">На Националната конференция по обобщаване 100-те участващи граждани работиха по една от 14-те създадени групи за желание. В края на работата всяка група избра да представи своето желание </w:t>
      </w:r>
      <w:r>
        <w:rPr>
          <w:b/>
        </w:rPr>
        <w:t>за Европа приоритетна промяна да бъде въведена до 2035</w:t>
      </w:r>
      <w:r>
        <w:rPr/>
        <w:t xml:space="preserve"> г. Тези 14 приоритетни промени бяха предложени за гласуване на 100 граждани в последния ден на националната конференция. Резултатът от това гласуване е изложен по-долу в низходящ ред според броя на получените гласове за всяка промяна. </w:t>
      </w:r>
    </w:p>
    <w:p>
      <w:pPr>
        <w:pStyle w:val="P68B1DB1Normal19"/>
        <w:widowControl w:val="false"/>
        <w:spacing w:lineRule="exact" w:line="413" w:before="332" w:after="0"/>
        <w:ind w:left="0" w:right="708" w:hanging="0"/>
        <w:jc w:val="left"/>
        <w:rPr/>
      </w:pPr>
      <w:r>
        <w:rPr/>
        <w:t xml:space="preserve">Промяната, която получи най-много гласове от 100-те граждани на националната конференция, е „ </w:t>
      </w:r>
      <w:r>
        <w:rPr>
          <w:i/>
        </w:rPr>
        <w:t>Разработване на енергийна трезвеност, за да се консумира по-малко чрез спиране на излишното“</w:t>
      </w:r>
      <w:r>
        <w:rPr/>
        <w:t xml:space="preserve">. </w:t>
      </w:r>
    </w:p>
    <w:p>
      <w:pPr>
        <w:pStyle w:val="P68B1DB1Normal39"/>
        <w:widowControl w:val="false"/>
        <w:spacing w:lineRule="exact" w:line="199" w:before="42" w:after="0"/>
        <w:ind w:left="0" w:right="0" w:hanging="0"/>
        <w:jc w:val="left"/>
        <w:rPr>
          <w:rFonts w:ascii="Times New Roman" w:hAnsi="Times New Roman"/>
          <w:b/>
          <w:b/>
          <w:color w:val="000000"/>
          <w:sz w:val="12"/>
        </w:rPr>
      </w:pPr>
      <w:r>
        <w:rPr/>
        <w:t xml:space="preserve"> </w:t>
      </w:r>
    </w:p>
    <w:p>
      <w:pPr>
        <w:pStyle w:val="P68B1DB1Normal40"/>
        <w:widowControl w:val="false"/>
        <w:spacing w:lineRule="auto" w:line="240"/>
        <w:ind w:left="208" w:right="0" w:hanging="0"/>
        <w:jc w:val="left"/>
        <w:rPr/>
      </w:pPr>
      <w:r>
        <w:rPr>
          <w:b/>
          <w:sz w:val="34"/>
        </w:rPr>
        <w:t xml:space="preserve">14 </w:t>
      </w:r>
      <w:r>
        <w:rPr>
          <w:sz w:val="30"/>
        </w:rPr>
        <w:t>ключови промени за Европа през 2035 г.</w:t>
      </w:r>
    </w:p>
    <w:p>
      <w:pPr>
        <w:pStyle w:val="P68B1DB1Normal41"/>
        <w:widowControl w:val="false"/>
        <w:spacing w:lineRule="auto" w:line="240" w:before="202" w:after="0"/>
        <w:ind w:left="336" w:right="0" w:hanging="0"/>
        <w:jc w:val="left"/>
        <w:rPr/>
      </w:pPr>
      <w:r>
        <w:rPr>
          <w:color w:val="FFFFFF"/>
        </w:rPr>
        <w:t>1</w:t>
      </w:r>
      <w:r>
        <w:rPr>
          <w:color w:val="000000"/>
        </w:rPr>
        <w:t>(1)</w:t>
      </w:r>
      <w:r>
        <w:rPr>
          <w:color w:val="FFFFFF"/>
        </w:rPr>
        <w:t xml:space="preserve"> </w:t>
      </w:r>
      <w:r>
        <w:rPr>
          <w:color w:val="000000"/>
        </w:rPr>
        <w:t>Разработване на енергийна трезвост, за да консумирате по-малко от излишното</w:t>
      </w:r>
    </w:p>
    <w:p>
      <w:pPr>
        <w:pStyle w:val="P68B1DB1Normal41"/>
        <w:widowControl w:val="false"/>
        <w:spacing w:lineRule="auto" w:line="240" w:before="193" w:after="0"/>
        <w:ind w:left="324" w:right="0" w:hanging="0"/>
        <w:jc w:val="left"/>
        <w:rPr/>
      </w:pPr>
      <w:r>
        <w:rPr>
          <w:color w:val="FFFFFF"/>
        </w:rPr>
        <w:t>2</w:t>
      </w:r>
      <w:r>
        <w:rPr>
          <w:color w:val="000000"/>
        </w:rPr>
        <w:t>(2)</w:t>
      </w:r>
      <w:r>
        <w:rPr>
          <w:color w:val="FFFFFF"/>
        </w:rPr>
        <w:t xml:space="preserve"> </w:t>
      </w:r>
      <w:r>
        <w:rPr>
          <w:color w:val="000000"/>
        </w:rPr>
        <w:t>Укрепване на общата отбрана и сигурност на Европейския съюз</w:t>
      </w:r>
    </w:p>
    <w:p>
      <w:pPr>
        <w:pStyle w:val="P68B1DB1Normal41"/>
        <w:widowControl w:val="false"/>
        <w:spacing w:lineRule="auto" w:line="240" w:before="193" w:after="0"/>
        <w:ind w:left="324" w:right="0" w:hanging="0"/>
        <w:jc w:val="left"/>
        <w:rPr/>
      </w:pPr>
      <w:r>
        <w:rPr>
          <w:color w:val="FFFFFF"/>
        </w:rPr>
        <w:t>3</w:t>
      </w:r>
      <w:r>
        <w:rPr>
          <w:color w:val="000000"/>
        </w:rPr>
        <w:t>(3)</w:t>
      </w:r>
      <w:r>
        <w:rPr>
          <w:color w:val="FFFFFF"/>
        </w:rPr>
        <w:t xml:space="preserve"> </w:t>
      </w:r>
      <w:r>
        <w:rPr>
          <w:color w:val="000000"/>
        </w:rPr>
        <w:t>Насърчаване на колективните икономически резултати чрез автономна, конкурентоспособна и ценена промишленост от страна на Европейския съюз</w:t>
      </w:r>
    </w:p>
    <w:p>
      <w:pPr>
        <w:pStyle w:val="P68B1DB1Normal41"/>
        <w:widowControl w:val="false"/>
        <w:spacing w:lineRule="auto" w:line="240" w:before="136" w:after="0"/>
        <w:ind w:left="324" w:right="0" w:hanging="0"/>
        <w:jc w:val="left"/>
        <w:rPr/>
      </w:pPr>
      <w:r>
        <w:rPr>
          <w:color w:val="FFFFFF"/>
        </w:rPr>
        <w:t>4</w:t>
      </w:r>
      <w:r>
        <w:rPr>
          <w:color w:val="000000"/>
        </w:rPr>
        <w:t>(4)</w:t>
      </w:r>
      <w:r>
        <w:rPr>
          <w:color w:val="FFFFFF"/>
        </w:rPr>
        <w:t xml:space="preserve"> </w:t>
      </w:r>
      <w:r>
        <w:rPr>
          <w:color w:val="000000"/>
        </w:rPr>
        <w:t>Създаване на гражданска власт на няколко нива: участие, вземане на решения, контрол</w:t>
      </w:r>
    </w:p>
    <w:p>
      <w:pPr>
        <w:pStyle w:val="P68B1DB1Normal41"/>
        <w:widowControl w:val="false"/>
        <w:spacing w:lineRule="auto" w:line="240" w:before="193" w:after="0"/>
        <w:ind w:left="324" w:right="695" w:hanging="0"/>
        <w:jc w:val="left"/>
        <w:rPr/>
      </w:pPr>
      <w:r>
        <w:rPr>
          <w:color w:val="FFFFFF"/>
        </w:rPr>
        <w:t>5</w:t>
      </w:r>
      <w:r>
        <w:rPr>
          <w:color w:val="000000"/>
        </w:rPr>
        <w:t>(5)</w:t>
      </w:r>
      <w:r>
        <w:rPr>
          <w:color w:val="FFFFFF"/>
        </w:rPr>
        <w:t xml:space="preserve"> </w:t>
      </w:r>
      <w:r>
        <w:rPr>
          <w:color w:val="000000"/>
        </w:rPr>
        <w:t>Присъединяване към федерация на европейски държави със силни компетенции в области от общ интерес</w:t>
      </w:r>
    </w:p>
    <w:p>
      <w:pPr>
        <w:pStyle w:val="P68B1DB1Normal41"/>
        <w:widowControl w:val="false"/>
        <w:spacing w:lineRule="auto" w:line="240" w:before="136" w:after="0"/>
        <w:ind w:left="324" w:right="0" w:hanging="0"/>
        <w:jc w:val="left"/>
        <w:rPr/>
      </w:pPr>
      <w:r>
        <w:rPr>
          <w:color w:val="000000"/>
        </w:rPr>
        <w:t>6 (6)</w:t>
      </w:r>
      <w:r>
        <w:rPr>
          <w:color w:val="FFFFFF"/>
        </w:rPr>
        <w:t xml:space="preserve"> </w:t>
      </w:r>
      <w:r>
        <w:rPr>
          <w:color w:val="000000"/>
        </w:rPr>
        <w:t>Предлагане на програми за обмен през целия живот</w:t>
      </w:r>
    </w:p>
    <w:p>
      <w:pPr>
        <w:pStyle w:val="P68B1DB1Normal41"/>
        <w:widowControl w:val="false"/>
        <w:spacing w:lineRule="auto" w:line="240" w:before="193" w:after="0"/>
        <w:ind w:left="324" w:right="0" w:hanging="0"/>
        <w:jc w:val="left"/>
        <w:rPr/>
      </w:pPr>
      <w:r>
        <w:rPr>
          <w:color w:val="FFFFFF"/>
        </w:rPr>
        <w:t>7</w:t>
      </w:r>
      <w:r>
        <w:rPr>
          <w:color w:val="000000"/>
        </w:rPr>
        <w:t>(7)</w:t>
      </w:r>
      <w:r>
        <w:rPr>
          <w:color w:val="FFFFFF"/>
        </w:rPr>
        <w:t xml:space="preserve"> </w:t>
      </w:r>
      <w:r>
        <w:rPr>
          <w:color w:val="000000"/>
        </w:rPr>
        <w:t>Споделяне на европейските култури чрез обединяващи събития и събития</w:t>
      </w:r>
    </w:p>
    <w:p>
      <w:pPr>
        <w:pStyle w:val="P68B1DB1Normal41"/>
        <w:widowControl w:val="false"/>
        <w:spacing w:lineRule="auto" w:line="240" w:before="353" w:after="0"/>
        <w:ind w:left="324" w:right="0" w:hanging="0"/>
        <w:jc w:val="left"/>
        <w:rPr/>
      </w:pPr>
      <w:r>
        <w:rPr>
          <w:color w:val="FFFFFF"/>
        </w:rPr>
        <w:t>8</w:t>
      </w:r>
      <w:r>
        <w:rPr>
          <w:color w:val="000000"/>
        </w:rPr>
        <w:t>(8)</w:t>
      </w:r>
      <w:r>
        <w:rPr>
          <w:color w:val="FFFFFF"/>
        </w:rPr>
        <w:t xml:space="preserve"> </w:t>
      </w:r>
      <w:r>
        <w:rPr>
          <w:color w:val="000000"/>
        </w:rPr>
        <w:t>Хармонизиране на здравето и осигуряване на достъп до него за всички европейци чрез обща здравна политика</w:t>
      </w:r>
    </w:p>
    <w:p>
      <w:pPr>
        <w:pStyle w:val="P68B1DB1Normal41"/>
        <w:widowControl w:val="false"/>
        <w:spacing w:lineRule="auto" w:line="240" w:before="193" w:after="0"/>
        <w:ind w:left="324" w:right="0" w:hanging="0"/>
        <w:jc w:val="left"/>
        <w:rPr/>
      </w:pPr>
      <w:r>
        <w:rPr>
          <w:color w:val="FFFFFF"/>
        </w:rPr>
        <w:t>9</w:t>
      </w:r>
      <w:r>
        <w:rPr>
          <w:color w:val="000000"/>
        </w:rPr>
        <w:t>(9)</w:t>
      </w:r>
      <w:r>
        <w:rPr>
          <w:color w:val="FFFFFF"/>
        </w:rPr>
        <w:t xml:space="preserve"> </w:t>
      </w:r>
      <w:r>
        <w:rPr>
          <w:color w:val="000000"/>
        </w:rPr>
        <w:t>Разработване и пилотиране на стратегически канали на европейско равнище, за да се гарантира нашият суверенитет</w:t>
      </w:r>
    </w:p>
    <w:p>
      <w:pPr>
        <w:pStyle w:val="P68B1DB1Normal41"/>
        <w:widowControl w:val="false"/>
        <w:spacing w:lineRule="auto" w:line="240" w:before="193" w:after="0"/>
        <w:ind w:left="324" w:right="0" w:hanging="0"/>
        <w:jc w:val="left"/>
        <w:rPr/>
      </w:pPr>
      <w:r>
        <w:rPr>
          <w:color w:val="FFFFFF"/>
        </w:rPr>
        <w:t>10</w:t>
      </w:r>
      <w:r>
        <w:rPr>
          <w:color w:val="000000"/>
        </w:rPr>
        <w:t>(10)Подобряване на опазването на околната среда и екосистемите и създаване на защитени зони в центъра на градските, крайградските и селските райони</w:t>
      </w:r>
    </w:p>
    <w:p>
      <w:pPr>
        <w:pStyle w:val="P68B1DB1Normal41"/>
        <w:widowControl w:val="false"/>
        <w:spacing w:lineRule="auto" w:line="240" w:before="136" w:after="0"/>
        <w:ind w:left="295" w:right="0" w:hanging="0"/>
        <w:jc w:val="left"/>
        <w:rPr/>
      </w:pPr>
      <w:r>
        <w:rPr>
          <w:color w:val="FFFFFF"/>
        </w:rPr>
        <w:t>11</w:t>
      </w:r>
      <w:r>
        <w:rPr>
          <w:color w:val="000000"/>
        </w:rPr>
        <w:t>(11)</w:t>
      </w:r>
      <w:r>
        <w:rPr>
          <w:color w:val="FFFFFF"/>
        </w:rPr>
        <w:t xml:space="preserve"> </w:t>
      </w:r>
      <w:r>
        <w:rPr>
          <w:color w:val="000000"/>
        </w:rPr>
        <w:t>Създаване на европейски релета на териториите, които да слушат и съветват гражданите</w:t>
      </w:r>
    </w:p>
    <w:p>
      <w:pPr>
        <w:pStyle w:val="P68B1DB1Normal41"/>
        <w:widowControl w:val="false"/>
        <w:spacing w:lineRule="auto" w:line="240" w:before="193" w:after="0"/>
        <w:ind w:left="283" w:right="643" w:hanging="0"/>
        <w:jc w:val="left"/>
        <w:rPr/>
      </w:pPr>
      <w:r>
        <w:rPr>
          <w:color w:val="FFFFFF"/>
        </w:rPr>
        <w:t>12</w:t>
      </w:r>
      <w:r>
        <w:rPr>
          <w:color w:val="000000"/>
        </w:rPr>
        <w:t>(12)</w:t>
      </w:r>
      <w:r>
        <w:rPr>
          <w:color w:val="FFFFFF"/>
        </w:rPr>
        <w:t xml:space="preserve"> </w:t>
      </w:r>
      <w:r>
        <w:rPr>
          <w:color w:val="000000"/>
        </w:rPr>
        <w:t>Обединяване на начина на избиране на Европейски парламент за двадесет и седемте държави и подобряване на близостта на гражданите чрез замяна на настоящото гласуване с еднократно гласуване на регионално равнище</w:t>
      </w:r>
    </w:p>
    <w:p>
      <w:pPr>
        <w:pStyle w:val="P68B1DB1Normal41"/>
        <w:widowControl w:val="false"/>
        <w:spacing w:lineRule="auto" w:line="240" w:before="136" w:after="0"/>
        <w:ind w:left="283" w:right="164" w:hanging="0"/>
        <w:jc w:val="left"/>
        <w:rPr/>
      </w:pPr>
      <w:r>
        <w:rPr>
          <w:color w:val="FFFFFF"/>
        </w:rPr>
        <w:t>13</w:t>
      </w:r>
      <w:r>
        <w:rPr>
          <w:color w:val="000000"/>
        </w:rPr>
        <w:t>(13)</w:t>
      </w:r>
      <w:r>
        <w:rPr>
          <w:color w:val="FFFFFF"/>
        </w:rPr>
        <w:t xml:space="preserve"> </w:t>
      </w:r>
      <w:r>
        <w:rPr>
          <w:color w:val="000000"/>
        </w:rPr>
        <w:t>Определяне на обща политика за подобряване на приемането и социалната и професионалната интеграция на мигрантите (включително незаконните мигранти)</w:t>
      </w:r>
    </w:p>
    <w:p>
      <w:pPr>
        <w:pStyle w:val="P68B1DB1Normal41"/>
        <w:widowControl w:val="false"/>
        <w:spacing w:lineRule="auto" w:line="240" w:before="136" w:after="0"/>
        <w:ind w:left="283" w:right="700" w:hanging="0"/>
        <w:jc w:val="left"/>
        <w:rPr/>
      </w:pPr>
      <w:r>
        <w:rPr>
          <w:color w:val="FFFFFF"/>
        </w:rPr>
        <w:t>14</w:t>
      </w:r>
      <w:r>
        <w:rPr>
          <w:color w:val="000000"/>
        </w:rPr>
        <w:t>(14)</w:t>
      </w:r>
      <w:r>
        <w:rPr>
          <w:color w:val="FFFFFF"/>
        </w:rPr>
        <w:t xml:space="preserve"> </w:t>
      </w:r>
      <w:r>
        <w:rPr>
          <w:color w:val="000000"/>
        </w:rPr>
        <w:t>Да се запазят особеностите (етикети на храни, занаятчийско производство, традиции) на различните европейски региони, за да се избегне единният начин на живот и да се гарантира проследимостта и качеството на продуктите</w:t>
      </w:r>
    </w:p>
    <w:p>
      <w:pPr>
        <w:pStyle w:val="Normal"/>
        <w:spacing w:lineRule="auto" w:line="240"/>
        <w:rPr/>
      </w:pPr>
      <w:r>
        <w:rPr/>
      </w:r>
    </w:p>
    <w:p>
      <w:pPr>
        <w:pStyle w:val="Normal"/>
        <w:rPr/>
      </w:pPr>
      <w:r>
        <w:rPr/>
        <w:t xml:space="preserve">За всяка приоритетна промяна гражданите на съответната група дадоха определение за промяна, предложиха конкретни действия за нейното изпълнение и посочиха критериите за успех до 2035 г. </w:t>
      </w:r>
    </w:p>
    <w:p>
      <w:pPr>
        <w:pStyle w:val="Normal"/>
        <w:rPr/>
      </w:pPr>
      <w:r>
        <w:rPr/>
      </w:r>
      <w:r>
        <w:br w:type="page"/>
      </w:r>
    </w:p>
    <w:p>
      <w:pPr>
        <w:pStyle w:val="P68B1DB1Normal42"/>
        <w:widowControl w:val="false"/>
        <w:spacing w:lineRule="auto" w:line="240" w:before="237" w:after="0"/>
        <w:ind w:left="0" w:right="0" w:hanging="0"/>
        <w:jc w:val="left"/>
        <w:rPr/>
      </w:pPr>
      <w:r>
        <w:rPr/>
        <w:t xml:space="preserve">Промяна 1 — Разработване на енергийна трезвост, за да консумирате по-малко чрез спиране на излишното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Желание на асоциирана Европа: Европа, ангажирана с предизвикателството, свързано с климата и околната среда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Какво означава тази промяна? </w:t>
      </w:r>
    </w:p>
    <w:p>
      <w:pPr>
        <w:pStyle w:val="P68B1DB1Normal7"/>
        <w:widowControl w:val="false"/>
        <w:spacing w:lineRule="auto" w:line="240" w:before="76" w:after="0"/>
        <w:ind w:left="0" w:right="0" w:hanging="0"/>
        <w:jc w:val="left"/>
        <w:rPr/>
      </w:pPr>
      <w:r>
        <w:rPr>
          <w:i/>
          <w:color w:val="000000"/>
        </w:rPr>
        <w:t>Ключови думи: Развитие на възобновяемите енергийни източници, намаляване на потреблението на енергия</w:t>
      </w:r>
      <w:r>
        <w:rPr>
          <w:b/>
          <w:color w:val="273375"/>
        </w:rPr>
        <w:t xml:space="preserve"> </w:t>
      </w:r>
    </w:p>
    <w:p>
      <w:pPr>
        <w:pStyle w:val="P68B1DB1Normal19"/>
        <w:widowControl w:val="false"/>
        <w:spacing w:lineRule="auto" w:line="240" w:before="248" w:after="0"/>
        <w:ind w:left="0" w:right="9" w:hanging="0"/>
        <w:jc w:val="both"/>
        <w:rPr/>
      </w:pPr>
      <w:r>
        <w:rPr/>
        <w:t xml:space="preserve">Тази промяна има за цел да насърчи намаляването на потреблението на енергия в Европа и развитието на енергията от възобновяеми източници. Приоритизирането ѝ от страна на гражданите отразява желанието им да включат Европа и нейните жители в </w:t>
      </w:r>
      <w:r>
        <w:rPr>
          <w:b/>
        </w:rPr>
        <w:t>решителен подход</w:t>
      </w:r>
      <w:r>
        <w:rPr/>
        <w:t xml:space="preserve"> към предизвикателствата, свързани с климата и околната среда.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Какви са основните стъпки и критерии за успех? </w:t>
      </w:r>
    </w:p>
    <w:p>
      <w:pPr>
        <w:pStyle w:val="P68B1DB1Normal19"/>
        <w:widowControl w:val="false"/>
        <w:spacing w:lineRule="auto" w:line="240" w:before="237" w:after="0"/>
        <w:ind w:left="0" w:right="9" w:hanging="0"/>
        <w:jc w:val="both"/>
        <w:rPr/>
      </w:pPr>
      <w:r>
        <w:rPr/>
        <w:t xml:space="preserve">Тази промяна е отразена в разработването </w:t>
      </w:r>
      <w:r>
        <w:rPr>
          <w:b/>
        </w:rPr>
        <w:t>на амбициозни програми за научни изследвания</w:t>
      </w:r>
      <w:r>
        <w:rPr/>
        <w:t xml:space="preserve"> в областта на възобновяемите енергийни източници и </w:t>
      </w:r>
      <w:r>
        <w:rPr>
          <w:b/>
        </w:rPr>
        <w:t>разгръщането на европейски инвестиционни фондове</w:t>
      </w:r>
      <w:r>
        <w:rPr/>
        <w:t xml:space="preserve"> с пряко участие в предприятия в сектора. </w:t>
      </w:r>
    </w:p>
    <w:p>
      <w:pPr>
        <w:pStyle w:val="P68B1DB1Normal19"/>
        <w:widowControl w:val="false"/>
        <w:spacing w:lineRule="auto" w:line="240" w:before="326" w:after="0"/>
        <w:ind w:left="0" w:right="9" w:hanging="0"/>
        <w:jc w:val="both"/>
        <w:rPr/>
      </w:pPr>
      <w:r>
        <w:rPr/>
        <w:t xml:space="preserve">За гражданите тази промяна би била успешна, ако бъдат въведени </w:t>
      </w:r>
      <w:r>
        <w:rPr>
          <w:b/>
        </w:rPr>
        <w:t>обвързващи цели за потреблениена енергия и ключови показатели</w:t>
      </w:r>
      <w:r>
        <w:rPr/>
        <w:t xml:space="preserve"> за трезвост, като например намаляване на европейския автомобилен парк или консумация на месо. Амбицията е също така да се постигне успех при определянето на </w:t>
      </w:r>
      <w:r>
        <w:rPr>
          <w:b/>
        </w:rPr>
        <w:t>квоти за потребление по сектори, като се</w:t>
      </w:r>
      <w:r>
        <w:rPr/>
        <w:t xml:space="preserve"> вземат предвид колебанията в потреблението на дружествата и се зачита поверителността на техните данни. </w:t>
      </w:r>
    </w:p>
    <w:p>
      <w:pPr>
        <w:pStyle w:val="Normal"/>
        <w:spacing w:lineRule="auto" w:line="240"/>
        <w:rPr/>
      </w:pPr>
      <w:r>
        <w:rPr/>
      </w:r>
    </w:p>
    <w:p>
      <w:pPr>
        <w:pStyle w:val="P68B1DB1Normal42"/>
        <w:spacing w:lineRule="auto" w:line="240"/>
        <w:rPr/>
      </w:pPr>
      <w:r>
        <w:rPr/>
        <w:t xml:space="preserve">Промяна 2 — Укрепване на общата отбрана и сигурност на Европейския съюз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Желание на асоциирана Европа: Мощна Европа в света </w:t>
      </w:r>
    </w:p>
    <w:p>
      <w:pPr>
        <w:pStyle w:val="P68B1DB1Normal33"/>
        <w:widowControl w:val="false"/>
        <w:spacing w:lineRule="auto" w:line="240" w:before="321" w:after="0"/>
        <w:ind w:left="0" w:right="0" w:hanging="0"/>
        <w:jc w:val="left"/>
        <w:rPr>
          <w:rFonts w:ascii="Times New Roman" w:hAnsi="Times New Roman"/>
          <w:b/>
          <w:b/>
          <w:color w:val="000000"/>
          <w:sz w:val="24"/>
        </w:rPr>
      </w:pPr>
      <w:r>
        <w:rPr/>
        <w:t xml:space="preserve">Какво означава тази промяна? </w:t>
      </w:r>
    </w:p>
    <w:p>
      <w:pPr>
        <w:pStyle w:val="P68B1DB1Normal7"/>
        <w:widowControl w:val="false"/>
        <w:spacing w:lineRule="auto" w:line="240" w:before="78" w:after="0"/>
        <w:ind w:left="0" w:right="0" w:hanging="0"/>
        <w:jc w:val="left"/>
        <w:rPr/>
      </w:pPr>
      <w:r>
        <w:rPr>
          <w:i/>
          <w:color w:val="000000"/>
        </w:rPr>
        <w:t>Ключови думи: Европейска армия, стратегическа автономност</w:t>
      </w:r>
      <w:r>
        <w:rPr>
          <w:b/>
          <w:color w:val="273375"/>
        </w:rPr>
        <w:t xml:space="preserve"> </w:t>
      </w:r>
    </w:p>
    <w:p>
      <w:pPr>
        <w:pStyle w:val="P68B1DB1Normal19"/>
        <w:widowControl w:val="false"/>
        <w:spacing w:lineRule="auto" w:line="240" w:before="201" w:after="0"/>
        <w:ind w:left="0" w:right="10" w:hanging="0"/>
        <w:jc w:val="left"/>
        <w:rPr/>
      </w:pPr>
      <w:r>
        <w:rPr/>
        <w:t>Тази промяна отговаря на единодушната воля на гражданите да постигнат</w:t>
      </w:r>
      <w:r>
        <w:rPr>
          <w:b/>
        </w:rPr>
        <w:t>автономия</w:t>
      </w:r>
      <w:r>
        <w:rPr/>
        <w:t xml:space="preserve"> в областта на отбраната и сигурността в Европа, така че да не зависят от чужди сили.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Какви са основните стъпки и критерии за успех? </w:t>
      </w:r>
    </w:p>
    <w:p>
      <w:pPr>
        <w:pStyle w:val="P68B1DB1Normal19"/>
        <w:widowControl w:val="false"/>
        <w:spacing w:lineRule="auto" w:line="240" w:before="198" w:after="0"/>
        <w:ind w:left="0" w:right="10" w:hanging="0"/>
        <w:jc w:val="left"/>
        <w:rPr/>
      </w:pPr>
      <w:r>
        <w:rPr/>
        <w:t>Успехът на тази промяна би довел преди всичко до назначаването на</w:t>
      </w:r>
      <w:r>
        <w:rPr>
          <w:b/>
        </w:rPr>
        <w:t xml:space="preserve"> европейски комисар по въпросите</w:t>
      </w:r>
      <w:r>
        <w:rPr/>
        <w:t xml:space="preserve"> на отбраната и сигурността. </w:t>
      </w:r>
    </w:p>
    <w:p>
      <w:pPr>
        <w:pStyle w:val="P68B1DB1Normal19"/>
        <w:widowControl w:val="false"/>
        <w:spacing w:lineRule="auto" w:line="240" w:before="203" w:after="0"/>
        <w:ind w:left="0" w:right="10" w:hanging="0"/>
        <w:jc w:val="both"/>
        <w:rPr/>
      </w:pPr>
      <w:r>
        <w:rPr/>
        <w:t>В областта на отбраната създаването на</w:t>
      </w:r>
      <w:r>
        <w:rPr>
          <w:b/>
        </w:rPr>
        <w:t xml:space="preserve"> постоянна, реактивна и предвидима армия по</w:t>
      </w:r>
      <w:r>
        <w:rPr/>
        <w:t xml:space="preserve"> света ще позволи на Европа да защити своите граници и, ако е необходимо, да се намеси по искане на трети държави. </w:t>
      </w:r>
    </w:p>
    <w:p>
      <w:pPr>
        <w:pStyle w:val="P68B1DB1Normal19"/>
        <w:widowControl w:val="false"/>
        <w:spacing w:lineRule="auto" w:line="240" w:before="206" w:after="0"/>
        <w:ind w:left="0" w:right="10" w:hanging="0"/>
        <w:jc w:val="both"/>
        <w:rPr/>
      </w:pPr>
      <w:r>
        <w:rPr/>
        <w:t xml:space="preserve">По отношение на сигурността Европа следва, в очите на своите граждани, да гарантира </w:t>
      </w:r>
      <w:r>
        <w:rPr>
          <w:b/>
        </w:rPr>
        <w:t>сигурността на своите доставки</w:t>
      </w:r>
      <w:r>
        <w:rPr/>
        <w:t xml:space="preserve"> и да защитава своите </w:t>
      </w:r>
      <w:r>
        <w:rPr>
          <w:b/>
        </w:rPr>
        <w:t>стратегически научни изследвания</w:t>
      </w:r>
      <w:r>
        <w:rPr/>
        <w:t xml:space="preserve"> в приоритетни сектори като космическото пространство, киберсигурността, медицинския сектор и околната среда. По-добрата </w:t>
      </w:r>
      <w:r>
        <w:rPr>
          <w:b/>
        </w:rPr>
        <w:t>защита на външните граници</w:t>
      </w:r>
      <w:r>
        <w:rPr/>
        <w:t xml:space="preserve"> следва също така да спомогне за спирането на незаконната имиграция и трафика на хора. </w:t>
      </w:r>
    </w:p>
    <w:p>
      <w:pPr>
        <w:pStyle w:val="Normal"/>
        <w:spacing w:lineRule="auto" w:line="240"/>
        <w:rPr/>
      </w:pPr>
      <w:r>
        <w:rPr/>
      </w:r>
    </w:p>
    <w:p>
      <w:pPr>
        <w:pStyle w:val="P68B1DB1Normal42"/>
        <w:spacing w:lineRule="auto" w:line="240"/>
        <w:rPr/>
      </w:pPr>
      <w:r>
        <w:rPr/>
        <w:t xml:space="preserve">Промяна 3 — Насърчаване на колективните икономически резултати чрез автономна, конкурентоспособна и ценена промишленост от страна на Европейския съюз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Желание на асоциирана Европа: Европа, която защитава интересите си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Какво означава тази промяна? </w:t>
      </w:r>
    </w:p>
    <w:p>
      <w:pPr>
        <w:pStyle w:val="P68B1DB1Normal44"/>
        <w:widowControl w:val="false"/>
        <w:spacing w:lineRule="auto" w:line="240" w:before="84" w:after="0"/>
        <w:ind w:left="0" w:right="10" w:hanging="0"/>
        <w:jc w:val="left"/>
        <w:rPr>
          <w:rFonts w:ascii="Times New Roman" w:hAnsi="Times New Roman"/>
          <w:i/>
          <w:i/>
          <w:color w:val="000000"/>
          <w:sz w:val="24"/>
        </w:rPr>
      </w:pPr>
      <w:r>
        <w:rPr/>
        <w:t xml:space="preserve">Ключови думи: </w:t>
      </w:r>
    </w:p>
    <w:p>
      <w:pPr>
        <w:pStyle w:val="P68B1DB1Normal7"/>
        <w:widowControl w:val="false"/>
        <w:spacing w:lineRule="auto" w:line="240"/>
        <w:ind w:left="0" w:right="10" w:hanging="0"/>
        <w:jc w:val="left"/>
        <w:rPr/>
      </w:pPr>
      <w:r>
        <w:rPr>
          <w:i/>
          <w:color w:val="000000"/>
        </w:rPr>
        <w:t>Европейски предпочитания, защита на ноу-хау, развитие на европейски шампиони</w:t>
      </w:r>
      <w:r>
        <w:rPr>
          <w:b/>
          <w:color w:val="273375"/>
        </w:rPr>
        <w:t xml:space="preserve"> </w:t>
      </w:r>
    </w:p>
    <w:p>
      <w:pPr>
        <w:pStyle w:val="P68B1DB1Normal19"/>
        <w:widowControl w:val="false"/>
        <w:spacing w:lineRule="auto" w:line="240" w:before="321" w:after="0"/>
        <w:ind w:left="0" w:right="10" w:hanging="0"/>
        <w:jc w:val="both"/>
        <w:rPr/>
      </w:pPr>
      <w:r>
        <w:rPr/>
        <w:t xml:space="preserve">Целта на тази промяна е да се постигнат три цели: укрепване на политиката на </w:t>
      </w:r>
      <w:r>
        <w:rPr>
          <w:b/>
        </w:rPr>
        <w:t>„</w:t>
      </w:r>
      <w:r>
        <w:rPr/>
        <w:t xml:space="preserve"> </w:t>
      </w:r>
      <w:r>
        <w:rPr>
          <w:b/>
        </w:rPr>
        <w:t>европейски преференции„</w:t>
      </w:r>
      <w:r>
        <w:rPr/>
        <w:t xml:space="preserve"> в рамките на Съюза, гарантиране на </w:t>
      </w:r>
      <w:r>
        <w:rPr>
          <w:b/>
        </w:rPr>
        <w:t>защитата на основните стоки и ноу-хау</w:t>
      </w:r>
      <w:r>
        <w:rPr/>
        <w:t xml:space="preserve"> и създаване на </w:t>
      </w:r>
      <w:r>
        <w:rPr>
          <w:b/>
        </w:rPr>
        <w:t>„европейски шампиони“.</w:t>
      </w:r>
      <w:r>
        <w:rPr/>
        <w:t xml:space="preserv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Какви са основните стъпки и критерии за успех? </w:t>
      </w:r>
    </w:p>
    <w:p>
      <w:pPr>
        <w:pStyle w:val="P68B1DB1Normal19"/>
        <w:widowControl w:val="false"/>
        <w:spacing w:lineRule="auto" w:line="240" w:before="316" w:after="0"/>
        <w:ind w:left="0" w:right="10" w:hanging="0"/>
        <w:jc w:val="both"/>
        <w:rPr/>
      </w:pPr>
      <w:r>
        <w:rPr/>
        <w:t xml:space="preserve">Постигането на тези цели изисква преди всичко прилагането на </w:t>
      </w:r>
      <w:r>
        <w:rPr>
          <w:b/>
        </w:rPr>
        <w:t>политика за „европейски преференции“</w:t>
      </w:r>
      <w:r>
        <w:rPr/>
        <w:t xml:space="preserve"> в контекста на търговете и въвеждането на </w:t>
      </w:r>
      <w:r>
        <w:rPr>
          <w:b/>
        </w:rPr>
        <w:t>данък върху въглеродните емисии върху</w:t>
      </w:r>
      <w:r>
        <w:rPr/>
        <w:t xml:space="preserve"> вноса. </w:t>
      </w:r>
    </w:p>
    <w:p>
      <w:pPr>
        <w:pStyle w:val="P68B1DB1Normal19"/>
        <w:widowControl w:val="false"/>
        <w:spacing w:lineRule="auto" w:line="240" w:before="332" w:after="0"/>
        <w:ind w:left="0" w:right="10" w:hanging="0"/>
        <w:jc w:val="left"/>
        <w:rPr/>
      </w:pPr>
      <w:r>
        <w:rPr/>
        <w:t xml:space="preserve">Защитата на ноу-хау би довела до засилен контрол върху чуждестранните репо сделки и инвестиции, както и до развитие на помощта за </w:t>
      </w:r>
      <w:r>
        <w:rPr>
          <w:b/>
        </w:rPr>
        <w:t>преместване</w:t>
      </w:r>
      <w:r>
        <w:rPr/>
        <w:t xml:space="preserve">. </w:t>
      </w:r>
    </w:p>
    <w:p>
      <w:pPr>
        <w:pStyle w:val="P68B1DB1Normal19"/>
        <w:widowControl w:val="false"/>
        <w:spacing w:lineRule="auto" w:line="240" w:before="323" w:after="0"/>
        <w:ind w:left="0" w:right="10" w:hanging="0"/>
        <w:jc w:val="both"/>
        <w:rPr/>
      </w:pPr>
      <w:r>
        <w:rPr/>
        <w:t xml:space="preserve">И накрая, създаването на „европейски шампиони“ включва насърчаване на европейските </w:t>
      </w:r>
      <w:r>
        <w:rPr>
          <w:b/>
        </w:rPr>
        <w:t>промишлени съюзи</w:t>
      </w:r>
      <w:r>
        <w:rPr/>
        <w:t xml:space="preserve"> в стратегически сектори и стимулиране на публичните инвестиции в рисков капитал. </w:t>
      </w:r>
    </w:p>
    <w:p>
      <w:pPr>
        <w:pStyle w:val="P68B1DB1Normal45"/>
        <w:widowControl w:val="false"/>
        <w:spacing w:lineRule="auto" w:line="240" w:before="333" w:after="0"/>
        <w:ind w:left="0" w:right="13" w:hanging="0"/>
        <w:jc w:val="both"/>
        <w:rPr>
          <w:sz w:val="20"/>
        </w:rPr>
      </w:pPr>
      <w:r>
        <w:rPr/>
        <w:t xml:space="preserve">Успехът на тази промяна се реализира за гражданите чрез развиване на европейски промишлени съюзи в ключови сектори, увеличаване на броя на преместванията на предприятия и подобряване на търговския баланс.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Промяна 4 — Овластяване на гражданската власт на няколко нива: участие, вземане на решения, контрол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Желание на асоциирана Европа: По-демократична Европа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Какво означава тази промяна? </w:t>
      </w:r>
    </w:p>
    <w:p>
      <w:pPr>
        <w:pStyle w:val="P68B1DB1Normal7"/>
        <w:widowControl w:val="false"/>
        <w:spacing w:lineRule="auto" w:line="240" w:before="84" w:after="0"/>
        <w:ind w:left="0" w:right="10" w:hanging="0"/>
        <w:jc w:val="left"/>
        <w:rPr/>
      </w:pPr>
      <w:r>
        <w:rPr>
          <w:i/>
          <w:color w:val="000000"/>
        </w:rPr>
        <w:t>Ключови думи: увеличаване на избирателната активност, европейски барометър за удовлетвореността, обобщаване на консултациите с гражданите</w:t>
      </w:r>
      <w:r>
        <w:rPr>
          <w:b/>
          <w:color w:val="273375"/>
        </w:rPr>
        <w:t xml:space="preserve"> </w:t>
      </w:r>
    </w:p>
    <w:p>
      <w:pPr>
        <w:pStyle w:val="P68B1DB1Normal19"/>
        <w:widowControl w:val="false"/>
        <w:spacing w:lineRule="auto" w:line="240" w:before="324" w:after="0"/>
        <w:ind w:left="0" w:right="10" w:hanging="0"/>
        <w:jc w:val="both"/>
        <w:rPr/>
      </w:pPr>
      <w:r>
        <w:rPr/>
        <w:t xml:space="preserve">С тази промяна гражданите предлагат да се развие „ </w:t>
      </w:r>
      <w:r>
        <w:rPr>
          <w:i/>
        </w:rPr>
        <w:t xml:space="preserve">пълен граждански опит“ </w:t>
      </w:r>
      <w:r>
        <w:rPr/>
        <w:t>за</w:t>
      </w:r>
      <w:r>
        <w:rPr>
          <w:i/>
        </w:rPr>
        <w:t xml:space="preserve"> </w:t>
      </w:r>
      <w:r>
        <w:rPr/>
        <w:t xml:space="preserve">европейците, като се увеличи тяхното </w:t>
      </w:r>
      <w:r>
        <w:rPr>
          <w:b/>
        </w:rPr>
        <w:t>участие</w:t>
      </w:r>
      <w:r>
        <w:rPr/>
        <w:t xml:space="preserve"> на всички етапи от процеса на вземане на решения. Тя отразява готовността на гражданите </w:t>
      </w:r>
      <w:r>
        <w:rPr>
          <w:b/>
        </w:rPr>
        <w:t>да изразят мнението си</w:t>
      </w:r>
      <w:r>
        <w:rPr/>
        <w:t xml:space="preserve"> и да повлияят на публичните политики, засягащи тяхното ежедневие.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Какви са основните стъпки и критерии за успех? </w:t>
      </w:r>
    </w:p>
    <w:p>
      <w:pPr>
        <w:pStyle w:val="P68B1DB1Normal24"/>
        <w:widowControl w:val="false"/>
        <w:spacing w:lineRule="auto" w:line="240" w:before="323" w:after="0"/>
        <w:ind w:left="0" w:right="13" w:hanging="0"/>
        <w:jc w:val="both"/>
        <w:rPr/>
      </w:pPr>
      <w:r>
        <w:rPr/>
        <w:t>Това е основно за гражданите да развиват и поддържат инициативи за гражданско участие</w:t>
      </w:r>
      <w:r>
        <w:rPr>
          <w:b/>
        </w:rPr>
        <w:t xml:space="preserve">. </w:t>
      </w:r>
      <w:r>
        <w:rPr/>
        <w:t xml:space="preserve">За тази цел могат да бъдат приложени няколко лоста: създаването на </w:t>
      </w:r>
      <w:r>
        <w:rPr>
          <w:b/>
        </w:rPr>
        <w:t>постоянна консултативна камара</w:t>
      </w:r>
      <w:r>
        <w:rPr/>
        <w:t xml:space="preserve">, регистрирането на гражданската </w:t>
      </w:r>
      <w:r>
        <w:rPr>
          <w:b/>
        </w:rPr>
        <w:t>власт</w:t>
      </w:r>
      <w:r>
        <w:rPr/>
        <w:t xml:space="preserve"> в европейските договори или създаването на </w:t>
      </w:r>
      <w:r>
        <w:rPr>
          <w:b/>
        </w:rPr>
        <w:t>етикет</w:t>
      </w:r>
      <w:r>
        <w:rPr/>
        <w:t xml:space="preserve">, удостоверяващ законите, които са били предмет на консултация с гражданите. </w:t>
      </w:r>
    </w:p>
    <w:p>
      <w:pPr>
        <w:pStyle w:val="P68B1DB1Normal19"/>
        <w:widowControl w:val="false"/>
        <w:spacing w:lineRule="auto" w:line="240" w:before="230" w:after="0"/>
        <w:ind w:left="0" w:right="10" w:hanging="0"/>
        <w:jc w:val="both"/>
        <w:rPr/>
      </w:pPr>
      <w:r>
        <w:rPr/>
        <w:t xml:space="preserve">Успехът на тази промяна ще се прояви чрез възхода на показатели като </w:t>
      </w:r>
      <w:r>
        <w:rPr>
          <w:b/>
        </w:rPr>
        <w:t>участие в изборите, интерес</w:t>
      </w:r>
      <w:r>
        <w:rPr/>
        <w:t xml:space="preserve"> и </w:t>
      </w:r>
      <w:r>
        <w:rPr>
          <w:b/>
        </w:rPr>
        <w:t>доверие</w:t>
      </w:r>
      <w:r>
        <w:rPr/>
        <w:t xml:space="preserve">, изразени в Европейския съюз, и </w:t>
      </w:r>
      <w:r>
        <w:rPr>
          <w:b/>
        </w:rPr>
        <w:t>присъствието на европейски уебсайтове</w:t>
      </w:r>
      <w:r>
        <w:rPr/>
        <w:t xml:space="preserve">. Увеличаването на броя на решенията, взети след консултация с гражданите, и засиленото използване на </w:t>
      </w:r>
      <w:r>
        <w:rPr>
          <w:b/>
        </w:rPr>
        <w:t>европейските граждански инициативи (ЕГИ</w:t>
      </w:r>
      <w:r>
        <w:rPr/>
        <w:t xml:space="preserve">) също се разглеждат като маркери за успех.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Промяна 5 — Към федерация на европейските държави със силни правомощия в области от общ интерес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Желание на асоциирана Европа: По-обединена Европа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Какво означава тази промяна? </w:t>
      </w:r>
    </w:p>
    <w:p>
      <w:pPr>
        <w:pStyle w:val="P68B1DB1Normal7"/>
        <w:widowControl w:val="false"/>
        <w:spacing w:lineRule="auto" w:line="240" w:before="76" w:after="0"/>
        <w:ind w:left="0" w:right="0" w:hanging="0"/>
        <w:jc w:val="left"/>
        <w:rPr/>
      </w:pPr>
      <w:r>
        <w:rPr>
          <w:i/>
          <w:color w:val="000000"/>
        </w:rPr>
        <w:t>Ключови думи: институционално обединение, новоизбран председател, укрепване на компетенциите на ЕС</w:t>
      </w:r>
      <w:r>
        <w:rPr>
          <w:b/>
          <w:color w:val="273375"/>
        </w:rPr>
        <w:t xml:space="preserve"> </w:t>
      </w:r>
    </w:p>
    <w:p>
      <w:pPr>
        <w:pStyle w:val="P68B1DB1Normal19"/>
        <w:widowControl w:val="false"/>
        <w:spacing w:lineRule="auto" w:line="240" w:before="244" w:after="0"/>
        <w:ind w:left="0" w:right="10" w:hanging="0"/>
        <w:jc w:val="both"/>
        <w:rPr/>
      </w:pPr>
      <w:r>
        <w:rPr/>
        <w:t>Тази промяна отразява амбицията на гражданите да</w:t>
      </w:r>
      <w:r>
        <w:rPr>
          <w:b/>
        </w:rPr>
        <w:t>обединят</w:t>
      </w:r>
      <w:r>
        <w:rPr/>
        <w:t xml:space="preserve"> европейските политически институции. Представеният модел е този на федерация на държави с цел </w:t>
      </w:r>
      <w:r>
        <w:rPr>
          <w:b/>
        </w:rPr>
        <w:t>укрепване на споделената или изключителната компетентност</w:t>
      </w:r>
      <w:r>
        <w:rPr/>
        <w:t xml:space="preserve"> на Европейския съюз, без обаче да се преминава към федерална държава.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Какви са ключовите етапи и критериите за успех? </w:t>
      </w:r>
    </w:p>
    <w:p>
      <w:pPr>
        <w:pStyle w:val="P68B1DB1Normal19"/>
        <w:widowControl w:val="false"/>
        <w:spacing w:lineRule="auto" w:line="240" w:before="239" w:after="0"/>
        <w:ind w:left="0" w:right="10" w:hanging="0"/>
        <w:jc w:val="both"/>
        <w:rPr/>
      </w:pPr>
      <w:r>
        <w:rPr/>
        <w:t xml:space="preserve">Във вътрешен план тази промяна би могла да включва </w:t>
      </w:r>
      <w:r>
        <w:rPr>
          <w:b/>
        </w:rPr>
        <w:t>развитието на участието</w:t>
      </w:r>
      <w:r>
        <w:rPr/>
        <w:t xml:space="preserve"> на гражданите, създаването </w:t>
      </w:r>
      <w:r>
        <w:rPr>
          <w:b/>
        </w:rPr>
        <w:t>на европейски министерства в рамките</w:t>
      </w:r>
      <w:r>
        <w:rPr/>
        <w:t xml:space="preserve"> на държавите членки и в дългосрочен план</w:t>
      </w:r>
      <w:r>
        <w:rPr>
          <w:b/>
        </w:rPr>
        <w:t xml:space="preserve">избирането </w:t>
      </w:r>
      <w:r>
        <w:rPr/>
        <w:t xml:space="preserve">на председател на Европейската комисия </w:t>
      </w:r>
      <w:r>
        <w:rPr>
          <w:b/>
        </w:rPr>
        <w:t>чрез всеобщо избирателно право</w:t>
      </w:r>
      <w:r>
        <w:rPr/>
        <w:t xml:space="preserve">. </w:t>
      </w:r>
    </w:p>
    <w:p>
      <w:pPr>
        <w:pStyle w:val="P68B1DB1Normal19"/>
        <w:widowControl w:val="false"/>
        <w:spacing w:lineRule="auto" w:line="240" w:before="327" w:after="0"/>
        <w:ind w:left="0" w:right="10" w:hanging="0"/>
        <w:jc w:val="left"/>
        <w:rPr/>
      </w:pPr>
      <w:r>
        <w:rPr/>
        <w:t xml:space="preserve">Външно укрепването на европейския глас в чужбина ще се превърне във </w:t>
      </w:r>
      <w:r>
        <w:rPr>
          <w:b/>
        </w:rPr>
        <w:t xml:space="preserve">въплъщение </w:t>
      </w:r>
      <w:r>
        <w:rPr/>
        <w:t>чрез</w:t>
      </w:r>
      <w:r>
        <w:rPr>
          <w:b/>
        </w:rPr>
        <w:t xml:space="preserve"> уникален представител</w:t>
      </w:r>
      <w:r>
        <w:rPr/>
        <w:t xml:space="preserve"> </w:t>
      </w:r>
      <w:r>
        <w:rPr>
          <w:b/>
        </w:rPr>
        <w:t>на Европа</w:t>
      </w:r>
      <w:r>
        <w:rPr/>
        <w:t xml:space="preserve"> на международната сцена. </w:t>
      </w:r>
    </w:p>
    <w:p>
      <w:pPr>
        <w:pStyle w:val="P68B1DB1Normal24"/>
        <w:widowControl w:val="false"/>
        <w:spacing w:lineRule="auto" w:line="240" w:before="324" w:after="0"/>
        <w:ind w:left="0" w:right="15" w:hanging="0"/>
        <w:jc w:val="left"/>
        <w:rPr/>
      </w:pPr>
      <w:r>
        <w:rPr/>
        <w:t xml:space="preserve">Тази федерация на държавите също ще се възползва от увеличен </w:t>
      </w:r>
      <w:r>
        <w:rPr>
          <w:b/>
        </w:rPr>
        <w:t>европейски бюджет</w:t>
      </w:r>
      <w:r>
        <w:rPr/>
        <w:t xml:space="preserve"> с амбицията да достигне 10 % от БВП (в сравнение с 2 % понастоящем). </w:t>
      </w:r>
    </w:p>
    <w:p>
      <w:pPr>
        <w:pStyle w:val="Normal"/>
        <w:widowControl w:val="false"/>
        <w:spacing w:lineRule="auto" w:line="240" w:before="153"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42"/>
        <w:spacing w:lineRule="auto" w:line="240"/>
        <w:rPr>
          <w:rFonts w:ascii="Times New Roman" w:hAnsi="Times New Roman"/>
          <w:b/>
          <w:b/>
          <w:color w:val="000000"/>
          <w:sz w:val="28"/>
        </w:rPr>
      </w:pPr>
      <w:r>
        <w:rPr/>
        <w:t xml:space="preserve">Промяна 6 — Предлагане на програми за обмен през целия живот </w:t>
      </w:r>
    </w:p>
    <w:p>
      <w:pPr>
        <w:pStyle w:val="P68B1DB1Normal43"/>
        <w:widowControl w:val="false"/>
        <w:spacing w:lineRule="auto" w:line="240" w:before="349" w:after="0"/>
        <w:ind w:left="0" w:right="0" w:hanging="0"/>
        <w:jc w:val="left"/>
        <w:rPr>
          <w:rFonts w:ascii="Times New Roman" w:hAnsi="Times New Roman"/>
          <w:b/>
          <w:b/>
          <w:i/>
          <w:i/>
          <w:color w:val="808080"/>
          <w:sz w:val="24"/>
        </w:rPr>
      </w:pPr>
      <w:r>
        <w:rPr/>
        <w:t xml:space="preserve">Желание на асоциирана Европа: Европа, която поставя образованието на преден план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Какво означава тази промяна?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Ключови думи: училищни обмени, Еразъм </w:t>
      </w:r>
    </w:p>
    <w:p>
      <w:pPr>
        <w:pStyle w:val="P68B1DB1Normal19"/>
        <w:widowControl w:val="false"/>
        <w:spacing w:lineRule="auto" w:line="240" w:before="330" w:after="0"/>
        <w:ind w:left="0" w:right="0" w:hanging="0"/>
        <w:jc w:val="both"/>
        <w:rPr/>
      </w:pPr>
      <w:r>
        <w:rPr/>
        <w:t xml:space="preserve">Широко приветствана, тази промяна отразява значението на срещите и преживяванията в чужбина за гражданите като мощен жертвоприношение на европейските настроения. Амбицията е да се премине </w:t>
      </w:r>
      <w:r>
        <w:rPr>
          <w:i/>
        </w:rPr>
        <w:t>от „от академични знания към жив</w:t>
      </w:r>
      <w:r>
        <w:rPr>
          <w:b/>
          <w:i/>
        </w:rPr>
        <w:t>, опитен и чувствителен подход към</w:t>
      </w:r>
      <w:r>
        <w:rPr>
          <w:i/>
        </w:rPr>
        <w:t>Европа</w:t>
      </w:r>
      <w:r>
        <w:rPr/>
        <w:t xml:space="preserve">“ и да се разбере образованието в широк смисъл като </w:t>
      </w:r>
      <w:r>
        <w:rPr>
          <w:b/>
        </w:rPr>
        <w:t xml:space="preserve">учене през целия живот.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Какви са основните стъпки и критерии за успех? </w:t>
      </w:r>
    </w:p>
    <w:p>
      <w:pPr>
        <w:pStyle w:val="P68B1DB1Normal24"/>
        <w:widowControl w:val="false"/>
        <w:spacing w:lineRule="auto" w:line="240" w:before="317" w:after="0"/>
        <w:ind w:left="0" w:right="4" w:hanging="0"/>
        <w:jc w:val="both"/>
        <w:rPr/>
      </w:pPr>
      <w:r>
        <w:rPr/>
        <w:t xml:space="preserve">Успехът на тази промяна се дължи главно на въвеждането </w:t>
      </w:r>
      <w:r>
        <w:rPr>
          <w:b/>
        </w:rPr>
        <w:t>на разширено предложение за мобилност</w:t>
      </w:r>
      <w:r>
        <w:rPr/>
        <w:t xml:space="preserve">, което включва, наред с другото, обмен в училище, туининг, пътуване и професионална мобилност. За гражданите това предложение трябва да бъде достъпно за всички, особено за тези с ниски ресурси или увреждания. Например програмата „Еразъм“ би могла да обхване всички европейци без възрастови или ресурсни ограничения. Тези програми трябва да бъдат замислени като </w:t>
      </w:r>
      <w:r>
        <w:rPr>
          <w:b/>
        </w:rPr>
        <w:t>разнообразни, приобщаващи</w:t>
      </w:r>
      <w:r>
        <w:rPr>
          <w:b/>
          <w:sz w:val="20"/>
        </w:rPr>
        <w:t xml:space="preserve"> </w:t>
      </w:r>
      <w:r>
        <w:rPr>
          <w:b/>
        </w:rPr>
        <w:t>и достъпни</w:t>
      </w:r>
      <w:r>
        <w:rPr/>
        <w:t xml:space="preserve"> с опростени административни процедури. </w:t>
      </w:r>
    </w:p>
    <w:p>
      <w:pPr>
        <w:pStyle w:val="P68B1DB1Normal24"/>
        <w:widowControl w:val="false"/>
        <w:spacing w:lineRule="auto" w:line="240" w:before="232" w:after="0"/>
        <w:ind w:left="0" w:right="3" w:hanging="0"/>
        <w:jc w:val="both"/>
        <w:rPr/>
      </w:pPr>
      <w:r>
        <w:rPr/>
        <w:t xml:space="preserve">В допълнение към мобилността беше споменато и значението </w:t>
      </w:r>
      <w:r>
        <w:rPr>
          <w:b/>
        </w:rPr>
        <w:t>на развитието на мостове между образователните системи</w:t>
      </w:r>
      <w:r>
        <w:rPr/>
        <w:t xml:space="preserve"> (еквивалентност на дипломите и т.н.) и повишаването на привлекателността на Европа за избягване на изтичането на таланти в чужбина.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Промяна 7 — Споделяне на европейските култури чрез обединяващи събития и събития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Желание на асоциирана Европа: Европа със споделени култури и идентичности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Какво означава тази промяна? </w:t>
      </w:r>
    </w:p>
    <w:p>
      <w:pPr>
        <w:pStyle w:val="P68B1DB1Normal44"/>
        <w:widowControl w:val="false"/>
        <w:spacing w:lineRule="auto" w:line="240" w:before="206" w:after="0"/>
        <w:ind w:left="0" w:right="0" w:hanging="0"/>
        <w:jc w:val="left"/>
        <w:rPr>
          <w:rFonts w:ascii="Times New Roman" w:hAnsi="Times New Roman"/>
          <w:i/>
          <w:i/>
          <w:color w:val="000000"/>
          <w:sz w:val="24"/>
        </w:rPr>
      </w:pPr>
      <w:r>
        <w:rPr/>
        <w:t xml:space="preserve">Ключови думи: Европейски фестивал, Европейски официален празник, Световна изложба на Европа </w:t>
      </w:r>
    </w:p>
    <w:p>
      <w:pPr>
        <w:pStyle w:val="P68B1DB1Normal19"/>
        <w:widowControl w:val="false"/>
        <w:spacing w:lineRule="auto" w:line="240" w:before="246" w:after="0"/>
        <w:ind w:left="0" w:right="10" w:hanging="0"/>
        <w:jc w:val="left"/>
        <w:rPr/>
      </w:pPr>
      <w:r>
        <w:rPr/>
        <w:t xml:space="preserve">Тази промяна има </w:t>
      </w:r>
      <w:r>
        <w:rPr>
          <w:b/>
        </w:rPr>
        <w:t>за цел да създаде и да живее европейски дух</w:t>
      </w:r>
      <w:r>
        <w:rPr/>
        <w:t xml:space="preserve"> чрез споделени преживявания, събития и празнични събития.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Какви са основните стъпки и критерии за успех? </w:t>
      </w:r>
    </w:p>
    <w:p>
      <w:pPr>
        <w:pStyle w:val="P68B1DB1Normal19"/>
        <w:widowControl w:val="false"/>
        <w:spacing w:lineRule="auto" w:line="240" w:before="239" w:after="0"/>
        <w:ind w:left="0" w:right="10" w:hanging="0"/>
        <w:jc w:val="both"/>
        <w:rPr/>
      </w:pPr>
      <w:r>
        <w:rPr/>
        <w:t xml:space="preserve">Събитията, въображаеми от гражданите, са предназначени да бъдат </w:t>
      </w:r>
      <w:r>
        <w:rPr>
          <w:b/>
        </w:rPr>
        <w:t>забавни, обединяващи и популярни</w:t>
      </w:r>
      <w:r>
        <w:rPr/>
        <w:t xml:space="preserve">, за да бъдат споделяни от най-голям брой. За тази цел те следва да включват </w:t>
      </w:r>
      <w:r>
        <w:rPr>
          <w:b/>
        </w:rPr>
        <w:t>всички аудитории</w:t>
      </w:r>
      <w:r>
        <w:rPr/>
        <w:t xml:space="preserve"> (включително децата, училищната публика, младите хора и студентите по програма „Еразъм“) и да се провеждат на </w:t>
      </w:r>
      <w:r>
        <w:rPr>
          <w:b/>
        </w:rPr>
        <w:t>различни места</w:t>
      </w:r>
      <w:r>
        <w:rPr/>
        <w:t xml:space="preserve"> (пенсионни къщи, училища, публични администрации, затвори и т.н.). </w:t>
      </w:r>
    </w:p>
    <w:p>
      <w:pPr>
        <w:pStyle w:val="P68B1DB1Normal24"/>
        <w:widowControl w:val="false"/>
        <w:spacing w:lineRule="auto" w:line="240" w:before="327" w:after="0"/>
        <w:ind w:left="0" w:right="13" w:hanging="0"/>
        <w:jc w:val="both"/>
        <w:rPr/>
      </w:pPr>
      <w:r>
        <w:rPr/>
        <w:t xml:space="preserve">По-специално бяха предвидени две прояви за обединяване на европейците: </w:t>
      </w:r>
      <w:r>
        <w:rPr>
          <w:b/>
        </w:rPr>
        <w:t>всеобща изложба на Европа</w:t>
      </w:r>
      <w:r>
        <w:rPr/>
        <w:t xml:space="preserve">, която би позволила да се представят всички държави членки, както и </w:t>
      </w:r>
      <w:r>
        <w:rPr>
          <w:b/>
        </w:rPr>
        <w:t>преработване на Деня на Европа</w:t>
      </w:r>
      <w:r>
        <w:rPr/>
        <w:t>на 9 май, което ще включва по-специално образователно събитие</w:t>
      </w:r>
      <w:r>
        <w:rPr>
          <w:i/>
        </w:rPr>
        <w:t>, така че „да не забравяме мира, свързан с Европа и нейните ценности</w:t>
      </w:r>
      <w:r>
        <w:rPr/>
        <w:t xml:space="preserve">“. В същото време европейските представители биха могли да се срещнат с учениците от континента в техните училища, за да се засили близостта и разбирането на Европа за гражданите от ранна възраст. </w:t>
      </w:r>
    </w:p>
    <w:p>
      <w:pPr>
        <w:pStyle w:val="P68B1DB1Normal19"/>
        <w:widowControl w:val="false"/>
        <w:spacing w:lineRule="auto" w:line="240" w:before="112"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Промяна 8 — Хармонизиране на здравето и осигуряване на достъп до него за всички европейци чрез обща здравна политика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Желание на асоциирана Европа: Солидарност Европа, която защитава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Какво означава тази промяна? </w:t>
      </w:r>
    </w:p>
    <w:p>
      <w:pPr>
        <w:pStyle w:val="P68B1DB1Normal7"/>
        <w:widowControl w:val="false"/>
        <w:spacing w:lineRule="auto" w:line="240" w:before="86" w:after="0"/>
        <w:ind w:left="0" w:right="10" w:hanging="0"/>
        <w:jc w:val="left"/>
        <w:rPr/>
      </w:pPr>
      <w:r>
        <w:rPr>
          <w:i/>
          <w:color w:val="000000"/>
        </w:rPr>
        <w:t>Ключови думи: универсално здравно осигуряване, хармонизиране на грижите, здравеопазване като основно право</w:t>
      </w:r>
      <w:r>
        <w:rPr>
          <w:b/>
          <w:color w:val="273375"/>
        </w:rPr>
        <w:t xml:space="preserve"> </w:t>
      </w:r>
    </w:p>
    <w:p>
      <w:pPr>
        <w:pStyle w:val="P68B1DB1Normal19"/>
        <w:widowControl w:val="false"/>
        <w:spacing w:lineRule="auto" w:line="240" w:before="248" w:after="0"/>
        <w:ind w:left="0" w:right="10" w:hanging="0"/>
        <w:jc w:val="both"/>
        <w:rPr/>
      </w:pPr>
      <w:r>
        <w:rPr/>
        <w:t xml:space="preserve">За да се гарантира достъп до здравеопазване за всички европейци и да се отговори </w:t>
      </w:r>
      <w:r>
        <w:rPr>
          <w:i/>
        </w:rPr>
        <w:t>на „необходимостта от защита и солидарност</w:t>
      </w:r>
      <w:r>
        <w:rPr/>
        <w:t xml:space="preserve">“, беше предложена единодушно </w:t>
      </w:r>
      <w:r>
        <w:rPr>
          <w:b/>
        </w:rPr>
        <w:t>наднационална здравна система</w:t>
      </w:r>
      <w:r>
        <w:rPr/>
        <w:t xml:space="preserve">. Тя ще се основава на справедливо финансиране между държавите членки и ще се основава на най-добрите системи на ЕС. Подобна промяна отразява готовността на гражданите да видят как Европа играе по-активна роля в защитата на своите жители, особено в областта на здравеопазването, където досега действията се считат за твърде плахи.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Какви са основните стъпки и критерии за успех? </w:t>
      </w:r>
    </w:p>
    <w:p>
      <w:pPr>
        <w:pStyle w:val="P68B1DB1Normal19"/>
        <w:widowControl w:val="false"/>
        <w:spacing w:lineRule="auto" w:line="240" w:before="239" w:after="0"/>
        <w:ind w:left="0" w:right="10" w:hanging="0"/>
        <w:jc w:val="both"/>
        <w:rPr/>
      </w:pPr>
      <w:r>
        <w:rPr/>
        <w:t xml:space="preserve">За да се осъществи тази промяна, мнозинството одобри принципа на </w:t>
      </w:r>
      <w:r>
        <w:rPr>
          <w:b/>
        </w:rPr>
        <w:t>всеобщото европейско социално осигуряване</w:t>
      </w:r>
      <w:r>
        <w:rPr/>
        <w:t xml:space="preserve">. Договореностите за прилагането на тази система обаче не можаха да бъдат определени. Докато някои твърдят, че </w:t>
      </w:r>
      <w:r>
        <w:rPr>
          <w:i/>
        </w:rPr>
        <w:t xml:space="preserve">„централизацията на данните позволява на здравните работници да имат достъп до цялата медицинска история на пациента„, </w:t>
      </w:r>
      <w:r>
        <w:rPr/>
        <w:t xml:space="preserve">други възприемат тази мярка като </w:t>
      </w:r>
      <w:r>
        <w:rPr>
          <w:i/>
        </w:rPr>
        <w:t>„допълнително лишаване от свобода и система за контрол“.</w:t>
      </w:r>
      <w:r>
        <w:rPr/>
        <w:t xml:space="preserve"> </w:t>
      </w:r>
    </w:p>
    <w:p>
      <w:pPr>
        <w:pStyle w:val="P68B1DB1Normal24"/>
        <w:widowControl w:val="false"/>
        <w:spacing w:lineRule="auto" w:line="240" w:before="329" w:after="0"/>
        <w:ind w:left="0" w:right="14" w:hanging="0"/>
        <w:jc w:val="both"/>
        <w:rPr/>
      </w:pPr>
      <w:r>
        <w:rPr>
          <w:b/>
        </w:rPr>
        <w:t xml:space="preserve">Прозрачността </w:t>
      </w:r>
      <w:r>
        <w:rPr/>
        <w:t>и</w:t>
      </w:r>
      <w:r>
        <w:rPr>
          <w:b/>
        </w:rPr>
        <w:t>хармонизирането на регулаторните изисквания на континента</w:t>
      </w:r>
      <w:r>
        <w:rPr/>
        <w:t xml:space="preserve">, както и </w:t>
      </w:r>
      <w:r>
        <w:rPr>
          <w:b/>
        </w:rPr>
        <w:t>европейският здравен план, въпреки това бяха</w:t>
      </w:r>
      <w:r>
        <w:rPr/>
        <w:t xml:space="preserve"> определени като предпоставки за всяка значителна трансформация. </w:t>
      </w:r>
    </w:p>
    <w:p>
      <w:pPr>
        <w:pStyle w:val="P68B1DB1Normal19"/>
        <w:spacing w:lineRule="auto" w:line="240"/>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left"/>
        <w:rPr/>
      </w:pPr>
      <w:r>
        <w:rPr/>
        <w:t xml:space="preserve">Промяна 9 — Разработване и ръководене на стратегически канали на европейско равнище, за да се гарантира нашият суверенитет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Желание на асоциирана Европа: Конкурентоспособна и иновативна Европа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Какво означава тази промяна? </w:t>
      </w:r>
    </w:p>
    <w:p>
      <w:pPr>
        <w:pStyle w:val="P68B1DB1Normal7"/>
        <w:widowControl w:val="false"/>
        <w:spacing w:lineRule="auto" w:line="240" w:before="86" w:after="0"/>
        <w:ind w:left="0" w:right="9" w:hanging="0"/>
        <w:jc w:val="left"/>
        <w:rPr/>
      </w:pPr>
      <w:r>
        <w:rPr>
          <w:i/>
          <w:color w:val="000000"/>
        </w:rPr>
        <w:t>Ключови думи: развитие на европейските шампиони, контрол на чуждестранните инвестиции, цифрова автономност и енергетика</w:t>
      </w:r>
      <w:r>
        <w:rPr>
          <w:b/>
          <w:color w:val="273375"/>
        </w:rPr>
        <w:t xml:space="preserve"> </w:t>
      </w:r>
    </w:p>
    <w:p>
      <w:pPr>
        <w:pStyle w:val="P68B1DB1Normal19"/>
        <w:widowControl w:val="false"/>
        <w:spacing w:lineRule="auto" w:line="240" w:before="248" w:after="0"/>
        <w:ind w:left="0" w:right="9" w:hanging="0"/>
        <w:jc w:val="both"/>
        <w:rPr/>
      </w:pPr>
      <w:r>
        <w:rPr/>
        <w:t xml:space="preserve">Пилотният проект на стратегически сектори като здравеопазването, храните, енергетиката, цифровите технологии, отбраната, транспорта и новите материали на европейско равнище отговаря на </w:t>
      </w:r>
      <w:r>
        <w:rPr>
          <w:b/>
        </w:rPr>
        <w:t>необходимостта от суверенитет</w:t>
      </w:r>
      <w:r>
        <w:rPr/>
        <w:t>, установен от гражданите. Това би ограничило конкуренцията между европейските дружества, би насърчило</w:t>
      </w:r>
      <w:r>
        <w:rPr>
          <w:b/>
        </w:rPr>
        <w:t>появата на континентални шампиони</w:t>
      </w:r>
      <w:r>
        <w:rPr/>
        <w:t xml:space="preserve"> и </w:t>
      </w:r>
      <w:r>
        <w:rPr>
          <w:b/>
        </w:rPr>
        <w:t>би реиндустриализирало Европа</w:t>
      </w:r>
      <w:r>
        <w:rPr/>
        <w:t xml:space="preserve"> чрез европейски предпочитания.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Какви са основните стъпки и критерии за успех? </w:t>
      </w:r>
    </w:p>
    <w:p>
      <w:pPr>
        <w:pStyle w:val="P68B1DB1Normal19"/>
        <w:widowControl w:val="false"/>
        <w:spacing w:lineRule="auto" w:line="240" w:before="237" w:after="0"/>
        <w:ind w:left="0" w:right="9" w:hanging="0"/>
        <w:jc w:val="both"/>
        <w:rPr/>
      </w:pPr>
      <w:r>
        <w:rPr/>
        <w:t xml:space="preserve">За да се постигне този суверенитет, </w:t>
      </w:r>
      <w:r>
        <w:rPr>
          <w:b/>
        </w:rPr>
        <w:t>европейският орган</w:t>
      </w:r>
      <w:r>
        <w:rPr/>
        <w:t xml:space="preserve"> би могъл да бъде натоварен да ръководи тези сектори, като издава разрешения за изкупуване на европейски дружества от чуждестранни конкуренти и гарантира, че вносните продукти отговарят на същите стандарти като производството на ЕС. В средносрочен план</w:t>
      </w:r>
      <w:r>
        <w:rPr>
          <w:b/>
        </w:rPr>
        <w:t xml:space="preserve"> 30—50 %</w:t>
      </w:r>
      <w:r>
        <w:rPr/>
        <w:t xml:space="preserve"> от европейското потребление в тези стратегически сектори следва да се </w:t>
      </w:r>
      <w:r>
        <w:rPr>
          <w:b/>
        </w:rPr>
        <w:t>произвежда на континента</w:t>
      </w:r>
      <w:r>
        <w:rPr/>
        <w:t xml:space="preserve"> и до </w:t>
      </w:r>
      <w:r>
        <w:rPr>
          <w:b/>
        </w:rPr>
        <w:t>70 %</w:t>
      </w:r>
      <w:r>
        <w:rPr/>
        <w:t xml:space="preserve"> в дългосрочен план. Спазването на тези критерии би</w:t>
      </w:r>
      <w:r>
        <w:rPr>
          <w:b/>
        </w:rPr>
        <w:t>гарантирало</w:t>
      </w:r>
      <w:r>
        <w:rPr/>
        <w:t xml:space="preserve"> самодостатъчност и</w:t>
      </w:r>
      <w:r>
        <w:rPr>
          <w:b/>
        </w:rPr>
        <w:t xml:space="preserve"> влияние</w:t>
      </w:r>
      <w:r>
        <w:rPr/>
        <w:t>и дори</w:t>
      </w:r>
      <w:r>
        <w:rPr>
          <w:b/>
        </w:rPr>
        <w:t xml:space="preserve">износ </w:t>
      </w:r>
      <w:r>
        <w:rPr/>
        <w:t xml:space="preserve">на европейския промишлен модел. </w:t>
      </w:r>
    </w:p>
    <w:p>
      <w:pPr>
        <w:pStyle w:val="Normal"/>
        <w:spacing w:lineRule="auto" w:line="240"/>
        <w:rPr/>
      </w:pPr>
      <w:r>
        <w:rPr/>
      </w:r>
    </w:p>
    <w:p>
      <w:pPr>
        <w:pStyle w:val="P68B1DB1Normal42"/>
        <w:spacing w:lineRule="auto" w:line="240"/>
        <w:rPr/>
      </w:pPr>
      <w:r>
        <w:rPr/>
        <w:t xml:space="preserve">Промяна 10 — Подобряване на опазването на околната среда и екосистемите и създаване на защитени зони в центъра на градските, крайградските и селските райони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Желание на асоциирана Европа: Европа, която насърчава устойчивото развитие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Какво означава тази промяна? </w:t>
      </w:r>
    </w:p>
    <w:p>
      <w:pPr>
        <w:pStyle w:val="P68B1DB1Normal7"/>
        <w:widowControl w:val="false"/>
        <w:spacing w:lineRule="auto" w:line="240" w:before="78" w:after="0"/>
        <w:ind w:left="0" w:right="0" w:hanging="0"/>
        <w:jc w:val="left"/>
        <w:rPr/>
      </w:pPr>
      <w:r>
        <w:rPr>
          <w:i/>
          <w:color w:val="000000"/>
        </w:rPr>
        <w:t>Ключови думи: по-екологосъобразна урбанизация, зачитане и опазване на почвите</w:t>
      </w:r>
      <w:r>
        <w:rPr>
          <w:b/>
          <w:color w:val="273375"/>
        </w:rPr>
        <w:t xml:space="preserve"> </w:t>
      </w:r>
    </w:p>
    <w:p>
      <w:pPr>
        <w:pStyle w:val="P68B1DB1Normal19"/>
        <w:widowControl w:val="false"/>
        <w:spacing w:lineRule="auto" w:line="240" w:before="321" w:after="0"/>
        <w:ind w:left="0" w:right="9" w:hanging="0"/>
        <w:jc w:val="both"/>
        <w:rPr/>
      </w:pPr>
      <w:r>
        <w:rPr/>
        <w:t xml:space="preserve">Целта е да се </w:t>
      </w:r>
      <w:r>
        <w:rPr>
          <w:b/>
        </w:rPr>
        <w:t>ограничи отрицателното въздействие на урбанизацията върху почвите</w:t>
      </w:r>
      <w:r>
        <w:rPr/>
        <w:t xml:space="preserve">. Силните действия биха </w:t>
      </w:r>
      <w:r>
        <w:rPr>
          <w:b/>
        </w:rPr>
        <w:t xml:space="preserve">ограничили бедствията, свързани с </w:t>
      </w:r>
      <w:r>
        <w:rPr/>
        <w:t>разрушаването на почвата, като свлачища, и биха</w:t>
      </w:r>
      <w:r>
        <w:rPr>
          <w:b/>
        </w:rPr>
        <w:t>подобрили качеството на живот в градските райони</w:t>
      </w:r>
      <w:r>
        <w:rPr/>
        <w:t xml:space="preserve">, по-специално чрез засаждане на дървета.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Какви са основните стъпки и критерии за успех? </w:t>
      </w:r>
    </w:p>
    <w:p>
      <w:pPr>
        <w:pStyle w:val="P68B1DB1Normal19"/>
        <w:widowControl w:val="false"/>
        <w:spacing w:lineRule="auto" w:line="240" w:before="318" w:after="0"/>
        <w:ind w:left="0" w:right="9" w:hanging="0"/>
        <w:jc w:val="both"/>
        <w:rPr/>
      </w:pPr>
      <w:r>
        <w:rPr/>
        <w:t xml:space="preserve">Беше предложено да се предприемат действия на две равнища: от една страна, да се </w:t>
      </w:r>
      <w:r>
        <w:rPr>
          <w:b/>
        </w:rPr>
        <w:t>обърне тенденцията за нови конструкции</w:t>
      </w:r>
      <w:r>
        <w:rPr/>
        <w:t xml:space="preserve"> за намаляване на степента на запечатване на почвата, и второ, </w:t>
      </w:r>
      <w:r>
        <w:rPr>
          <w:b/>
        </w:rPr>
        <w:t>да се насърчи възстановяването на почвите</w:t>
      </w:r>
      <w:r>
        <w:rPr/>
        <w:t xml:space="preserve">, за да се „върне </w:t>
      </w:r>
      <w:r>
        <w:rPr>
          <w:i/>
        </w:rPr>
        <w:t>към природата това, което ѝ принадлежи</w:t>
      </w:r>
      <w:r>
        <w:rPr/>
        <w:t xml:space="preserve">“. </w:t>
      </w:r>
    </w:p>
    <w:p>
      <w:pPr>
        <w:pStyle w:val="Normal"/>
        <w:spacing w:lineRule="auto" w:line="240"/>
        <w:rPr/>
      </w:pPr>
      <w:r>
        <w:rPr/>
      </w:r>
    </w:p>
    <w:p>
      <w:pPr>
        <w:pStyle w:val="P68B1DB1Normal42"/>
        <w:spacing w:lineRule="auto" w:line="240"/>
        <w:rPr/>
      </w:pPr>
      <w:r>
        <w:rPr/>
        <w:t xml:space="preserve">Промяна 11 — Създаване на европейски релета в териториите, които да слушат и съветват гражданите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Желание на асоциирана Европа: По-близка и достъпна Европа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Какво означава тази промяна?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Ключови думи: Къщите на Европа, референтната Европа на местно равнище, по-добър достъп до информация </w:t>
      </w:r>
    </w:p>
    <w:p>
      <w:pPr>
        <w:pStyle w:val="P68B1DB1Normal19"/>
        <w:widowControl w:val="false"/>
        <w:spacing w:lineRule="auto" w:line="240" w:before="326" w:after="0"/>
        <w:ind w:left="0" w:right="11" w:hanging="0"/>
        <w:jc w:val="both"/>
        <w:rPr/>
      </w:pPr>
      <w:r>
        <w:rPr/>
        <w:t xml:space="preserve">Целта на тази промяна е да се даде конкретен отговор на </w:t>
      </w:r>
      <w:r>
        <w:rPr>
          <w:b/>
        </w:rPr>
        <w:t>липсата на въплъщение на Европейския съюз</w:t>
      </w:r>
      <w:r>
        <w:rPr/>
        <w:t xml:space="preserve"> в ежедневието, отбелязана от много участници, и да се работи за сближаване на Европа и нейните граждани.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Какви са основните стъпки и критерии за успех? </w:t>
      </w:r>
    </w:p>
    <w:p>
      <w:pPr>
        <w:pStyle w:val="P68B1DB1Normal24"/>
        <w:widowControl w:val="false"/>
        <w:spacing w:lineRule="auto" w:line="240" w:before="317" w:after="0"/>
        <w:ind w:left="0" w:right="14" w:hanging="0"/>
        <w:jc w:val="both"/>
        <w:rPr/>
      </w:pPr>
      <w:r>
        <w:rPr/>
        <w:t xml:space="preserve">За да се преодолее това разстояние между ЕС и гражданите, във всяко кметство може да бъде назначен </w:t>
      </w:r>
      <w:r>
        <w:rPr>
          <w:b/>
        </w:rPr>
        <w:t>специализиран референт</w:t>
      </w:r>
      <w:r>
        <w:rPr/>
        <w:t xml:space="preserve"> с мисия да изслушва и съветва гражданите. Информацията, предоставена в настоящия доклад, би могла да бъде социално-икономическа, по-специално относно достъпа до европейска или информативна помощ, например относно ролята на лобистите. Предоставената информация ще бъде насочена както към широката общественост, така и към специалистите, по-специално да съветва МСП и да помага на ръководителите на проекти да получат достъп до средства от ЕС. В дългосрочен план тази промяна би могла да доведе до създаването на </w:t>
      </w:r>
      <w:r>
        <w:rPr>
          <w:b/>
        </w:rPr>
        <w:t>места, посветени на Европа</w:t>
      </w:r>
      <w:r>
        <w:rPr/>
        <w:t xml:space="preserve">, подобно на съществуващите европейски къщи, но на общинско равнище, което да позволи изграждането на фина териториална мрежа. </w:t>
      </w:r>
    </w:p>
    <w:p>
      <w:pPr>
        <w:pStyle w:val="P68B1DB1Normal24"/>
        <w:widowControl w:val="false"/>
        <w:spacing w:lineRule="auto" w:line="240" w:before="235" w:after="0"/>
        <w:ind w:left="0" w:right="15" w:hanging="0"/>
        <w:jc w:val="both"/>
        <w:rPr/>
      </w:pPr>
      <w:r>
        <w:rPr/>
        <w:t xml:space="preserve">Успехът на тази промяна би бил пълен, ако всеки гражданин знае „ </w:t>
      </w:r>
      <w:r>
        <w:rPr>
          <w:i/>
        </w:rPr>
        <w:t>очевидно“ за</w:t>
      </w:r>
      <w:r>
        <w:rPr/>
        <w:t xml:space="preserve">съществуването на тази референция и на това място на ресурси, предназначени за Европа, които биха осигурили ресурси, слушане, информация и съвети.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both"/>
        <w:rPr/>
      </w:pPr>
      <w:r>
        <w:rPr/>
        <w:t xml:space="preserve">Промяна 12 — Обединяване на начина на избор на Европейски парламент за 27-те държави и подобряване на близостта на гражданите чрез замяна на настоящото гласуване с еднократно гласуване на регионално равнище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Желание на асоциирана Европа: Европа с по-ефективно управление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Какво означава тази промяна? </w:t>
      </w:r>
    </w:p>
    <w:p>
      <w:pPr>
        <w:pStyle w:val="P68B1DB1Normal7"/>
        <w:widowControl w:val="false"/>
        <w:spacing w:lineRule="auto" w:line="240" w:before="76" w:after="0"/>
        <w:ind w:left="0" w:right="0" w:hanging="0"/>
        <w:jc w:val="left"/>
        <w:rPr/>
      </w:pPr>
      <w:r>
        <w:rPr>
          <w:i/>
          <w:color w:val="000000"/>
        </w:rPr>
        <w:t>Ключови думи: институционална промяна, последвана от гражданите на действия през целия мандат</w:t>
      </w:r>
      <w:r>
        <w:rPr>
          <w:b/>
          <w:color w:val="273375"/>
        </w:rPr>
        <w:t xml:space="preserve"> </w:t>
      </w:r>
    </w:p>
    <w:p>
      <w:pPr>
        <w:pStyle w:val="P68B1DB1Normal19"/>
        <w:widowControl w:val="false"/>
        <w:spacing w:lineRule="auto" w:line="240" w:before="275" w:after="0"/>
        <w:ind w:left="0" w:right="10" w:hanging="0"/>
        <w:jc w:val="both"/>
        <w:rPr/>
      </w:pPr>
      <w:r>
        <w:rPr/>
        <w:t xml:space="preserve">Тази промяна отразява желанието на гражданите да засилят </w:t>
      </w:r>
      <w:r>
        <w:rPr>
          <w:b/>
        </w:rPr>
        <w:t>близостта си до избраните</w:t>
      </w:r>
      <w:r>
        <w:rPr/>
        <w:t xml:space="preserve"> длъжностни лица и да следят действията си през целия си мандат. Той отговаря на широко споделеното наблюдение на липсата на израз на загрижеността на гражданите в конкретни действия от страна на избраните представители на Европейския парламент. </w:t>
      </w:r>
    </w:p>
    <w:p>
      <w:pPr>
        <w:pStyle w:val="P68B1DB1Normal33"/>
        <w:widowControl w:val="false"/>
        <w:spacing w:lineRule="auto" w:line="240" w:before="381" w:after="0"/>
        <w:ind w:left="0" w:right="0" w:hanging="0"/>
        <w:jc w:val="left"/>
        <w:rPr>
          <w:rFonts w:ascii="Times New Roman" w:hAnsi="Times New Roman"/>
          <w:b/>
          <w:b/>
          <w:color w:val="000000"/>
          <w:sz w:val="24"/>
        </w:rPr>
      </w:pPr>
      <w:r>
        <w:rPr/>
        <w:t xml:space="preserve">Какви са основните стъпки и критерии за успех? </w:t>
      </w:r>
    </w:p>
    <w:p>
      <w:pPr>
        <w:pStyle w:val="P68B1DB1Normal19"/>
        <w:widowControl w:val="false"/>
        <w:spacing w:lineRule="auto" w:line="240" w:before="316" w:after="0"/>
        <w:ind w:left="0" w:right="10" w:hanging="0"/>
        <w:jc w:val="both"/>
        <w:rPr/>
      </w:pPr>
      <w:r>
        <w:rPr/>
        <w:t xml:space="preserve">Промяната в начина на избор ще се състои в </w:t>
      </w:r>
      <w:r>
        <w:rPr>
          <w:b/>
        </w:rPr>
        <w:t>уеднаквяване на системата за гласуване на</w:t>
      </w:r>
      <w:r>
        <w:rPr/>
        <w:t xml:space="preserve"> европейско равнище и в прехода от национални към регионални избирателни райони, които се очаква да бъдат възможни до 2035 г. </w:t>
      </w:r>
    </w:p>
    <w:p>
      <w:pPr>
        <w:pStyle w:val="Normal"/>
        <w:spacing w:lineRule="auto" w:line="240"/>
        <w:rPr/>
      </w:pPr>
      <w:r>
        <w:rPr/>
      </w:r>
    </w:p>
    <w:p>
      <w:pPr>
        <w:pStyle w:val="P68B1DB1Normal42"/>
        <w:spacing w:lineRule="auto" w:line="240"/>
        <w:rPr/>
      </w:pPr>
      <w:r>
        <w:rPr/>
        <w:t xml:space="preserve">Изменение 13 — Определяне на обща политика за подобряване на приемането и социалната и професионалната интеграция на мигрантите (включително незаконните мигранти)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Желание на асоциирана Европа: Европа, която гарантира зачитането на основните права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Какво означава тази промяна? </w:t>
      </w:r>
    </w:p>
    <w:p>
      <w:pPr>
        <w:pStyle w:val="P68B1DB1Normal7"/>
        <w:widowControl w:val="false"/>
        <w:spacing w:lineRule="auto" w:line="240" w:before="76" w:after="0"/>
        <w:ind w:left="0" w:right="0" w:hanging="0"/>
        <w:jc w:val="left"/>
        <w:rPr/>
      </w:pPr>
      <w:r>
        <w:rPr>
          <w:i/>
          <w:color w:val="000000"/>
        </w:rPr>
        <w:t>Ключови думи: Европейска служба за миграцията, осигуряване на достоен прием в цяла Европа</w:t>
      </w:r>
      <w:r>
        <w:rPr>
          <w:b/>
          <w:color w:val="273375"/>
        </w:rPr>
        <w:t xml:space="preserve"> </w:t>
      </w:r>
    </w:p>
    <w:p>
      <w:pPr>
        <w:pStyle w:val="P68B1DB1Normal19"/>
        <w:widowControl w:val="false"/>
        <w:spacing w:lineRule="auto" w:line="240" w:before="248" w:after="0"/>
        <w:ind w:left="0" w:right="10" w:hanging="0"/>
        <w:jc w:val="both"/>
        <w:rPr/>
      </w:pPr>
      <w:r>
        <w:rPr/>
        <w:t xml:space="preserve">Тази промяна има за цел да подобри приемането на мигранти в рамките на Европейския съюз — проблем, единодушно определен от гражданите като </w:t>
      </w:r>
      <w:r>
        <w:rPr>
          <w:b/>
        </w:rPr>
        <w:t>спешен случай</w:t>
      </w:r>
      <w:r>
        <w:rPr/>
        <w:t xml:space="preserve">. В разрив с настоящата ситуация установяването на </w:t>
      </w:r>
      <w:r>
        <w:rPr>
          <w:b/>
        </w:rPr>
        <w:t>обща, съгласувана и солидарна имиграционна политика</w:t>
      </w:r>
      <w:r>
        <w:rPr/>
        <w:t xml:space="preserve"> изглежда основен вектор на мира.</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Какви са основните стъпки и критерии за успех? </w:t>
      </w:r>
    </w:p>
    <w:p>
      <w:pPr>
        <w:pStyle w:val="P68B1DB1Normal19"/>
        <w:widowControl w:val="false"/>
        <w:spacing w:lineRule="auto" w:line="240" w:before="243" w:after="0"/>
        <w:ind w:left="0" w:right="10" w:hanging="0"/>
        <w:jc w:val="left"/>
        <w:rPr/>
      </w:pPr>
      <w:r>
        <w:rPr/>
        <w:t xml:space="preserve">Успехът на подобна промяна би довел до постепенно прилагане на обща политика за приемане на мигранти. </w:t>
      </w:r>
    </w:p>
    <w:p>
      <w:pPr>
        <w:pStyle w:val="P68B1DB1Normal19"/>
        <w:widowControl w:val="false"/>
        <w:spacing w:lineRule="auto" w:line="240" w:before="326" w:after="0"/>
        <w:ind w:left="0" w:right="10" w:hanging="0"/>
        <w:jc w:val="both"/>
        <w:rPr/>
      </w:pPr>
      <w:r>
        <w:rPr>
          <w:b/>
        </w:rPr>
        <w:t>Гражданската инициатива</w:t>
      </w:r>
      <w:r>
        <w:rPr/>
        <w:t xml:space="preserve"> следва да отнесе въпроса до Комисията и да позволи в средносрочен план приемането на </w:t>
      </w:r>
      <w:r>
        <w:rPr>
          <w:b/>
        </w:rPr>
        <w:t>общ стандарт</w:t>
      </w:r>
      <w:r>
        <w:rPr/>
        <w:t xml:space="preserve"> за определяне на рамка за приемане и социална интеграция на мигрантите. В дългосрочен план този стандарт ще бъде подкрепен от създаването на </w:t>
      </w:r>
      <w:r>
        <w:rPr>
          <w:b/>
        </w:rPr>
        <w:t>специализирана европейска имиграционна служба</w:t>
      </w:r>
      <w:r>
        <w:rPr/>
        <w:t xml:space="preserve"> и признаването на миграционната политика като компетентност на Европейския съюз. </w:t>
      </w:r>
    </w:p>
    <w:p>
      <w:pPr>
        <w:pStyle w:val="Normal"/>
        <w:spacing w:lineRule="auto" w:line="240"/>
        <w:rPr/>
      </w:pPr>
      <w:r>
        <w:rPr/>
      </w:r>
    </w:p>
    <w:p>
      <w:pPr>
        <w:pStyle w:val="P68B1DB1Normal42"/>
        <w:spacing w:lineRule="auto" w:line="240"/>
        <w:rPr/>
      </w:pPr>
      <w:r>
        <w:rPr/>
        <w:t xml:space="preserve">Изменение 14 — Запазване на спецификите (етикети на храните, занаятчийско производство, традиции) на различните европейски региони, за да се избегне единният начин на живот и да се гарантира проследимостта и качеството на продуктите </w:t>
      </w:r>
    </w:p>
    <w:p>
      <w:pPr>
        <w:pStyle w:val="P68B1DB1Normal43"/>
        <w:widowControl w:val="false"/>
        <w:spacing w:lineRule="auto" w:line="240" w:before="347" w:after="0"/>
        <w:ind w:left="0" w:right="912" w:hanging="0"/>
        <w:jc w:val="left"/>
        <w:rPr/>
      </w:pPr>
      <w:r>
        <w:rPr/>
        <w:t xml:space="preserve">Желание на асоциирана Европа: Европа, в която преобладават интересите на всяка държава </w:t>
      </w:r>
    </w:p>
    <w:p>
      <w:pPr>
        <w:pStyle w:val="P68B1DB1Normal33"/>
        <w:widowControl w:val="false"/>
        <w:spacing w:lineRule="auto" w:line="240" w:before="347" w:after="0"/>
        <w:ind w:left="0" w:right="912" w:hanging="0"/>
        <w:jc w:val="left"/>
        <w:rPr>
          <w:rFonts w:ascii="Times New Roman" w:hAnsi="Times New Roman"/>
          <w:b/>
          <w:b/>
          <w:color w:val="000000"/>
          <w:sz w:val="24"/>
        </w:rPr>
      </w:pPr>
      <w:r>
        <w:rPr/>
        <w:t xml:space="preserve">Какво означава тази промяна? </w:t>
      </w:r>
    </w:p>
    <w:p>
      <w:pPr>
        <w:pStyle w:val="P68B1DB1Normal7"/>
        <w:widowControl w:val="false"/>
        <w:spacing w:lineRule="auto" w:line="240" w:before="76" w:after="0"/>
        <w:ind w:left="0" w:right="0" w:hanging="0"/>
        <w:jc w:val="left"/>
        <w:rPr/>
      </w:pPr>
      <w:r>
        <w:rPr>
          <w:i/>
          <w:color w:val="000000"/>
        </w:rPr>
        <w:t>Ключови думи: Европейски етикети, оценяващи многообразието от култури и традиции</w:t>
      </w:r>
      <w:r>
        <w:rPr>
          <w:b/>
          <w:color w:val="273375"/>
        </w:rPr>
        <w:t xml:space="preserve"> </w:t>
      </w:r>
    </w:p>
    <w:p>
      <w:pPr>
        <w:pStyle w:val="P68B1DB1Normal19"/>
        <w:widowControl w:val="false"/>
        <w:spacing w:lineRule="auto" w:line="240" w:before="323" w:after="0"/>
        <w:ind w:left="0" w:right="10" w:hanging="0"/>
        <w:jc w:val="both"/>
        <w:rPr/>
      </w:pPr>
      <w:r>
        <w:rPr/>
        <w:t xml:space="preserve">Амбицията на тази промяна е да се запази </w:t>
      </w:r>
      <w:r>
        <w:rPr>
          <w:b/>
        </w:rPr>
        <w:t>разнообразието от европейски традиции и продукции</w:t>
      </w:r>
      <w:r>
        <w:rPr/>
        <w:t xml:space="preserve"> и</w:t>
      </w:r>
      <w:r>
        <w:rPr>
          <w:b/>
        </w:rPr>
        <w:t xml:space="preserve">да се избегне стандартизирането на </w:t>
      </w:r>
      <w:r>
        <w:rPr/>
        <w:t>начина на живот, често наричан критика към Европейския съюз.</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Какви са основните стъпки и критерии за успех? </w:t>
      </w:r>
    </w:p>
    <w:p>
      <w:pPr>
        <w:pStyle w:val="P68B1DB1Normal19"/>
        <w:widowControl w:val="false"/>
        <w:spacing w:lineRule="auto" w:line="240" w:before="322" w:after="0"/>
        <w:ind w:left="0" w:right="10" w:hanging="0"/>
        <w:jc w:val="both"/>
        <w:rPr/>
      </w:pPr>
      <w:r>
        <w:rPr/>
        <w:t xml:space="preserve">За гражданите основната цел е съществуващата база данни, съдържаща различните </w:t>
      </w:r>
      <w:r>
        <w:rPr>
          <w:b/>
        </w:rPr>
        <w:t>европейски и национални етикети</w:t>
      </w:r>
      <w:r>
        <w:rPr/>
        <w:t xml:space="preserve">, да стане по-достъпна. За да направите това, се предлага създаването </w:t>
      </w:r>
      <w:r>
        <w:rPr>
          <w:i/>
        </w:rPr>
        <w:t>на уебсайт с три</w:t>
      </w:r>
      <w:r>
        <w:rPr/>
        <w:t xml:space="preserve"> кликвания: едно кликване за достъп до сайта, второ за показване на карта на регионите на Европейския съюз и едно за показване на описанието на етикетите на всеки регион. </w:t>
      </w:r>
    </w:p>
    <w:p>
      <w:pPr>
        <w:pStyle w:val="Normal"/>
        <w:widowControl w:val="false"/>
        <w:spacing w:lineRule="auto" w:line="240" w:before="327" w:after="0"/>
        <w:ind w:left="0" w:right="14" w:hanging="0"/>
        <w:jc w:val="left"/>
        <w:rPr/>
      </w:pPr>
      <w:r>
        <w:rPr>
          <w:rFonts w:ascii="Times New Roman" w:hAnsi="Times New Roman"/>
          <w:color w:val="000000"/>
        </w:rPr>
        <w:t xml:space="preserve">Успехът на тази промяна ще се състои в по-добра </w:t>
      </w:r>
      <w:r>
        <w:rPr>
          <w:rFonts w:ascii="Times New Roman" w:hAnsi="Times New Roman"/>
          <w:b/>
          <w:color w:val="000000"/>
        </w:rPr>
        <w:t>комуникация</w:t>
      </w:r>
      <w:r>
        <w:rPr>
          <w:rFonts w:ascii="Times New Roman" w:hAnsi="Times New Roman"/>
          <w:color w:val="000000"/>
        </w:rPr>
        <w:t xml:space="preserve"> относно съществуващите постижения, което ще доведе до по-добро </w:t>
      </w:r>
      <w:r>
        <w:rPr>
          <w:rFonts w:ascii="Times New Roman" w:hAnsi="Times New Roman"/>
          <w:b/>
          <w:color w:val="000000"/>
        </w:rPr>
        <w:t>разбиране</w:t>
      </w:r>
      <w:r>
        <w:rPr>
          <w:rFonts w:ascii="Times New Roman" w:hAnsi="Times New Roman"/>
          <w:color w:val="000000"/>
        </w:rPr>
        <w:t xml:space="preserve"> на многообразието на европейските култури от страна на гражданите.</w:t>
      </w:r>
      <w:r>
        <w:rPr>
          <w:rFonts w:ascii="Times New Roman" w:hAnsi="Times New Roman"/>
          <w:b/>
          <w:color w:val="273375"/>
        </w:rPr>
        <w:t xml:space="preserve"> </w:t>
      </w:r>
      <w:r>
        <w:br w:type="page"/>
      </w:r>
    </w:p>
    <w:p>
      <w:pPr>
        <w:pStyle w:val="Titre2"/>
        <w:numPr>
          <w:ilvl w:val="1"/>
          <w:numId w:val="2"/>
        </w:numPr>
        <w:rPr/>
      </w:pPr>
      <w:bookmarkStart w:id="212" w:name="__RefHeading___Toc297351_1346298689"/>
      <w:bookmarkEnd w:id="212"/>
      <w:r>
        <w:rPr/>
        <w:t>Втора част: представяне на резултатите от консултацията „Думи за младежта“</w:t>
      </w:r>
      <w:r>
        <w:rPr>
          <w:rFonts w:ascii="Times New Roman" w:hAnsi="Times New Roman"/>
          <w:color w:val="000070"/>
          <w:sz w:val="30"/>
        </w:rPr>
        <w:t xml:space="preserve"> </w:t>
      </w:r>
    </w:p>
    <w:p>
      <w:pPr>
        <w:pStyle w:val="P68B1DB1Normal46"/>
        <w:widowControl w:val="false"/>
        <w:spacing w:lineRule="auto" w:line="240" w:before="34" w:after="0"/>
        <w:ind w:left="0" w:right="0" w:hanging="0"/>
        <w:jc w:val="center"/>
        <w:rPr>
          <w:rFonts w:ascii="Times New Roman" w:hAnsi="Times New Roman"/>
          <w:b/>
          <w:b/>
          <w:color w:val="F79646"/>
          <w:sz w:val="24"/>
        </w:rPr>
      </w:pPr>
      <w:r>
        <w:rPr/>
        <w:t xml:space="preserve">Дати на консултацията </w:t>
      </w:r>
    </w:p>
    <w:p>
      <w:pPr>
        <w:pStyle w:val="P68B1DB1Normal19"/>
        <w:widowControl w:val="false"/>
        <w:spacing w:lineRule="auto" w:line="240" w:before="34" w:after="0"/>
        <w:ind w:left="0" w:right="0" w:hanging="0"/>
        <w:jc w:val="center"/>
        <w:rPr/>
      </w:pPr>
      <w:r>
        <w:rPr/>
        <w:t>от 09.05.2021 г. до 18.07.2021 г.</w:t>
      </w:r>
      <w:r>
        <w:rPr>
          <w:b/>
        </w:rPr>
        <w:t xml:space="preserve"> </w:t>
      </w:r>
    </w:p>
    <w:p>
      <w:pPr>
        <w:pStyle w:val="P68B1DB1Normal47"/>
        <w:widowControl w:val="false"/>
        <w:spacing w:lineRule="auto" w:line="240" w:before="102" w:after="0"/>
        <w:ind w:left="0" w:right="0" w:hanging="0"/>
        <w:jc w:val="center"/>
        <w:rPr>
          <w:rFonts w:ascii="Times New Roman" w:hAnsi="Times New Roman"/>
          <w:b/>
          <w:b/>
          <w:color w:val="1F497D"/>
          <w:sz w:val="12"/>
        </w:rPr>
      </w:pPr>
      <w:r>
        <w:rPr/>
        <w:t xml:space="preserve"> </w:t>
      </w:r>
    </w:p>
    <w:p>
      <w:pPr>
        <w:pStyle w:val="P68B1DB1Normal48"/>
        <w:widowControl w:val="false"/>
        <w:spacing w:lineRule="auto" w:line="240" w:before="26" w:after="0"/>
        <w:ind w:left="0" w:right="0" w:hanging="0"/>
        <w:jc w:val="center"/>
        <w:rPr/>
      </w:pPr>
      <w:r>
        <w:rPr>
          <w:b/>
        </w:rPr>
        <w:t>Цифри за участие</w:t>
      </w:r>
      <w:r>
        <w:rPr/>
        <w:t xml:space="preserve"> </w:t>
      </w:r>
    </w:p>
    <w:p>
      <w:pPr>
        <w:pStyle w:val="P68B1DB1Normal19"/>
        <w:widowControl w:val="false"/>
        <w:spacing w:lineRule="auto" w:line="240" w:before="26" w:after="0"/>
        <w:ind w:left="0" w:right="0" w:hanging="0"/>
        <w:jc w:val="center"/>
        <w:rPr>
          <w:rFonts w:ascii="Times New Roman" w:hAnsi="Times New Roman"/>
          <w:color w:val="000000"/>
          <w:sz w:val="24"/>
        </w:rPr>
      </w:pPr>
      <w:r>
        <w:rPr/>
        <w:t xml:space="preserve">50 008 участници </w:t>
      </w:r>
    </w:p>
    <w:p>
      <w:pPr>
        <w:pStyle w:val="P68B1DB1Normal19"/>
        <w:widowControl w:val="false"/>
        <w:spacing w:lineRule="auto" w:line="240" w:before="92" w:after="0"/>
        <w:ind w:left="0" w:right="0" w:hanging="0"/>
        <w:jc w:val="center"/>
        <w:rPr>
          <w:rFonts w:ascii="Times New Roman" w:hAnsi="Times New Roman"/>
          <w:color w:val="000000"/>
          <w:sz w:val="24"/>
        </w:rPr>
      </w:pPr>
      <w:r>
        <w:rPr/>
        <w:t xml:space="preserve">2 918 предложения </w:t>
      </w:r>
    </w:p>
    <w:p>
      <w:pPr>
        <w:pStyle w:val="P68B1DB1Normal19"/>
        <w:widowControl w:val="false"/>
        <w:spacing w:lineRule="auto" w:line="240" w:before="90" w:after="0"/>
        <w:ind w:left="0" w:right="0" w:hanging="0"/>
        <w:jc w:val="center"/>
        <w:rPr>
          <w:rFonts w:ascii="Times New Roman" w:hAnsi="Times New Roman"/>
          <w:color w:val="000000"/>
          <w:sz w:val="24"/>
        </w:rPr>
      </w:pPr>
      <w:r>
        <w:rPr/>
        <w:t xml:space="preserve">338 330 гласа </w:t>
      </w:r>
    </w:p>
    <w:p>
      <w:pPr>
        <w:pStyle w:val="P68B1DB1Normal49"/>
        <w:widowControl w:val="false"/>
        <w:spacing w:lineRule="auto" w:line="240" w:before="106" w:after="0"/>
        <w:ind w:left="4819" w:right="0" w:hanging="0"/>
        <w:jc w:val="left"/>
        <w:rPr>
          <w:rFonts w:ascii="Times New Roman" w:hAnsi="Times New Roman"/>
          <w:color w:val="000000"/>
          <w:sz w:val="12"/>
        </w:rPr>
      </w:pPr>
      <w:r>
        <w:rPr/>
        <w:t xml:space="preserve"> </w:t>
      </w:r>
    </w:p>
    <w:p>
      <w:pPr>
        <w:pStyle w:val="P68B1DB1Normal50"/>
        <w:widowControl w:val="false"/>
        <w:spacing w:lineRule="auto" w:line="240" w:before="30" w:after="0"/>
        <w:ind w:left="0" w:right="28" w:hanging="0"/>
        <w:jc w:val="both"/>
        <w:rPr/>
      </w:pPr>
      <w:r>
        <w:rPr/>
        <w:t xml:space="preserve">Консултацията „Вървете към младежта“ започна по инициатива на Държавния секретариат по европейските въпроси. Тази консултация се провежда в контекста на Конференцията за бъдещето на Европа — безпрецедентен процес на демокрация на участието, ръководен от европейските институции, чиято цел е да даде възможност на всички европейски граждани да изразят мнението си за това, което очакват от Европейския съюз. Поуките от консултацията ще бъдат включени в работата на Конференцията за бъдещето на Европа и френското председателство на Съвета на Европейския съюз. </w:t>
      </w:r>
    </w:p>
    <w:p>
      <w:pPr>
        <w:pStyle w:val="P68B1DB1Normal51"/>
        <w:widowControl w:val="false"/>
        <w:spacing w:lineRule="auto" w:line="240" w:before="210" w:after="0"/>
        <w:ind w:left="0" w:right="0" w:hanging="0"/>
        <w:jc w:val="left"/>
        <w:rPr>
          <w:rFonts w:ascii="Times New Roman" w:hAnsi="Times New Roman"/>
          <w:b/>
          <w:b/>
          <w:color w:val="222222"/>
          <w:sz w:val="24"/>
        </w:rPr>
      </w:pPr>
      <w:r>
        <w:rPr/>
        <w:t xml:space="preserve">4 основни урока </w:t>
      </w:r>
    </w:p>
    <w:p>
      <w:pPr>
        <w:pStyle w:val="P68B1DB1Normal34"/>
        <w:widowControl w:val="false"/>
        <w:spacing w:lineRule="auto" w:line="240" w:before="78" w:after="0"/>
        <w:ind w:left="360" w:right="0" w:hanging="0"/>
        <w:jc w:val="left"/>
        <w:rPr/>
      </w:pPr>
      <w:r>
        <w:rPr>
          <w:rFonts w:ascii="Times New Roman" w:hAnsi="Times New Roman"/>
        </w:rPr>
        <w:t>1.</w:t>
      </w:r>
      <w:r>
        <w:rPr/>
        <w:t xml:space="preserve"> </w:t>
      </w:r>
      <w:r>
        <w:rPr>
          <w:rFonts w:ascii="Times New Roman" w:hAnsi="Times New Roman"/>
        </w:rPr>
        <w:t>Масова мобилизация на младите хора: повече от</w:t>
      </w:r>
      <w:r>
        <w:rPr>
          <w:rFonts w:ascii="Times New Roman" w:hAnsi="Times New Roman"/>
          <w:b/>
        </w:rPr>
        <w:t xml:space="preserve"> 50 000 млади френски граждани взеха участие </w:t>
      </w:r>
      <w:r>
        <w:rPr>
          <w:rFonts w:ascii="Times New Roman" w:hAnsi="Times New Roman"/>
        </w:rPr>
        <w:t xml:space="preserve">в консултацията на всички територии. </w:t>
      </w:r>
    </w:p>
    <w:p>
      <w:pPr>
        <w:pStyle w:val="P68B1DB1Normal34"/>
        <w:widowControl w:val="false"/>
        <w:spacing w:lineRule="auto" w:line="240" w:before="86" w:after="0"/>
        <w:ind w:left="360" w:right="0" w:hanging="0"/>
        <w:jc w:val="left"/>
        <w:rPr/>
      </w:pPr>
      <w:r>
        <w:rPr>
          <w:rFonts w:ascii="Times New Roman" w:hAnsi="Times New Roman"/>
        </w:rPr>
        <w:t>2.</w:t>
      </w:r>
      <w:r>
        <w:rPr/>
        <w:t xml:space="preserve"> </w:t>
      </w:r>
      <w:r>
        <w:rPr>
          <w:rFonts w:ascii="Times New Roman" w:hAnsi="Times New Roman"/>
          <w:b/>
        </w:rPr>
        <w:t>Най</w:t>
      </w:r>
      <w:r>
        <w:rPr>
          <w:rFonts w:ascii="Times New Roman" w:hAnsi="Times New Roman"/>
        </w:rPr>
        <w:t xml:space="preserve"> -важният консенсус </w:t>
      </w:r>
      <w:r>
        <w:rPr>
          <w:rFonts w:ascii="Times New Roman" w:hAnsi="Times New Roman"/>
          <w:b/>
        </w:rPr>
        <w:t>засяга европейските политики за борба с изменението на климата, преместването на производството в Европа, съживяването на европейската демокрация, тежестта на ЕС в света (икономика, научни изследвания, права на човека, дипломация).</w:t>
      </w:r>
    </w:p>
    <w:p>
      <w:pPr>
        <w:pStyle w:val="Normal"/>
        <w:spacing w:lineRule="auto" w:line="240"/>
        <w:rPr>
          <w:rFonts w:ascii="Times New Roman" w:hAnsi="Times New Roman"/>
          <w:color w:val="000000"/>
          <w:sz w:val="24"/>
        </w:rPr>
      </w:pPr>
      <w:r>
        <w:rPr>
          <w:rFonts w:ascii="Times New Roman" w:hAnsi="Times New Roman"/>
          <w:color w:val="000000"/>
          <w:sz w:val="24"/>
        </w:rPr>
      </w:r>
    </w:p>
    <w:p>
      <w:pPr>
        <w:pStyle w:val="P68B1DB1Normal34"/>
        <w:widowControl w:val="false"/>
        <w:spacing w:lineRule="auto" w:line="240" w:before="88" w:after="0"/>
        <w:ind w:left="360" w:right="0" w:hanging="0"/>
        <w:jc w:val="left"/>
        <w:rPr/>
      </w:pPr>
      <w:r>
        <w:rPr>
          <w:rFonts w:ascii="Times New Roman" w:hAnsi="Times New Roman"/>
        </w:rPr>
        <w:t>3.</w:t>
      </w:r>
      <w:r>
        <w:rPr/>
        <w:t xml:space="preserve"> </w:t>
      </w:r>
      <w:r>
        <w:rPr>
          <w:rFonts w:ascii="Times New Roman" w:hAnsi="Times New Roman"/>
          <w:b/>
        </w:rPr>
        <w:t>Идеята за по-силна и обединена Европа преминава през цялата консултация</w:t>
      </w:r>
      <w:r>
        <w:rPr>
          <w:rFonts w:ascii="Times New Roman" w:hAnsi="Times New Roman"/>
        </w:rPr>
        <w:t xml:space="preserve">, като се постига консенсус по няколко въпроса: </w:t>
      </w:r>
    </w:p>
    <w:p>
      <w:pPr>
        <w:pStyle w:val="P68B1DB1Normal34"/>
        <w:widowControl w:val="false"/>
        <w:spacing w:lineRule="auto" w:line="240" w:before="92" w:after="0"/>
        <w:ind w:left="360" w:right="0" w:hanging="0"/>
        <w:jc w:val="left"/>
        <w:rPr/>
      </w:pPr>
      <w:r>
        <w:rPr>
          <w:rFonts w:ascii="Times New Roman" w:hAnsi="Times New Roman"/>
        </w:rPr>
        <w:t>По</w:t>
      </w:r>
      <w:r>
        <w:rPr/>
        <w:t xml:space="preserve"> </w:t>
      </w:r>
      <w:r>
        <w:rPr>
          <w:rFonts w:ascii="Times New Roman" w:hAnsi="Times New Roman"/>
        </w:rPr>
        <w:t xml:space="preserve">-силна Европа (особено чрез преместване) за справяне с Китай или САЩ </w:t>
      </w:r>
    </w:p>
    <w:p>
      <w:pPr>
        <w:pStyle w:val="P68B1DB1Normal34"/>
        <w:widowControl w:val="false"/>
        <w:spacing w:lineRule="auto" w:line="240" w:before="92" w:after="0"/>
        <w:ind w:left="360" w:right="0" w:hanging="0"/>
        <w:jc w:val="left"/>
        <w:rPr/>
      </w:pPr>
      <w:r>
        <w:rPr>
          <w:rFonts w:ascii="Times New Roman" w:hAnsi="Times New Roman"/>
        </w:rPr>
        <w:t>Дипломатическа</w:t>
      </w:r>
      <w:r>
        <w:rPr/>
        <w:t xml:space="preserve"> </w:t>
      </w:r>
      <w:r>
        <w:rPr>
          <w:rFonts w:ascii="Times New Roman" w:hAnsi="Times New Roman"/>
        </w:rPr>
        <w:t xml:space="preserve">Европа, която тежи повече на международната сцена </w:t>
      </w:r>
    </w:p>
    <w:p>
      <w:pPr>
        <w:pStyle w:val="P68B1DB1Normal34"/>
        <w:widowControl w:val="false"/>
        <w:spacing w:lineRule="auto" w:line="240" w:before="85" w:after="0"/>
        <w:ind w:left="360" w:right="1483" w:hanging="0"/>
        <w:jc w:val="left"/>
        <w:rPr/>
      </w:pPr>
      <w:r>
        <w:rPr>
          <w:rFonts w:ascii="Times New Roman" w:hAnsi="Times New Roman"/>
        </w:rPr>
        <w:t>-</w:t>
      </w:r>
      <w:r>
        <w:rPr/>
        <w:t xml:space="preserve"> </w:t>
      </w:r>
      <w:r>
        <w:rPr>
          <w:rFonts w:ascii="Times New Roman" w:hAnsi="Times New Roman"/>
        </w:rPr>
        <w:t>Европейски лидер в борбата срещу изменението на климата в света</w:t>
      </w:r>
    </w:p>
    <w:p>
      <w:pPr>
        <w:pStyle w:val="P68B1DB1Normal34"/>
        <w:widowControl w:val="false"/>
        <w:spacing w:lineRule="auto" w:line="240" w:before="85" w:after="0"/>
        <w:ind w:left="360" w:right="1483" w:hanging="0"/>
        <w:jc w:val="left"/>
        <w:rPr/>
      </w:pPr>
      <w:r>
        <w:rPr>
          <w:rFonts w:ascii="Times New Roman" w:hAnsi="Times New Roman"/>
        </w:rPr>
        <w:t xml:space="preserve">Европа, сплотена от младите хора </w:t>
      </w:r>
    </w:p>
    <w:p>
      <w:pPr>
        <w:pStyle w:val="P68B1DB1Normal34"/>
        <w:widowControl w:val="false"/>
        <w:spacing w:lineRule="auto" w:line="240" w:before="85" w:after="0"/>
        <w:ind w:left="360" w:right="0" w:hanging="0"/>
        <w:jc w:val="left"/>
        <w:rPr/>
      </w:pPr>
      <w:r>
        <w:rPr>
          <w:rFonts w:ascii="Times New Roman" w:hAnsi="Times New Roman"/>
        </w:rPr>
        <w:t>-</w:t>
      </w:r>
      <w:r>
        <w:rPr/>
        <w:t xml:space="preserve"> </w:t>
      </w:r>
      <w:r>
        <w:rPr>
          <w:rFonts w:ascii="Times New Roman" w:hAnsi="Times New Roman"/>
        </w:rPr>
        <w:t xml:space="preserve">Обединена Европа в областта на научните изследвания и иновациите </w:t>
      </w:r>
    </w:p>
    <w:p>
      <w:pPr>
        <w:pStyle w:val="P68B1DB1Normal19"/>
        <w:widowControl w:val="false"/>
        <w:spacing w:lineRule="auto" w:line="240" w:before="88" w:after="0"/>
        <w:ind w:left="720" w:right="0" w:hanging="0"/>
        <w:jc w:val="left"/>
        <w:rPr>
          <w:rFonts w:ascii="Times New Roman" w:hAnsi="Times New Roman"/>
          <w:color w:val="000000"/>
          <w:sz w:val="24"/>
        </w:rPr>
      </w:pPr>
      <w:r>
        <w:rPr/>
        <w:t xml:space="preserve"> </w:t>
      </w:r>
    </w:p>
    <w:p>
      <w:pPr>
        <w:pStyle w:val="P68B1DB1Normal34"/>
        <w:widowControl w:val="false"/>
        <w:spacing w:lineRule="auto" w:line="240" w:before="86" w:after="0"/>
        <w:ind w:left="360" w:right="1128" w:hanging="0"/>
        <w:jc w:val="left"/>
        <w:rPr/>
      </w:pPr>
      <w:r>
        <w:rPr>
          <w:rFonts w:ascii="Times New Roman" w:hAnsi="Times New Roman"/>
        </w:rPr>
        <w:t>4.</w:t>
      </w:r>
      <w:r>
        <w:rPr/>
        <w:t xml:space="preserve"> </w:t>
      </w:r>
      <w:r>
        <w:rPr>
          <w:rFonts w:ascii="Times New Roman" w:hAnsi="Times New Roman"/>
          <w:b/>
        </w:rPr>
        <w:t>Младите хора приветстваха и четири допълнителни идеи</w:t>
      </w:r>
      <w:r>
        <w:rPr/>
        <w:t>към</w:t>
      </w:r>
      <w:r>
        <w:rPr>
          <w:rFonts w:ascii="Times New Roman" w:hAnsi="Times New Roman"/>
        </w:rPr>
        <w:t xml:space="preserve"> тези от гражданските панели: </w:t>
      </w:r>
    </w:p>
    <w:p>
      <w:pPr>
        <w:pStyle w:val="P68B1DB1Normal34"/>
        <w:widowControl w:val="false"/>
        <w:spacing w:lineRule="auto" w:line="240" w:before="90" w:after="0"/>
        <w:ind w:left="360" w:right="0" w:hanging="0"/>
        <w:jc w:val="left"/>
        <w:rPr/>
      </w:pPr>
      <w:r>
        <w:rPr>
          <w:rFonts w:ascii="Times New Roman" w:hAnsi="Times New Roman"/>
        </w:rPr>
        <w:t>-</w:t>
      </w:r>
      <w:r>
        <w:rPr/>
        <w:t xml:space="preserve"> </w:t>
      </w:r>
      <w:r>
        <w:rPr>
          <w:rFonts w:ascii="Times New Roman" w:hAnsi="Times New Roman"/>
        </w:rPr>
        <w:t xml:space="preserve">Екологично и социално отговорна европейска икономика </w:t>
      </w:r>
    </w:p>
    <w:p>
      <w:pPr>
        <w:pStyle w:val="P68B1DB1Normal34"/>
        <w:widowControl w:val="false"/>
        <w:spacing w:lineRule="auto" w:line="240" w:before="88" w:after="0"/>
        <w:ind w:left="360" w:right="0" w:hanging="0"/>
        <w:jc w:val="left"/>
        <w:rPr/>
      </w:pPr>
      <w:r>
        <w:rPr>
          <w:rFonts w:ascii="Times New Roman" w:hAnsi="Times New Roman"/>
        </w:rPr>
        <w:t>-</w:t>
      </w:r>
      <w:r>
        <w:rPr/>
        <w:t xml:space="preserve"> </w:t>
      </w:r>
      <w:r>
        <w:rPr>
          <w:rFonts w:ascii="Times New Roman" w:hAnsi="Times New Roman"/>
        </w:rPr>
        <w:t xml:space="preserve">Европа, географски по-свързана с железопътния транспорт </w:t>
      </w:r>
    </w:p>
    <w:p>
      <w:pPr>
        <w:pStyle w:val="P68B1DB1Normal34"/>
        <w:widowControl w:val="false"/>
        <w:spacing w:lineRule="auto" w:line="240" w:before="85" w:after="0"/>
        <w:ind w:left="360" w:right="0" w:hanging="0"/>
        <w:jc w:val="left"/>
        <w:rPr/>
      </w:pPr>
      <w:r>
        <w:rPr>
          <w:rFonts w:ascii="Times New Roman" w:hAnsi="Times New Roman"/>
        </w:rPr>
        <w:t>Фискално</w:t>
      </w:r>
      <w:r>
        <w:rPr/>
        <w:t xml:space="preserve"> </w:t>
      </w:r>
      <w:r>
        <w:rPr>
          <w:rFonts w:ascii="Times New Roman" w:hAnsi="Times New Roman"/>
        </w:rPr>
        <w:t xml:space="preserve">по-справедлива Европа </w:t>
      </w:r>
    </w:p>
    <w:p>
      <w:pPr>
        <w:pStyle w:val="P68B1DB1Normal34"/>
        <w:widowControl w:val="false"/>
        <w:spacing w:lineRule="auto" w:line="240" w:before="88" w:after="0"/>
        <w:ind w:left="360" w:right="0" w:hanging="0"/>
        <w:jc w:val="left"/>
        <w:rPr/>
      </w:pPr>
      <w:r>
        <w:rPr>
          <w:rFonts w:ascii="Times New Roman" w:hAnsi="Times New Roman"/>
        </w:rPr>
        <w:t>-</w:t>
      </w:r>
      <w:r>
        <w:rPr/>
        <w:t xml:space="preserve"> </w:t>
      </w:r>
      <w:r>
        <w:rPr>
          <w:rFonts w:ascii="Times New Roman" w:hAnsi="Times New Roman"/>
        </w:rPr>
        <w:t xml:space="preserve">Решителни действия на Европейския съюз в подкрепа на правата на жените </w:t>
      </w:r>
    </w:p>
    <w:p>
      <w:pPr>
        <w:pStyle w:val="Normal"/>
        <w:widowControl w:val="false"/>
        <w:spacing w:lineRule="auto" w:line="240" w:before="85"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33"/>
        <w:widowControl w:val="false"/>
        <w:spacing w:lineRule="auto" w:line="240" w:before="85" w:after="0"/>
        <w:ind w:left="0" w:right="0" w:hanging="0"/>
        <w:jc w:val="left"/>
        <w:rPr/>
      </w:pPr>
      <w:r>
        <w:rPr/>
        <w:t xml:space="preserve">22 популярни идеи и 13 спорни идеи се разпространиха в 9-те теми на Конференцията за бъдещето на Европа </w:t>
      </w:r>
    </w:p>
    <w:p>
      <w:pPr>
        <w:pStyle w:val="P68B1DB1Normal19"/>
        <w:widowControl w:val="false"/>
        <w:spacing w:lineRule="auto" w:line="240" w:before="80" w:after="0"/>
        <w:ind w:left="0" w:right="0" w:hanging="0"/>
        <w:jc w:val="left"/>
        <w:rPr>
          <w:rFonts w:ascii="Times New Roman" w:hAnsi="Times New Roman"/>
          <w:color w:val="000000"/>
          <w:sz w:val="24"/>
        </w:rPr>
      </w:pPr>
      <w:r>
        <w:rPr/>
        <w:t xml:space="preserve"> </w:t>
      </w:r>
    </w:p>
    <w:p>
      <w:pPr>
        <w:pStyle w:val="P68B1DB1Normal52"/>
        <w:widowControl w:val="false"/>
        <w:spacing w:lineRule="auto" w:line="240" w:before="96" w:after="0"/>
        <w:ind w:left="0" w:right="0" w:hanging="0"/>
        <w:jc w:val="both"/>
        <w:rPr/>
      </w:pPr>
      <w:r>
        <w:rPr>
          <w:color w:val="38761D"/>
        </w:rPr>
        <w:t>Утвърдените идеи</w:t>
      </w:r>
      <w:r>
        <w:rPr>
          <w:color w:val="000000"/>
        </w:rPr>
        <w:t xml:space="preserve"> се основават на предложенията, подкрепяни най-вече от участниците в консултацията. Приетите предложения са предложенията, които привличат най-голяма подкрепа, като те се възползват средно </w:t>
      </w:r>
      <w:r>
        <w:rPr>
          <w:b/>
          <w:color w:val="000000"/>
        </w:rPr>
        <w:t>от 79 % от гласовете</w:t>
      </w:r>
      <w:r>
        <w:rPr>
          <w:color w:val="000000"/>
        </w:rPr>
        <w:t xml:space="preserve">. </w:t>
      </w:r>
    </w:p>
    <w:p>
      <w:pPr>
        <w:pStyle w:val="P68B1DB1Normal44"/>
        <w:widowControl w:val="false"/>
        <w:spacing w:lineRule="auto" w:line="240" w:before="94" w:after="0"/>
        <w:ind w:left="0" w:right="0" w:hanging="0"/>
        <w:jc w:val="left"/>
        <w:rPr>
          <w:rFonts w:ascii="Times New Roman" w:hAnsi="Times New Roman"/>
          <w:i/>
          <w:i/>
          <w:color w:val="000000"/>
          <w:sz w:val="24"/>
        </w:rPr>
      </w:pPr>
      <w:r>
        <w:rPr/>
        <w:t xml:space="preserve"> </w:t>
      </w:r>
    </w:p>
    <w:p>
      <w:pPr>
        <w:pStyle w:val="P68B1DB1Normal52"/>
        <w:widowControl w:val="false"/>
        <w:spacing w:lineRule="auto" w:line="240" w:before="96" w:after="0"/>
        <w:ind w:left="0" w:right="0" w:hanging="0"/>
        <w:jc w:val="both"/>
        <w:rPr/>
      </w:pPr>
      <w:r>
        <w:rPr>
          <w:color w:val="FF9900"/>
        </w:rPr>
        <w:t>Спорните идеи</w:t>
      </w:r>
      <w:r>
        <w:rPr>
          <w:color w:val="000000"/>
        </w:rPr>
        <w:t xml:space="preserve"> се основават на предложенията, които се обсъждат най-много от участниците в консултацията, с баланс между гласовете „за„и „против“. Спорните предложения са най-силно обсъжданите предложения на консултацията, като се използват средно </w:t>
      </w:r>
      <w:r>
        <w:rPr>
          <w:b/>
          <w:color w:val="000000"/>
        </w:rPr>
        <w:t>40 % от гласовете „за„</w:t>
      </w:r>
      <w:r>
        <w:rPr>
          <w:color w:val="000000"/>
        </w:rPr>
        <w:t xml:space="preserve"> и </w:t>
      </w:r>
      <w:r>
        <w:rPr>
          <w:b/>
          <w:color w:val="000000"/>
        </w:rPr>
        <w:t>38 % от „гласуват против“</w:t>
      </w:r>
      <w:r>
        <w:rPr>
          <w:color w:val="000000"/>
        </w:rPr>
        <w:t xml:space="preserve">. </w:t>
      </w:r>
    </w:p>
    <w:p>
      <w:pPr>
        <w:pStyle w:val="P68B1DB1Normal44"/>
        <w:widowControl w:val="false"/>
        <w:spacing w:lineRule="auto" w:line="240" w:before="96" w:after="0"/>
        <w:ind w:left="0" w:right="0" w:hanging="0"/>
        <w:jc w:val="left"/>
        <w:rPr>
          <w:rFonts w:ascii="Times New Roman" w:hAnsi="Times New Roman"/>
          <w:i/>
          <w:i/>
          <w:color w:val="000000"/>
          <w:sz w:val="24"/>
        </w:rPr>
      </w:pPr>
      <w:r>
        <w:rPr/>
        <w:t xml:space="preserve"> </w:t>
      </w:r>
    </w:p>
    <w:p>
      <w:pPr>
        <w:pStyle w:val="Normal"/>
        <w:widowControl w:val="false"/>
        <w:spacing w:lineRule="auto" w:line="240" w:before="90" w:after="0"/>
        <w:ind w:left="0" w:right="0" w:hanging="0"/>
        <w:jc w:val="both"/>
        <w:rPr/>
      </w:pPr>
      <w:r>
        <w:rPr>
          <w:rFonts w:ascii="Times New Roman" w:hAnsi="Times New Roman"/>
          <w:color w:val="000000"/>
          <w:sz w:val="24"/>
        </w:rPr>
        <w:t xml:space="preserve">Анализът на тези предложения идентифицира 22 признати идеи и 13 спорни идеи. Тези 22 признати идеи и 13-те спорни идеи бяха разделени на 9 оси, съответстващи на основните теми на Конференцията за бъдещето на Европа. </w:t>
      </w:r>
      <w:r>
        <w:br w:type="page"/>
      </w:r>
    </w:p>
    <w:p>
      <w:pPr>
        <w:pStyle w:val="Normal"/>
        <w:widowControl w:val="false"/>
        <w:spacing w:lineRule="auto" w:line="240" w:before="85" w:after="0"/>
        <w:ind w:left="0" w:right="0" w:hanging="0"/>
        <w:jc w:val="left"/>
        <w:rPr/>
      </w:pPr>
      <w:r>
        <w:rPr/>
        <w:t>Синтез на утвърдени и противоречиви идеи</w:t>
      </w:r>
      <w:r>
        <w:rPr>
          <w:rFonts w:ascii="Times New Roman" w:hAnsi="Times New Roman"/>
          <w:color w:val="000000"/>
          <w:sz w:val="24"/>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09"/>
      </w:tblGrid>
      <w:tr>
        <w:trPr/>
        <w:tc>
          <w:tcPr>
            <w:tcW w:w="9637"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color w:val="FFFFFF"/>
                <w:sz w:val="18"/>
                <w:highlight w:val="darkCyan"/>
              </w:rPr>
            </w:pPr>
            <w:r>
              <w:rPr/>
              <w:t>Изменение на климата и околна среда</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Въвеждане на по-силна европейска екологична политика</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Преминаване към по-устойчиво селско стопанство</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По-решителни действия за опазване на биологичното разнообразие</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Развитие на железопътния транспорт в ЕС</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Ускоряване на енергийния преход</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Ограничаване на опаковките и подобряване на управлението на отпадъците</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Повишаване на осведомеността за околната среда</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Насърчаване на екологични строителни процеси</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Повече инвестиции в ядрената енергетика</w:t>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color w:val="FFFFFF"/>
                <w:sz w:val="18"/>
                <w:highlight w:val="darkCyan"/>
              </w:rPr>
            </w:pPr>
            <w:r>
              <w:rPr/>
              <w:t>Европейска демокрация</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По-добра комуникация относно ролята и работата на ЕС</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Промяна на демократичното функциониране на Европейския съюз</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Борба с дезинформацията</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Превръщане на Европа в федерация</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Предоставяне на по-голяма автономия на държавите членки</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Изграждане на по-силна европейска изпълнителна власт</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Даване на място на младите хора в европейските институции</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rPr>
            </w:pPr>
            <w:r>
              <w:rPr>
                <w:sz w:val="18"/>
              </w:rPr>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rPr>
            </w:pPr>
            <w:r>
              <w:rPr>
                <w:sz w:val="18"/>
              </w:rPr>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color w:val="FFFFFF"/>
                <w:sz w:val="18"/>
                <w:highlight w:val="red"/>
              </w:rPr>
            </w:pPr>
            <w:r>
              <w:rPr/>
              <w:t>Икономика, социална справедливост и заетост</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Преместване на производството в Европа за по-голяма автономност</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Повишаване на отговорността за бизнес практиките и търговията</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Борба с укриването на данъци и оптимизацията</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Хармонизиране на заплатите в Европа</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Създаване на универсален доход</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Преориентиране на Европа към антикапиталистически модел</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Образование, култура, младеж и спорт</w:t>
            </w:r>
          </w:p>
        </w:tc>
        <w:tc>
          <w:tcPr>
            <w:tcW w:w="4819"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rFonts w:ascii="Arial" w:hAnsi="Arial"/>
                <w:b w:val="false"/>
                <w:b w:val="false"/>
                <w:i w:val="false"/>
                <w:i w:val="false"/>
                <w:strike w:val="false"/>
                <w:dstrike w:val="false"/>
                <w:outline w:val="false"/>
                <w:shadow w:val="false"/>
                <w:color w:val="FFFFFF"/>
                <w:sz w:val="18"/>
                <w:highlight w:val="darkMagenta"/>
                <w:u w:val="none"/>
              </w:rPr>
            </w:pPr>
            <w:r>
              <w:rPr/>
              <w:t>Дигитална трансформация</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Предоставяне на възможност на младите хора да обменят повече с други държави от ЕС</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Насърчаване на изучаването на неанглийски езици</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Инвестиране в научни, цифрови и екологични изследвания</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Повишаване на осведомеността за цифровите технологии и техните опасности</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Въвеждане на задължителен европейски престой за младите хора</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Разработване на криптовалути в Европа</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Ценности и права, върховенство на закона, сигурност</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rFonts w:ascii="Arial" w:hAnsi="Arial"/>
                <w:b w:val="false"/>
                <w:b w:val="false"/>
                <w:i w:val="false"/>
                <w:i w:val="false"/>
                <w:strike w:val="false"/>
                <w:dstrike w:val="false"/>
                <w:outline w:val="false"/>
                <w:shadow w:val="false"/>
                <w:color w:val="FFFFFF"/>
                <w:sz w:val="18"/>
                <w:highlight w:val="darkBlue"/>
                <w:u w:val="none"/>
              </w:rPr>
            </w:pPr>
            <w:r>
              <w:rPr/>
              <w:t>Здраве</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Засилване на действията на ЕС за зачитане на правата на човека</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Укрепване на правата на жените</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Инвестиране в здравеопазването</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Подобряване на качеството на нашите хранителни продукти</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spacing w:before="57" w:after="57"/>
              <w:jc w:val="center"/>
              <w:rPr>
                <w:rFonts w:ascii="Arial" w:hAnsi="Arial"/>
                <w:b w:val="false"/>
                <w:b w:val="false"/>
                <w:i w:val="false"/>
                <w:i w:val="false"/>
                <w:strike w:val="false"/>
                <w:dstrike w:val="false"/>
                <w:outline w:val="false"/>
                <w:shadow w:val="false"/>
                <w:color w:val="FFFFFF"/>
                <w:sz w:val="18"/>
                <w:highlight w:val="cyan"/>
                <w:u w:val="none"/>
              </w:rPr>
            </w:pPr>
            <w:r>
              <w:rPr/>
              <w:t>ЕС в света</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rFonts w:ascii="Arial" w:hAnsi="Arial"/>
                <w:b w:val="false"/>
                <w:b w:val="false"/>
                <w:i w:val="false"/>
                <w:i w:val="false"/>
                <w:strike w:val="false"/>
                <w:dstrike w:val="false"/>
                <w:outline w:val="false"/>
                <w:shadow w:val="false"/>
                <w:color w:val="FFFFFF"/>
                <w:sz w:val="18"/>
                <w:highlight w:val="red"/>
                <w:u w:val="none"/>
              </w:rPr>
            </w:pPr>
            <w:r>
              <w:rPr/>
              <w:t xml:space="preserve">Имиграция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Осигуряване на възможност за претегляне на ЕС в международен план</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Създаване на европейски въоръжени сили</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Намаляване или придружаване на имиграцията в Европа</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bl>
    <w:p>
      <w:pPr>
        <w:pStyle w:val="Normal"/>
        <w:spacing w:lineRule="auto" w:line="240"/>
        <w:rPr/>
      </w:pPr>
      <w:r>
        <w:rPr/>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Преобладаваща идея (&gt; 10 аплодирани предложения)</w:t>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Единствена идея (и 10 аплодирани предложения)</w:t>
      </w:r>
    </w:p>
    <w:p>
      <w:pPr>
        <w:pStyle w:val="Contenudetableau"/>
        <w:spacing w:lineRule="auto" w:line="240"/>
        <w:jc w:val="center"/>
        <w:rPr/>
      </w:pPr>
      <w:r>
        <w:rPr>
          <w:rFonts w:eastAsia="SimSun" w:cs="Mangal" w:ascii="Times New Roman" w:hAnsi="Times New Roman"/>
          <w:color w:val="F58220"/>
          <w:sz w:val="18"/>
        </w:rPr>
        <w:t>Спорна идея (&gt; 3 спорни предложения)</w:t>
      </w:r>
      <w:r>
        <w:br w:type="page"/>
      </w:r>
    </w:p>
    <w:p>
      <w:pPr>
        <w:pStyle w:val="Titre2"/>
        <w:numPr>
          <w:ilvl w:val="1"/>
          <w:numId w:val="2"/>
        </w:numPr>
        <w:rPr/>
      </w:pPr>
      <w:bookmarkStart w:id="213" w:name="__RefHeading___Toc300458_1346298689"/>
      <w:bookmarkEnd w:id="213"/>
      <w:r>
        <w:rPr/>
        <w:t xml:space="preserve">Заключение </w:t>
      </w:r>
    </w:p>
    <w:p>
      <w:pPr>
        <w:pStyle w:val="P68B1DB1Normal33"/>
        <w:widowControl w:val="false"/>
        <w:spacing w:lineRule="exact" w:line="399" w:before="293"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1"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3" w:after="0"/>
        <w:ind w:left="0" w:right="0" w:hanging="0"/>
        <w:jc w:val="left"/>
        <w:rPr>
          <w:rFonts w:ascii="Times New Roman" w:hAnsi="Times New Roman"/>
          <w:b/>
          <w:b/>
          <w:color w:val="000000"/>
          <w:sz w:val="24"/>
        </w:rPr>
      </w:pPr>
      <w:r>
        <w:rPr/>
        <w:t xml:space="preserve"> </w:t>
      </w:r>
    </w:p>
    <w:p>
      <w:pPr>
        <w:pStyle w:val="P68B1DB1Normal65"/>
        <w:widowControl w:val="false"/>
        <w:spacing w:lineRule="exact" w:line="416" w:before="88" w:after="0"/>
        <w:ind w:left="0" w:right="0" w:hanging="0"/>
        <w:jc w:val="left"/>
        <w:rPr>
          <w:rFonts w:ascii="Times New Roman" w:hAnsi="Times New Roman"/>
          <w:b/>
          <w:b/>
          <w:i/>
          <w:i/>
          <w:color w:val="273375"/>
          <w:sz w:val="26"/>
        </w:rPr>
      </w:pPr>
      <w:r>
        <w:rPr/>
        <w:t>„</w:t>
      </w:r>
      <w:r>
        <w:rPr/>
        <w:t xml:space="preserve">С една дума, за вас Европа през 2035 г. ще трябва да бъде...“: </w:t>
      </w:r>
    </w:p>
    <w:p>
      <w:pPr>
        <w:pStyle w:val="Normal"/>
        <w:widowControl w:val="false"/>
        <w:spacing w:lineRule="exact" w:line="430" w:before="2454" w:after="0"/>
        <w:ind w:left="0" w:right="0" w:hanging="0"/>
        <w:jc w:val="center"/>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Снимка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Снимка 41" descr=""/>
                    <pic:cNvPicPr>
                      <a:picLocks noChangeAspect="1" noChangeArrowheads="1"/>
                    </pic:cNvPicPr>
                  </pic:nvPicPr>
                  <pic:blipFill>
                    <a:blip r:embed="rId101"/>
                    <a:stretch>
                      <a:fillRect/>
                    </a:stretch>
                  </pic:blipFill>
                  <pic:spPr bwMode="auto">
                    <a:xfrm>
                      <a:off x="0" y="0"/>
                      <a:ext cx="6120130" cy="1558290"/>
                    </a:xfrm>
                    <a:prstGeom prst="rect">
                      <a:avLst/>
                    </a:prstGeom>
                  </pic:spPr>
                </pic:pic>
              </a:graphicData>
            </a:graphic>
          </wp:anchor>
        </w:drawing>
      </w:r>
      <w:r>
        <w:rPr>
          <w:rFonts w:ascii="Times New Roman" w:hAnsi="Times New Roman"/>
          <w:i/>
          <w:color w:val="632423"/>
          <w:sz w:val="24"/>
        </w:rPr>
        <w:t>О</w:t>
      </w:r>
      <w:r>
        <w:rPr>
          <w:rFonts w:ascii="Times New Roman" w:hAnsi="Times New Roman"/>
          <w:i/>
          <w:color w:val="632423"/>
          <w:sz w:val="24"/>
        </w:rPr>
        <w:t xml:space="preserve">тговор на гражданите на националната конференция на последния въпрос: </w:t>
      </w:r>
    </w:p>
    <w:p>
      <w:pPr>
        <w:pStyle w:val="P68B1DB1Normal66"/>
        <w:widowControl w:val="false"/>
        <w:spacing w:lineRule="exact" w:line="430" w:before="95" w:after="0"/>
        <w:ind w:left="0" w:right="0" w:hanging="0"/>
        <w:jc w:val="center"/>
        <w:rPr>
          <w:rFonts w:ascii="Times New Roman" w:hAnsi="Times New Roman"/>
          <w:i/>
          <w:i/>
          <w:color w:val="632423"/>
          <w:sz w:val="24"/>
        </w:rPr>
      </w:pPr>
      <w:r>
        <w:rPr/>
        <w:t xml:space="preserve">Накратко, за вас Европа през 2035 г. ще трябва да бъде... </w:t>
      </w:r>
    </w:p>
    <w:p>
      <w:pPr>
        <w:pStyle w:val="Normal"/>
        <w:widowControl w:val="false"/>
        <w:spacing w:lineRule="exact" w:line="430" w:before="95" w:after="0"/>
        <w:ind w:left="0" w:right="0" w:hanging="0"/>
        <w:jc w:val="left"/>
        <w:rPr>
          <w:rFonts w:ascii="Times New Roman" w:hAnsi="Times New Roman"/>
          <w:b/>
          <w:b/>
          <w:i/>
          <w:i/>
          <w:color w:val="632423"/>
          <w:sz w:val="24"/>
        </w:rPr>
      </w:pPr>
      <w:r>
        <w:rPr>
          <w:rFonts w:ascii="Times New Roman" w:hAnsi="Times New Roman"/>
          <w:b/>
          <w:i/>
          <w:color w:val="632423"/>
          <w:sz w:val="24"/>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pPr>
      <w:r>
        <w:rPr/>
      </w:r>
      <w:r>
        <w:br w:type="page"/>
      </w:r>
    </w:p>
    <w:p>
      <w:pPr>
        <w:pStyle w:val="Titre1"/>
        <w:numPr>
          <w:ilvl w:val="0"/>
          <w:numId w:val="2"/>
        </w:numPr>
        <w:rPr/>
      </w:pPr>
      <w:bookmarkStart w:id="214" w:name="__RefHeading___Toc297353_1346298689"/>
      <w:bookmarkEnd w:id="214"/>
      <w:r>
        <w:rPr/>
        <w:t>II В Национални комитети: Германия</w:t>
      </w:r>
    </w:p>
    <w:p>
      <w:pPr>
        <w:pStyle w:val="P68B1DB1Normal67"/>
        <w:spacing w:lineRule="auto" w:line="240"/>
        <w:rPr>
          <w:rFonts w:ascii="Calibri" w:hAnsi="Calibri"/>
          <w:b/>
          <w:b/>
          <w:color w:val="000000"/>
          <w:sz w:val="36"/>
        </w:rPr>
      </w:pPr>
      <w:r>
        <w:rPr/>
        <w:t xml:space="preserve">Национален граждански панел за бъдещето на Европа в Берлин </w:t>
      </w:r>
    </w:p>
    <w:p>
      <w:pPr>
        <w:pStyle w:val="P68B1DB1Normal19"/>
        <w:widowControl w:val="false"/>
        <w:spacing w:lineRule="exact" w:line="388" w:before="206" w:after="0"/>
        <w:ind w:left="3422" w:right="0" w:hanging="0"/>
        <w:jc w:val="left"/>
        <w:rPr>
          <w:rFonts w:ascii="Times New Roman" w:hAnsi="Times New Roman"/>
          <w:color w:val="000000"/>
          <w:sz w:val="24"/>
        </w:rPr>
      </w:pPr>
      <w:r>
        <w:rPr/>
        <w:t xml:space="preserve">— </w:t>
      </w:r>
      <w:r>
        <w:rPr/>
        <w:t xml:space="preserve">Препоръки на гражданите — </w:t>
      </w:r>
    </w:p>
    <w:p>
      <w:pPr>
        <w:pStyle w:val="P68B1DB1Normal52"/>
        <w:widowControl w:val="false"/>
        <w:spacing w:lineRule="exact" w:line="317" w:before="288" w:after="0"/>
        <w:ind w:left="276" w:right="113" w:hanging="0"/>
        <w:jc w:val="both"/>
        <w:rPr/>
      </w:pPr>
      <w:r>
        <w:rPr>
          <w:color w:val="000000"/>
        </w:rPr>
        <w:t xml:space="preserve">Германия проведе своя национален граждански панел за бъдещето на Европа на 5, 8, 15 и 16 януари. Процесът на подбор на граждани последва стратифицирания случаен подбор на участниците в европейските граждански панели. За участие бяха поканени 12 000 германски граждани; от респондентите са избрани около 100, като се вземат предвид настоящите данни от преброяването на Федерална република Германия, за да се отрази разнообразието на германското общество и населението като цяло. По време на Националния граждански панел участниците обсъдиха пет теми: ЕС в света; по-силна икономика; изменението на климата и околната среда; социална справедливост; Европейските ценности и върховенството на закона. След това те разработиха конкретни препоръки за всяка от тези теми, които бяха приети на заключителната пленарна сесия на 16 януари: </w:t>
      </w:r>
      <w:r>
        <w:rPr>
          <w:color w:val="0000FF"/>
        </w:rPr>
        <w:t>www.youtube.com/watch?v=cefqmarZXzY</w:t>
      </w:r>
    </w:p>
    <w:p>
      <w:pPr>
        <w:pStyle w:val="Normal"/>
        <w:spacing w:lineRule="auto" w:line="240"/>
        <w:rPr/>
      </w:pPr>
      <w:r>
        <w:rPr/>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Кръгла маса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Обвързване на външнотърговските интереси с мерките на политиката в областта на климата </w:t>
      </w:r>
    </w:p>
    <w:p>
      <w:pPr>
        <w:pStyle w:val="P68B1DB1Normal20"/>
        <w:widowControl w:val="false"/>
        <w:spacing w:lineRule="exact" w:line="337" w:before="192" w:after="0"/>
        <w:ind w:left="276" w:right="123" w:hanging="0"/>
        <w:jc w:val="both"/>
        <w:rPr/>
      </w:pPr>
      <w:r>
        <w:rPr/>
        <w:t xml:space="preserve">Препоръчваме на ЕС (по-специално Европейската комисия) да стартира инвестиционен пакет за благоприятни за климата технологии и иновации, включително програми за финансиране. Този пакет от мерки следва да бъде финансиран от свързани с климата вносни мита, които ще бъдат конкретно засегнати и прехвърлени като финансова компенсация за щети, причинени от изменението на климата. В този контекст за някои продукти ще бъде въведена система от точки за оценка на устойчивостта. Ясна позиция на ЕС и силна и иновативна Европа биха допринесли за постигането на глобалните цели в областта на климата. Това би спомогнало за консолидиране на ролята на Европейския съюз като световен пионер и отговорен модел, който гарантира богатство и може да доведе до устойчиви промени в световен мащаб. Тези цели са важни за нас, тъй като ЕС има устойчив принос в борбата срещу изменението на климата, което в дългосрочен план би могло да играе ключова роля за укрепването на световния мир. </w:t>
      </w:r>
    </w:p>
    <w:p>
      <w:pPr>
        <w:pStyle w:val="Normal"/>
        <w:widowControl w:val="false"/>
        <w:spacing w:lineRule="exact" w:line="385" w:before="135" w:after="0"/>
        <w:ind w:left="0" w:right="0" w:hanging="0"/>
        <w:jc w:val="left"/>
        <w:rPr>
          <w:rFonts w:ascii="Calibri" w:hAnsi="Calibri"/>
          <w:color w:val="000000"/>
          <w:sz w:val="24"/>
        </w:rPr>
      </w:pPr>
      <w:r>
        <w:rPr>
          <w:rFonts w:ascii="Calibri" w:hAnsi="Calibri"/>
          <w:color w:val="000000"/>
          <w:sz w:val="24"/>
        </w:rPr>
      </w:r>
    </w:p>
    <w:p>
      <w:pPr>
        <w:pStyle w:val="P68B1DB1Normal44"/>
        <w:widowControl w:val="false"/>
        <w:spacing w:lineRule="exact" w:line="383"/>
        <w:ind w:left="276" w:right="0" w:hanging="0"/>
        <w:jc w:val="left"/>
        <w:rPr>
          <w:rFonts w:ascii="Times New Roman" w:hAnsi="Times New Roman"/>
          <w:i/>
          <w:i/>
          <w:color w:val="000000"/>
          <w:sz w:val="24"/>
        </w:rPr>
      </w:pPr>
      <w:r>
        <w:rPr/>
        <w:t xml:space="preserve">Кръгла маса 2: </w:t>
      </w:r>
    </w:p>
    <w:p>
      <w:pPr>
        <w:pStyle w:val="P68B1DB1Normal68"/>
        <w:widowControl w:val="false"/>
        <w:spacing w:lineRule="exact" w:line="338" w:before="321" w:after="0"/>
        <w:ind w:left="0" w:right="131" w:hanging="0"/>
        <w:jc w:val="left"/>
        <w:rPr/>
      </w:pPr>
      <w:r>
        <w:rPr/>
        <w:t xml:space="preserve">Създаване на стимули за прилагане на производството в ЕС, по-специално по отношение на стоките </w:t>
      </w:r>
    </w:p>
    <w:p>
      <w:pPr>
        <w:pStyle w:val="P68B1DB1Normal20"/>
        <w:widowControl w:val="false"/>
        <w:spacing w:lineRule="exact" w:line="337" w:before="208" w:after="0"/>
        <w:ind w:left="276" w:right="121" w:hanging="0"/>
        <w:jc w:val="both"/>
        <w:rPr/>
      </w:pPr>
      <w:r>
        <w:rPr/>
        <w:t xml:space="preserve">За да се улесни производството на стоки в ЕС, препоръчваме ускоряване и стандартизиране на процедурите за одобрение, намаляване на бюрокрацията и предоставяне на субсидии на дружества, които се преместват в ЕС и/или създават производствени обекти в ЕС. ЕС следва масово да насърчава енергията от възобновяеми източници, за да се намалят разходите за енергия. </w:t>
      </w:r>
    </w:p>
    <w:p>
      <w:pPr>
        <w:pStyle w:val="P68B1DB1Normal20"/>
        <w:widowControl w:val="false"/>
        <w:spacing w:lineRule="exact" w:line="336" w:before="216" w:after="0"/>
        <w:ind w:left="276" w:right="121" w:hanging="0"/>
        <w:jc w:val="both"/>
        <w:rPr/>
      </w:pPr>
      <w:r>
        <w:rPr/>
        <w:t xml:space="preserve">Чрез тези мерки искаме да съкратим веригите на доставки и да ги направим по-благоприятни за климата, да спомогнем за укрепването на ЕС и да създадем работни места, в които се зачитат правата на човека. </w:t>
      </w:r>
    </w:p>
    <w:p>
      <w:pPr>
        <w:pStyle w:val="Normal"/>
        <w:widowControl w:val="false"/>
        <w:spacing w:lineRule="exact" w:line="336" w:before="219" w:after="0"/>
        <w:ind w:left="276" w:right="121" w:hanging="0"/>
        <w:jc w:val="both"/>
        <w:rPr/>
      </w:pPr>
      <w:r>
        <w:rPr>
          <w:rFonts w:ascii="Calibri" w:hAnsi="Calibri"/>
          <w:color w:val="000000"/>
          <w:sz w:val="24"/>
        </w:rPr>
        <w:t xml:space="preserve">Тези цели са важни за нас, тъй като преместването на производството в ЕС би направило ЕС по-автономен в международен план и по-малко политически уязвим. </w:t>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Кръгла маса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Digi-Score — точкова система за силна цифрова икономика в целия ЕС </w:t>
      </w:r>
    </w:p>
    <w:p>
      <w:pPr>
        <w:pStyle w:val="P68B1DB1Normal20"/>
        <w:widowControl w:val="false"/>
        <w:spacing w:lineRule="exact" w:line="337" w:before="192" w:after="0"/>
        <w:ind w:left="276" w:right="119" w:hanging="0"/>
        <w:jc w:val="both"/>
        <w:rPr/>
      </w:pPr>
      <w:r>
        <w:rPr/>
        <w:t xml:space="preserve">Предлагаме създаването на публично достъпно цифрово табло, наречено Digi-Score, управлявано от Европейската комисия (ГД „Съобщителни мрежи, съдържание и технологии“). Това би било прецизна система за класиране, която да показва и сравнява настоящото равнище на цифрова зрялост на дружествата от ЕС. С това предложение искаме да насърчим повече цифровизация в цяла Европа. Дружествата с нисък цифров резултат ще имат право на целева подкрепа, за да им помогнат да наваксат. </w:t>
      </w:r>
    </w:p>
    <w:p>
      <w:pPr>
        <w:pStyle w:val="P68B1DB1Normal20"/>
        <w:widowControl w:val="false"/>
        <w:spacing w:lineRule="exact" w:line="338" w:before="219" w:after="0"/>
        <w:ind w:left="276" w:right="121" w:hanging="0"/>
        <w:jc w:val="both"/>
        <w:rPr/>
      </w:pPr>
      <w:r>
        <w:rPr/>
        <w:t xml:space="preserve">Тази цел е важна за нас, тъй като би спомогнала за проправянето на пътя за повишаване на производителността, ефективността и продажбите, като по този начин ще засили ролята на Европа като основа за производство. </w:t>
      </w:r>
    </w:p>
    <w:p>
      <w:pPr>
        <w:pStyle w:val="P68B1DB1Normal20"/>
        <w:widowControl w:val="false"/>
        <w:spacing w:lineRule="exact" w:line="385" w:before="137" w:after="0"/>
        <w:ind w:left="0" w:right="0" w:hanging="0"/>
        <w:jc w:val="left"/>
        <w:rPr>
          <w:rFonts w:ascii="Calibri" w:hAnsi="Calibri"/>
          <w:color w:val="000000"/>
          <w:sz w:val="24"/>
        </w:rPr>
      </w:pPr>
      <w:r>
        <w:rPr/>
        <w:t xml:space="preserve"> </w:t>
      </w:r>
    </w:p>
    <w:p>
      <w:pPr>
        <w:pStyle w:val="P68B1DB1Normal44"/>
        <w:widowControl w:val="false"/>
        <w:spacing w:lineRule="exact" w:line="383" w:before="271" w:after="0"/>
        <w:ind w:left="276" w:right="0" w:hanging="0"/>
        <w:jc w:val="left"/>
        <w:rPr>
          <w:rFonts w:ascii="Times New Roman" w:hAnsi="Times New Roman"/>
          <w:i/>
          <w:i/>
          <w:color w:val="000000"/>
          <w:sz w:val="24"/>
        </w:rPr>
      </w:pPr>
      <w:r>
        <w:rPr/>
        <w:t xml:space="preserve">Кръгла маса 2: </w:t>
      </w:r>
    </w:p>
    <w:p>
      <w:pPr>
        <w:pStyle w:val="P68B1DB1Normal68"/>
        <w:widowControl w:val="false"/>
        <w:spacing w:lineRule="exact" w:line="400" w:before="209" w:after="0"/>
        <w:ind w:left="0" w:right="0" w:hanging="0"/>
        <w:jc w:val="left"/>
        <w:rPr>
          <w:rFonts w:ascii="Calibri" w:hAnsi="Calibri"/>
          <w:b/>
          <w:b/>
          <w:color w:val="000000"/>
          <w:sz w:val="24"/>
        </w:rPr>
      </w:pPr>
      <w:r>
        <w:rPr/>
        <w:t xml:space="preserve">Информационна платформа за обмен на знания и опит на равнище ЕС </w:t>
      </w:r>
    </w:p>
    <w:p>
      <w:pPr>
        <w:pStyle w:val="P68B1DB1Normal20"/>
        <w:widowControl w:val="false"/>
        <w:spacing w:lineRule="exact" w:line="337"/>
        <w:ind w:left="276" w:right="119" w:hanging="0"/>
        <w:jc w:val="both"/>
        <w:rPr/>
      </w:pPr>
      <w:r>
        <w:rPr/>
        <w:t xml:space="preserve">Сметната палата препоръчва на ЕС да създаде информационна платформа за обмен на знания и опит на равнище ЕС. Нашата цел е да споделяме информация за съществуващите транснационални дейности в областта на образованието и обучението в ЕС, да представим примери за най-добри практики и да дадем на гражданите възможност да представят нови идеи за трансграничен обмен. Освен това може да бъде предоставена допълнителна информация на наличните технически експертни форуми (напр. в областта на енергетиката, околната среда или цифровия преход). </w:t>
      </w:r>
    </w:p>
    <w:p>
      <w:pPr>
        <w:pStyle w:val="P68B1DB1Normal20"/>
        <w:widowControl w:val="false"/>
        <w:spacing w:lineRule="exact" w:line="337" w:before="216" w:after="0"/>
        <w:ind w:left="276" w:right="121" w:hanging="0"/>
        <w:jc w:val="both"/>
        <w:rPr/>
      </w:pPr>
      <w:r>
        <w:rPr/>
        <w:t xml:space="preserve">Считаме, че това е важно, защото гражданите се нуждаят от прозрачност по отношение на наличните трансгранични дейности в областта на образованието и обучението. Те следва да получават по-добри насоки на равнище ЕС относно съществуващите форуми и платформи.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Кръгла маса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Регламент за гарантиране на животозастраховането на продуктите </w:t>
      </w:r>
    </w:p>
    <w:p>
      <w:pPr>
        <w:pStyle w:val="P68B1DB1Normal20"/>
        <w:widowControl w:val="false"/>
        <w:spacing w:lineRule="exact" w:line="337" w:before="192" w:after="0"/>
        <w:ind w:left="276" w:right="119" w:hanging="0"/>
        <w:jc w:val="both"/>
        <w:rPr/>
      </w:pPr>
      <w:r>
        <w:rPr/>
        <w:t xml:space="preserve">Препоръчваме ЕС да приеме законодателство за установяване на удължен, гарантиран и специфичен жизнен цикъл на всеки продукт, произвеждан и продаван в ЕС, и да бъде прозрачен за потребителите в това отношение. </w:t>
      </w:r>
    </w:p>
    <w:p>
      <w:pPr>
        <w:pStyle w:val="P68B1DB1Normal20"/>
        <w:widowControl w:val="false"/>
        <w:spacing w:lineRule="exact" w:line="336" w:before="219" w:after="0"/>
        <w:ind w:left="276" w:right="126" w:hanging="0"/>
        <w:jc w:val="both"/>
        <w:rPr/>
      </w:pPr>
      <w:r>
        <w:rPr/>
        <w:t xml:space="preserve">Ресурсите са ограничени и това би спестило пари и би намалило отпадъците, което би било от полза за околната среда, климата и потребителите. </w:t>
      </w:r>
    </w:p>
    <w:p>
      <w:pPr>
        <w:pStyle w:val="P68B1DB1Normal20"/>
        <w:widowControl w:val="false"/>
        <w:spacing w:lineRule="exact" w:line="338" w:before="216" w:after="0"/>
        <w:ind w:left="276" w:right="131" w:hanging="0"/>
        <w:jc w:val="left"/>
        <w:rPr/>
      </w:pPr>
      <w:r>
        <w:rPr/>
        <w:t xml:space="preserve">Искаме да насърчим производителите да предлагат на пазара по-трайни и подлежащи на поправка продукти. </w:t>
      </w:r>
    </w:p>
    <w:p>
      <w:pPr>
        <w:pStyle w:val="P68B1DB1Normal69"/>
        <w:widowControl w:val="false"/>
        <w:spacing w:lineRule="exact" w:line="332" w:before="138" w:after="0"/>
        <w:ind w:left="0" w:right="0" w:hanging="0"/>
        <w:jc w:val="left"/>
        <w:rPr>
          <w:rFonts w:ascii="Calibri" w:hAnsi="Calibri"/>
          <w:b/>
          <w:b/>
          <w:color w:val="000000"/>
          <w:sz w:val="20"/>
        </w:rPr>
      </w:pPr>
      <w:r>
        <w:rPr/>
        <w:t xml:space="preserve"> </w:t>
      </w:r>
    </w:p>
    <w:p>
      <w:pPr>
        <w:pStyle w:val="P68B1DB1Normal44"/>
        <w:widowControl w:val="false"/>
        <w:spacing w:lineRule="exact" w:line="383" w:before="107" w:after="0"/>
        <w:ind w:left="276" w:right="0" w:hanging="0"/>
        <w:jc w:val="left"/>
        <w:rPr>
          <w:rFonts w:ascii="Times New Roman" w:hAnsi="Times New Roman"/>
          <w:i/>
          <w:i/>
          <w:color w:val="000000"/>
          <w:sz w:val="24"/>
        </w:rPr>
      </w:pPr>
      <w:r>
        <w:rPr/>
        <w:t xml:space="preserve">Кръгла маса 2: </w:t>
      </w:r>
    </w:p>
    <w:p>
      <w:pPr>
        <w:pStyle w:val="P68B1DB1Normal68"/>
        <w:widowControl w:val="false"/>
        <w:spacing w:lineRule="exact" w:line="400" w:before="321" w:after="0"/>
        <w:ind w:left="0" w:right="0" w:hanging="0"/>
        <w:jc w:val="left"/>
        <w:rPr>
          <w:rFonts w:ascii="Calibri" w:hAnsi="Calibri"/>
          <w:b/>
          <w:b/>
          <w:color w:val="000000"/>
          <w:sz w:val="24"/>
        </w:rPr>
      </w:pPr>
      <w:r>
        <w:rPr/>
        <w:t xml:space="preserve">Дългосрочна кампания на ЕС за устойчиво потребление и начин на живот </w:t>
      </w:r>
    </w:p>
    <w:p>
      <w:pPr>
        <w:pStyle w:val="P68B1DB1Normal20"/>
        <w:widowControl w:val="false"/>
        <w:spacing w:lineRule="exact" w:line="336"/>
        <w:ind w:left="276" w:right="126" w:hanging="0"/>
        <w:jc w:val="left"/>
        <w:rPr/>
      </w:pPr>
      <w:r>
        <w:rPr/>
        <w:t xml:space="preserve">Препоръчваме европейски орган, включително клонове в страните от ЕС, да разполага със собствени ресурси и да ръководи тази кампания. </w:t>
      </w:r>
    </w:p>
    <w:p>
      <w:pPr>
        <w:pStyle w:val="P68B1DB1Normal20"/>
        <w:widowControl w:val="false"/>
        <w:spacing w:lineRule="exact" w:line="336" w:before="219" w:after="0"/>
        <w:ind w:left="276" w:right="128" w:hanging="0"/>
        <w:jc w:val="both"/>
        <w:rPr/>
      </w:pPr>
      <w:r>
        <w:rPr/>
        <w:t xml:space="preserve">Нашата цел е да гарантираме, че всички граждани на ЕС признават себе си в обща идентичност, осъзнават по-добре необходимостта от устойчиво потребление и начин на живот и възприемат този начин на живот. </w:t>
      </w:r>
    </w:p>
    <w:p>
      <w:pPr>
        <w:pStyle w:val="P68B1DB1Normal20"/>
        <w:widowControl w:val="false"/>
        <w:spacing w:lineRule="exact" w:line="336" w:before="216" w:after="0"/>
        <w:ind w:left="276" w:right="128" w:hanging="0"/>
        <w:jc w:val="left"/>
        <w:rPr/>
      </w:pPr>
      <w:r>
        <w:rPr/>
        <w:t xml:space="preserve">Тези цели са важни за нас, защото искаме да събудим вътрешна мотивация за устойчив начин на живот. </w:t>
      </w:r>
    </w:p>
    <w:p>
      <w:pPr>
        <w:pStyle w:val="Normal"/>
        <w:spacing w:lineRule="auto" w:line="240"/>
        <w:rPr/>
      </w:pPr>
      <w:r>
        <w:rPr/>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Кръгла маса 1: </w:t>
      </w:r>
    </w:p>
    <w:p>
      <w:pPr>
        <w:pStyle w:val="P68B1DB1Normal68"/>
        <w:widowControl w:val="false"/>
        <w:spacing w:lineRule="exact" w:line="400" w:before="88" w:after="0"/>
        <w:ind w:left="0" w:right="0" w:hanging="0"/>
        <w:jc w:val="left"/>
        <w:rPr>
          <w:rFonts w:ascii="Calibri" w:hAnsi="Calibri"/>
          <w:b/>
          <w:b/>
          <w:color w:val="000000"/>
          <w:sz w:val="24"/>
        </w:rPr>
      </w:pPr>
      <w:r>
        <w:rPr/>
        <w:t xml:space="preserve">Създаване на повече възможности за обмен на студенти в Европа </w:t>
      </w:r>
    </w:p>
    <w:p>
      <w:pPr>
        <w:pStyle w:val="P68B1DB1Normal20"/>
        <w:widowControl w:val="false"/>
        <w:spacing w:lineRule="exact" w:line="293" w:before="162" w:after="0"/>
        <w:ind w:left="276" w:right="123" w:hanging="0"/>
        <w:jc w:val="both"/>
        <w:rPr/>
      </w:pPr>
      <w:r>
        <w:rPr/>
        <w:t xml:space="preserve">Препоръчваме на Европейския съюз да приеме, в допълнение към програмата „Еразъм“, регламент относно програма за обмен за ученици и студенти на възраст между 14 и 25 години, независимо от техния произход, пол и ниво на образование. Тази програма за обмен следва систематично да се създава и насърчава от училищата на местно равнище. Всеки ученик трябва да има възможност да участва в програмата за обмен по всяко време на своето обучение. За тази цел Европейската комисия следва да представи предложение на Европейския парламент и на Европейския съвет. </w:t>
      </w:r>
    </w:p>
    <w:p>
      <w:pPr>
        <w:pStyle w:val="P68B1DB1Normal20"/>
        <w:widowControl w:val="false"/>
        <w:spacing w:lineRule="exact" w:line="293" w:before="168" w:after="0"/>
        <w:ind w:left="276" w:right="123" w:hanging="0"/>
        <w:jc w:val="both"/>
        <w:rPr/>
      </w:pPr>
      <w:r>
        <w:rPr/>
        <w:t xml:space="preserve">Нашата цел е да дадем на студентите, независимо от тяхното академично представяне и финансовата подкрепа на техните родители, възможността да участват в програми за обмен в цяла Европа. Културата на европейския обмен следва да се насърчава още от училищна възраст. Преди всичко е важно програмите за обмен да бъдат лесно достъпни и без бюрокрация. Чрез тази програма за обмен искаме да установим европейска солидарност и да намалим езиковите бариери. В този контекст трябва да се има предвид равнопоставеността в образованието и участието в образованието, за да се укрепят междукултурните и комуникационните умения. </w:t>
      </w:r>
    </w:p>
    <w:p>
      <w:pPr>
        <w:pStyle w:val="P68B1DB1Normal20"/>
        <w:widowControl w:val="false"/>
        <w:spacing w:lineRule="exact" w:line="293" w:before="168" w:after="0"/>
        <w:ind w:left="276" w:right="123" w:hanging="0"/>
        <w:jc w:val="both"/>
        <w:rPr/>
      </w:pPr>
      <w:r>
        <w:rPr/>
        <w:t xml:space="preserve">Тези цели са важни за нас, тъй като могат да спомогнат за насърчаване на европейското сближаване, да засилят уважението и сътрудничеството и да предадат европейските ценности от ранна възраст, така че многообразието на Европа да се разглежда като възможност. </w:t>
      </w:r>
    </w:p>
    <w:p>
      <w:pPr>
        <w:pStyle w:val="P68B1DB1Normal20"/>
        <w:widowControl w:val="false"/>
        <w:spacing w:lineRule="exact" w:line="385" w:before="92" w:after="0"/>
        <w:ind w:left="0" w:right="0" w:hanging="0"/>
        <w:jc w:val="left"/>
        <w:rPr>
          <w:rFonts w:ascii="Calibri" w:hAnsi="Calibri"/>
          <w:color w:val="000000"/>
          <w:sz w:val="24"/>
        </w:rPr>
      </w:pPr>
      <w:r>
        <w:rPr/>
        <w:t xml:space="preserve"> </w:t>
      </w:r>
    </w:p>
    <w:p>
      <w:pPr>
        <w:pStyle w:val="P68B1DB1Normal44"/>
        <w:widowControl w:val="false"/>
        <w:spacing w:lineRule="exact" w:line="383" w:before="112" w:after="0"/>
        <w:ind w:left="276" w:right="0" w:hanging="0"/>
        <w:jc w:val="left"/>
        <w:rPr>
          <w:rFonts w:ascii="Times New Roman" w:hAnsi="Times New Roman"/>
          <w:i/>
          <w:i/>
          <w:color w:val="000000"/>
          <w:sz w:val="24"/>
        </w:rPr>
      </w:pPr>
      <w:r>
        <w:rPr/>
        <w:t xml:space="preserve">Кръгла маса 2: </w:t>
      </w:r>
    </w:p>
    <w:p>
      <w:pPr>
        <w:pStyle w:val="P68B1DB1Normal68"/>
        <w:widowControl w:val="false"/>
        <w:spacing w:lineRule="exact" w:line="400" w:before="205" w:after="0"/>
        <w:ind w:left="0" w:right="0" w:hanging="0"/>
        <w:jc w:val="left"/>
        <w:rPr>
          <w:rFonts w:ascii="Calibri" w:hAnsi="Calibri"/>
          <w:b/>
          <w:b/>
          <w:color w:val="000000"/>
          <w:sz w:val="24"/>
        </w:rPr>
      </w:pPr>
      <w:r>
        <w:rPr/>
        <w:t xml:space="preserve">Установяване на основна работна заплата, специфична за заетостта </w:t>
      </w:r>
    </w:p>
    <w:p>
      <w:pPr>
        <w:pStyle w:val="P68B1DB1Normal20"/>
        <w:widowControl w:val="false"/>
        <w:spacing w:lineRule="exact" w:line="293"/>
        <w:ind w:left="276" w:right="121" w:hanging="0"/>
        <w:jc w:val="both"/>
        <w:rPr/>
      </w:pPr>
      <w:r>
        <w:rPr/>
        <w:t xml:space="preserve">Препоръчваме на европейския комисар по заетостта и социалните права да представи на Европейския парламент предложение за създаване на основна работна заплата, специфична за заетостта във всички държави членки. Тази основна заплата следва да се състои от минимален доход, достатъчен за осигуряване на прехрана и специфично допълнение към заетостта. </w:t>
      </w:r>
    </w:p>
    <w:p>
      <w:pPr>
        <w:pStyle w:val="P68B1DB1Normal20"/>
        <w:widowControl w:val="false"/>
        <w:spacing w:lineRule="exact" w:line="293" w:before="173" w:after="0"/>
        <w:ind w:left="276" w:right="121" w:hanging="0"/>
        <w:jc w:val="both"/>
        <w:rPr/>
      </w:pPr>
      <w:r>
        <w:rPr/>
        <w:t xml:space="preserve">Нашата цел е да гарантираме, че професионалните резултати и заплатите са съпоставими в целия ЕС, за да се засили социалната справедливост. Тази цел е важна за нас, тъй като би гарантирала, че пазарът на труда спазва основен принцип на ЕС: сравними условия на живот и труд, независимо от местопребиваването и професията на дадено лице.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Кръгла маса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Въплъщаване на европейските ценности и съобщаването им чрез привличане на емоции </w:t>
      </w:r>
    </w:p>
    <w:p>
      <w:pPr>
        <w:pStyle w:val="P68B1DB1Normal20"/>
        <w:widowControl w:val="false"/>
        <w:spacing w:lineRule="exact" w:line="338" w:before="192" w:after="0"/>
        <w:ind w:left="276" w:right="126" w:hanging="0"/>
        <w:jc w:val="both"/>
        <w:rPr/>
      </w:pPr>
      <w:r>
        <w:rPr/>
        <w:t xml:space="preserve">Препоръчваме да направим европейските ценности по-конкретни и да общуваме с повече емоции. Бихме могли да постигнем това, например чрез пакет за „интеграция“, обхващащ медиите, интерактивните елементи и по-голямото гражданско участие. </w:t>
      </w:r>
    </w:p>
    <w:p>
      <w:pPr>
        <w:pStyle w:val="P68B1DB1Normal20"/>
        <w:widowControl w:val="false"/>
        <w:spacing w:lineRule="exact" w:line="336" w:before="216" w:after="0"/>
        <w:ind w:left="276" w:right="126" w:hanging="0"/>
        <w:jc w:val="left"/>
        <w:rPr/>
      </w:pPr>
      <w:r>
        <w:rPr/>
        <w:t xml:space="preserve">Нашата цел е всички, живеещи в ЕС, да познават и възприемат общите ценности. </w:t>
      </w:r>
    </w:p>
    <w:p>
      <w:pPr>
        <w:pStyle w:val="P68B1DB1Normal20"/>
        <w:widowControl w:val="false"/>
        <w:spacing w:lineRule="exact" w:line="337" w:before="216" w:after="0"/>
        <w:ind w:left="276" w:right="119" w:hanging="0"/>
        <w:jc w:val="both"/>
        <w:rPr/>
      </w:pPr>
      <w:r>
        <w:rPr/>
        <w:t xml:space="preserve">Тази цел е важна за нас, защото формира основата за нашето съвместно съществуване в нашата общност на ценности. Тези ценности са твърде малко известни, защото липсва лична връзка. Трябва да направим тази връзка. </w:t>
      </w:r>
    </w:p>
    <w:p>
      <w:pPr>
        <w:pStyle w:val="P68B1DB1Normal20"/>
        <w:widowControl w:val="false"/>
        <w:spacing w:lineRule="exact" w:line="385" w:before="135" w:after="0"/>
        <w:ind w:left="0" w:right="0" w:hanging="0"/>
        <w:jc w:val="left"/>
        <w:rPr>
          <w:rFonts w:ascii="Calibri" w:hAnsi="Calibri"/>
          <w:color w:val="000000"/>
          <w:sz w:val="24"/>
        </w:rPr>
      </w:pPr>
      <w:r>
        <w:rPr/>
        <w:t xml:space="preserve"> </w:t>
      </w:r>
    </w:p>
    <w:p>
      <w:pPr>
        <w:pStyle w:val="P68B1DB1Normal44"/>
        <w:widowControl w:val="false"/>
        <w:spacing w:lineRule="exact" w:line="383" w:before="114" w:after="0"/>
        <w:ind w:left="276" w:right="0" w:hanging="0"/>
        <w:jc w:val="left"/>
        <w:rPr>
          <w:rFonts w:ascii="Times New Roman" w:hAnsi="Times New Roman"/>
          <w:i/>
          <w:i/>
          <w:color w:val="000000"/>
          <w:sz w:val="24"/>
        </w:rPr>
      </w:pPr>
      <w:r>
        <w:rPr/>
        <w:t xml:space="preserve">Кръгла маса 2: </w:t>
      </w:r>
    </w:p>
    <w:p>
      <w:pPr>
        <w:pStyle w:val="P68B1DB1Normal68"/>
        <w:widowControl w:val="false"/>
        <w:spacing w:lineRule="exact" w:line="400" w:before="211" w:after="0"/>
        <w:ind w:left="0" w:right="0" w:hanging="0"/>
        <w:jc w:val="left"/>
        <w:rPr>
          <w:rFonts w:ascii="Calibri" w:hAnsi="Calibri"/>
          <w:b/>
          <w:b/>
          <w:color w:val="000000"/>
          <w:sz w:val="24"/>
        </w:rPr>
      </w:pPr>
      <w:r>
        <w:rPr/>
        <w:t xml:space="preserve">Животът в ЕС </w:t>
      </w:r>
    </w:p>
    <w:p>
      <w:pPr>
        <w:pStyle w:val="P68B1DB1Normal20"/>
        <w:widowControl w:val="false"/>
        <w:spacing w:lineRule="exact" w:line="337" w:before="191" w:after="0"/>
        <w:ind w:left="276" w:right="116" w:hanging="0"/>
        <w:jc w:val="both"/>
        <w:rPr/>
      </w:pPr>
      <w:r>
        <w:rPr/>
        <w:t xml:space="preserve">Препоръчваме на ЕС да създаде своя собствена образователна и информационна телевизионна програма, за да повиши осведомеността сред всички граждани на ЕС относно общите ни ценности и да осигури лесен и безпрепятствен достъп до тази информация за всички. Тези цели са важни за нас, защото искаме да разберем по-добре общественото мнение във всяка от страните от ЕС. По този начин искаме да укрепим общата основа и да помогнем за обединяването на гражданите, за да насърчим по-голяма солидарност и да ги обучим в областта на върховенството на закона, за да се запази демокрацията. </w:t>
      </w:r>
    </w:p>
    <w:p>
      <w:pPr>
        <w:pStyle w:val="P68B1DB1Normal33"/>
        <w:widowControl w:val="false"/>
        <w:spacing w:lineRule="exact" w:line="399" w:before="365" w:after="0"/>
        <w:ind w:left="4819" w:right="0" w:hanging="0"/>
        <w:jc w:val="left"/>
        <w:rPr/>
      </w:pPr>
      <w:r>
        <w:rPr/>
        <w:t xml:space="preserve"> </w:t>
      </w:r>
      <w:r>
        <w:rPr/>
        <w:t>___</w:t>
      </w:r>
    </w:p>
    <w:p>
      <w:pPr>
        <w:pStyle w:val="Normal"/>
        <w:spacing w:lineRule="auto" w:line="240"/>
        <w:rPr/>
      </w:pPr>
      <w:r>
        <w:rPr/>
      </w:r>
      <w:r>
        <w:br w:type="page"/>
      </w:r>
    </w:p>
    <w:p>
      <w:pPr>
        <w:pStyle w:val="Titre1"/>
        <w:numPr>
          <w:ilvl w:val="0"/>
          <w:numId w:val="2"/>
        </w:numPr>
        <w:rPr/>
      </w:pPr>
      <w:bookmarkStart w:id="215" w:name="__RefHeading___Toc297355_1346298689"/>
      <w:bookmarkEnd w:id="215"/>
      <w:r>
        <w:rPr/>
        <w:t>II Г Национални комитети: Италия</w:t>
      </w:r>
    </w:p>
    <w:p>
      <w:pPr>
        <w:pStyle w:val="P68B1DB1Normal70"/>
        <w:spacing w:lineRule="auto" w:line="240"/>
        <w:jc w:val="center"/>
        <w:rPr/>
      </w:pPr>
      <w:r>
        <w:rPr/>
        <w:t xml:space="preserve">Гражданска група за отправяне на препоръки за Конференцията за бъдещето на Европа, 11—12 март 2022 г. </w:t>
      </w:r>
    </w:p>
    <w:p>
      <w:pPr>
        <w:pStyle w:val="P68B1DB1Normal71"/>
        <w:widowControl w:val="false"/>
        <w:spacing w:lineRule="exact" w:line="916" w:before="147" w:after="0"/>
        <w:ind w:left="2234" w:right="0" w:hanging="0"/>
        <w:jc w:val="left"/>
        <w:rPr>
          <w:rFonts w:ascii="Arial" w:hAnsi="Arial"/>
          <w:color w:val="BD1271"/>
          <w:sz w:val="56"/>
        </w:rPr>
      </w:pPr>
      <w:r>
        <w:rPr/>
        <w:t xml:space="preserve">Обобщен доклад </w:t>
      </w:r>
    </w:p>
    <w:p>
      <w:pPr>
        <w:pStyle w:val="Normal"/>
        <w:widowControl w:val="false"/>
        <w:spacing w:lineRule="exact" w:line="719" w:before="216" w:after="0"/>
        <w:ind w:left="4819" w:right="0" w:hanging="0"/>
        <w:jc w:val="left"/>
        <w:rPr/>
      </w:pPr>
      <w:r>
        <w:rPr>
          <w:color w:val="BD1271"/>
          <w:sz w:val="44"/>
        </w:rPr>
        <w:t xml:space="preserve"> </w:t>
      </w:r>
      <w:r>
        <w:rPr>
          <w:color w:val="000000"/>
          <w:sz w:val="32"/>
        </w:rPr>
        <w:t>Рим, 16 март 2022 г.</w:t>
      </w:r>
    </w:p>
    <w:p>
      <w:pPr>
        <w:pStyle w:val="P68B1DB1Normal72"/>
        <w:widowControl w:val="false"/>
        <w:spacing w:lineRule="exact" w:line="719" w:before="216" w:after="0"/>
        <w:ind w:left="4819" w:right="0" w:hanging="0"/>
        <w:jc w:val="left"/>
        <w:rPr>
          <w:rFonts w:ascii="Arial" w:hAnsi="Arial"/>
          <w:color w:val="BD1271"/>
          <w:sz w:val="44"/>
        </w:rPr>
      </w:pPr>
      <w:r>
        <w:rPr>
          <w:color w:val="BD1271"/>
          <w:sz w:val="44"/>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Снимка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Снимка 42" descr=""/>
                    <pic:cNvPicPr>
                      <a:picLocks noChangeAspect="1" noChangeArrowheads="1"/>
                    </pic:cNvPicPr>
                  </pic:nvPicPr>
                  <pic:blipFill>
                    <a:blip r:embed="rId102"/>
                    <a:stretch>
                      <a:fillRect/>
                    </a:stretch>
                  </pic:blipFill>
                  <pic:spPr bwMode="auto">
                    <a:xfrm>
                      <a:off x="0" y="0"/>
                      <a:ext cx="810895" cy="956310"/>
                    </a:xfrm>
                    <a:prstGeom prst="rect">
                      <a:avLst/>
                    </a:prstGeom>
                  </pic:spPr>
                </pic:pic>
              </a:graphicData>
            </a:graphic>
          </wp:anchor>
        </w:drawing>
      </w:r>
    </w:p>
    <w:p>
      <w:pPr>
        <w:pStyle w:val="Normal"/>
        <w:spacing w:lineRule="auto" w:line="240"/>
        <w:rPr/>
      </w:pPr>
      <w:r>
        <w:rPr/>
      </w:r>
    </w:p>
    <w:p>
      <w:pPr>
        <w:pStyle w:val="Normal"/>
        <w:spacing w:lineRule="auto" w:line="240"/>
        <w:rPr/>
      </w:pPr>
      <w:r>
        <w:rPr/>
      </w:r>
      <w:r>
        <w:br w:type="page"/>
      </w:r>
    </w:p>
    <w:sdt>
      <w:sdtPr>
        <w:docPartObj>
          <w:docPartGallery w:val="Table of Contents"/>
          <w:docPartUnique w:val="true"/>
        </w:docPartObj>
      </w:sdtPr>
      <w:sdtContent>
        <w:p>
          <w:pPr>
            <w:pStyle w:val="TOAHeading"/>
            <w:rPr/>
          </w:pPr>
          <w:r>
            <w:rPr/>
            <w:t>Съдържание</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rPr>
              <w:t>II D Panels nationaux : Italie</w:t>
              <w:tab/>
              <w:t>227</w:t>
            </w:r>
          </w:hyperlink>
        </w:p>
        <w:p>
          <w:pPr>
            <w:pStyle w:val="Tabledesmatiresniveau2"/>
            <w:tabs>
              <w:tab w:val="right" w:pos="9638" w:leader="dot"/>
            </w:tabs>
            <w:rPr/>
          </w:pPr>
          <w:hyperlink w:anchor="__RefHeading___Toc300308_1346298689">
            <w:r>
              <w:rPr>
                <w:rStyle w:val="Sautdindex"/>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rPr>
              <w:t>3. Organisation du panel</w:t>
              <w:tab/>
              <w:t>233</w:t>
            </w:r>
          </w:hyperlink>
        </w:p>
        <w:p>
          <w:pPr>
            <w:pStyle w:val="Tabledesmatiresniveau2"/>
            <w:tabs>
              <w:tab w:val="right" w:pos="9638" w:leader="dot"/>
            </w:tabs>
            <w:rPr/>
          </w:pPr>
          <w:hyperlink w:anchor="__RefHeading___Toc300314_1346298689">
            <w:r>
              <w:rPr>
                <w:rStyle w:val="Sautdindex"/>
              </w:rPr>
              <w:t>4. Programme de travail</w:t>
              <w:tab/>
              <w:t>233</w:t>
            </w:r>
          </w:hyperlink>
        </w:p>
        <w:p>
          <w:pPr>
            <w:pStyle w:val="Tabledesmatiresniveau2"/>
            <w:tabs>
              <w:tab w:val="right" w:pos="9638" w:leader="dot"/>
            </w:tabs>
            <w:rPr/>
          </w:pPr>
          <w:hyperlink w:anchor="__RefHeading___Toc300316_1346298689">
            <w:r>
              <w:rPr>
                <w:rStyle w:val="Sautdindex"/>
              </w:rPr>
              <w:t>5. Recommandations formulées</w:t>
              <w:tab/>
              <w:t>235</w:t>
            </w:r>
          </w:hyperlink>
        </w:p>
        <w:p>
          <w:pPr>
            <w:pStyle w:val="Tabledesmatiresniveau3"/>
            <w:tabs>
              <w:tab w:val="right" w:pos="9638" w:leader="dot"/>
            </w:tabs>
            <w:rPr/>
          </w:pPr>
          <w:hyperlink w:anchor="__RefHeading___Toc300318_1346298689">
            <w:r>
              <w:rPr>
                <w:rStyle w:val="Sautdindex"/>
              </w:rPr>
              <w:t>Une économie plus forte, justice sociale et emploi</w:t>
              <w:tab/>
              <w:t>235</w:t>
            </w:r>
          </w:hyperlink>
        </w:p>
        <w:p>
          <w:pPr>
            <w:pStyle w:val="Tabledesmatiresniveau4"/>
            <w:tabs>
              <w:tab w:val="right" w:pos="9638" w:leader="dot"/>
            </w:tabs>
            <w:rPr/>
          </w:pPr>
          <w:hyperlink w:anchor="__RefHeading___Toc300428_1346298689">
            <w:r>
              <w:rPr>
                <w:rStyle w:val="Sautdindex"/>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rPr>
              <w:t>4. Une plus grande intégration parmi les États</w:t>
              <w:tab/>
              <w:t>237</w:t>
            </w:r>
          </w:hyperlink>
        </w:p>
        <w:p>
          <w:pPr>
            <w:pStyle w:val="Tabledesmatiresniveau4"/>
            <w:tabs>
              <w:tab w:val="right" w:pos="9638" w:leader="dot"/>
            </w:tabs>
            <w:rPr/>
          </w:pPr>
          <w:hyperlink w:anchor="__RefHeading___Toc300436_1346298689">
            <w:r>
              <w:rPr>
                <w:rStyle w:val="Sautdindex"/>
              </w:rPr>
              <w:t>5. Politiques d'inclusion</w:t>
              <w:tab/>
              <w:t>238</w:t>
            </w:r>
          </w:hyperlink>
        </w:p>
        <w:p>
          <w:pPr>
            <w:pStyle w:val="Tabledesmatiresniveau4"/>
            <w:tabs>
              <w:tab w:val="right" w:pos="9638" w:leader="dot"/>
            </w:tabs>
            <w:rPr/>
          </w:pPr>
          <w:hyperlink w:anchor="__RefHeading___Toc300438_1346298689">
            <w:r>
              <w:rPr>
                <w:rStyle w:val="Sautdindex"/>
              </w:rPr>
              <w:t>6. Emploi</w:t>
              <w:tab/>
              <w:t>239</w:t>
            </w:r>
          </w:hyperlink>
        </w:p>
        <w:p>
          <w:pPr>
            <w:pStyle w:val="Tabledesmatiresniveau3"/>
            <w:tabs>
              <w:tab w:val="right" w:pos="9638" w:leader="dot"/>
            </w:tabs>
            <w:rPr/>
          </w:pPr>
          <w:hyperlink w:anchor="__RefHeading___Toc300320_1346298689">
            <w:r>
              <w:rPr>
                <w:rStyle w:val="Sautdindex"/>
              </w:rPr>
              <w:t xml:space="preserve"> </w:t>
            </w:r>
            <w:r>
              <w:rPr>
                <w:rStyle w:val="Sautdindex"/>
              </w:rPr>
              <w:t>L'Europe dans le monde</w:t>
              <w:tab/>
              <w:t>240</w:t>
            </w:r>
          </w:hyperlink>
        </w:p>
        <w:p>
          <w:pPr>
            <w:pStyle w:val="Tabledesmatiresniveau4"/>
            <w:tabs>
              <w:tab w:val="right" w:pos="9638" w:leader="dot"/>
            </w:tabs>
            <w:rPr/>
          </w:pPr>
          <w:hyperlink w:anchor="__RefHeading___Toc300440_1346298689">
            <w:r>
              <w:rPr>
                <w:rStyle w:val="Sautdindex"/>
              </w:rPr>
              <w:t>1. Renforcer l'identité européenne</w:t>
              <w:tab/>
              <w:t>240</w:t>
            </w:r>
          </w:hyperlink>
        </w:p>
        <w:p>
          <w:pPr>
            <w:pStyle w:val="Tabledesmatiresniveau4"/>
            <w:tabs>
              <w:tab w:val="right" w:pos="9638" w:leader="dot"/>
            </w:tabs>
            <w:rPr/>
          </w:pPr>
          <w:hyperlink w:anchor="__RefHeading___Toc300442_1346298689">
            <w:r>
              <w:rPr>
                <w:rStyle w:val="Sautdindex"/>
              </w:rPr>
              <w:t>2. Renforcer l'économie et les institutions</w:t>
              <w:tab/>
              <w:t>240</w:t>
            </w:r>
          </w:hyperlink>
        </w:p>
        <w:p>
          <w:pPr>
            <w:pStyle w:val="Tabledesmatiresniveau4"/>
            <w:tabs>
              <w:tab w:val="right" w:pos="9638" w:leader="dot"/>
            </w:tabs>
            <w:rPr/>
          </w:pPr>
          <w:hyperlink w:anchor="__RefHeading___Toc300444_1346298689">
            <w:r>
              <w:rPr>
                <w:rStyle w:val="Sautdindex"/>
              </w:rPr>
              <w:t>3. Coopération et partenariats</w:t>
              <w:tab/>
              <w:t>241</w:t>
            </w:r>
          </w:hyperlink>
        </w:p>
        <w:p>
          <w:pPr>
            <w:pStyle w:val="Tabledesmatiresniveau4"/>
            <w:tabs>
              <w:tab w:val="right" w:pos="9638" w:leader="dot"/>
            </w:tabs>
            <w:rPr/>
          </w:pPr>
          <w:hyperlink w:anchor="__RefHeading___Toc300446_1346298689">
            <w:r>
              <w:rPr>
                <w:rStyle w:val="Sautdindex"/>
              </w:rPr>
              <w:t>4. Référence politique et culturelle</w:t>
              <w:tab/>
              <w:t>242</w:t>
            </w:r>
          </w:hyperlink>
        </w:p>
        <w:p>
          <w:pPr>
            <w:pStyle w:val="Tabledesmatiresniveau2"/>
            <w:tabs>
              <w:tab w:val="right" w:pos="9638" w:leader="dot"/>
            </w:tabs>
            <w:rPr/>
          </w:pPr>
          <w:hyperlink w:anchor="__RefHeading___Toc300322_1346298689">
            <w:r>
              <w:rPr>
                <w:rStyle w:val="Sautdindex"/>
              </w:rPr>
              <w:t>6. Évaluation finale par les participants</w:t>
              <w:tab/>
              <w:t>242</w:t>
            </w:r>
          </w:hyperlink>
        </w:p>
      </w:sdtContent>
    </w:sdt>
    <w:p>
      <w:pPr>
        <w:pStyle w:val="Normal"/>
        <w:spacing w:lineRule="auto" w:line="240"/>
        <w:rPr>
          <w:rFonts w:ascii="Calibri" w:hAnsi="Calibri"/>
          <w:color w:val="0000FF"/>
          <w:sz w:val="22"/>
        </w:rPr>
      </w:pPr>
      <w:r>
        <w:rPr>
          <w:rFonts w:ascii="Calibri" w:hAnsi="Calibri"/>
          <w:color w:val="0000FF"/>
          <w:sz w:val="22"/>
        </w:rPr>
      </w:r>
      <w:r>
        <w:rPr>
          <w:sz w:val="22"/>
          <w:rFonts w:ascii="Calibri" w:hAnsi="Calibri"/>
        </w:rPr>
        <w:fldChar w:fldCharType="end"/>
      </w:r>
      <w:r>
        <w:br w:type="page"/>
      </w:r>
    </w:p>
    <w:p>
      <w:pPr>
        <w:pStyle w:val="P68B1DB1Titre273"/>
        <w:numPr>
          <w:ilvl w:val="0"/>
          <w:numId w:val="2"/>
        </w:numPr>
        <w:rPr/>
      </w:pPr>
      <w:bookmarkStart w:id="216" w:name="__RefHeading___Toc300308_1346298689"/>
      <w:bookmarkEnd w:id="216"/>
      <w:r>
        <w:rPr/>
        <w:t xml:space="preserve">1. Ръководни принципи за процеса на организиране на панела </w:t>
      </w:r>
    </w:p>
    <w:p>
      <w:pPr>
        <w:pStyle w:val="P68B1DB1Normal34"/>
        <w:widowControl w:val="false"/>
        <w:spacing w:lineRule="auto" w:line="240"/>
        <w:ind w:left="0" w:right="0" w:hanging="0"/>
        <w:jc w:val="left"/>
        <w:rPr/>
      </w:pPr>
      <w:r>
        <w:rPr/>
        <w:t xml:space="preserve"> </w:t>
      </w:r>
      <w:r>
        <w:rPr/>
        <w:t xml:space="preserve">Целият процес на изпълнение на панела беше замислен така, че да бъде в съответствие с насоките, съдържащи се в насоките за националните граждански панели в контекста на Конференцията за бъдещето на Европа. По-конкретно: </w:t>
      </w:r>
    </w:p>
    <w:p>
      <w:pPr>
        <w:pStyle w:val="Normal"/>
        <w:widowControl w:val="false"/>
        <w:spacing w:lineRule="auto" w:line="240" w:before="80" w:after="0"/>
        <w:ind w:left="360" w:right="0" w:hanging="0"/>
        <w:jc w:val="left"/>
        <w:rPr/>
      </w:pPr>
      <w:r>
        <w:rPr>
          <w:rFonts w:ascii="Symbol" w:hAnsi="Symbol"/>
          <w:color w:val="000000"/>
        </w:rPr>
        <w:t>•</w:t>
      </w:r>
      <w:r>
        <w:rPr>
          <w:color w:val="000000"/>
        </w:rPr>
        <w:t xml:space="preserve"> </w:t>
      </w:r>
      <w:r>
        <w:rPr>
          <w:b/>
          <w:color w:val="2E74B5"/>
        </w:rPr>
        <w:t>Цел:</w:t>
      </w:r>
      <w:r>
        <w:rPr>
          <w:b/>
          <w:color w:val="000000"/>
        </w:rPr>
        <w:t xml:space="preserve"> </w:t>
      </w:r>
    </w:p>
    <w:p>
      <w:pPr>
        <w:pStyle w:val="P68B1DB1Normal34"/>
        <w:widowControl w:val="false"/>
        <w:spacing w:lineRule="auto" w:line="240"/>
        <w:ind w:left="720" w:right="0" w:hanging="0"/>
        <w:jc w:val="left"/>
        <w:rPr/>
      </w:pPr>
      <w:r>
        <w:rPr/>
        <w:t xml:space="preserve">Всички поканени да участват в панела попълниха въпросник за участие, съдържащ целите и целите на проекта, с конкретни препратки към Конференцията за бъдещето на Европа, обхванатите теми и условията за участие.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Прозрачност: </w:t>
      </w:r>
    </w:p>
    <w:p>
      <w:pPr>
        <w:pStyle w:val="P68B1DB1Normal34"/>
        <w:widowControl w:val="false"/>
        <w:spacing w:lineRule="auto" w:line="240"/>
        <w:ind w:left="720" w:right="0" w:hanging="0"/>
        <w:jc w:val="left"/>
        <w:rPr/>
      </w:pPr>
      <w:r>
        <w:rPr/>
        <w:t xml:space="preserve">Всички документи, представящи инициативата, бяха предоставени на участниците по различни начини, като винаги се позоваваха на официалния уебсайт на конференцията. Документите бяха изпратени по електронна поща до всички участници.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Приобщаване: </w:t>
      </w:r>
    </w:p>
    <w:p>
      <w:pPr>
        <w:pStyle w:val="P68B1DB1Normal75"/>
        <w:widowControl w:val="false"/>
        <w:spacing w:lineRule="auto" w:line="240"/>
        <w:ind w:left="708" w:right="0" w:hanging="0"/>
        <w:jc w:val="left"/>
        <w:rPr/>
      </w:pPr>
      <w:r>
        <w:rPr>
          <w:color w:val="000000"/>
        </w:rPr>
        <w:t xml:space="preserve">Поканата за участие беше изпратена по различни канали: например, изпратете имейл до </w:t>
      </w:r>
      <w:r>
        <w:rPr>
          <w:color w:val="ED7D31"/>
        </w:rPr>
        <w:t>членовете</w:t>
      </w:r>
      <w:r>
        <w:rPr>
          <w:color w:val="000000"/>
        </w:rPr>
        <w:t xml:space="preserve"> на общността на SWG и споделете връзката към формуляра за кандидатстване чрез Twitter и LinkedIn. Това доведе до общо над 400 достъпа до формуляра за кандидатстване и 245 заявления. (Случайният) подбор на участниците беше извършен по такъв начин, че да се гарантира присъствието на различни хора от пол, възраст, социален произход, място на пребиваване и професионален статус.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Представителност: </w:t>
      </w:r>
    </w:p>
    <w:p>
      <w:pPr>
        <w:pStyle w:val="P68B1DB1Normal34"/>
        <w:widowControl w:val="false"/>
        <w:spacing w:lineRule="auto" w:line="240"/>
        <w:ind w:left="708" w:right="0" w:hanging="0"/>
        <w:jc w:val="left"/>
        <w:rPr/>
      </w:pPr>
      <w:r>
        <w:rPr/>
        <w:t xml:space="preserve">Въпреки че размерът на извадката не е представителен в статистическия смисъл, извадката е предназначена да постигне максимална хетерогенност сред участниците, за да възпроизведе микрокосмоса на целевата аудитория.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Информация: </w:t>
      </w:r>
    </w:p>
    <w:p>
      <w:pPr>
        <w:pStyle w:val="Normal"/>
        <w:widowControl w:val="false"/>
        <w:spacing w:lineRule="auto" w:line="240"/>
        <w:ind w:left="720" w:right="0" w:hanging="0"/>
        <w:jc w:val="left"/>
        <w:rPr/>
      </w:pPr>
      <w:r>
        <w:rPr>
          <w:color w:val="000000"/>
        </w:rPr>
        <w:t xml:space="preserve">Всички участници получиха широка гама от информация за конференцията и по темите, обсъждани по време на панела. Целите и условията на проекта бяха припомнени на участниците в уводната част в съответствие с принципите на неутралност и пълнота. На всички участници бе дадена възможност да поискат повече информация и подробности за събитието чрез директните телефонни номера на ръководителите на проекти в рамките </w:t>
      </w:r>
      <w:r>
        <w:rPr>
          <w:color w:val="ED7D31"/>
        </w:rPr>
        <w:t>на SWG</w:t>
      </w:r>
      <w:r>
        <w:rPr>
          <w:color w:val="000000"/>
        </w:rPr>
        <w:t xml:space="preserv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Дискусионни групи: </w:t>
      </w:r>
    </w:p>
    <w:p>
      <w:pPr>
        <w:pStyle w:val="P68B1DB1Normal76"/>
        <w:widowControl w:val="false"/>
        <w:spacing w:lineRule="auto" w:line="240"/>
        <w:ind w:left="720" w:right="0" w:hanging="0"/>
        <w:jc w:val="left"/>
        <w:rPr/>
      </w:pPr>
      <w:r>
        <w:rPr/>
        <w:t xml:space="preserve">Основната цел на целия процес беше да се формулират конкретни препоръки, широко споделяни от участниците, които да бъдат отправени към Европейския съюз. Начинът, по който работата беше организирана и водена от групите, доведе до процес, съсредоточен върху събирането на показанията на участниците, тяхното лечение и синтез, както и тяхната проверка и валидиране от самите групи по време на последваща работна сесия.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Календар: </w:t>
      </w:r>
    </w:p>
    <w:p>
      <w:pPr>
        <w:pStyle w:val="P68B1DB1Normal76"/>
        <w:widowControl w:val="false"/>
        <w:spacing w:lineRule="auto" w:line="240"/>
        <w:ind w:left="720" w:right="0" w:hanging="0"/>
        <w:jc w:val="left"/>
        <w:rPr/>
      </w:pPr>
      <w:r>
        <w:rPr/>
        <w:t xml:space="preserve">По време на работните сесии беше създадена спокойна атмосфера, даваща на участниците цялото време, необходимо за задълбочаване на темите, по които са били поканени да обсъдят, да изразят своите виждания и да слушат тези на другите. По същата причина беше решено двете основни групи да бъдат разделени на две подгрупи. В допълнение, работата беше разпределена в продължение на два дни, за да се даде възможност на формулираните идеи да бъдат основани. </w:t>
      </w:r>
    </w:p>
    <w:p>
      <w:pPr>
        <w:pStyle w:val="Normal"/>
        <w:widowControl w:val="false"/>
        <w:spacing w:lineRule="auto" w:line="240"/>
        <w:ind w:left="360" w:right="0" w:hanging="0"/>
        <w:jc w:val="left"/>
        <w:rPr/>
      </w:pPr>
      <w:r>
        <w:rPr>
          <w:rFonts w:ascii="Symbol" w:hAnsi="Symbol"/>
          <w:color w:val="000000"/>
        </w:rPr>
        <w:t>•</w:t>
      </w:r>
      <w:r>
        <w:rPr>
          <w:color w:val="000000"/>
        </w:rPr>
        <w:t xml:space="preserve"> </w:t>
      </w:r>
      <w:r>
        <w:rPr>
          <w:b/>
          <w:color w:val="2E74B5"/>
        </w:rPr>
        <w:t>Последващи действия:</w:t>
      </w:r>
      <w:r>
        <w:rPr>
          <w:color w:val="000000"/>
        </w:rPr>
        <w:t xml:space="preserve"> </w:t>
      </w:r>
    </w:p>
    <w:p>
      <w:pPr>
        <w:pStyle w:val="P68B1DB1Normal76"/>
        <w:widowControl w:val="false"/>
        <w:spacing w:lineRule="auto" w:line="240"/>
        <w:ind w:left="720" w:right="0" w:hanging="0"/>
        <w:jc w:val="left"/>
        <w:rPr/>
      </w:pPr>
      <w:r>
        <w:rPr/>
        <w:t xml:space="preserve">В последния ден всички групи извършиха проверка и валидиране на първите проектопрепоръки, направени по време на първия етап от работата. След като докладът за резултатите беше представен на европейския тематичен отдел на председателството на Съвета на министрите и разрешението за него, окончателният вариант на препоръките беше изпратен на всички участници в групата. Във всеки случай участниците бяха приканени да продължат да наблюдават дейностите на конференцията на уебсайта и чрез актуализациите, които ще бъдат публикувани.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Цялост: </w:t>
      </w:r>
    </w:p>
    <w:p>
      <w:pPr>
        <w:pStyle w:val="Normal"/>
        <w:widowControl w:val="false"/>
        <w:spacing w:lineRule="auto" w:line="240"/>
        <w:ind w:left="720" w:right="0" w:hanging="0"/>
        <w:jc w:val="left"/>
        <w:rPr/>
      </w:pPr>
      <w:r>
        <w:rPr>
          <w:color w:val="000000"/>
        </w:rPr>
        <w:t xml:space="preserve">Целият работен процес беше проведен независимо от работната </w:t>
      </w:r>
      <w:r>
        <w:rPr>
          <w:color w:val="ED7D31"/>
        </w:rPr>
        <w:t>група</w:t>
      </w:r>
      <w:r>
        <w:rPr>
          <w:color w:val="000000"/>
        </w:rPr>
        <w:t xml:space="preserve"> в зависимост от получената мисия. Европейският тематичен отдел на председателството на Съвета на министрите беше постоянно информиран за различните етапи на инициативата и за резултатите.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Защита на неприкосновеността на личния живот: </w:t>
      </w:r>
    </w:p>
    <w:p>
      <w:pPr>
        <w:pStyle w:val="P68B1DB1Normal76"/>
        <w:widowControl w:val="false"/>
        <w:spacing w:lineRule="auto" w:line="240"/>
        <w:ind w:left="721" w:right="0" w:hanging="0"/>
        <w:jc w:val="left"/>
        <w:rPr/>
      </w:pPr>
      <w:r>
        <w:rPr/>
        <w:t xml:space="preserve">Неприкосновеността на личния живот на участниците е напълно гарантирана. За да имат право да участват в комисията, всички кандидати трябваше да подпишат формуляра за информирано съгласие, изискван от закона.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Рейтинг: </w:t>
      </w:r>
    </w:p>
    <w:p>
      <w:pPr>
        <w:pStyle w:val="P68B1DB1Normal76"/>
        <w:widowControl w:val="false"/>
        <w:spacing w:lineRule="auto" w:line="240"/>
        <w:ind w:left="721" w:right="0" w:hanging="0"/>
        <w:jc w:val="left"/>
        <w:rPr>
          <w:rFonts w:ascii="Arial" w:hAnsi="Arial"/>
          <w:color w:val="000000"/>
          <w:sz w:val="22"/>
        </w:rPr>
      </w:pPr>
      <w:r>
        <w:rPr/>
        <w:t xml:space="preserve">В края на процеса беше изпратен въпросник до всички участници, за да се оцени техният опит. Резултатите са обобщени в настоящия доклад. </w:t>
      </w:r>
    </w:p>
    <w:p>
      <w:pPr>
        <w:pStyle w:val="P68B1DB1Titre277"/>
        <w:numPr>
          <w:ilvl w:val="0"/>
          <w:numId w:val="2"/>
        </w:numPr>
        <w:rPr>
          <w:color w:val="BD1271"/>
        </w:rPr>
      </w:pPr>
      <w:bookmarkStart w:id="217" w:name="__RefHeading___Toc300310_1346298689"/>
      <w:bookmarkEnd w:id="217"/>
      <w:r>
        <w:rPr/>
        <w:t xml:space="preserve">2. Избор на участници и начин на участие </w:t>
      </w:r>
    </w:p>
    <w:p>
      <w:pPr>
        <w:pStyle w:val="P68B1DB1Normal74"/>
        <w:widowControl w:val="false"/>
        <w:spacing w:lineRule="auto" w:line="240" w:before="208" w:after="0"/>
        <w:ind w:left="0" w:right="0" w:hanging="0"/>
        <w:jc w:val="left"/>
        <w:rPr>
          <w:rFonts w:ascii="Arial" w:hAnsi="Arial"/>
          <w:color w:val="2E74B5"/>
          <w:sz w:val="22"/>
        </w:rPr>
      </w:pPr>
      <w:r>
        <w:rPr/>
        <w:t xml:space="preserve">Избор </w:t>
      </w:r>
    </w:p>
    <w:p>
      <w:pPr>
        <w:pStyle w:val="P68B1DB1Normal76"/>
        <w:widowControl w:val="false"/>
        <w:spacing w:lineRule="auto" w:line="240" w:before="90" w:after="0"/>
        <w:ind w:left="0" w:right="6" w:hanging="0"/>
        <w:jc w:val="left"/>
        <w:rPr/>
      </w:pPr>
      <w:r>
        <w:rPr/>
        <w:t xml:space="preserve">Целта на етапа на комуникация преди събитието беше да се изберат най-малко 50 италиански граждани, които желаят да участват в инициативата. </w:t>
      </w:r>
    </w:p>
    <w:p>
      <w:pPr>
        <w:pStyle w:val="Normal"/>
        <w:widowControl w:val="false"/>
        <w:spacing w:lineRule="auto" w:line="240" w:before="90" w:after="0"/>
        <w:ind w:left="0" w:right="4" w:hanging="0"/>
        <w:jc w:val="both"/>
        <w:rPr/>
      </w:pPr>
      <w:r>
        <w:rPr>
          <w:color w:val="000000"/>
        </w:rPr>
        <w:t xml:space="preserve">За тази цел беше създаден кратък формуляр за самозаявление под формата на въпросник, който трябва да бъде попълнен онлайн на </w:t>
      </w:r>
      <w:r>
        <w:rPr>
          <w:color w:val="ED7D31"/>
        </w:rPr>
        <w:t>платформата</w:t>
      </w:r>
      <w:r>
        <w:rPr>
          <w:color w:val="000000"/>
        </w:rPr>
        <w:t xml:space="preserve">SWG, чрез който всички заинтересовани от участие в инициативата можеха да кандидатстват, като посочиха данните, които трябва да бъдат въведени в групите, от които участниците бяха избрани на случаен принцип. Необходимите условия за участие бяха: имате интернет връзка, устройство, оборудвано с микрофон и видеокамера, както и подписване на устава на конференцията. </w:t>
      </w:r>
    </w:p>
    <w:p>
      <w:pPr>
        <w:pStyle w:val="Normal"/>
        <w:widowControl w:val="false"/>
        <w:spacing w:lineRule="auto" w:line="240" w:before="90" w:after="0"/>
        <w:ind w:left="0" w:right="3" w:hanging="0"/>
        <w:jc w:val="left"/>
        <w:rPr/>
      </w:pPr>
      <w:r>
        <w:drawing>
          <wp:anchor behindDoc="0" distT="0" distB="0" distL="0" distR="0" simplePos="0" locked="0" layoutInCell="1" allowOverlap="1" relativeHeight="68">
            <wp:simplePos x="0" y="0"/>
            <wp:positionH relativeFrom="column">
              <wp:posOffset>58420</wp:posOffset>
            </wp:positionH>
            <wp:positionV relativeFrom="paragraph">
              <wp:posOffset>1365885</wp:posOffset>
            </wp:positionV>
            <wp:extent cx="187960" cy="187960"/>
            <wp:effectExtent l="0" t="0" r="0" b="0"/>
            <wp:wrapSquare wrapText="largest"/>
            <wp:docPr id="100" name="Снимка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Снимка 44" descr=""/>
                    <pic:cNvPicPr>
                      <a:picLocks noChangeAspect="1" noChangeArrowheads="1"/>
                    </pic:cNvPicPr>
                  </pic:nvPicPr>
                  <pic:blipFill>
                    <a:blip r:embed="rId103"/>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84">
            <wp:simplePos x="0" y="0"/>
            <wp:positionH relativeFrom="column">
              <wp:posOffset>49530</wp:posOffset>
            </wp:positionH>
            <wp:positionV relativeFrom="paragraph">
              <wp:posOffset>958850</wp:posOffset>
            </wp:positionV>
            <wp:extent cx="287020" cy="287020"/>
            <wp:effectExtent l="0" t="0" r="0" b="0"/>
            <wp:wrapSquare wrapText="largest"/>
            <wp:docPr id="101" name="Снимка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Снимка 43" descr=""/>
                    <pic:cNvPicPr>
                      <a:picLocks noChangeAspect="1" noChangeArrowheads="1"/>
                    </pic:cNvPicPr>
                  </pic:nvPicPr>
                  <pic:blipFill>
                    <a:blip r:embed="rId104"/>
                    <a:stretch>
                      <a:fillRect/>
                    </a:stretch>
                  </pic:blipFill>
                  <pic:spPr bwMode="auto">
                    <a:xfrm>
                      <a:off x="0" y="0"/>
                      <a:ext cx="287020" cy="287020"/>
                    </a:xfrm>
                    <a:prstGeom prst="rect">
                      <a:avLst/>
                    </a:prstGeom>
                  </pic:spPr>
                </pic:pic>
              </a:graphicData>
            </a:graphic>
          </wp:anchor>
        </w:drawing>
      </w:r>
      <w:r>
        <w:rPr>
          <w:color w:val="000000"/>
        </w:rPr>
        <w:t>Ф</w:t>
      </w:r>
      <w:r>
        <w:rPr>
          <w:color w:val="000000"/>
        </w:rPr>
        <w:t>ормулярът за кандидатстване е разпространен в социалните мрежи</w:t>
      </w:r>
      <w:r>
        <w:rPr>
          <w:color w:val="ED7D31"/>
        </w:rPr>
        <w:t>от</w:t>
      </w:r>
      <w:r>
        <w:rPr>
          <w:color w:val="000000"/>
        </w:rPr>
        <w:t xml:space="preserve">акаунтите на SWG. За тази цел шест публикации бяха публикувани в Twitter и един в LinkedIn, със следните резултати: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Социална мрежа</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Дати</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Брой изгледи</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Достъп до формуляра за кандидатстване</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Twitter</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6 длъжности между 8 и 10 март</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889</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LinkedIn</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 пост на 8 март</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410</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25</w:t>
            </w:r>
          </w:p>
        </w:tc>
      </w:tr>
    </w:tbl>
    <w:p>
      <w:pPr>
        <w:pStyle w:val="Normal"/>
        <w:rPr/>
      </w:pPr>
      <w:r>
        <w:rPr/>
      </w:r>
    </w:p>
    <w:p>
      <w:pPr>
        <w:pStyle w:val="Normal"/>
        <w:widowControl w:val="false"/>
        <w:spacing w:lineRule="exact" w:line="252" w:before="208" w:after="0"/>
        <w:ind w:left="0" w:right="3" w:hanging="0"/>
        <w:jc w:val="both"/>
        <w:rPr/>
      </w:pPr>
      <w:r>
        <w:rPr>
          <w:color w:val="000000"/>
        </w:rPr>
        <w:t xml:space="preserve">В същото време членовете на общността на SWG </w:t>
      </w:r>
      <w:r>
        <w:rPr>
          <w:color w:val="ED7D31"/>
        </w:rPr>
        <w:t>бяха</w:t>
      </w:r>
      <w:r>
        <w:rPr>
          <w:color w:val="000000"/>
        </w:rPr>
        <w:t xml:space="preserve"> приканени да кандидатстват в съответствие със стратегия за покана, насочена към гарантиране на максимална представителност на италианското население не само по отношение на социалните характеристики, но и по отношение на идеи, културни ориентации и ценности. </w:t>
      </w:r>
    </w:p>
    <w:p>
      <w:pPr>
        <w:pStyle w:val="P68B1DB1Normal76"/>
        <w:widowControl w:val="false"/>
        <w:spacing w:lineRule="exact" w:line="253" w:before="71" w:after="0"/>
        <w:ind w:left="1" w:right="0" w:hanging="0"/>
        <w:jc w:val="both"/>
        <w:rPr/>
      </w:pPr>
      <w:r>
        <w:rPr/>
        <w:t xml:space="preserve">Заявленията могат да бъдат подадени между 8 март в 8,00 ч. и 10 март 2022 г. в 16,00 ч. Като цяло, процесът генерира 420 достъп до формуляра за кандидатстване и 225 пълни заявления бяха получени. </w:t>
      </w:r>
    </w:p>
    <w:p>
      <w:pPr>
        <w:pStyle w:val="P68B1DB1Normal76"/>
        <w:widowControl w:val="false"/>
        <w:spacing w:lineRule="exact" w:line="253" w:before="67" w:after="0"/>
        <w:ind w:left="1" w:right="2" w:hanging="0"/>
        <w:jc w:val="both"/>
        <w:rPr/>
      </w:pPr>
      <w:r>
        <w:rPr/>
        <w:t xml:space="preserve">Общо </w:t>
      </w:r>
      <w:r>
        <w:rPr>
          <w:b/>
        </w:rPr>
        <w:t>140</w:t>
      </w:r>
      <w:r>
        <w:rPr/>
        <w:t xml:space="preserve"> души бяха действително допустими, от които 70 бяха избрани въз основа на критерий за осигуряване на балансирано присъствие по отношение на пол, географско разпределение, възраст и образователно равнище. </w:t>
      </w:r>
    </w:p>
    <w:p>
      <w:pPr>
        <w:pStyle w:val="P68B1DB1Normal76"/>
        <w:widowControl w:val="false"/>
        <w:spacing w:lineRule="exact" w:line="253" w:before="73" w:after="0"/>
        <w:ind w:left="1" w:right="1" w:hanging="0"/>
        <w:jc w:val="both"/>
        <w:rPr/>
      </w:pPr>
      <w:r>
        <w:rPr/>
        <w:t xml:space="preserve">В контекста на процедурата за подбор беше обърнато особено внимание на принципа на справедлива вероятност при подбора на участниците, придружен от процедури, основани на случаен критерий. </w:t>
      </w:r>
    </w:p>
    <w:p>
      <w:pPr>
        <w:pStyle w:val="P68B1DB1Normal76"/>
        <w:widowControl w:val="false"/>
        <w:spacing w:lineRule="exact" w:line="253" w:before="71" w:after="0"/>
        <w:ind w:left="1" w:right="0" w:hanging="0"/>
        <w:jc w:val="both"/>
        <w:rPr/>
      </w:pPr>
      <w:r>
        <w:rPr/>
        <w:t xml:space="preserve">Произволният характер на подбора е централен елемент на проекта, за да се гарантира справедливостта на процеса на достъп. В духа на инициативата обаче изглеждаше важно да се въведе стратегия, насочена не само към включване на възможно най-много хора, но и към осигуряване на максимална разнородност на избраните лица, за да се насърчи максимално приобщаване. </w:t>
      </w:r>
    </w:p>
    <w:p>
      <w:pPr>
        <w:pStyle w:val="P68B1DB1Normal34"/>
        <w:widowControl w:val="false"/>
        <w:spacing w:lineRule="exact" w:line="393" w:before="70" w:after="0"/>
        <w:ind w:left="0" w:right="0" w:hanging="0"/>
        <w:jc w:val="left"/>
        <w:rPr>
          <w:rFonts w:ascii="Arial" w:hAnsi="Arial"/>
          <w:color w:val="000000"/>
          <w:sz w:val="24"/>
        </w:rPr>
      </w:pPr>
      <w:r>
        <w:rPr/>
        <w:t xml:space="preserve"> </w:t>
      </w:r>
    </w:p>
    <w:p>
      <w:pPr>
        <w:pStyle w:val="P68B1DB1Normal76"/>
        <w:widowControl w:val="false"/>
        <w:spacing w:lineRule="exact" w:line="362" w:before="69" w:after="0"/>
        <w:ind w:left="0" w:right="0" w:hanging="0"/>
        <w:jc w:val="left"/>
        <w:rPr>
          <w:rFonts w:ascii="Arial" w:hAnsi="Arial"/>
          <w:color w:val="000000"/>
          <w:sz w:val="22"/>
        </w:rPr>
      </w:pPr>
      <w:r>
        <w:rPr/>
        <w:t>Накратко, разпределението на отговарящите на условията лица е, както следва:</w:t>
      </w:r>
    </w:p>
    <w:p>
      <w:pPr>
        <w:pStyle w:val="P68B1DB1Normal76"/>
        <w:widowControl w:val="false"/>
        <w:spacing w:lineRule="exact" w:line="252" w:before="5945" w:after="0"/>
        <w:ind w:left="0" w:right="3" w:hanging="0"/>
        <w:jc w:val="both"/>
        <w:rPr>
          <w:rFonts w:ascii="Arial" w:hAnsi="Arial"/>
          <w:color w:val="000000"/>
          <w:sz w:val="22"/>
        </w:rPr>
      </w:pPr>
      <w:r>
        <w:rPr>
          <w:color w:val="000000"/>
          <w:sz w:val="22"/>
        </w:rPr>
        <mc:AlternateContent>
          <mc:Choice Requires="wpg">
            <w:drawing>
              <wp:anchor behindDoc="0" distT="0" distB="0" distL="0" distR="0" simplePos="0" locked="0" layoutInCell="1" allowOverlap="1" relativeHeight="54">
                <wp:simplePos x="0" y="0"/>
                <wp:positionH relativeFrom="column">
                  <wp:posOffset>0</wp:posOffset>
                </wp:positionH>
                <wp:positionV relativeFrom="paragraph">
                  <wp:posOffset>132715</wp:posOffset>
                </wp:positionV>
                <wp:extent cx="6059805" cy="3775710"/>
                <wp:effectExtent l="0" t="0" r="0" b="0"/>
                <wp:wrapTopAndBottom/>
                <wp:docPr id="102" name="Форма 4"/>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5"/>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Разпределение на допустимите кандидати</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пол</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възрастова група</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години</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години</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години</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Ниво на образование</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Ниско</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Североизток</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Колеж, професионално образование</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Средна стойност</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Гимназия</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Отгледани</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Бакалавърска степен, магистърска степен или повече</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Северозапад</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Област на пребиваване</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център</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Юг и острови</w:t>
                              </w:r>
                            </w:p>
                          </w:txbxContent>
                        </wps:txbx>
                        <wps:bodyPr lIns="90000" rIns="90000" tIns="45000" bIns="45000">
                          <a:noAutofit/>
                        </wps:bodyPr>
                      </wps:wsp>
                    </wpg:wgp>
                  </a:graphicData>
                </a:graphic>
              </wp:anchor>
            </w:drawing>
          </mc:Choice>
          <mc:Fallback>
            <w:pict>
              <v:group id="shape_0" alt="Форма 4" style="position:absolute;margin-left:0pt;margin-top:10.45pt;width:477.1pt;height:297.25pt" coordorigin="0,209" coordsize="9542,5945">
                <v:shape id="shape_0" stroked="f" style="position:absolute;left:0;top:976;width:9526;height:5177" type="shapetype_75">
                  <v:imagedata r:id="rId105" o:detectmouseclick="t"/>
                  <w10:wrap type="none"/>
                  <v:stroke color="#3465a4" joinstyle="round" endcap="flat"/>
                </v:shape>
                <v:rect id="shape_0" stroked="f" style="position:absolute;left:2284;top:209;width:6128;height:96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Разпределение на допустимите кандидати</w:t>
                        </w:r>
                      </w:p>
                    </w:txbxContent>
                  </v:textbox>
                  <w10:wrap type="square"/>
                  <v:fill o:detectmouseclick="t" on="false"/>
                  <v:stroke color="#3465a4" joinstyle="round" endcap="flat"/>
                </v:rect>
                <v:rect id="shape_0" stroked="f" style="position:absolute;left:771;top:2019;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пол</w:t>
                        </w:r>
                      </w:p>
                    </w:txbxContent>
                  </v:textbox>
                  <w10:wrap type="square"/>
                  <v:fill o:detectmouseclick="t" on="false"/>
                  <v:stroke color="#3465a4" joinstyle="round" endcap="flat"/>
                </v:rect>
                <v:rect id="shape_0" stroked="f" style="position:absolute;left:519;top:3413;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възрастова група</w:t>
                        </w:r>
                      </w:p>
                    </w:txbxContent>
                  </v:textbox>
                  <w10:wrap type="square"/>
                  <v:fill o:detectmouseclick="t" on="false"/>
                  <v:stroke color="#3465a4" joinstyle="round" endcap="flat"/>
                </v:rect>
                <v:rect id="shape_0" stroked="f" style="position:absolute;left:1608;top:3921;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години</w:t>
                        </w:r>
                      </w:p>
                    </w:txbxContent>
                  </v:textbox>
                  <w10:wrap type="square"/>
                  <v:fill o:detectmouseclick="t" on="false"/>
                  <v:stroke color="#3465a4" joinstyle="round" endcap="flat"/>
                </v:rect>
                <v:rect id="shape_0" stroked="f" style="position:absolute;left:1555;top:4524;width:1325;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години</w:t>
                        </w:r>
                      </w:p>
                    </w:txbxContent>
                  </v:textbox>
                  <w10:wrap type="square"/>
                  <v:fill o:detectmouseclick="t" on="false"/>
                  <v:stroke color="#3465a4" joinstyle="round" endcap="flat"/>
                </v:rect>
                <v:rect id="shape_0" stroked="f" style="position:absolute;left:1568;top:5035;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години</w:t>
                        </w:r>
                      </w:p>
                    </w:txbxContent>
                  </v:textbox>
                  <w10:wrap type="square"/>
                  <v:fill o:detectmouseclick="t" on="false"/>
                  <v:stroke color="#3465a4" joinstyle="round" endcap="flat"/>
                </v:rect>
                <v:rect id="shape_0" stroked="f" style="position:absolute;left:3320;top:2032;width:26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Ниво на образование</w:t>
                        </w:r>
                      </w:p>
                    </w:txbxContent>
                  </v:textbox>
                  <w10:wrap type="square"/>
                  <v:fill o:detectmouseclick="t" on="false"/>
                  <v:stroke color="#3465a4" joinstyle="round" endcap="flat"/>
                </v:rect>
                <v:rect id="shape_0" stroked="f" style="position:absolute;left:4328;top:2541;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Ниско</w:t>
                        </w:r>
                      </w:p>
                    </w:txbxContent>
                  </v:textbox>
                  <w10:wrap type="square"/>
                  <v:fill o:detectmouseclick="t" on="false"/>
                  <v:stroke color="#3465a4" joinstyle="round" endcap="flat"/>
                </v:rect>
                <v:rect id="shape_0" stroked="f" style="position:absolute;left:8017;top:2313;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Североизток</w:t>
                        </w:r>
                      </w:p>
                    </w:txbxContent>
                  </v:textbox>
                  <w10:wrap type="square"/>
                  <v:fill o:detectmouseclick="t" on="false"/>
                  <v:stroke color="#3465a4" joinstyle="round" endcap="flat"/>
                </v:rect>
                <v:rect id="shape_0" stroked="f" style="position:absolute;left:3188;top:2943;width:279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Колеж, професионално образование</w:t>
                        </w:r>
                      </w:p>
                    </w:txbxContent>
                  </v:textbox>
                  <w10:wrap type="square"/>
                  <v:fill o:detectmouseclick="t" on="false"/>
                  <v:stroke color="#3465a4" joinstyle="round" endcap="flat"/>
                </v:rect>
                <v:rect id="shape_0" stroked="f" style="position:absolute;left:4408;top:3613;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Средна стойност</w:t>
                        </w:r>
                      </w:p>
                    </w:txbxContent>
                  </v:textbox>
                  <w10:wrap type="square"/>
                  <v:fill o:detectmouseclick="t" on="false"/>
                  <v:stroke color="#3465a4" joinstyle="round" endcap="flat"/>
                </v:rect>
                <v:rect id="shape_0" stroked="f" style="position:absolute;left:3413;top:4069;width:2332;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Гимназия</w:t>
                        </w:r>
                      </w:p>
                    </w:txbxContent>
                  </v:textbox>
                  <w10:wrap type="square"/>
                  <v:fill o:detectmouseclick="t" on="false"/>
                  <v:stroke color="#3465a4" joinstyle="round" endcap="flat"/>
                </v:rect>
                <v:rect id="shape_0" stroked="f" style="position:absolute;left:4435;top:4847;width:1323;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Отгледани</w:t>
                        </w:r>
                      </w:p>
                    </w:txbxContent>
                  </v:textbox>
                  <w10:wrap type="square"/>
                  <v:fill o:detectmouseclick="t" on="false"/>
                  <v:stroke color="#3465a4" joinstyle="round" endcap="flat"/>
                </v:rect>
                <v:rect id="shape_0" stroked="f" style="position:absolute;left:3134;top:5209;width:3036;height:60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Бакалавърска степен, магистърска степен или повече</w:t>
                        </w:r>
                      </w:p>
                    </w:txbxContent>
                  </v:textbox>
                  <w10:wrap type="square"/>
                  <v:fill o:detectmouseclick="t" on="false"/>
                  <v:stroke color="#3465a4" joinstyle="round" endcap="flat"/>
                </v:rect>
                <v:rect id="shape_0" stroked="f" style="position:absolute;left:6371;top:2662;width:132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Северозапад</w:t>
                        </w:r>
                      </w:p>
                    </w:txbxContent>
                  </v:textbox>
                  <w10:wrap type="square"/>
                  <v:fill o:detectmouseclick="t" on="false"/>
                  <v:stroke color="#3465a4" joinstyle="round" endcap="flat"/>
                </v:rect>
                <v:rect id="shape_0" stroked="f" style="position:absolute;left:6505;top:2032;width:263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Област на пребиваване</w:t>
                        </w:r>
                      </w:p>
                    </w:txbxContent>
                  </v:textbox>
                  <w10:wrap type="square"/>
                  <v:fill o:detectmouseclick="t" on="false"/>
                  <v:stroke color="#3465a4" joinstyle="round" endcap="flat"/>
                </v:rect>
                <v:rect id="shape_0" stroked="f" style="position:absolute;left:8217;top:3198;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център</w:t>
                        </w:r>
                      </w:p>
                    </w:txbxContent>
                  </v:textbox>
                  <w10:wrap type="square"/>
                  <v:fill o:detectmouseclick="t" on="false"/>
                  <v:stroke color="#3465a4" joinstyle="round" endcap="flat"/>
                </v:rect>
                <v:rect id="shape_0" stroked="f" style="position:absolute;left:6359;top:4686;width:16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Юг и острови</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pPr>
      <w:r>
        <w:rPr>
          <w:color w:val="000000"/>
        </w:rPr>
        <w:t xml:space="preserve">След като бяха избрани 70-те кандидати, в самото утро на събитието те получиха телефонно обаждане, за да потвърдят участието си. Тези обаждания са направени от контактния </w:t>
      </w:r>
      <w:r>
        <w:rPr>
          <w:color w:val="ED7D31"/>
        </w:rPr>
        <w:t>център</w:t>
      </w:r>
      <w:r>
        <w:rPr/>
        <w:t>SWG,</w:t>
      </w:r>
      <w:r>
        <w:rPr>
          <w:color w:val="000000"/>
        </w:rPr>
        <w:t xml:space="preserve"> използвайки метода CATI (Computer Assisted Telephone Survey). В края на тази фаза общо 59 души потвърдиха участието си и бяха регистрирани. </w:t>
      </w:r>
      <w:r>
        <w:rPr>
          <w:b/>
          <w:color w:val="BD1271"/>
        </w:rPr>
        <w:t>От тях 55 участваха активно в панела.</w:t>
      </w:r>
      <w:r>
        <w:rPr/>
        <w:t xml:space="preserve"> </w:t>
      </w:r>
      <w:r>
        <w:br w:type="page"/>
      </w:r>
    </w:p>
    <w:p>
      <w:pPr>
        <w:pStyle w:val="Normal"/>
        <w:widowControl w:val="false"/>
        <w:spacing w:lineRule="auto" w:line="240"/>
        <w:ind w:left="0" w:right="0" w:hanging="0"/>
        <w:jc w:val="left"/>
        <w:rPr>
          <w:rFonts w:ascii="Arial" w:hAnsi="Arial"/>
          <w:b/>
          <w:b/>
          <w:color w:val="BD1271"/>
          <w:sz w:val="22"/>
        </w:rPr>
      </w:pPr>
      <w:r>
        <w:rPr>
          <w:b/>
          <w:color w:val="BD1271"/>
          <w:sz w:val="22"/>
        </w:rPr>
      </w:r>
    </w:p>
    <w:p>
      <w:pPr>
        <w:pStyle w:val="P68B1DB1Normal76"/>
        <w:widowControl w:val="false"/>
        <w:spacing w:lineRule="auto" w:line="240" w:before="64" w:after="0"/>
        <w:ind w:left="0" w:right="0" w:hanging="0"/>
        <w:jc w:val="left"/>
        <w:rPr>
          <w:rFonts w:ascii="Arial" w:hAnsi="Arial"/>
          <w:color w:val="000000"/>
          <w:sz w:val="22"/>
        </w:rPr>
      </w:pPr>
      <w:r>
        <w:rPr/>
        <w:t xml:space="preserve">Разпределението по социални и възрастови групи на членовете на панела беше, както следва: </w:t>
      </w:r>
    </w:p>
    <w:p>
      <w:pPr>
        <w:pStyle w:val="P68B1DB1Normal76"/>
        <w:widowControl w:val="false"/>
        <w:spacing w:lineRule="auto" w:line="240" w:before="5705" w:after="0"/>
        <w:ind w:left="0" w:right="0" w:hanging="0"/>
        <w:jc w:val="left"/>
        <w:rPr>
          <w:rFonts w:ascii="Arial" w:hAnsi="Arial"/>
          <w:color w:val="000000"/>
          <w:sz w:val="22"/>
        </w:rPr>
      </w:pPr>
      <w:r>
        <w:rPr>
          <w:color w:val="000000"/>
          <w:sz w:val="22"/>
        </w:rPr>
        <mc:AlternateContent>
          <mc:Choice Requires="wpg">
            <w:drawing>
              <wp:anchor behindDoc="0" distT="0" distB="0" distL="0" distR="0" simplePos="0" locked="0" layoutInCell="1" allowOverlap="1" relativeHeight="56">
                <wp:simplePos x="0" y="0"/>
                <wp:positionH relativeFrom="column">
                  <wp:posOffset>635</wp:posOffset>
                </wp:positionH>
                <wp:positionV relativeFrom="paragraph">
                  <wp:posOffset>41275</wp:posOffset>
                </wp:positionV>
                <wp:extent cx="6157595" cy="3623310"/>
                <wp:effectExtent l="0" t="0" r="0" b="0"/>
                <wp:wrapTopAndBottom/>
                <wp:docPr id="103" name="Форма 5"/>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06"/>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Разпределение на активните участници</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пол</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възрастова група</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години</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години</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години</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Ниво на образование</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Ниско</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Североизток</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Колеж, професионално образование</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Средна стойност</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Гимназия</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Отгледани</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Бакалавърска степен, магистърска степен или повече</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Северозапад</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Област на пребиваване</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център</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Юг и острови</w:t>
                              </w:r>
                            </w:p>
                          </w:txbxContent>
                        </wps:txbx>
                        <wps:bodyPr lIns="90000" rIns="90000" tIns="45000" bIns="45000">
                          <a:noAutofit/>
                        </wps:bodyPr>
                      </wps:wsp>
                    </wpg:wgp>
                  </a:graphicData>
                </a:graphic>
              </wp:anchor>
            </w:drawing>
          </mc:Choice>
          <mc:Fallback>
            <w:pict>
              <v:group id="shape_0" alt="Форма 5" style="position:absolute;margin-left:0.05pt;margin-top:3.25pt;width:484.8pt;height:285.3pt" coordorigin="1,65" coordsize="9696,5706">
                <v:shape id="shape_0" stroked="f" style="position:absolute;left:1;top:787;width:9545;height:4982" type="shapetype_75">
                  <v:imagedata r:id="rId106" o:detectmouseclick="t"/>
                  <w10:wrap type="none"/>
                  <v:stroke color="#3465a4" joinstyle="round" endcap="flat"/>
                </v:shape>
                <v:rect id="shape_0" stroked="f" style="position:absolute;left:2328;top:65;width:6200;height:66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Разпределение на активните участници</w:t>
                        </w:r>
                      </w:p>
                    </w:txbxContent>
                  </v:textbox>
                  <w10:wrap type="square"/>
                  <v:fill o:detectmouseclick="t" on="false"/>
                  <v:stroke color="#3465a4" joinstyle="round" endcap="flat"/>
                </v:rect>
                <v:rect id="shape_0" stroked="f" style="position:absolute;left:825;top:1657;width:171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пол</w:t>
                        </w:r>
                      </w:p>
                    </w:txbxContent>
                  </v:textbox>
                  <w10:wrap type="square"/>
                  <v:fill o:detectmouseclick="t" on="false"/>
                  <v:stroke color="#3465a4" joinstyle="round" endcap="flat"/>
                </v:rect>
                <v:rect id="shape_0" stroked="f" style="position:absolute;left:570;top:3038;width:17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възрастова група</w:t>
                        </w:r>
                      </w:p>
                    </w:txbxContent>
                  </v:textbox>
                  <w10:wrap type="square"/>
                  <v:fill o:detectmouseclick="t" on="false"/>
                  <v:stroke color="#3465a4" joinstyle="round" endcap="flat"/>
                </v:rect>
                <v:rect id="shape_0" stroked="f" style="position:absolute;left:1670;top:3541;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години</w:t>
                        </w:r>
                      </w:p>
                    </w:txbxContent>
                  </v:textbox>
                  <w10:wrap type="square"/>
                  <v:fill o:detectmouseclick="t" on="false"/>
                  <v:stroke color="#3465a4" joinstyle="round" endcap="flat"/>
                </v:rect>
                <v:rect id="shape_0" stroked="f" style="position:absolute;left:1618;top:4138;width:1340;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години</w:t>
                        </w:r>
                      </w:p>
                    </w:txbxContent>
                  </v:textbox>
                  <w10:wrap type="square"/>
                  <v:fill o:detectmouseclick="t" on="false"/>
                  <v:stroke color="#3465a4" joinstyle="round" endcap="flat"/>
                </v:rect>
                <v:rect id="shape_0" stroked="f" style="position:absolute;left:1631;top:4643;width:1340;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години</w:t>
                        </w:r>
                      </w:p>
                    </w:txbxContent>
                  </v:textbox>
                  <w10:wrap type="square"/>
                  <v:fill o:detectmouseclick="t" on="false"/>
                  <v:stroke color="#3465a4" joinstyle="round" endcap="flat"/>
                </v:rect>
                <v:rect id="shape_0" stroked="f" style="position:absolute;left:3403;top:1670;width:265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Ниво на образование</w:t>
                        </w:r>
                      </w:p>
                    </w:txbxContent>
                  </v:textbox>
                  <w10:wrap type="square"/>
                  <v:fill o:detectmouseclick="t" on="false"/>
                  <v:stroke color="#3465a4" joinstyle="round" endcap="flat"/>
                </v:rect>
                <v:rect id="shape_0" stroked="f" style="position:absolute;left:4423;top:2175;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Ниско</w:t>
                        </w:r>
                      </w:p>
                    </w:txbxContent>
                  </v:textbox>
                  <w10:wrap type="square"/>
                  <v:fill o:detectmouseclick="t" on="false"/>
                  <v:stroke color="#3465a4" joinstyle="round" endcap="flat"/>
                </v:rect>
                <v:rect id="shape_0" stroked="f" style="position:absolute;left:8155;top:1949;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Североизток</w:t>
                        </w:r>
                      </w:p>
                    </w:txbxContent>
                  </v:textbox>
                  <w10:wrap type="square"/>
                  <v:fill o:detectmouseclick="t" on="false"/>
                  <v:stroke color="#3465a4" joinstyle="round" endcap="flat"/>
                </v:rect>
                <v:rect id="shape_0" stroked="f" style="position:absolute;left:3269;top:2573;width:2829;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Колеж, професионално образование</w:t>
                        </w:r>
                      </w:p>
                    </w:txbxContent>
                  </v:textbox>
                  <w10:wrap type="square"/>
                  <v:fill o:detectmouseclick="t" on="false"/>
                  <v:stroke color="#3465a4" joinstyle="round" endcap="flat"/>
                </v:rect>
                <v:rect id="shape_0" stroked="f" style="position:absolute;left:4504;top:3236;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Средна стойност</w:t>
                        </w:r>
                      </w:p>
                    </w:txbxContent>
                  </v:textbox>
                  <w10:wrap type="square"/>
                  <v:fill o:detectmouseclick="t" on="false"/>
                  <v:stroke color="#3465a4" joinstyle="round" endcap="flat"/>
                </v:rect>
                <v:rect id="shape_0" stroked="f" style="position:absolute;left:3497;top:3687;width:235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Гимназия</w:t>
                        </w:r>
                      </w:p>
                    </w:txbxContent>
                  </v:textbox>
                  <w10:wrap type="square"/>
                  <v:fill o:detectmouseclick="t" on="false"/>
                  <v:stroke color="#3465a4" joinstyle="round" endcap="flat"/>
                </v:rect>
                <v:rect id="shape_0" stroked="f" style="position:absolute;left:4531;top:4458;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Отгледани</w:t>
                        </w:r>
                      </w:p>
                    </w:txbxContent>
                  </v:textbox>
                  <w10:wrap type="square"/>
                  <v:fill o:detectmouseclick="t" on="false"/>
                  <v:stroke color="#3465a4" joinstyle="round" endcap="flat"/>
                </v:rect>
                <v:rect id="shape_0" stroked="f" style="position:absolute;left:3215;top:4816;width:3071;height:59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Бакалавърска степен, магистърска степен или повече</w:t>
                        </w:r>
                      </w:p>
                    </w:txbxContent>
                  </v:textbox>
                  <w10:wrap type="square"/>
                  <v:fill o:detectmouseclick="t" on="false"/>
                  <v:stroke color="#3465a4" joinstyle="round" endcap="flat"/>
                </v:rect>
                <v:rect id="shape_0" stroked="f" style="position:absolute;left:6490;top:2294;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Северозапад</w:t>
                        </w:r>
                      </w:p>
                    </w:txbxContent>
                  </v:textbox>
                  <w10:wrap type="square"/>
                  <v:fill o:detectmouseclick="t" on="false"/>
                  <v:stroke color="#3465a4" joinstyle="round" endcap="flat"/>
                </v:rect>
                <v:rect id="shape_0" stroked="f" style="position:absolute;left:6624;top:1670;width:266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Област на пребиваване</w:t>
                        </w:r>
                      </w:p>
                    </w:txbxContent>
                  </v:textbox>
                  <w10:wrap type="square"/>
                  <v:fill o:detectmouseclick="t" on="false"/>
                  <v:stroke color="#3465a4" joinstyle="round" endcap="flat"/>
                </v:rect>
                <v:rect id="shape_0" stroked="f" style="position:absolute;left:8356;top:2825;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център</w:t>
                        </w:r>
                      </w:p>
                    </w:txbxContent>
                  </v:textbox>
                  <w10:wrap type="square"/>
                  <v:fill o:detectmouseclick="t" on="false"/>
                  <v:stroke color="#3465a4" joinstyle="round" endcap="flat"/>
                </v:rect>
                <v:rect id="shape_0" stroked="f" style="position:absolute;left:6477;top:4297;width:1635;height:41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Юг и острови</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rFonts w:ascii="Times New Roman" w:hAnsi="Times New Roman"/>
          <w:color w:val="000000"/>
          <w:sz w:val="22"/>
        </w:rPr>
      </w:pPr>
      <w:r>
        <w:rPr/>
        <w:t xml:space="preserve">Ето резултатите от стъпките на процеса на подбор: </w:t>
      </w:r>
    </w:p>
    <w:p>
      <w:pPr>
        <w:pStyle w:val="Normal"/>
        <w:widowControl w:val="false"/>
        <w:spacing w:lineRule="exact" w:line="393"/>
        <w:ind w:left="0" w:right="0" w:hanging="0"/>
        <w:jc w:val="left"/>
        <w:rPr>
          <w:rFonts w:ascii="Times New Roman" w:hAnsi="Times New Roman"/>
          <w:color w:val="000000"/>
          <w:sz w:val="24"/>
        </w:rPr>
      </w:pPr>
      <w:r>
        <w:rPr>
          <w:rFonts w:ascii="Times New Roman" w:hAnsi="Times New Roman"/>
          <w:color w:val="000000"/>
          <w:sz w:val="24"/>
        </w:rPr>
        <mc:AlternateContent>
          <mc:Choice Requires="wpg">
            <w:drawing>
              <wp:anchor behindDoc="0" distT="0" distB="0" distL="0" distR="0" simplePos="0" locked="0" layoutInCell="1" allowOverlap="1" relativeHeight="58">
                <wp:simplePos x="0" y="0"/>
                <wp:positionH relativeFrom="column">
                  <wp:posOffset>10160</wp:posOffset>
                </wp:positionH>
                <wp:positionV relativeFrom="paragraph">
                  <wp:posOffset>144780</wp:posOffset>
                </wp:positionV>
                <wp:extent cx="6047740" cy="3640455"/>
                <wp:effectExtent l="0" t="0" r="0" b="0"/>
                <wp:wrapNone/>
                <wp:docPr id="104" name="Форма 6"/>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07"/>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Процесът на кандидатстване</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Достъп до формуляра за кандидатстване</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Пълни приложения</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Допустими кандидати</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Допуснати до панела</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Активни участници</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март 2022 г.</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март 2022 г.</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март 2022 г.</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март 2022 г.</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март 2022 г.</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март 2022 г.</w:t>
                              </w:r>
                            </w:p>
                          </w:txbxContent>
                        </wps:txbx>
                        <wps:bodyPr lIns="90000" rIns="90000" tIns="45000" bIns="45000">
                          <a:noAutofit/>
                        </wps:bodyPr>
                      </wps:wsp>
                    </wpg:wgp>
                  </a:graphicData>
                </a:graphic>
              </wp:anchor>
            </w:drawing>
          </mc:Choice>
          <mc:Fallback>
            <w:pict>
              <v:group id="shape_0" alt="Форма 6" style="position:absolute;margin-left:0.8pt;margin-top:11.4pt;width:476.1pt;height:286.6pt" coordorigin="16,228" coordsize="9522,5732">
                <v:shape id="shape_0" stroked="f" style="position:absolute;left:2410;top:949;width:4571;height:5010" type="shapetype_75">
                  <v:imagedata r:id="rId107" o:detectmouseclick="t"/>
                  <w10:wrap type="none"/>
                  <v:stroke color="#3465a4" joinstyle="round" endcap="flat"/>
                </v:shape>
                <v:rect id="shape_0" stroked="f" style="position:absolute;left:1108;top:228;width:7315;height:63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Процесът на кандидатстване</w:t>
                        </w:r>
                      </w:p>
                    </w:txbxContent>
                  </v:textbox>
                  <w10:wrap type="square"/>
                  <v:fill o:detectmouseclick="t" on="false"/>
                  <v:stroke color="#3465a4" joinstyle="round" endcap="flat"/>
                </v:rect>
                <v:rect id="shape_0" stroked="f" style="position:absolute;left:16;top:1292;width:2518;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Достъп до формуляра за кандидатстване</w:t>
                        </w:r>
                      </w:p>
                    </w:txbxContent>
                  </v:textbox>
                  <w10:wrap type="square"/>
                  <v:fill o:detectmouseclick="t" on="false"/>
                  <v:stroke color="#3465a4" joinstyle="round" endcap="flat"/>
                </v:rect>
                <v:rect id="shape_0" stroked="f" style="position:absolute;left:16;top:1959;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Пълни приложения</w:t>
                        </w:r>
                      </w:p>
                    </w:txbxContent>
                  </v:textbox>
                  <w10:wrap type="square"/>
                  <v:fill o:detectmouseclick="t" on="false"/>
                  <v:stroke color="#3465a4" joinstyle="round" endcap="flat"/>
                </v:rect>
                <v:rect id="shape_0" stroked="f" style="position:absolute;left:16;top:2586;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Допустими кандидати</w:t>
                        </w:r>
                      </w:p>
                    </w:txbxContent>
                  </v:textbox>
                  <w10:wrap type="square"/>
                  <v:fill o:detectmouseclick="t" on="false"/>
                  <v:stroke color="#3465a4" joinstyle="round" endcap="flat"/>
                </v:rect>
                <v:rect id="shape_0" stroked="f" style="position:absolute;left:16;top:3252;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Допуснати до панела</w:t>
                        </w:r>
                      </w:p>
                    </w:txbxContent>
                  </v:textbox>
                  <w10:wrap type="square"/>
                  <v:fill o:detectmouseclick="t" on="false"/>
                  <v:stroke color="#3465a4" joinstyle="round" endcap="flat"/>
                </v:rect>
                <v:rect id="shape_0" stroked="f" style="position:absolute;left:16;top:3918;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Активни участници</w:t>
                        </w:r>
                      </w:p>
                    </w:txbxContent>
                  </v:textbox>
                  <w10:wrap type="square"/>
                  <v:fill o:detectmouseclick="t" on="false"/>
                  <v:stroke color="#3465a4" joinstyle="round" endcap="flat"/>
                </v:rect>
                <v:rect id="shape_0" stroked="f" style="position:absolute;left:6993;top:1164;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март 2022 г.</w:t>
                        </w:r>
                      </w:p>
                    </w:txbxContent>
                  </v:textbox>
                  <w10:wrap type="square"/>
                  <v:fill o:detectmouseclick="t" on="false"/>
                  <v:stroke color="#3465a4" joinstyle="round" endcap="flat"/>
                </v:rect>
                <v:rect id="shape_0" stroked="f" style="position:absolute;left:7020;top:1960;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март 2022 г.</w:t>
                        </w:r>
                      </w:p>
                    </w:txbxContent>
                  </v:textbox>
                  <w10:wrap type="square"/>
                  <v:fill o:detectmouseclick="t" on="false"/>
                  <v:stroke color="#3465a4" joinstyle="round" endcap="flat"/>
                </v:rect>
                <v:rect id="shape_0" stroked="f" style="position:absolute;left:6993;top:1165;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март 2022 г.</w:t>
                        </w:r>
                      </w:p>
                    </w:txbxContent>
                  </v:textbox>
                  <w10:wrap type="square"/>
                  <v:fill o:detectmouseclick="t" on="false"/>
                  <v:stroke color="#3465a4" joinstyle="round" endcap="flat"/>
                </v:rect>
                <v:rect id="shape_0" stroked="f" style="position:absolute;left:7007;top:2613;width:2517;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март 2022 г.</w:t>
                        </w:r>
                      </w:p>
                    </w:txbxContent>
                  </v:textbox>
                  <w10:wrap type="square"/>
                  <v:fill o:detectmouseclick="t" on="false"/>
                  <v:stroke color="#3465a4" joinstyle="round" endcap="flat"/>
                </v:rect>
                <v:rect id="shape_0" stroked="f" style="position:absolute;left:6993;top:3241;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март 2022 г.</w:t>
                        </w:r>
                      </w:p>
                    </w:txbxContent>
                  </v:textbox>
                  <w10:wrap type="square"/>
                  <v:fill o:detectmouseclick="t" on="false"/>
                  <v:stroke color="#3465a4" joinstyle="round" endcap="flat"/>
                </v:rect>
                <v:rect id="shape_0" stroked="f" style="position:absolute;left:6952;top:3817;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март 2022 г.</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rFonts w:ascii="Arial" w:hAnsi="Arial"/>
          <w:color w:val="2E74B5"/>
          <w:sz w:val="22"/>
        </w:rPr>
      </w:pPr>
      <w:r>
        <w:rPr/>
        <w:t xml:space="preserve">Комуникационно оборудване </w:t>
      </w:r>
    </w:p>
    <w:p>
      <w:pPr>
        <w:pStyle w:val="P68B1DB1Normal76"/>
        <w:widowControl w:val="false"/>
        <w:spacing w:lineRule="exact" w:line="379" w:before="200" w:after="0"/>
        <w:ind w:left="0" w:right="2" w:hanging="0"/>
        <w:jc w:val="left"/>
        <w:rPr/>
      </w:pPr>
      <w:r>
        <w:rPr/>
        <w:t xml:space="preserve">За да се гарантира висока степен на мотивация и участие от самото начало, на всички участници бяха предоставени следните документи: </w:t>
      </w:r>
    </w:p>
    <w:p>
      <w:pPr>
        <w:pStyle w:val="P68B1DB1Normal76"/>
        <w:widowControl w:val="false"/>
        <w:spacing w:lineRule="exact" w:line="252" w:before="192" w:after="0"/>
        <w:ind w:left="720" w:right="0" w:hanging="0"/>
        <w:jc w:val="left"/>
        <w:rPr/>
      </w:pPr>
      <w:r>
        <w:rPr/>
        <w:t xml:space="preserve">• </w:t>
      </w:r>
      <w:r>
        <w:rPr/>
        <w:t xml:space="preserve">презентациите </w:t>
      </w:r>
      <w:r>
        <w:rPr>
          <w:b/>
        </w:rPr>
        <w:t xml:space="preserve">на Конференцията за бъдещето на Европа и националните панели; </w:t>
      </w:r>
    </w:p>
    <w:p>
      <w:pPr>
        <w:pStyle w:val="P68B1DB1Normal76"/>
        <w:widowControl w:val="false"/>
        <w:spacing w:lineRule="exact" w:line="379"/>
        <w:ind w:left="720" w:right="0" w:hanging="0"/>
        <w:jc w:val="left"/>
        <w:rPr/>
      </w:pPr>
      <w:r>
        <w:rPr/>
        <w:t xml:space="preserve">• </w:t>
      </w:r>
      <w:r>
        <w:rPr/>
        <w:t xml:space="preserve">Хартата </w:t>
      </w:r>
      <w:r>
        <w:rPr>
          <w:b/>
        </w:rPr>
        <w:t xml:space="preserve">на Конференцията за бъдещето на Европа; </w:t>
      </w:r>
    </w:p>
    <w:p>
      <w:pPr>
        <w:pStyle w:val="P68B1DB1Normal76"/>
        <w:widowControl w:val="false"/>
        <w:spacing w:lineRule="exact" w:line="379"/>
        <w:ind w:left="720" w:right="0" w:hanging="0"/>
        <w:jc w:val="left"/>
        <w:rPr/>
      </w:pPr>
      <w:r>
        <w:rPr/>
        <w:t xml:space="preserve">• </w:t>
      </w:r>
      <w:r>
        <w:rPr/>
        <w:t>темите</w:t>
      </w:r>
      <w:r>
        <w:rPr>
          <w:b/>
        </w:rPr>
        <w:t xml:space="preserve">, които ще бъдат обсъдени по време на панелите; </w:t>
      </w:r>
    </w:p>
    <w:p>
      <w:pPr>
        <w:pStyle w:val="P68B1DB1Normal76"/>
        <w:widowControl w:val="false"/>
        <w:spacing w:lineRule="exact" w:line="379"/>
        <w:ind w:left="721" w:right="0" w:hanging="0"/>
        <w:jc w:val="left"/>
        <w:rPr/>
      </w:pPr>
      <w:r>
        <w:rPr/>
        <w:t xml:space="preserve">• </w:t>
      </w:r>
      <w:r>
        <w:rPr>
          <w:b/>
        </w:rPr>
        <w:t xml:space="preserve">техническа и организационна информация, необходима за участие. </w:t>
      </w:r>
    </w:p>
    <w:p>
      <w:pPr>
        <w:pStyle w:val="P68B1DB1Titre277"/>
        <w:numPr>
          <w:ilvl w:val="0"/>
          <w:numId w:val="2"/>
        </w:numPr>
        <w:rPr>
          <w:color w:val="BD1271"/>
        </w:rPr>
      </w:pPr>
      <w:bookmarkStart w:id="218" w:name="__RefHeading___Toc300312_1346298689"/>
      <w:bookmarkEnd w:id="218"/>
      <w:r>
        <w:rPr/>
        <w:t xml:space="preserve">3. Организация на панела </w:t>
      </w:r>
    </w:p>
    <w:p>
      <w:pPr>
        <w:pStyle w:val="P68B1DB1Normal76"/>
        <w:widowControl w:val="false"/>
        <w:spacing w:lineRule="exact" w:line="272" w:before="231" w:after="0"/>
        <w:ind w:left="0" w:right="0" w:hanging="0"/>
        <w:jc w:val="both"/>
        <w:rPr/>
      </w:pPr>
      <w:r>
        <w:rPr/>
        <w:t xml:space="preserve">За да се даде възможност за максимално участие, включително лица с професионални ангажименти, панелът беше организиран в продължение на два последователни полудни, включително един през почивните дни, в съответствие със следния график: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Петък, 11 март, от 16 до 20,00 ч.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Събота, 12 март от 10 ч. до 12 ч. </w:t>
      </w:r>
    </w:p>
    <w:p>
      <w:pPr>
        <w:pStyle w:val="Normal"/>
        <w:widowControl w:val="false"/>
        <w:spacing w:lineRule="exact" w:line="286" w:before="83" w:after="0"/>
        <w:ind w:left="0" w:right="1" w:hanging="0"/>
        <w:jc w:val="both"/>
        <w:rPr/>
      </w:pPr>
      <w:r>
        <w:rPr>
          <w:color w:val="000000"/>
        </w:rPr>
        <w:t xml:space="preserve">Този избор имаше за цел, от една страна, да улесни участието на работниците в инициативата, а от друга страна, да раздели времето за присъствие, за да насърчи по-голямо внимание и участие, както и по-нататъшно обсъждане на представените теми и предложения. Участниците в панела, свързани с двете работни сесии с помощта на платформата GoToMeeting, бяха разделени на четири групи (по две за всяка тематична област), водени от модератор </w:t>
      </w:r>
      <w:r>
        <w:rPr>
          <w:color w:val="ED7D31"/>
        </w:rPr>
        <w:t>на работната група</w:t>
      </w:r>
      <w:r>
        <w:rPr>
          <w:color w:val="000000"/>
        </w:rPr>
        <w:t xml:space="preserve"> и сътрудници на лице, отговарящо за изготвянето на производството. Модераторите улесниха групите чрез два различни пътя за обсъждане (по един за всяка тематична област), с цел да се включат във възможно най-голяма степен всички избрани хора и да се осигури подход, основан на максимално приобщаване и неутралност. </w:t>
      </w:r>
    </w:p>
    <w:p>
      <w:pPr>
        <w:pStyle w:val="Titre2"/>
        <w:numPr>
          <w:ilvl w:val="1"/>
          <w:numId w:val="2"/>
        </w:numPr>
        <w:rPr/>
      </w:pPr>
      <w:bookmarkStart w:id="219" w:name="__RefHeading___Toc300314_1346298689"/>
      <w:bookmarkEnd w:id="219"/>
      <w:r>
        <w:rPr>
          <w:color w:val="BD1271"/>
        </w:rPr>
        <w:t>4. Работна програма</w:t>
      </w:r>
      <w:r>
        <w:rPr/>
        <w:t xml:space="preserve"> </w:t>
      </w:r>
    </w:p>
    <w:p>
      <w:pPr>
        <w:pStyle w:val="P68B1DB1Normal80"/>
        <w:widowControl w:val="false"/>
        <w:spacing w:lineRule="exact" w:line="393" w:before="85" w:after="0"/>
        <w:ind w:left="0" w:right="0" w:hanging="0"/>
        <w:jc w:val="left"/>
        <w:rPr>
          <w:rFonts w:ascii="Arial" w:hAnsi="Arial"/>
          <w:color w:val="116E9A"/>
          <w:sz w:val="24"/>
        </w:rPr>
      </w:pPr>
      <w:r>
        <w:rPr/>
        <w:t xml:space="preserve">Първа сесия (петък, 11 март 2022 г.) </w:t>
      </w:r>
    </w:p>
    <w:p>
      <w:pPr>
        <w:pStyle w:val="P68B1DB1Normal76"/>
        <w:widowControl w:val="false"/>
        <w:spacing w:lineRule="exact" w:line="362" w:before="208" w:after="0"/>
        <w:ind w:left="360" w:right="0" w:hanging="0"/>
        <w:jc w:val="left"/>
        <w:rPr/>
      </w:pPr>
      <w:r>
        <w:rPr/>
        <w:t xml:space="preserve">• </w:t>
      </w:r>
      <w:r>
        <w:rPr/>
        <w:t xml:space="preserve">00 — Откриване на виртуалната зала и възможност участниците да се свържат с платформата, за да проверят правилното функциониране на своите аудио и видео системи. </w:t>
      </w:r>
    </w:p>
    <w:p>
      <w:pPr>
        <w:pStyle w:val="P68B1DB1Normal76"/>
        <w:widowControl w:val="false"/>
        <w:spacing w:lineRule="exact" w:line="362"/>
        <w:ind w:left="360" w:right="0" w:hanging="0"/>
        <w:jc w:val="left"/>
        <w:rPr/>
      </w:pPr>
      <w:r>
        <w:rPr/>
        <w:t xml:space="preserve">• </w:t>
      </w:r>
      <w:r>
        <w:rPr/>
        <w:t xml:space="preserve">16:00 — Въведение от модератор: обяснение на причините за инициативата и описание на структурата на работата.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15 ч. — Разпределение на участниците в групи въз основа на предпочитанията, посочени във фазата на кандидатстване.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16:20 — Започване на дискусията в групата.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20,00 ч. — Край на сесията. </w:t>
      </w:r>
    </w:p>
    <w:p>
      <w:pPr>
        <w:pStyle w:val="P68B1DB1Normal80"/>
        <w:widowControl w:val="false"/>
        <w:spacing w:lineRule="exact" w:line="393" w:before="248" w:after="0"/>
        <w:ind w:left="0" w:right="0" w:hanging="0"/>
        <w:jc w:val="left"/>
        <w:rPr>
          <w:rFonts w:ascii="Arial" w:hAnsi="Arial"/>
          <w:color w:val="116E9A"/>
          <w:sz w:val="24"/>
        </w:rPr>
      </w:pPr>
      <w:r>
        <w:rPr/>
        <w:t xml:space="preserve">Втора сесия (събота, 12 март 2022 г.) </w:t>
      </w:r>
    </w:p>
    <w:p>
      <w:pPr>
        <w:pStyle w:val="P68B1DB1Normal76"/>
        <w:widowControl w:val="false"/>
        <w:spacing w:lineRule="exact" w:line="362" w:before="208" w:after="0"/>
        <w:ind w:left="360" w:right="0" w:hanging="0"/>
        <w:jc w:val="left"/>
        <w:rPr>
          <w:rFonts w:ascii="Arial" w:hAnsi="Arial"/>
          <w:color w:val="000000"/>
          <w:sz w:val="22"/>
        </w:rPr>
      </w:pPr>
      <w:r>
        <w:rPr/>
        <w:t xml:space="preserve">• </w:t>
      </w:r>
      <w:r>
        <w:rPr/>
        <w:t xml:space="preserve">10 ч. — Възобновяване на работата чрез четене на резултатите от работата от първия ден. </w:t>
      </w:r>
    </w:p>
    <w:p>
      <w:pPr>
        <w:pStyle w:val="P68B1DB1Normal76"/>
        <w:widowControl w:val="false"/>
        <w:spacing w:lineRule="exact" w:line="254"/>
        <w:ind w:left="360" w:right="140" w:hanging="0"/>
        <w:jc w:val="left"/>
        <w:rPr/>
      </w:pPr>
      <w:r>
        <w:rPr/>
        <w:t xml:space="preserve">• </w:t>
      </w:r>
      <w:r>
        <w:rPr/>
        <w:t xml:space="preserve">10.15 ч. — Продължителна дискусия, задълбочени дискусии и коментари от участниците. </w:t>
      </w:r>
    </w:p>
    <w:p>
      <w:pPr>
        <w:pStyle w:val="Normal"/>
        <w:widowControl w:val="false"/>
        <w:spacing w:lineRule="exact" w:line="362"/>
        <w:ind w:left="360" w:right="0" w:hanging="0"/>
        <w:jc w:val="left"/>
        <w:rPr/>
      </w:pPr>
      <w:r>
        <w:rPr>
          <w:color w:val="000000"/>
        </w:rPr>
        <w:t xml:space="preserve">• </w:t>
      </w:r>
      <w:r>
        <w:rPr>
          <w:color w:val="000000"/>
        </w:rPr>
        <w:t>12.00 — Заключение на работата</w:t>
      </w:r>
      <w:r>
        <w:rPr>
          <w:color w:val="FF0000"/>
        </w:rPr>
        <w:t>.</w:t>
      </w:r>
      <w:r>
        <w:rPr>
          <w:color w:val="000000"/>
        </w:rPr>
        <w:t xml:space="preserve"> </w:t>
      </w:r>
    </w:p>
    <w:p>
      <w:pPr>
        <w:pStyle w:val="P68B1DB1Normal34"/>
        <w:widowControl w:val="false"/>
        <w:spacing w:lineRule="exact" w:line="393"/>
        <w:ind w:left="360" w:right="0" w:hanging="0"/>
        <w:jc w:val="left"/>
        <w:rPr>
          <w:rFonts w:ascii="Arial" w:hAnsi="Arial"/>
          <w:color w:val="000000"/>
          <w:sz w:val="24"/>
        </w:rPr>
      </w:pPr>
      <w:r>
        <w:rPr/>
        <w:t xml:space="preserve"> </w:t>
      </w:r>
    </w:p>
    <w:p>
      <w:pPr>
        <w:pStyle w:val="Normal"/>
        <w:spacing w:lineRule="auto" w:line="240" w:before="5420" w:after="57"/>
        <w:rPr/>
      </w:pPr>
      <w:r>
        <w:rPr/>
        <w:drawing>
          <wp:anchor behindDoc="0" distT="0" distB="0" distL="0" distR="0" simplePos="0" locked="0" layoutInCell="1" allowOverlap="1" relativeHeight="64">
            <wp:simplePos x="0" y="0"/>
            <wp:positionH relativeFrom="column">
              <wp:align>center</wp:align>
            </wp:positionH>
            <wp:positionV relativeFrom="paragraph">
              <wp:posOffset>635</wp:posOffset>
            </wp:positionV>
            <wp:extent cx="6120130" cy="3441700"/>
            <wp:effectExtent l="0" t="0" r="0" b="0"/>
            <wp:wrapTopAndBottom/>
            <wp:docPr id="105" name="Снимка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Снимка 45" descr=""/>
                    <pic:cNvPicPr>
                      <a:picLocks noChangeAspect="1" noChangeArrowheads="1"/>
                    </pic:cNvPicPr>
                  </pic:nvPicPr>
                  <pic:blipFill>
                    <a:blip r:embed="rId108"/>
                    <a:stretch>
                      <a:fillRect/>
                    </a:stretch>
                  </pic:blipFill>
                  <pic:spPr bwMode="auto">
                    <a:xfrm>
                      <a:off x="0" y="0"/>
                      <a:ext cx="6120130" cy="3441700"/>
                    </a:xfrm>
                    <a:prstGeom prst="rect">
                      <a:avLst/>
                    </a:prstGeom>
                  </pic:spPr>
                </pic:pic>
              </a:graphicData>
            </a:graphic>
          </wp:anchor>
        </w:drawing>
      </w:r>
    </w:p>
    <w:p>
      <w:pPr>
        <w:pStyle w:val="Normal"/>
        <w:spacing w:lineRule="auto" w:line="240"/>
        <w:rPr/>
      </w:pPr>
      <w:r>
        <w:rPr/>
      </w:r>
      <w:r>
        <w:br w:type="page"/>
      </w:r>
    </w:p>
    <w:p>
      <w:pPr>
        <w:pStyle w:val="P68B1DB1Titre277"/>
        <w:numPr>
          <w:ilvl w:val="0"/>
          <w:numId w:val="2"/>
        </w:numPr>
        <w:rPr>
          <w:color w:val="BD1271"/>
        </w:rPr>
      </w:pPr>
      <w:bookmarkStart w:id="220" w:name="__RefHeading___Toc300316_1346298689"/>
      <w:bookmarkEnd w:id="220"/>
      <w:r>
        <w:rPr/>
        <w:t xml:space="preserve">5. Направени препоръки </w:t>
      </w:r>
    </w:p>
    <w:p>
      <w:pPr>
        <w:pStyle w:val="Titre3"/>
        <w:numPr>
          <w:ilvl w:val="2"/>
          <w:numId w:val="2"/>
        </w:numPr>
        <w:rPr/>
      </w:pPr>
      <w:bookmarkStart w:id="221" w:name="__RefHeading___Toc300318_1346298689"/>
      <w:bookmarkEnd w:id="221"/>
      <w:r>
        <w:rPr>
          <w:color w:val="FFFFFF"/>
          <w:shd w:fill="0066B3" w:val="clear"/>
        </w:rPr>
        <w:t>По-силна икономика, социална справедливост и заетост</w:t>
      </w:r>
      <w:r>
        <w:rPr/>
        <w:t xml:space="preserve"> </w:t>
      </w:r>
    </w:p>
    <w:p>
      <w:pPr>
        <w:pStyle w:val="P68B1DB1Normal19"/>
        <w:widowControl w:val="false"/>
        <w:spacing w:lineRule="auto" w:line="240" w:before="106" w:after="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22" w:name="__RefHeading___Toc300428_1346298689"/>
      <w:bookmarkEnd w:id="222"/>
      <w:r>
        <w:rPr/>
        <w:t xml:space="preserve">1. Преодоляване на производствения модел на миналия век </w:t>
      </w:r>
    </w:p>
    <w:p>
      <w:pPr>
        <w:pStyle w:val="P68B1DB1Normal76"/>
        <w:widowControl w:val="false"/>
        <w:spacing w:lineRule="auto" w:line="240" w:before="80" w:after="0"/>
        <w:ind w:left="0" w:right="1" w:hanging="0"/>
        <w:jc w:val="both"/>
        <w:rPr/>
      </w:pPr>
      <w:r>
        <w:rPr/>
        <w:t xml:space="preserve">Участниците в панела смятат, че последните световни събития (пандемията от COVID-19 и конфликтът между Русия и Украйна) привидно демонстрират ограниченията на настоящия европейски модел на производство и подчертават необходимостта от преразглеждане на подхода, който мнозина описват като „принадлежи на миналия век“.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Доказателствата за зависимостта на Европа от вноса на енергия и храни от държави извън Европейския съюз, както и откритието (по време на пандемията), че не сме в състояние да произвеждаме сами количеството медицински изделия и ваксини, необходими за борба с разпространението на вируса, породиха впечатлението, че нашата икономическа система страда от структурна слабост поради липсата на самодостатъчност.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3" w:hanging="0"/>
        <w:jc w:val="both"/>
        <w:rPr/>
      </w:pPr>
      <w:r>
        <w:rPr/>
        <w:t xml:space="preserve">В същото време участниците ясно вярват, че една по-силна икономика, способна да създава работни места в контекста на социалната справедливост, трябва да може да придобива важни технологични активи. За тази цел е от съществено значение да се подкрепи образователната система с все по-голямо внимание към предметите, свързани с НТИМ.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b/>
        </w:rPr>
        <w:t>Технологичните иновации, устойчивата енергия, но и туризмът и културата</w:t>
      </w:r>
      <w:r>
        <w:rPr/>
        <w:t xml:space="preserve"> изглеждат три основни оси за развитието на европейската икономика на утрешния ден, със специален акцент върху поддържането на основното производство, за да се избегне рискът от прекомерна зависимост от трети държави от доставките на основни продукти и суровини. </w:t>
      </w:r>
    </w:p>
    <w:p>
      <w:pPr>
        <w:pStyle w:val="P68B1DB1Normal82"/>
        <w:widowControl w:val="false"/>
        <w:spacing w:lineRule="auto" w:line="240"/>
        <w:ind w:left="4819" w:right="0" w:hanging="0"/>
        <w:jc w:val="left"/>
        <w:rPr>
          <w:rFonts w:ascii="Arial" w:hAnsi="Arial"/>
          <w:color w:val="2E74B5"/>
          <w:sz w:val="24"/>
        </w:rPr>
      </w:pPr>
      <w:r>
        <w:rPr/>
        <w:t xml:space="preserve"> </w:t>
      </w:r>
    </w:p>
    <w:p>
      <w:pPr>
        <w:pStyle w:val="P68B1DB1Normal83"/>
        <w:widowControl w:val="false"/>
        <w:spacing w:lineRule="auto" w:line="240" w:before="84" w:after="0"/>
        <w:ind w:left="3000" w:right="0" w:hanging="0"/>
        <w:jc w:val="left"/>
        <w:rPr>
          <w:rFonts w:ascii="Arial" w:hAnsi="Arial"/>
          <w:b/>
          <w:b/>
          <w:color w:val="2E74B5"/>
          <w:sz w:val="24"/>
        </w:rPr>
      </w:pPr>
      <w:r>
        <w:rPr/>
        <w:t xml:space="preserve">ПРЕПОРЪКИ НАКРАТКО </w:t>
      </w:r>
    </w:p>
    <w:p>
      <w:pPr>
        <w:pStyle w:val="P68B1DB1Normal84"/>
        <w:widowControl w:val="false"/>
        <w:spacing w:lineRule="auto" w:line="240" w:before="69" w:after="0"/>
        <w:ind w:left="283" w:right="0" w:hanging="0"/>
        <w:jc w:val="left"/>
        <w:rPr/>
      </w:pPr>
      <w:r>
        <w:rPr>
          <w:color w:val="BD1271"/>
        </w:rPr>
        <w:t xml:space="preserve">1. </w:t>
      </w:r>
      <w:r>
        <w:rPr>
          <w:color w:val="000000"/>
        </w:rPr>
        <w:t>Предприемане на ефективни действия във връзка с изменението на климата и алтернативната енергия.</w:t>
      </w:r>
    </w:p>
    <w:p>
      <w:pPr>
        <w:pStyle w:val="P68B1DB1Normal84"/>
        <w:widowControl w:val="false"/>
        <w:spacing w:lineRule="auto" w:line="240"/>
        <w:ind w:left="283" w:right="0" w:hanging="0"/>
        <w:jc w:val="left"/>
        <w:rPr/>
      </w:pPr>
      <w:r>
        <w:rPr>
          <w:color w:val="BD1271"/>
        </w:rPr>
        <w:t xml:space="preserve">2. </w:t>
      </w:r>
      <w:r>
        <w:rPr>
          <w:color w:val="000000"/>
        </w:rPr>
        <w:t>Инвестиции в туризма и икономиката на културата, като също така се оценяват многото малки дестинации в Европа.</w:t>
      </w:r>
    </w:p>
    <w:p>
      <w:pPr>
        <w:pStyle w:val="P68B1DB1Normal84"/>
        <w:widowControl w:val="false"/>
        <w:spacing w:lineRule="auto" w:line="240"/>
        <w:ind w:left="283" w:right="0" w:hanging="0"/>
        <w:jc w:val="left"/>
        <w:rPr/>
      </w:pPr>
      <w:r>
        <w:rPr>
          <w:color w:val="BD1271"/>
        </w:rPr>
        <w:t xml:space="preserve">3. </w:t>
      </w:r>
      <w:r>
        <w:rPr>
          <w:color w:val="000000"/>
        </w:rPr>
        <w:t>Съсредоточете се върху технологиите и иновациите като двигатели на растежа.</w:t>
      </w:r>
    </w:p>
    <w:p>
      <w:pPr>
        <w:pStyle w:val="P68B1DB1Normal84"/>
        <w:widowControl w:val="false"/>
        <w:spacing w:lineRule="auto" w:line="240"/>
        <w:ind w:left="283" w:right="0" w:hanging="0"/>
        <w:jc w:val="left"/>
        <w:rPr/>
      </w:pPr>
      <w:r>
        <w:rPr>
          <w:color w:val="BD1271"/>
        </w:rPr>
        <w:t xml:space="preserve">4. </w:t>
      </w:r>
      <w:r>
        <w:rPr>
          <w:color w:val="000000"/>
        </w:rPr>
        <w:t>Намаляване на зависимостта от други държави от суровините, енергийните източници и селското стопанство.</w:t>
      </w:r>
    </w:p>
    <w:p>
      <w:pPr>
        <w:pStyle w:val="P68B1DB1Normal84"/>
        <w:widowControl w:val="false"/>
        <w:spacing w:lineRule="auto" w:line="240"/>
        <w:ind w:left="283" w:right="0" w:hanging="0"/>
        <w:jc w:val="left"/>
        <w:rPr/>
      </w:pPr>
      <w:r>
        <w:rPr>
          <w:color w:val="BD1271"/>
        </w:rPr>
        <w:t xml:space="preserve">5. </w:t>
      </w:r>
      <w:r>
        <w:rPr>
          <w:color w:val="000000"/>
        </w:rPr>
        <w:t>Насърчаване на младите хора да изучават научни дисциплини.</w:t>
      </w:r>
    </w:p>
    <w:p>
      <w:pPr>
        <w:pStyle w:val="P68B1DB1Normal85"/>
        <w:widowControl w:val="false"/>
        <w:spacing w:lineRule="exact" w:line="460"/>
        <w:ind w:left="0" w:right="0" w:hanging="0"/>
        <w:jc w:val="left"/>
        <w:rPr>
          <w:rFonts w:ascii="Arial" w:hAnsi="Arial"/>
          <w:color w:val="FFFFFF"/>
          <w:sz w:val="28"/>
        </w:rPr>
      </w:pPr>
      <w:r>
        <w:rPr/>
        <w:t xml:space="preserve"> </w:t>
      </w:r>
    </w:p>
    <w:p>
      <w:pPr>
        <w:pStyle w:val="P68B1DB1Titre481"/>
        <w:numPr>
          <w:ilvl w:val="0"/>
          <w:numId w:val="2"/>
        </w:numPr>
        <w:rPr>
          <w:color w:val="0066B3"/>
        </w:rPr>
      </w:pPr>
      <w:bookmarkStart w:id="223" w:name="__RefHeading___Toc300430_1346298689"/>
      <w:bookmarkEnd w:id="223"/>
      <w:r>
        <w:rPr/>
        <w:t xml:space="preserve">2. Генеративни и приобщаващи разпоредби за производство </w:t>
      </w:r>
    </w:p>
    <w:p>
      <w:pPr>
        <w:pStyle w:val="P68B1DB1Normal76"/>
        <w:widowControl w:val="false"/>
        <w:spacing w:lineRule="auto" w:line="240" w:before="91" w:after="0"/>
        <w:ind w:left="0" w:right="2" w:hanging="0"/>
        <w:jc w:val="both"/>
        <w:rPr/>
      </w:pPr>
      <w:r>
        <w:rPr/>
        <w:t xml:space="preserve">За да се преодолее икономическата логика на миналия век, е необходимо също така да се преразгледат правилата и процедурите, които управляват бизнес дейностите. Има четири препоръки в този смисъл, всички от които отговарят на една обща логика: от една страна, опростяването на правилата и, от друга страна, поддържането на висока степен на бдителност срещу нарушенията (по-специално по отношение на фалшифицирането и нелоялната конкуренция). </w:t>
      </w:r>
    </w:p>
    <w:p>
      <w:pPr>
        <w:pStyle w:val="P68B1DB1Normal76"/>
        <w:widowControl w:val="false"/>
        <w:spacing w:lineRule="auto" w:line="240" w:before="15" w:after="0"/>
        <w:ind w:left="0" w:right="2" w:hanging="0"/>
        <w:jc w:val="both"/>
        <w:rPr/>
      </w:pPr>
      <w:r>
        <w:rPr/>
        <w:t xml:space="preserve">Обръща се голямо внимание на необходимостта от икономически правила, които са предимно генеративни, намалявайки във възможно най-голяма степен избора, който изисква стандартизация на производствените процеси (заплашаващи специфични местни производства с дълбоки културни корени), но също така и унищожаването на селскостопанските стоки поради необходимостта да се поддържат предварително определени количества от производството. </w:t>
      </w:r>
    </w:p>
    <w:p>
      <w:pPr>
        <w:pStyle w:val="P68B1DB1Normal83"/>
        <w:widowControl w:val="false"/>
        <w:spacing w:lineRule="auto" w:line="240" w:before="6" w:after="0"/>
        <w:ind w:left="4819" w:right="0" w:hanging="0"/>
        <w:jc w:val="left"/>
        <w:rPr>
          <w:rFonts w:ascii="Arial" w:hAnsi="Arial"/>
          <w:b/>
          <w:b/>
          <w:color w:val="2E74B5"/>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ПРЕПОРЪКИ НАКРАТКО </w:t>
      </w:r>
    </w:p>
    <w:p>
      <w:pPr>
        <w:pStyle w:val="P68B1DB1Normal84"/>
        <w:widowControl w:val="false"/>
        <w:spacing w:lineRule="auto" w:line="240" w:before="72" w:after="0"/>
        <w:ind w:left="142" w:right="0" w:hanging="0"/>
        <w:jc w:val="left"/>
        <w:rPr/>
      </w:pPr>
      <w:r>
        <w:rPr>
          <w:color w:val="BD1271"/>
        </w:rPr>
        <w:t xml:space="preserve">1. </w:t>
      </w:r>
      <w:r>
        <w:rPr>
          <w:color w:val="000000"/>
        </w:rPr>
        <w:t>Намаляване на бюрокрацията (разрешения, сертификати).</w:t>
      </w:r>
    </w:p>
    <w:p>
      <w:pPr>
        <w:pStyle w:val="P68B1DB1Normal84"/>
        <w:widowControl w:val="false"/>
        <w:spacing w:lineRule="auto" w:line="240"/>
        <w:ind w:left="142" w:right="0" w:hanging="0"/>
        <w:jc w:val="left"/>
        <w:rPr/>
      </w:pPr>
      <w:r>
        <w:rPr>
          <w:color w:val="BD1271"/>
        </w:rPr>
        <w:t xml:space="preserve">2. </w:t>
      </w:r>
      <w:r>
        <w:rPr>
          <w:color w:val="000000"/>
        </w:rPr>
        <w:t>Намаляване на стандартизацията на продуктите и признаване на местните и регионалните особености по отношение на културата и производството (зачитане на производствените традиции).</w:t>
      </w:r>
    </w:p>
    <w:p>
      <w:pPr>
        <w:pStyle w:val="P68B1DB1Normal84"/>
        <w:widowControl w:val="false"/>
        <w:spacing w:lineRule="auto" w:line="240"/>
        <w:ind w:left="142" w:right="417" w:hanging="0"/>
        <w:jc w:val="left"/>
        <w:rPr/>
      </w:pPr>
      <w:r>
        <w:rPr>
          <w:color w:val="BD1271"/>
        </w:rPr>
        <w:t xml:space="preserve">3. </w:t>
      </w:r>
      <w:r>
        <w:rPr>
          <w:color w:val="000000"/>
        </w:rPr>
        <w:t>Превишаване на логиката на квотите в селскостопанското производство и произтичащото от това унищожаване на излишната продукция.</w:t>
      </w:r>
    </w:p>
    <w:p>
      <w:pPr>
        <w:pStyle w:val="P68B1DB1Normal84"/>
        <w:widowControl w:val="false"/>
        <w:spacing w:lineRule="auto" w:line="240"/>
        <w:ind w:left="142" w:right="0" w:hanging="0"/>
        <w:jc w:val="left"/>
        <w:rPr/>
      </w:pPr>
      <w:r>
        <w:rPr>
          <w:color w:val="BD1271"/>
        </w:rPr>
        <w:t xml:space="preserve">4. </w:t>
      </w:r>
      <w:r>
        <w:rPr>
          <w:color w:val="000000"/>
        </w:rPr>
        <w:t>Борба срещу фалшифицирането и нелоялната конкуренция.</w:t>
      </w:r>
    </w:p>
    <w:p>
      <w:pPr>
        <w:pStyle w:val="P68B1DB1Normal86"/>
        <w:widowControl w:val="false"/>
        <w:spacing w:lineRule="auto" w:line="240"/>
        <w:ind w:left="0" w:right="0" w:hanging="0"/>
        <w:jc w:val="left"/>
        <w:rPr>
          <w:rFonts w:ascii="Arial" w:hAnsi="Arial"/>
          <w:color w:val="2E74B5"/>
          <w:sz w:val="28"/>
        </w:rPr>
      </w:pPr>
      <w:r>
        <w:rPr/>
        <w:t xml:space="preserve"> </w:t>
      </w:r>
    </w:p>
    <w:p>
      <w:pPr>
        <w:pStyle w:val="P68B1DB1Titre487"/>
        <w:numPr>
          <w:ilvl w:val="0"/>
          <w:numId w:val="2"/>
        </w:numPr>
        <w:rPr>
          <w:sz w:val="24"/>
        </w:rPr>
      </w:pPr>
      <w:bookmarkStart w:id="224" w:name="__RefHeading___Toc300432_1346298689"/>
      <w:bookmarkEnd w:id="224"/>
      <w:r>
        <w:rPr/>
        <w:t xml:space="preserve">3. Измерване на растежа спрямо щастието в населението, а не спрямо количеството на продуктите </w:t>
      </w:r>
    </w:p>
    <w:p>
      <w:pPr>
        <w:pStyle w:val="P68B1DB1Normal76"/>
        <w:widowControl w:val="false"/>
        <w:spacing w:lineRule="auto" w:line="240" w:before="88" w:after="0"/>
        <w:ind w:left="0" w:right="0" w:hanging="0"/>
        <w:jc w:val="both"/>
        <w:rPr/>
      </w:pPr>
      <w:r>
        <w:rPr/>
        <w:t xml:space="preserve">Надхвърлянето на производствения модел от миналия век означава не само промяна на методите на производство, но и развитие на нова култура, в която показателите за растеж са фокусирани не само върху количеството произведени стоки, но и върху способността да се гарантира на гражданите цел за щастие. В тази нова икономика стоките не могат да бъдат в центъра на съображенията по отношение на въздействието и инвестициите, но това място трябва да се върне на хората. Това включва преминаване от система от показатели, основаващи се на количеството на произведените стоки (БВП), към система, способна да измерва благосъстоянието, произведено за хората (БИБ — брутно вътрешно щастие). </w:t>
      </w:r>
    </w:p>
    <w:p>
      <w:pPr>
        <w:pStyle w:val="P68B1DB1Normal83"/>
        <w:widowControl w:val="false"/>
        <w:spacing w:lineRule="auto" w:line="240" w:before="8" w:after="0"/>
        <w:ind w:left="4819" w:right="0" w:hanging="0"/>
        <w:jc w:val="left"/>
        <w:rPr>
          <w:rFonts w:ascii="Arial" w:hAnsi="Arial"/>
          <w:b/>
          <w:b/>
          <w:color w:val="2E74B5"/>
          <w:sz w:val="24"/>
        </w:rPr>
      </w:pPr>
      <w:r>
        <w:rPr/>
        <w:t xml:space="preserve"> </w:t>
      </w:r>
    </w:p>
    <w:p>
      <w:pPr>
        <w:pStyle w:val="P68B1DB1Normal83"/>
        <w:widowControl w:val="false"/>
        <w:spacing w:lineRule="auto" w:line="240" w:before="69" w:after="0"/>
        <w:ind w:left="3079" w:right="0" w:hanging="0"/>
        <w:jc w:val="left"/>
        <w:rPr>
          <w:rFonts w:ascii="Arial" w:hAnsi="Arial"/>
          <w:b/>
          <w:b/>
          <w:color w:val="2E74B5"/>
          <w:sz w:val="24"/>
        </w:rPr>
      </w:pPr>
      <w:r>
        <w:rPr/>
        <w:t xml:space="preserve">ПРЕПОРЪКА НАКРАТКО </w:t>
      </w:r>
    </w:p>
    <w:p>
      <w:pPr>
        <w:pStyle w:val="P68B1DB1Normal84"/>
        <w:widowControl w:val="false"/>
        <w:spacing w:lineRule="auto" w:line="240" w:before="69" w:after="0"/>
        <w:ind w:left="142" w:right="0" w:hanging="0"/>
        <w:jc w:val="left"/>
        <w:rPr/>
      </w:pPr>
      <w:r>
        <w:rPr>
          <w:color w:val="BD1271"/>
        </w:rPr>
        <w:t xml:space="preserve">1. </w:t>
      </w:r>
      <w:r>
        <w:rPr>
          <w:color w:val="000000"/>
        </w:rPr>
        <w:t>Развитие на икономика, която е по-фокусирана върху производството на щастие (брутно вътрешно щастие), отколкото върху стоки (брутен вътрешен продукт).</w:t>
      </w:r>
    </w:p>
    <w:p>
      <w:pPr>
        <w:pStyle w:val="Normal"/>
        <w:widowControl w:val="false"/>
        <w:spacing w:lineRule="exact" w:line="460"/>
        <w:ind w:left="0" w:right="0" w:hanging="0"/>
        <w:jc w:val="left"/>
        <w:rPr>
          <w:rFonts w:ascii="Arial" w:hAnsi="Arial"/>
          <w:color w:val="000000"/>
          <w:sz w:val="28"/>
        </w:rPr>
      </w:pPr>
      <w:r>
        <w:rPr>
          <w:color w:val="000000"/>
          <w:sz w:val="28"/>
        </w:rPr>
      </w:r>
      <w:r>
        <w:br w:type="page"/>
      </w:r>
    </w:p>
    <w:p>
      <w:pPr>
        <w:pStyle w:val="P68B1DB1Titre481"/>
        <w:numPr>
          <w:ilvl w:val="0"/>
          <w:numId w:val="2"/>
        </w:numPr>
        <w:rPr>
          <w:color w:val="0066B3"/>
        </w:rPr>
      </w:pPr>
      <w:bookmarkStart w:id="225" w:name="__RefHeading___Toc300434_1346298689"/>
      <w:bookmarkEnd w:id="225"/>
      <w:r>
        <w:rPr/>
        <w:t xml:space="preserve">4. По-голяма интеграция между държавите </w:t>
      </w:r>
    </w:p>
    <w:p>
      <w:pPr>
        <w:pStyle w:val="P68B1DB1Normal76"/>
        <w:widowControl w:val="false"/>
        <w:spacing w:lineRule="auto" w:line="240" w:before="49" w:after="0"/>
        <w:ind w:left="0" w:right="0" w:hanging="0"/>
        <w:jc w:val="both"/>
        <w:rPr/>
      </w:pPr>
      <w:r>
        <w:rPr/>
        <w:t xml:space="preserve">Това, което е ясно за всички, дори сред онези, които са по-малко доволни от настоящата организация и от постигнатите до момента резултати от Европейския съюз, е, че паричният съюз не е достатъчен и че Европа трябва да може да се развива с все по-голяма сила като последователна политическа единица, способна да води преговори с един глас отвън и да действа с по-голяма вътрешна солидарност. По-силният съюз е съществен аспект от укрепването на политическата, търговската и продуктивната сила на Европейския съюз: хомогенността на основните закони, както и интегрирана и съгласувана система за данъчно облагане на предприятията и гражданите, в която възнагражденията и услугите за гражданите са приведени в съответствие. Само по този начин ще имаме Европа, която може да намали социалните различия и да насърчи качеството на живот. </w:t>
      </w:r>
    </w:p>
    <w:p>
      <w:pPr>
        <w:pStyle w:val="P68B1DB1Normal76"/>
        <w:widowControl w:val="false"/>
        <w:spacing w:lineRule="auto" w:line="240" w:before="1" w:after="0"/>
        <w:ind w:left="0" w:right="2" w:hanging="0"/>
        <w:jc w:val="both"/>
        <w:rPr/>
      </w:pPr>
      <w:r>
        <w:rPr/>
        <w:t xml:space="preserve">Това означава да не се връщаме назад към постиженията от последните години и да запазим концепцията за социална държава, която участниците в панела определиха като най-напредналите в света и най-загрижени за осигуряването на равни възможности и социална справедливост за своите граждани. </w:t>
      </w:r>
    </w:p>
    <w:p>
      <w:pPr>
        <w:pStyle w:val="P68B1DB1Normal83"/>
        <w:widowControl w:val="false"/>
        <w:spacing w:lineRule="auto" w:line="240" w:before="72" w:after="0"/>
        <w:ind w:left="3000" w:right="0" w:hanging="0"/>
        <w:jc w:val="left"/>
        <w:rPr>
          <w:rFonts w:ascii="Arial" w:hAnsi="Arial"/>
          <w:b/>
          <w:b/>
          <w:color w:val="2E74B5"/>
          <w:sz w:val="24"/>
        </w:rPr>
      </w:pPr>
      <w:r>
        <w:rPr/>
        <w:t xml:space="preserve">ПРЕПОРЪКИ НАКРАТКО </w:t>
      </w:r>
    </w:p>
    <w:p>
      <w:pPr>
        <w:pStyle w:val="P68B1DB1Normal84"/>
        <w:widowControl w:val="false"/>
        <w:spacing w:lineRule="auto" w:line="240" w:before="69" w:after="0"/>
        <w:ind w:left="283" w:right="0" w:hanging="0"/>
        <w:jc w:val="left"/>
        <w:rPr/>
      </w:pPr>
      <w:r>
        <w:rPr>
          <w:color w:val="BD1271"/>
        </w:rPr>
        <w:t xml:space="preserve">1. </w:t>
      </w:r>
      <w:r>
        <w:rPr>
          <w:color w:val="000000"/>
        </w:rPr>
        <w:t>Не правете компромиси по отношение на социалните права (обществено здравеопазване, обществено образование, политики в областта на труда).</w:t>
      </w:r>
    </w:p>
    <w:p>
      <w:pPr>
        <w:pStyle w:val="P68B1DB1Normal84"/>
        <w:widowControl w:val="false"/>
        <w:spacing w:lineRule="auto" w:line="240"/>
        <w:ind w:left="283" w:right="0" w:hanging="0"/>
        <w:jc w:val="left"/>
        <w:rPr/>
      </w:pPr>
      <w:r>
        <w:rPr>
          <w:color w:val="BD1271"/>
        </w:rPr>
        <w:t xml:space="preserve">2. </w:t>
      </w:r>
      <w:r>
        <w:rPr>
          <w:color w:val="000000"/>
        </w:rPr>
        <w:t>Консолидиране на направеното по отношение на единната валута и взаимосвързаността на платежните системи и телекомуникациите.</w:t>
      </w:r>
    </w:p>
    <w:p>
      <w:pPr>
        <w:pStyle w:val="P68B1DB1Normal88"/>
        <w:widowControl w:val="false"/>
        <w:spacing w:lineRule="auto" w:line="240"/>
        <w:ind w:left="0" w:right="0" w:hanging="0"/>
        <w:jc w:val="left"/>
        <w:rPr>
          <w:rFonts w:ascii="Arial" w:hAnsi="Arial"/>
          <w:color w:val="000000"/>
          <w:sz w:val="18"/>
        </w:rPr>
      </w:pPr>
      <w:r>
        <w:rPr/>
        <w:t xml:space="preserve"> </w:t>
      </w:r>
    </w:p>
    <w:p>
      <w:pPr>
        <w:pStyle w:val="P68B1DB1Normal76"/>
        <w:widowControl w:val="false"/>
        <w:spacing w:lineRule="auto" w:line="240" w:before="57" w:after="0"/>
        <w:ind w:left="0" w:right="0" w:hanging="0"/>
        <w:jc w:val="both"/>
        <w:rPr/>
      </w:pPr>
      <w:r>
        <w:rPr/>
        <w:t xml:space="preserve">Днес обаче всичко, което беше направено в миналото, вече не изглежда достатъчно и Европа на бъдещето трябва да направи решителен скок напред по отношение на интеграцията между държавите членки съгласно вътрешна визия, която вече не се основава на конкуренцията, а на сътрудничеството, като гарантира, че всеки европейски гражданин може да има едни и същи системи от гаранции и възможности във всички държави — членки на Съюза. </w:t>
      </w:r>
    </w:p>
    <w:p>
      <w:pPr>
        <w:pStyle w:val="P68B1DB1Normal34"/>
        <w:widowControl w:val="false"/>
        <w:spacing w:lineRule="auto" w:line="240" w:before="3" w:after="0"/>
        <w:ind w:left="0" w:right="0" w:hanging="0"/>
        <w:jc w:val="left"/>
        <w:rPr>
          <w:rFonts w:ascii="Arial" w:hAnsi="Arial"/>
          <w:color w:val="000000"/>
          <w:sz w:val="24"/>
        </w:rPr>
      </w:pPr>
      <w:r>
        <w:rPr/>
        <w:t xml:space="preserve"> </w:t>
      </w:r>
    </w:p>
    <w:p>
      <w:pPr>
        <w:pStyle w:val="P68B1DB1Normal83"/>
        <w:widowControl w:val="false"/>
        <w:spacing w:lineRule="auto" w:line="240" w:before="81" w:after="0"/>
        <w:ind w:left="3000" w:right="0" w:hanging="0"/>
        <w:jc w:val="left"/>
        <w:rPr>
          <w:rFonts w:ascii="Arial" w:hAnsi="Arial"/>
          <w:b/>
          <w:b/>
          <w:color w:val="2E74B5"/>
          <w:sz w:val="24"/>
        </w:rPr>
      </w:pPr>
      <w:r>
        <w:rPr/>
        <w:t xml:space="preserve">ПРЕПОРЪКИ НАКРАТКО </w:t>
      </w:r>
    </w:p>
    <w:p>
      <w:pPr>
        <w:pStyle w:val="P68B1DB1Normal84"/>
        <w:widowControl w:val="false"/>
        <w:spacing w:lineRule="auto" w:line="240" w:before="72" w:after="0"/>
        <w:ind w:left="283" w:right="0" w:hanging="0"/>
        <w:jc w:val="left"/>
        <w:rPr/>
      </w:pPr>
      <w:r>
        <w:rPr>
          <w:color w:val="BD1271"/>
        </w:rPr>
        <w:t xml:space="preserve">1. </w:t>
      </w:r>
      <w:r>
        <w:rPr>
          <w:color w:val="000000"/>
        </w:rPr>
        <w:t>Преминете отвъд егоизма на държавите и тенденцията да се търсят индивидуални ползи за сметка на другите.</w:t>
      </w:r>
    </w:p>
    <w:p>
      <w:pPr>
        <w:pStyle w:val="P68B1DB1Normal84"/>
        <w:widowControl w:val="false"/>
        <w:spacing w:lineRule="auto" w:line="240"/>
        <w:ind w:left="283" w:right="0" w:hanging="0"/>
        <w:jc w:val="left"/>
        <w:rPr/>
      </w:pPr>
      <w:r>
        <w:rPr>
          <w:color w:val="BD1271"/>
        </w:rPr>
        <w:t xml:space="preserve">2. </w:t>
      </w:r>
      <w:r>
        <w:rPr>
          <w:color w:val="000000"/>
        </w:rPr>
        <w:t>Създаване на система с едни и същи закони, данъчни системи, права и задължения във всички страни.</w:t>
      </w:r>
    </w:p>
    <w:p>
      <w:pPr>
        <w:pStyle w:val="P68B1DB1Normal84"/>
        <w:widowControl w:val="false"/>
        <w:spacing w:lineRule="auto" w:line="240"/>
        <w:ind w:left="283" w:right="0" w:hanging="0"/>
        <w:jc w:val="left"/>
        <w:rPr/>
      </w:pPr>
      <w:r>
        <w:rPr>
          <w:color w:val="BD1271"/>
        </w:rPr>
        <w:t xml:space="preserve">3. </w:t>
      </w:r>
      <w:r>
        <w:rPr>
          <w:color w:val="000000"/>
        </w:rPr>
        <w:t>Координирани данъчни режими между различните държави, по-специално по отношение на предприятията (без свободни зони или ниско данъчно облагане).</w:t>
      </w:r>
    </w:p>
    <w:p>
      <w:pPr>
        <w:pStyle w:val="P68B1DB1Normal84"/>
        <w:widowControl w:val="false"/>
        <w:spacing w:lineRule="auto" w:line="240"/>
        <w:ind w:left="283" w:right="416" w:hanging="0"/>
        <w:jc w:val="left"/>
        <w:rPr/>
      </w:pPr>
      <w:r>
        <w:rPr>
          <w:color w:val="BD1271"/>
        </w:rPr>
        <w:t xml:space="preserve">4. </w:t>
      </w:r>
      <w:r>
        <w:rPr>
          <w:color w:val="000000"/>
        </w:rPr>
        <w:t>Еднакви цени на продуктите и гарантиране на еднаква покупателна способност между различните държави.</w:t>
      </w:r>
    </w:p>
    <w:p>
      <w:pPr>
        <w:pStyle w:val="P68B1DB1Normal84"/>
        <w:widowControl w:val="false"/>
        <w:spacing w:lineRule="auto" w:line="240"/>
        <w:ind w:left="283" w:right="416" w:hanging="0"/>
        <w:jc w:val="left"/>
        <w:rPr/>
      </w:pPr>
      <w:r>
        <w:rPr>
          <w:color w:val="BD1271"/>
        </w:rPr>
        <w:t xml:space="preserve">5. </w:t>
      </w:r>
      <w:r>
        <w:rPr>
          <w:color w:val="000000"/>
        </w:rPr>
        <w:t>Намаляване на разликите в заплащането между различните държави и географски региони в рамките на една и съща държава.</w:t>
      </w:r>
    </w:p>
    <w:p>
      <w:pPr>
        <w:pStyle w:val="P68B1DB1Normal84"/>
        <w:widowControl w:val="false"/>
        <w:spacing w:lineRule="auto" w:line="240"/>
        <w:ind w:left="283" w:right="416" w:hanging="0"/>
        <w:jc w:val="left"/>
        <w:rPr/>
      </w:pPr>
      <w:r>
        <w:rPr>
          <w:color w:val="BD1271"/>
        </w:rPr>
        <w:t xml:space="preserve">6. </w:t>
      </w:r>
      <w:r>
        <w:rPr>
          <w:color w:val="000000"/>
        </w:rPr>
        <w:t>Да превърне публичния дълг на няколко държави членки в обща отговорност.</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Titre481"/>
        <w:numPr>
          <w:ilvl w:val="0"/>
          <w:numId w:val="2"/>
        </w:numPr>
        <w:rPr>
          <w:color w:val="0066B3"/>
        </w:rPr>
      </w:pPr>
      <w:bookmarkStart w:id="226" w:name="__RefHeading___Toc300436_1346298689"/>
      <w:bookmarkEnd w:id="226"/>
      <w:r>
        <w:rPr/>
        <w:t xml:space="preserve">5. Политики за приобщаване </w:t>
      </w:r>
    </w:p>
    <w:p>
      <w:pPr>
        <w:pStyle w:val="P68B1DB1Normal76"/>
        <w:widowControl w:val="false"/>
        <w:spacing w:lineRule="auto" w:line="240" w:before="88" w:after="0"/>
        <w:ind w:left="0" w:right="0" w:hanging="0"/>
        <w:jc w:val="both"/>
        <w:rPr/>
      </w:pPr>
      <w:r>
        <w:rPr/>
        <w:t xml:space="preserve">Справедлива Европа, способна да предлага щастие на своите граждани, е приобщаваща Европа, която винаги обръща голямо внимание на борбата срещу неравенството. Препоръките определят пътя напред за постигане на дългогодишни цели (като равенството между половете) и определят нови изисквания, свързани с културните трансформации на съвременните общества (цифрово неравенство и правото на живот в здравословна околна среда). </w:t>
      </w:r>
    </w:p>
    <w:p>
      <w:pPr>
        <w:pStyle w:val="P68B1DB1Normal89"/>
        <w:widowControl w:val="false"/>
        <w:spacing w:lineRule="auto" w:line="240" w:before="74" w:after="0"/>
        <w:ind w:left="4819" w:right="0" w:hanging="0"/>
        <w:jc w:val="left"/>
        <w:rPr>
          <w:rFonts w:ascii="Arial" w:hAnsi="Arial"/>
          <w:b/>
          <w:b/>
          <w:color w:val="BD1271"/>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ПРЕПОРЪКИ НАКРАТКО </w:t>
      </w:r>
    </w:p>
    <w:p>
      <w:pPr>
        <w:pStyle w:val="P68B1DB1Normal84"/>
        <w:widowControl w:val="false"/>
        <w:spacing w:lineRule="auto" w:line="240" w:before="69" w:after="0"/>
        <w:ind w:left="283" w:right="0" w:hanging="0"/>
        <w:jc w:val="left"/>
        <w:rPr/>
      </w:pPr>
      <w:r>
        <w:rPr>
          <w:color w:val="BD1271"/>
        </w:rPr>
        <w:t xml:space="preserve">1. </w:t>
      </w:r>
      <w:r>
        <w:rPr>
          <w:color w:val="000000"/>
        </w:rPr>
        <w:t>Постигане на пълно равенство между половете, включително чрез укрепване на родителския отпуск по бащинство и детските заведения.</w:t>
      </w:r>
    </w:p>
    <w:p>
      <w:pPr>
        <w:pStyle w:val="P68B1DB1Normal84"/>
        <w:widowControl w:val="false"/>
        <w:spacing w:lineRule="auto" w:line="240"/>
        <w:ind w:left="283" w:right="0" w:hanging="0"/>
        <w:jc w:val="left"/>
        <w:rPr/>
      </w:pPr>
      <w:r>
        <w:rPr>
          <w:color w:val="BD1271"/>
        </w:rPr>
        <w:t xml:space="preserve">2. </w:t>
      </w:r>
      <w:r>
        <w:rPr>
          <w:color w:val="000000"/>
        </w:rPr>
        <w:t>Преодоляване на цифровото неравенство.</w:t>
      </w:r>
    </w:p>
    <w:p>
      <w:pPr>
        <w:pStyle w:val="P68B1DB1Normal84"/>
        <w:widowControl w:val="false"/>
        <w:spacing w:lineRule="auto" w:line="240"/>
        <w:ind w:left="283" w:right="0" w:hanging="0"/>
        <w:jc w:val="left"/>
        <w:rPr/>
      </w:pPr>
      <w:r>
        <w:rPr>
          <w:color w:val="BD1271"/>
        </w:rPr>
        <w:t xml:space="preserve">3. </w:t>
      </w:r>
      <w:r>
        <w:rPr>
          <w:color w:val="000000"/>
        </w:rPr>
        <w:t>Да се гарантира, че всички европейски граждани могат да живеят в здравословна и устойчива околна среда.</w:t>
      </w:r>
    </w:p>
    <w:p>
      <w:pPr>
        <w:pStyle w:val="P68B1DB1Normal84"/>
        <w:widowControl w:val="false"/>
        <w:spacing w:lineRule="auto" w:line="240"/>
        <w:ind w:left="283" w:right="0" w:hanging="0"/>
        <w:jc w:val="left"/>
        <w:rPr/>
      </w:pPr>
      <w:r>
        <w:rPr>
          <w:color w:val="BD1271"/>
        </w:rPr>
        <w:t xml:space="preserve">4. </w:t>
      </w:r>
      <w:r>
        <w:rPr>
          <w:color w:val="000000"/>
        </w:rPr>
        <w:t>Осигуряване на възможности за социална мобилност и следователно имат всички възможности за личностно развитие и самоопределение</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5. </w:t>
      </w:r>
      <w:r>
        <w:rPr>
          <w:color w:val="000000"/>
        </w:rPr>
        <w:t>Насърчаване на обновяването на поколенията на всички равнища</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6. </w:t>
      </w:r>
      <w:r>
        <w:rPr>
          <w:color w:val="000000"/>
        </w:rPr>
        <w:t>Управление на приемането на бежанци и мигранти по балансиран начин между различните държави.</w:t>
      </w:r>
    </w:p>
    <w:p>
      <w:pPr>
        <w:pStyle w:val="P68B1DB1Normal76"/>
        <w:widowControl w:val="false"/>
        <w:spacing w:lineRule="auto" w:line="240" w:before="106" w:after="0"/>
        <w:ind w:left="0" w:right="0" w:hanging="0"/>
        <w:jc w:val="both"/>
        <w:rPr/>
      </w:pPr>
      <w:r>
        <w:rPr/>
        <w:t xml:space="preserve">За пореден път ролята на училищата и образователните политики изглежда централна, не само за да предоставят на младите хора уменията, от които се нуждаят, за да навлязат на пазара на труда, но и да изградят европейска култура. След изграждането на Европа на институциите е от съществено значение да се изгради Европа на народите. Във връзка с това се поставя акцент върху централното значение на общия език, за да се даде възможност за диалог между гражданите на различни държави и равен достъп до услуги. Тъй като мечтата на Есперанто се срина, излизането на Обединеното кралство от Европейския съюз породи съмнения относно възможността за приемане на английски като общ език, ключов език на международните отношения и в рамките на научната и икономическата система. </w:t>
      </w:r>
    </w:p>
    <w:p>
      <w:pPr>
        <w:pStyle w:val="P68B1DB1Normal90"/>
        <w:widowControl w:val="false"/>
        <w:spacing w:lineRule="auto" w:line="240" w:before="86" w:after="0"/>
        <w:ind w:left="0" w:right="0" w:hanging="0"/>
        <w:jc w:val="left"/>
        <w:rPr>
          <w:rFonts w:ascii="Arial" w:hAnsi="Arial"/>
          <w:color w:val="000000"/>
          <w:sz w:val="16"/>
        </w:rPr>
      </w:pPr>
      <w:r>
        <w:rPr/>
        <w:t xml:space="preserve"> </w:t>
      </w:r>
    </w:p>
    <w:p>
      <w:pPr>
        <w:pStyle w:val="P68B1DB1Normal83"/>
        <w:widowControl w:val="false"/>
        <w:spacing w:lineRule="auto" w:line="240" w:before="45" w:after="0"/>
        <w:ind w:left="3142" w:right="0" w:hanging="0"/>
        <w:jc w:val="left"/>
        <w:rPr>
          <w:rFonts w:ascii="Arial" w:hAnsi="Arial"/>
          <w:b/>
          <w:b/>
          <w:color w:val="2E74B5"/>
          <w:sz w:val="24"/>
        </w:rPr>
      </w:pPr>
      <w:r>
        <w:rPr/>
        <w:t xml:space="preserve">ПРЕПОРЪКИ НАКРАТКО </w:t>
      </w:r>
    </w:p>
    <w:p>
      <w:pPr>
        <w:pStyle w:val="P68B1DB1Normal84"/>
        <w:widowControl w:val="false"/>
        <w:spacing w:lineRule="auto" w:line="240" w:before="72" w:after="0"/>
        <w:ind w:left="283" w:right="0" w:hanging="0"/>
        <w:jc w:val="left"/>
        <w:rPr/>
      </w:pPr>
      <w:r>
        <w:rPr>
          <w:color w:val="BD1271"/>
        </w:rPr>
        <w:t xml:space="preserve">1. </w:t>
      </w:r>
      <w:r>
        <w:rPr>
          <w:color w:val="000000"/>
        </w:rPr>
        <w:t>Насърчаване на приемането на общ език.</w:t>
      </w:r>
    </w:p>
    <w:p>
      <w:pPr>
        <w:pStyle w:val="P68B1DB1Normal84"/>
        <w:widowControl w:val="false"/>
        <w:spacing w:lineRule="auto" w:line="240"/>
        <w:ind w:left="283" w:right="0" w:hanging="0"/>
        <w:jc w:val="left"/>
        <w:rPr/>
      </w:pPr>
      <w:r>
        <w:rPr>
          <w:color w:val="BD1271"/>
        </w:rPr>
        <w:t xml:space="preserve">2. </w:t>
      </w:r>
      <w:r>
        <w:rPr>
          <w:color w:val="000000"/>
        </w:rPr>
        <w:t>Инвестирайте в училищата и преподаването на европейската история, а не във всяка нация, както и в преподаването на политическа икономия и гражданско образование.</w:t>
      </w:r>
    </w:p>
    <w:p>
      <w:pPr>
        <w:pStyle w:val="P68B1DB1Normal84"/>
        <w:widowControl w:val="false"/>
        <w:spacing w:lineRule="auto" w:line="240"/>
        <w:ind w:left="283" w:right="417" w:hanging="0"/>
        <w:jc w:val="left"/>
        <w:rPr/>
      </w:pPr>
      <w:r>
        <w:rPr>
          <w:color w:val="BD1271"/>
        </w:rPr>
        <w:t xml:space="preserve">3. </w:t>
      </w:r>
      <w:r>
        <w:rPr>
          <w:color w:val="000000"/>
        </w:rPr>
        <w:t>Достъп до култура, образование и обмен между студенти и граждани на различни държави членки.</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76"/>
        <w:widowControl w:val="false"/>
        <w:spacing w:lineRule="auto" w:line="240" w:before="109" w:after="0"/>
        <w:ind w:left="0" w:right="0" w:hanging="0"/>
        <w:jc w:val="both"/>
        <w:rPr/>
      </w:pPr>
      <w:r>
        <w:rPr/>
        <w:t xml:space="preserve">Политиките за приобщаване играят ключова роля за гарантиране на достъпа на гражданите до възможности. Във връзка с това участниците в панела подчертаха, че Италия често не е в състояние да използва средствата от ЕС, предоставени за тази цел. Приобщаването и достъпността означават, че европейските институции трябва да бъдат по-близо до своите граждани и тези понятия вървят ръка за ръка с повече информация и осведоменост относно правата, с които се ползват европейските граждани като такива. От тази гледна точка се появи значението на пряката връзка между институциите на ЕС и гражданите, без непременно да се налага държавите членки да бъдат подпомагани от тях.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ПРЕПОРЪКИ НАКРАТКО</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Насърчаване на използването на средства от ЕС за намаляване на неравенствата</w:t>
      </w:r>
      <w:r>
        <w:rPr>
          <w:color w:val="FF0000"/>
        </w:rPr>
        <w:t>.</w:t>
      </w:r>
      <w:r>
        <w:rPr>
          <w:color w:val="000000"/>
        </w:rPr>
        <w:t xml:space="preserve"> </w:t>
      </w:r>
    </w:p>
    <w:p>
      <w:pPr>
        <w:pStyle w:val="P68B1DB1Normal84"/>
        <w:widowControl w:val="false"/>
        <w:spacing w:lineRule="auto" w:line="240"/>
        <w:ind w:left="283" w:right="416" w:hanging="0"/>
        <w:jc w:val="left"/>
        <w:rPr/>
      </w:pPr>
      <w:r>
        <w:rPr>
          <w:color w:val="BD1271"/>
        </w:rPr>
        <w:t xml:space="preserve">2. </w:t>
      </w:r>
      <w:r>
        <w:rPr>
          <w:color w:val="000000"/>
        </w:rPr>
        <w:t>Достъпност и близост на европейските институции до гражданите.</w:t>
      </w:r>
    </w:p>
    <w:p>
      <w:pPr>
        <w:pStyle w:val="P68B1DB1Normal84"/>
        <w:widowControl w:val="false"/>
        <w:spacing w:lineRule="auto" w:line="240"/>
        <w:ind w:left="283" w:right="416" w:hanging="0"/>
        <w:jc w:val="left"/>
        <w:rPr/>
      </w:pPr>
      <w:r>
        <w:rPr>
          <w:color w:val="BD1271"/>
        </w:rPr>
        <w:t xml:space="preserve">3. </w:t>
      </w:r>
      <w:r>
        <w:rPr>
          <w:color w:val="000000"/>
        </w:rPr>
        <w:t>Ясно осведомяване на гражданите за техните права и възможности и насърчаване на прекия достъп на гражданите до тях.</w:t>
      </w:r>
    </w:p>
    <w:p>
      <w:pPr>
        <w:pStyle w:val="P68B1DB1Normal91"/>
        <w:widowControl w:val="false"/>
        <w:spacing w:lineRule="auto" w:line="240"/>
        <w:ind w:left="0" w:right="0" w:hanging="0"/>
        <w:jc w:val="left"/>
        <w:rPr>
          <w:rFonts w:ascii="Arial" w:hAnsi="Arial"/>
          <w:color w:val="000000"/>
          <w:sz w:val="28"/>
        </w:rPr>
      </w:pPr>
      <w:r>
        <w:rPr/>
        <w:t xml:space="preserve"> </w:t>
      </w:r>
    </w:p>
    <w:p>
      <w:pPr>
        <w:pStyle w:val="P68B1DB1Titre481"/>
        <w:numPr>
          <w:ilvl w:val="0"/>
          <w:numId w:val="2"/>
        </w:numPr>
        <w:rPr>
          <w:color w:val="0066B3"/>
        </w:rPr>
      </w:pPr>
      <w:bookmarkStart w:id="227" w:name="__RefHeading___Toc300438_1346298689"/>
      <w:bookmarkEnd w:id="227"/>
      <w:r>
        <w:rPr/>
        <w:t xml:space="preserve">6. Заетост </w:t>
      </w:r>
    </w:p>
    <w:p>
      <w:pPr>
        <w:pStyle w:val="Normal"/>
        <w:widowControl w:val="false"/>
        <w:spacing w:lineRule="auto" w:line="240" w:before="97" w:after="0"/>
        <w:ind w:left="0" w:right="1" w:hanging="0"/>
        <w:jc w:val="both"/>
        <w:rPr/>
      </w:pPr>
      <w:r>
        <w:rPr>
          <w:color w:val="000000"/>
        </w:rPr>
        <w:t xml:space="preserve">Въпросът за заетостта постоянно се очертава като хоризонтален елемент и пряк ефект от способността на Европейския съюз да отговори на неговите препоръки. По време на дебата </w:t>
      </w:r>
      <w:r>
        <w:rPr>
          <w:color w:val="FF0000"/>
        </w:rPr>
        <w:t>между</w:t>
      </w:r>
      <w:r>
        <w:rPr>
          <w:color w:val="000000"/>
        </w:rPr>
        <w:t xml:space="preserve"> участниците беше ясно, че въпросът за заетостта е в основата на живота на гражданите, но върви ръка за ръка с укрепването на въпросите на икономическата и социалната справедливост. Силно се очаква създаването на Европейски съюз, в който активните политики в областта на труда остават централни и все по-координирани. </w:t>
      </w:r>
    </w:p>
    <w:p>
      <w:pPr>
        <w:pStyle w:val="P68B1DB1Normal34"/>
        <w:widowControl w:val="false"/>
        <w:spacing w:lineRule="auto" w:line="240" w:before="77"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ПРЕПОРЪКИ НАКРАТКО</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Насърчаване на търговията между работниците в Европа чрез Европейски център по заетостта.</w:t>
      </w:r>
    </w:p>
    <w:p>
      <w:pPr>
        <w:pStyle w:val="P68B1DB1Normal84"/>
        <w:widowControl w:val="false"/>
        <w:spacing w:lineRule="auto" w:line="240"/>
        <w:ind w:left="283" w:right="0" w:hanging="0"/>
        <w:jc w:val="left"/>
        <w:rPr/>
      </w:pPr>
      <w:r>
        <w:rPr>
          <w:color w:val="BD1271"/>
        </w:rPr>
        <w:t xml:space="preserve">2. </w:t>
      </w:r>
      <w:r>
        <w:rPr>
          <w:color w:val="000000"/>
        </w:rPr>
        <w:t>Интегрирани политики по заетостта на равнището на ЕС.</w:t>
      </w:r>
    </w:p>
    <w:p>
      <w:pPr>
        <w:pStyle w:val="P68B1DB1Normal84"/>
        <w:widowControl w:val="false"/>
        <w:spacing w:lineRule="auto" w:line="240"/>
        <w:ind w:left="283" w:right="0" w:hanging="0"/>
        <w:jc w:val="left"/>
        <w:rPr/>
      </w:pPr>
      <w:r>
        <w:rPr>
          <w:color w:val="BD1271"/>
        </w:rPr>
        <w:t xml:space="preserve">3. </w:t>
      </w:r>
      <w:r>
        <w:rPr>
          <w:color w:val="000000"/>
        </w:rPr>
        <w:t>Осигуряване на стимули за предприятията, които предлагат работни места.</w:t>
      </w:r>
    </w:p>
    <w:p>
      <w:pPr>
        <w:pStyle w:val="Normal"/>
        <w:widowControl w:val="false"/>
        <w:spacing w:lineRule="auto" w:line="240"/>
        <w:ind w:left="994" w:right="0" w:hanging="0"/>
        <w:jc w:val="left"/>
        <w:rPr>
          <w:rFonts w:ascii="Arial" w:hAnsi="Arial"/>
          <w:color w:val="000000"/>
          <w:sz w:val="28"/>
        </w:rPr>
      </w:pPr>
      <w:r>
        <w:rPr>
          <w:color w:val="000000"/>
          <w:sz w:val="28"/>
        </w:rPr>
      </w:r>
      <w:r>
        <w:br w:type="page"/>
      </w:r>
    </w:p>
    <w:p>
      <w:pPr>
        <w:pStyle w:val="P68B1DB1Titre392"/>
        <w:numPr>
          <w:ilvl w:val="0"/>
          <w:numId w:val="2"/>
        </w:numPr>
        <w:rPr>
          <w:color w:val="FFFFFF"/>
          <w:highlight w:val="darkCyan"/>
        </w:rPr>
      </w:pPr>
      <w:bookmarkStart w:id="228" w:name="__RefHeading___Toc300320_1346298689"/>
      <w:bookmarkEnd w:id="228"/>
      <w:r>
        <w:rPr/>
        <w:t xml:space="preserve"> </w:t>
      </w:r>
      <w:r>
        <w:rPr/>
        <w:t xml:space="preserve">Европа в света </w:t>
      </w:r>
    </w:p>
    <w:p>
      <w:pPr>
        <w:pStyle w:val="P68B1DB1Normal76"/>
        <w:widowControl w:val="false"/>
        <w:spacing w:lineRule="exact" w:line="380" w:before="143" w:after="0"/>
        <w:ind w:left="74" w:right="0" w:hanging="0"/>
        <w:jc w:val="both"/>
        <w:rPr/>
      </w:pPr>
      <w:r>
        <w:rPr/>
        <w:t xml:space="preserve">Неотдавнашните международни събития, и по-специално войната между Русия и Украйна, оказаха голямо влияние върху възприемането на ролята, която Европа ще трябва да играе на международно равнище. Събраните препоръки бяха съсредоточени главно върху укрепването на ЕС (както по отношение на идентичността, така и по отношение на икономическата мощ) и позиционирането му като референтен модел и модел за възстановяване в отношенията му с други държави. </w:t>
      </w:r>
    </w:p>
    <w:p>
      <w:pPr>
        <w:pStyle w:val="P68B1DB1Normal34"/>
        <w:widowControl w:val="false"/>
        <w:spacing w:lineRule="exact" w:line="393" w:before="1424" w:after="0"/>
        <w:ind w:left="74" w:right="0"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59">
                <wp:simplePos x="0" y="0"/>
                <wp:positionH relativeFrom="column">
                  <wp:posOffset>-166370</wp:posOffset>
                </wp:positionH>
                <wp:positionV relativeFrom="paragraph">
                  <wp:posOffset>67945</wp:posOffset>
                </wp:positionV>
                <wp:extent cx="6453505" cy="904875"/>
                <wp:effectExtent l="0" t="0" r="0" b="0"/>
                <wp:wrapTopAndBottom/>
                <wp:docPr id="106" name="Форма 7"/>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09"/>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Укрепване на европейската идентичност</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Укрепване на икономиката и институциите</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Сътрудничество и партньорства</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Политическа и културна отправна точка</w:t>
                              </w:r>
                            </w:p>
                          </w:txbxContent>
                        </wps:txbx>
                        <wps:bodyPr lIns="90000" rIns="90000" tIns="45000" bIns="45000">
                          <a:noAutofit/>
                        </wps:bodyPr>
                      </wps:wsp>
                    </wpg:wgp>
                  </a:graphicData>
                </a:graphic>
              </wp:anchor>
            </w:drawing>
          </mc:Choice>
          <mc:Fallback>
            <w:pict>
              <v:group id="shape_0" alt="Форма 7" style="position:absolute;margin-left:-13.1pt;margin-top:5.35pt;width:508.1pt;height:71.15pt" coordorigin="-262,107" coordsize="10162,1423">
                <v:shape id="shape_0" stroked="f" style="position:absolute;left:438;top:982;width:8699;height:548;rotation:180" type="shapetype_75">
                  <v:imagedata r:id="rId110" o:detectmouseclick="t"/>
                  <w10:wrap type="none"/>
                  <v:stroke color="#3465a4" joinstyle="round" endcap="flat"/>
                </v:shape>
                <v:rect id="shape_0" stroked="f" style="position:absolute;left:-262;top:293;width:2414;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Укрепване на европейската идентичност</w:t>
                        </w:r>
                      </w:p>
                    </w:txbxContent>
                  </v:textbox>
                  <w10:wrap type="square"/>
                  <v:fill o:detectmouseclick="t" on="false"/>
                  <v:stroke color="#3465a4" joinstyle="round" endcap="flat"/>
                </v:rect>
                <v:rect id="shape_0" stroked="f" style="position:absolute;left:2065;top:240;width:2576;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Укрепване на икономиката и институциите</w:t>
                        </w:r>
                      </w:p>
                    </w:txbxContent>
                  </v:textbox>
                  <w10:wrap type="square"/>
                  <v:fill o:detectmouseclick="t" on="false"/>
                  <v:stroke color="#3465a4" joinstyle="round" endcap="flat"/>
                </v:rect>
                <v:rect id="shape_0" stroked="f" style="position:absolute;left:5069;top:107;width:2502;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Сътрудничество и партньорства</w:t>
                        </w:r>
                      </w:p>
                    </w:txbxContent>
                  </v:textbox>
                  <w10:wrap type="square"/>
                  <v:fill o:detectmouseclick="t" on="false"/>
                  <v:stroke color="#3465a4" joinstyle="round" endcap="flat"/>
                </v:rect>
                <v:rect id="shape_0" stroked="f" style="position:absolute;left:7369;top:120;width:2530;height:931">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Политическа и културна отправна точка</w:t>
                        </w:r>
                      </w:p>
                    </w:txbxContent>
                  </v:textbox>
                  <w10:wrap type="square"/>
                  <v:fill o:detectmouseclick="t" on="false"/>
                  <v:stroke color="#3465a4" joinstyle="round" endcap="flat"/>
                </v:rect>
              </v:group>
            </w:pict>
          </mc:Fallback>
        </mc:AlternateContent>
      </w:r>
    </w:p>
    <w:p>
      <w:pPr>
        <w:pStyle w:val="P68B1DB1Titre481"/>
        <w:numPr>
          <w:ilvl w:val="0"/>
          <w:numId w:val="2"/>
        </w:numPr>
        <w:rPr>
          <w:color w:val="0066B3"/>
        </w:rPr>
      </w:pPr>
      <w:bookmarkStart w:id="229" w:name="__RefHeading___Toc300440_1346298689"/>
      <w:bookmarkEnd w:id="229"/>
      <w:r>
        <w:rPr/>
        <w:t>1. Укрепване на европейската идентичност</w:t>
      </w:r>
    </w:p>
    <w:p>
      <w:pPr>
        <w:pStyle w:val="P68B1DB1Normal76"/>
        <w:widowControl w:val="false"/>
        <w:spacing w:lineRule="auto" w:line="240" w:before="106" w:after="0"/>
        <w:ind w:left="74" w:right="0" w:hanging="0"/>
        <w:jc w:val="both"/>
        <w:rPr/>
      </w:pPr>
      <w:r>
        <w:rPr/>
        <w:t xml:space="preserve">За да бъде признат извън границите си, Европейският съюз трябва първо да демонстрира сближаване във вътрешен план, не само в икономическо и финансово отношение, но и по отношение на идентичността и ценностите. Идентичност, която не се създава чрез одобрение, а чрез валоризация на местните особености в рамките на споделени основни ценности. </w:t>
      </w:r>
    </w:p>
    <w:p>
      <w:pPr>
        <w:pStyle w:val="P68B1DB1Normal76"/>
        <w:widowControl w:val="false"/>
        <w:spacing w:lineRule="auto" w:line="240" w:before="78" w:after="0"/>
        <w:ind w:left="74" w:right="1" w:hanging="0"/>
        <w:jc w:val="both"/>
        <w:rPr/>
      </w:pPr>
      <w:r>
        <w:rPr/>
        <w:t xml:space="preserve">Обсъждането на евентуалното разширяване на обхвата на Съюза също беше взето предвид: според някои участници в панела то не трябва да се провежда по недиференциран начин, а по-скоро да се съсредоточи върху взаимното признаване на културата и ценностите, а не върху икономическите стандарти. </w:t>
      </w:r>
    </w:p>
    <w:p>
      <w:pPr>
        <w:pStyle w:val="P68B1DB1Normal83"/>
        <w:widowControl w:val="false"/>
        <w:spacing w:lineRule="auto" w:line="240" w:before="74" w:after="0"/>
        <w:ind w:left="4894" w:right="0" w:hanging="0"/>
        <w:jc w:val="left"/>
        <w:rPr>
          <w:rFonts w:ascii="Arial" w:hAnsi="Arial"/>
          <w:b/>
          <w:b/>
          <w:color w:val="2E74B5"/>
          <w:sz w:val="24"/>
        </w:rPr>
      </w:pPr>
      <w:r>
        <w:rPr/>
        <w:t xml:space="preserve"> </w:t>
      </w:r>
    </w:p>
    <w:p>
      <w:pPr>
        <w:pStyle w:val="P68B1DB1Normal74"/>
        <w:widowControl w:val="false"/>
        <w:spacing w:lineRule="auto" w:line="240" w:before="33" w:after="0"/>
        <w:ind w:left="3074" w:right="0" w:hanging="0"/>
        <w:jc w:val="left"/>
        <w:rPr/>
      </w:pPr>
      <w:r>
        <w:rPr>
          <w:b/>
          <w:sz w:val="24"/>
        </w:rPr>
        <w:t>ПРЕПОРЪКИ НАКРАТКО</w:t>
      </w:r>
      <w:r>
        <w:rPr>
          <w:sz w:val="28"/>
        </w:rPr>
        <w:t xml:space="preserve"> </w:t>
      </w:r>
    </w:p>
    <w:p>
      <w:pPr>
        <w:pStyle w:val="P68B1DB1Normal84"/>
        <w:widowControl w:val="false"/>
        <w:spacing w:lineRule="auto" w:line="240" w:before="147" w:after="0"/>
        <w:ind w:left="358" w:right="0" w:hanging="0"/>
        <w:jc w:val="left"/>
        <w:rPr/>
      </w:pPr>
      <w:r>
        <w:rPr>
          <w:color w:val="BD1271"/>
        </w:rPr>
        <w:t xml:space="preserve">1. </w:t>
      </w:r>
      <w:r>
        <w:rPr>
          <w:color w:val="000000"/>
        </w:rPr>
        <w:t>Укрепване на европейските културни ценности и характеристики, както и на регионалните особености.</w:t>
      </w:r>
    </w:p>
    <w:p>
      <w:pPr>
        <w:pStyle w:val="P68B1DB1Normal84"/>
        <w:widowControl w:val="false"/>
        <w:spacing w:lineRule="auto" w:line="240"/>
        <w:ind w:left="358" w:right="0" w:hanging="0"/>
        <w:jc w:val="left"/>
        <w:rPr/>
      </w:pPr>
      <w:r>
        <w:rPr>
          <w:color w:val="BD1271"/>
        </w:rPr>
        <w:t xml:space="preserve">2. </w:t>
      </w:r>
      <w:r>
        <w:rPr>
          <w:color w:val="000000"/>
        </w:rPr>
        <w:t>Създаване на институт за европейска култура за насърчаване на култура на уважение и взаимно обогатяване между гражданите на различни държави.</w:t>
      </w:r>
    </w:p>
    <w:p>
      <w:pPr>
        <w:pStyle w:val="P68B1DB1Normal84"/>
        <w:widowControl w:val="false"/>
        <w:spacing w:lineRule="auto" w:line="240"/>
        <w:ind w:left="418" w:right="418" w:hanging="0"/>
        <w:jc w:val="both"/>
        <w:rPr/>
      </w:pPr>
      <w:r>
        <w:rPr>
          <w:color w:val="BD1271"/>
        </w:rPr>
        <w:t xml:space="preserve">3. </w:t>
      </w:r>
      <w:r>
        <w:rPr>
          <w:color w:val="000000"/>
        </w:rPr>
        <w:t>Предефиниране на принципите на принадлежност на новите страни кандидатки с укрепване на фактори като културна идентичност и ценности.</w:t>
      </w:r>
    </w:p>
    <w:p>
      <w:pPr>
        <w:pStyle w:val="P68B1DB1Normal34"/>
        <w:widowControl w:val="false"/>
        <w:spacing w:lineRule="auto" w:line="240"/>
        <w:ind w:left="74" w:right="0" w:hanging="0"/>
        <w:jc w:val="left"/>
        <w:rPr>
          <w:rFonts w:ascii="Arial" w:hAnsi="Arial"/>
          <w:color w:val="000000"/>
          <w:sz w:val="24"/>
        </w:rPr>
      </w:pPr>
      <w:r>
        <w:rPr/>
        <w:t xml:space="preserve"> </w:t>
      </w:r>
    </w:p>
    <w:p>
      <w:pPr>
        <w:pStyle w:val="P68B1DB1Titre481"/>
        <w:numPr>
          <w:ilvl w:val="0"/>
          <w:numId w:val="2"/>
        </w:numPr>
        <w:rPr>
          <w:color w:val="0066B3"/>
        </w:rPr>
      </w:pPr>
      <w:bookmarkStart w:id="230" w:name="__RefHeading___Toc300442_1346298689"/>
      <w:bookmarkEnd w:id="230"/>
      <w:r>
        <w:rPr/>
        <w:t xml:space="preserve">2. Укрепване на икономиката и институциите </w:t>
      </w:r>
    </w:p>
    <w:p>
      <w:pPr>
        <w:pStyle w:val="P68B1DB1Normal76"/>
        <w:widowControl w:val="false"/>
        <w:spacing w:lineRule="auto" w:line="240" w:before="109" w:after="0"/>
        <w:ind w:left="0" w:right="0" w:hanging="0"/>
        <w:jc w:val="both"/>
        <w:rPr/>
      </w:pPr>
      <w:r>
        <w:rPr/>
        <w:t xml:space="preserve">Очаква се утрешната Европа да играе водеща роля на международно равнище, което може да се приеме само със силен и независим Съюз от други държави. Широко признато е, че държавите от ЕС са бедни на суровини, но изглежда от съществено значение ЕС да е в състояние да гарантира по-голяма независимост по отношение на енергийните доставки, селското стопанство и технологичните продукти. </w:t>
      </w:r>
    </w:p>
    <w:p>
      <w:pPr>
        <w:pStyle w:val="P68B1DB1Normal76"/>
        <w:widowControl w:val="false"/>
        <w:spacing w:lineRule="auto" w:line="240" w:before="78" w:after="0"/>
        <w:ind w:left="0" w:right="1" w:hanging="0"/>
        <w:jc w:val="both"/>
        <w:rPr/>
      </w:pPr>
      <w:r>
        <w:rPr/>
        <w:t xml:space="preserve">Това изисква конкретни инвестиции за наваксване в области като технологиите (където понастоящем Европейският съюз изглежда не играе водеща роля), но също така и в хранително-вкусовия и енергийния сектор. </w:t>
      </w:r>
    </w:p>
    <w:p>
      <w:pPr>
        <w:pStyle w:val="P68B1DB1Normal76"/>
        <w:widowControl w:val="false"/>
        <w:spacing w:lineRule="auto" w:line="240" w:before="78" w:after="0"/>
        <w:ind w:left="0" w:right="2" w:hanging="0"/>
        <w:jc w:val="both"/>
        <w:rPr/>
      </w:pPr>
      <w:r>
        <w:rPr/>
        <w:t xml:space="preserve">Войната между Русия и Украйна постави в центъра на дебата значението на една интегрирана европейска отбранителна политика, със специфична идентичност и по-голяма автономия от НАТО, без да се поставя под въпрос членството ѝ. </w:t>
      </w:r>
    </w:p>
    <w:p>
      <w:pPr>
        <w:pStyle w:val="P68B1DB1Normal76"/>
        <w:widowControl w:val="false"/>
        <w:spacing w:lineRule="auto" w:line="240" w:before="78" w:after="0"/>
        <w:ind w:left="0" w:right="1" w:hanging="0"/>
        <w:jc w:val="left"/>
        <w:rPr/>
      </w:pPr>
      <w:r>
        <w:rPr/>
        <w:t xml:space="preserve">И накрая, това предполага ясен избор за бъдещето, придружен от значителни инвестиции в науката и научните изследвания, за да се повишат уменията на младите европейци.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ПРЕПОРЪКИ НАКРАТКО</w:t>
      </w:r>
      <w:r>
        <w:rPr>
          <w:sz w:val="28"/>
        </w:rPr>
        <w:t xml:space="preserve"> </w:t>
      </w:r>
    </w:p>
    <w:p>
      <w:pPr>
        <w:pStyle w:val="P68B1DB1Normal84"/>
        <w:widowControl w:val="false"/>
        <w:spacing w:lineRule="auto" w:line="240" w:before="70" w:after="0"/>
        <w:ind w:left="283" w:right="0" w:hanging="0"/>
        <w:jc w:val="left"/>
        <w:rPr/>
      </w:pPr>
      <w:r>
        <w:rPr>
          <w:color w:val="BD1271"/>
        </w:rPr>
        <w:t xml:space="preserve">1. </w:t>
      </w:r>
      <w:r>
        <w:rPr>
          <w:color w:val="000000"/>
        </w:rPr>
        <w:t xml:space="preserve">Укрепване на вътрешния производствен капацитет: хранителна верига (особено пшеница) и технология (микропроцесори). </w:t>
      </w:r>
    </w:p>
    <w:p>
      <w:pPr>
        <w:pStyle w:val="P68B1DB1Normal84"/>
        <w:widowControl w:val="false"/>
        <w:spacing w:lineRule="auto" w:line="240"/>
        <w:ind w:left="283" w:right="0" w:hanging="0"/>
        <w:jc w:val="left"/>
        <w:rPr/>
      </w:pPr>
      <w:r>
        <w:rPr>
          <w:color w:val="BD1271"/>
        </w:rPr>
        <w:t xml:space="preserve">2. </w:t>
      </w:r>
      <w:r>
        <w:rPr>
          <w:color w:val="000000"/>
        </w:rPr>
        <w:t>Насърчаване на типични регионални и европейски продукции.</w:t>
      </w:r>
    </w:p>
    <w:p>
      <w:pPr>
        <w:pStyle w:val="P68B1DB1Normal84"/>
        <w:widowControl w:val="false"/>
        <w:spacing w:lineRule="auto" w:line="240"/>
        <w:ind w:left="283" w:right="0" w:hanging="0"/>
        <w:jc w:val="left"/>
        <w:rPr/>
      </w:pPr>
      <w:r>
        <w:rPr>
          <w:color w:val="BD1271"/>
        </w:rPr>
        <w:t xml:space="preserve">3. </w:t>
      </w:r>
      <w:r>
        <w:rPr>
          <w:color w:val="000000"/>
        </w:rPr>
        <w:t>Укрепване на европейските промишлени клъстери (напр. стомана).</w:t>
      </w:r>
    </w:p>
    <w:p>
      <w:pPr>
        <w:pStyle w:val="P68B1DB1Normal84"/>
        <w:widowControl w:val="false"/>
        <w:spacing w:lineRule="auto" w:line="240"/>
        <w:ind w:left="283" w:right="0" w:hanging="0"/>
        <w:jc w:val="left"/>
        <w:rPr/>
      </w:pPr>
      <w:r>
        <w:rPr>
          <w:color w:val="BD1271"/>
        </w:rPr>
        <w:t xml:space="preserve">4. </w:t>
      </w:r>
      <w:r>
        <w:rPr>
          <w:color w:val="000000"/>
        </w:rPr>
        <w:t>Укрепване на местното производство на енергия от екологична гледна точка (газ, слънчева енергия, вятър).</w:t>
      </w:r>
    </w:p>
    <w:p>
      <w:pPr>
        <w:pStyle w:val="P68B1DB1Normal84"/>
        <w:widowControl w:val="false"/>
        <w:spacing w:lineRule="auto" w:line="240"/>
        <w:ind w:left="283" w:right="0" w:hanging="0"/>
        <w:jc w:val="left"/>
        <w:rPr/>
      </w:pPr>
      <w:r>
        <w:rPr>
          <w:color w:val="BD1271"/>
        </w:rPr>
        <w:t xml:space="preserve">5. </w:t>
      </w:r>
      <w:r>
        <w:rPr>
          <w:color w:val="000000"/>
        </w:rPr>
        <w:t>Разработване на космически технологии.</w:t>
      </w:r>
    </w:p>
    <w:p>
      <w:pPr>
        <w:pStyle w:val="P68B1DB1Normal84"/>
        <w:widowControl w:val="false"/>
        <w:spacing w:lineRule="auto" w:line="240"/>
        <w:ind w:left="283" w:right="417" w:hanging="0"/>
        <w:jc w:val="left"/>
        <w:rPr/>
      </w:pPr>
      <w:r>
        <w:rPr>
          <w:color w:val="BD1271"/>
        </w:rPr>
        <w:t xml:space="preserve">6. </w:t>
      </w:r>
      <w:r>
        <w:rPr>
          <w:color w:val="000000"/>
        </w:rPr>
        <w:t>Създаване на европейски научни лаборатории (Европейска банка за вируси).</w:t>
      </w:r>
    </w:p>
    <w:p>
      <w:pPr>
        <w:pStyle w:val="P68B1DB1Normal84"/>
        <w:widowControl w:val="false"/>
        <w:spacing w:lineRule="auto" w:line="240"/>
        <w:ind w:left="283" w:right="417" w:hanging="0"/>
        <w:jc w:val="left"/>
        <w:rPr/>
      </w:pPr>
      <w:r>
        <w:rPr>
          <w:color w:val="BD1271"/>
        </w:rPr>
        <w:t xml:space="preserve">7. </w:t>
      </w:r>
      <w:r>
        <w:rPr>
          <w:color w:val="000000"/>
        </w:rPr>
        <w:t>Създаване на обща европейска армия, действаща в рамките на НАТО, но също така и помощ за надхвърляне.</w:t>
      </w:r>
    </w:p>
    <w:p>
      <w:pPr>
        <w:pStyle w:val="P68B1DB1Normal84"/>
        <w:widowControl w:val="false"/>
        <w:spacing w:lineRule="auto" w:line="240"/>
        <w:ind w:left="283" w:right="417" w:hanging="0"/>
        <w:jc w:val="left"/>
        <w:rPr/>
      </w:pPr>
      <w:r>
        <w:rPr>
          <w:color w:val="BD1271"/>
        </w:rPr>
        <w:t xml:space="preserve">8. </w:t>
      </w:r>
      <w:r>
        <w:rPr>
          <w:color w:val="000000"/>
        </w:rPr>
        <w:t>Инвестирайте в обучението на обучители (европейски обмен на учители, Еразъм за учители).</w:t>
      </w:r>
    </w:p>
    <w:p>
      <w:pPr>
        <w:pStyle w:val="P68B1DB1Normal84"/>
        <w:widowControl w:val="false"/>
        <w:spacing w:lineRule="auto" w:line="240"/>
        <w:ind w:left="283" w:right="416" w:hanging="0"/>
        <w:jc w:val="left"/>
        <w:rPr/>
      </w:pPr>
      <w:r>
        <w:rPr>
          <w:color w:val="BD1271"/>
        </w:rPr>
        <w:t xml:space="preserve">9. </w:t>
      </w:r>
      <w:r>
        <w:rPr>
          <w:color w:val="000000"/>
        </w:rPr>
        <w:t>Увеличаване на мобилността на европейските изследователи чрез разработване на нови европейски научни институции</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10. </w:t>
      </w:r>
      <w:r>
        <w:rPr>
          <w:color w:val="000000"/>
        </w:rPr>
        <w:t>Насърчаване на появата на иновативни стартиращи предприятия.</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1" w:name="__RefHeading___Toc300444_1346298689"/>
      <w:bookmarkEnd w:id="231"/>
      <w:r>
        <w:rPr/>
        <w:t xml:space="preserve">3. Сътрудничество и партньорства </w:t>
      </w:r>
    </w:p>
    <w:p>
      <w:pPr>
        <w:pStyle w:val="P68B1DB1Normal76"/>
        <w:widowControl w:val="false"/>
        <w:spacing w:lineRule="auto" w:line="240" w:before="109" w:after="0"/>
        <w:ind w:left="0" w:right="2" w:hanging="0"/>
        <w:jc w:val="both"/>
        <w:rPr/>
      </w:pPr>
      <w:r>
        <w:rPr/>
        <w:t xml:space="preserve">Визията за Европа на утрешния ден не е за крепост, защитаваща богатството си, а за протагонист на международната сцена, способен да води диалог с всички страни по света. Диалог, който започва от търговска сила и следва да се стреми към икономическо лидерство и който може да бъде консолидиран чрез създаването на широкомащабни международни партньорства и проекти. </w:t>
      </w:r>
    </w:p>
    <w:p>
      <w:pPr>
        <w:pStyle w:val="P68B1DB1Normal76"/>
        <w:widowControl w:val="false"/>
        <w:spacing w:lineRule="auto" w:line="240" w:before="78" w:after="0"/>
        <w:ind w:left="0" w:right="0" w:hanging="0"/>
        <w:jc w:val="both"/>
        <w:rPr/>
      </w:pPr>
      <w:r>
        <w:rPr/>
        <w:t xml:space="preserve">Всичко това с оглед на сътрудничеството и вниманието към най-уязвимите региони в света, с ad hoc проекти, насочени към изтъкване на най-бедните страни, както и културен и икономически обмен с източните държави. </w:t>
      </w:r>
    </w:p>
    <w:p>
      <w:pPr>
        <w:pStyle w:val="P68B1DB1Normal76"/>
        <w:widowControl w:val="false"/>
        <w:spacing w:lineRule="auto" w:line="240" w:before="78" w:after="0"/>
        <w:ind w:left="0" w:right="3" w:hanging="0"/>
        <w:jc w:val="both"/>
        <w:rPr/>
      </w:pPr>
      <w:r>
        <w:rPr/>
        <w:t xml:space="preserve">Особено внимание се обръща и на темата за миграцията, с по-добра координация между държавите и използването на общи процедури за управление на заявленията и лицата.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ПРЕПОРЪКИ НАКРАТКО</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Увеличаване на износа.</w:t>
      </w:r>
    </w:p>
    <w:p>
      <w:pPr>
        <w:pStyle w:val="P68B1DB1Normal84"/>
        <w:widowControl w:val="false"/>
        <w:spacing w:lineRule="auto" w:line="240"/>
        <w:ind w:left="283" w:right="0" w:hanging="0"/>
        <w:jc w:val="left"/>
        <w:rPr/>
      </w:pPr>
      <w:r>
        <w:rPr>
          <w:color w:val="BD1271"/>
        </w:rPr>
        <w:t xml:space="preserve">2. </w:t>
      </w:r>
      <w:r>
        <w:rPr>
          <w:color w:val="000000"/>
        </w:rPr>
        <w:t>Насърчаване на транснационалните европейски туристически маршрути.</w:t>
      </w:r>
    </w:p>
    <w:p>
      <w:pPr>
        <w:pStyle w:val="P68B1DB1Normal84"/>
        <w:widowControl w:val="false"/>
        <w:spacing w:lineRule="auto" w:line="240"/>
        <w:ind w:left="283" w:right="0" w:hanging="0"/>
        <w:jc w:val="left"/>
        <w:rPr/>
      </w:pPr>
      <w:r>
        <w:rPr>
          <w:color w:val="BD1271"/>
        </w:rPr>
        <w:t xml:space="preserve">3. </w:t>
      </w:r>
      <w:r>
        <w:rPr>
          <w:color w:val="000000"/>
        </w:rPr>
        <w:t>Разработване на търговска система за преговори на европейско равнище (не поотделно като държави или дружества, а като съюз), за да има по-голяма преговорна сила, но с ограничения, свързани със зачитането на правата на човека.</w:t>
      </w:r>
    </w:p>
    <w:p>
      <w:pPr>
        <w:pStyle w:val="P68B1DB1Normal84"/>
        <w:widowControl w:val="false"/>
        <w:spacing w:lineRule="auto" w:line="240"/>
        <w:ind w:left="283" w:right="417" w:hanging="0"/>
        <w:jc w:val="left"/>
        <w:rPr/>
      </w:pPr>
      <w:r>
        <w:rPr>
          <w:color w:val="BD1271"/>
        </w:rPr>
        <w:t xml:space="preserve">4. </w:t>
      </w:r>
      <w:r>
        <w:rPr>
          <w:color w:val="000000"/>
        </w:rPr>
        <w:t>Водещи международни проекти като Международната космическа станция.</w:t>
      </w:r>
    </w:p>
    <w:p>
      <w:pPr>
        <w:pStyle w:val="P68B1DB1Normal84"/>
        <w:widowControl w:val="false"/>
        <w:spacing w:lineRule="auto" w:line="240"/>
        <w:ind w:left="283" w:right="417" w:hanging="0"/>
        <w:jc w:val="left"/>
        <w:rPr/>
      </w:pPr>
      <w:r>
        <w:rPr>
          <w:color w:val="BD1271"/>
        </w:rPr>
        <w:t xml:space="preserve">5. </w:t>
      </w:r>
      <w:r>
        <w:rPr>
          <w:color w:val="000000"/>
        </w:rPr>
        <w:t>Финансиране на проекти в Африка за изграждане на училища и болници, без да се възприема колониално отношение, а да се съсредоточи върху зачитането на европейските ценности и права.</w:t>
      </w:r>
    </w:p>
    <w:p>
      <w:pPr>
        <w:pStyle w:val="P68B1DB1Normal84"/>
        <w:widowControl w:val="false"/>
        <w:spacing w:lineRule="auto" w:line="240"/>
        <w:ind w:left="283" w:right="417" w:hanging="0"/>
        <w:jc w:val="left"/>
        <w:rPr/>
      </w:pPr>
      <w:r>
        <w:rPr>
          <w:color w:val="BD1271"/>
        </w:rPr>
        <w:t xml:space="preserve">6. </w:t>
      </w:r>
      <w:r>
        <w:rPr>
          <w:color w:val="000000"/>
        </w:rPr>
        <w:t>Инвестирайте в обучение на място (особено за жени) в най-бедните страни.</w:t>
      </w:r>
    </w:p>
    <w:p>
      <w:pPr>
        <w:pStyle w:val="P68B1DB1Normal84"/>
        <w:widowControl w:val="false"/>
        <w:spacing w:lineRule="auto" w:line="240"/>
        <w:ind w:left="283" w:right="0" w:hanging="0"/>
        <w:jc w:val="left"/>
        <w:rPr/>
      </w:pPr>
      <w:r>
        <w:rPr>
          <w:color w:val="BD1271"/>
        </w:rPr>
        <w:t xml:space="preserve">7. </w:t>
      </w:r>
      <w:r>
        <w:rPr>
          <w:color w:val="000000"/>
        </w:rPr>
        <w:t>Насърчаване на обмена на техници и обучители.</w:t>
      </w:r>
    </w:p>
    <w:p>
      <w:pPr>
        <w:pStyle w:val="P68B1DB1Normal84"/>
        <w:widowControl w:val="false"/>
        <w:spacing w:lineRule="auto" w:line="240"/>
        <w:ind w:left="283" w:right="0" w:hanging="0"/>
        <w:jc w:val="left"/>
        <w:rPr/>
      </w:pPr>
      <w:r>
        <w:rPr>
          <w:color w:val="BD1271"/>
        </w:rPr>
        <w:t xml:space="preserve">8. </w:t>
      </w:r>
      <w:r>
        <w:rPr>
          <w:color w:val="000000"/>
        </w:rPr>
        <w:t>Създаване на система от общи правила за достъп на мигрантите, с различни процеси между хуманитарната и икономическата миграция и със справедливо разпределение между различните държави, но с общи правила (преценка и контрол на поведението и заетостта).</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2" w:name="__RefHeading___Toc300446_1346298689"/>
      <w:bookmarkEnd w:id="232"/>
      <w:r>
        <w:rPr/>
        <w:t xml:space="preserve">4. Политическа и културна референция </w:t>
      </w:r>
    </w:p>
    <w:p>
      <w:pPr>
        <w:pStyle w:val="P68B1DB1Normal76"/>
        <w:widowControl w:val="false"/>
        <w:spacing w:lineRule="auto" w:line="240" w:before="106" w:after="0"/>
        <w:ind w:left="0" w:right="145" w:hanging="0"/>
        <w:jc w:val="both"/>
        <w:rPr/>
      </w:pPr>
      <w:r>
        <w:rPr/>
        <w:t xml:space="preserve">В описания по-горе сценарий от Европа се очаква да предостави ясна политическа и културна референция на световно равнище от гледна точка на правата и етиката, като даде пример чрез вземане на решения, за да се гарантира здравословна околна среда, зачитане на правата на хората и диалог между Изтока и Запада. </w:t>
      </w:r>
    </w:p>
    <w:p>
      <w:pPr>
        <w:pStyle w:val="P68B1DB1Normal83"/>
        <w:widowControl w:val="false"/>
        <w:spacing w:lineRule="auto" w:line="240" w:before="73" w:after="0"/>
        <w:ind w:left="4819" w:right="0" w:hanging="0"/>
        <w:jc w:val="left"/>
        <w:rPr>
          <w:rFonts w:ascii="Arial" w:hAnsi="Arial"/>
          <w:b/>
          <w:b/>
          <w:color w:val="2E74B5"/>
          <w:sz w:val="24"/>
        </w:rPr>
      </w:pPr>
      <w:r>
        <w:rPr/>
        <w:t xml:space="preserve"> </w:t>
      </w:r>
    </w:p>
    <w:p>
      <w:pPr>
        <w:pStyle w:val="P68B1DB1Normal75"/>
        <w:widowControl w:val="false"/>
        <w:spacing w:lineRule="auto" w:line="240" w:before="72" w:after="0"/>
        <w:ind w:left="3000" w:right="0" w:hanging="0"/>
        <w:jc w:val="left"/>
        <w:rPr/>
      </w:pPr>
      <w:r>
        <w:rPr>
          <w:b/>
          <w:color w:val="2E74B5"/>
        </w:rPr>
        <w:t>ПРЕПОРЪКИ НАКРАТКО</w:t>
      </w:r>
      <w:r>
        <w:rPr>
          <w:color w:val="000000"/>
        </w:rPr>
        <w:t xml:space="preserve"> </w:t>
      </w:r>
    </w:p>
    <w:p>
      <w:pPr>
        <w:pStyle w:val="P68B1DB1Normal84"/>
        <w:widowControl w:val="false"/>
        <w:spacing w:lineRule="auto" w:line="240" w:before="69" w:after="0"/>
        <w:ind w:left="283" w:right="0" w:hanging="0"/>
        <w:jc w:val="left"/>
        <w:rPr/>
      </w:pPr>
      <w:r>
        <w:rPr>
          <w:color w:val="BD1271"/>
        </w:rPr>
        <w:t xml:space="preserve">1. </w:t>
      </w:r>
      <w:r>
        <w:rPr>
          <w:color w:val="000000"/>
        </w:rPr>
        <w:t>Водеща роля като зелен континент, постигане на нулеви емисии преди другите и увеличаване на производството на чиста енергия (вятър и слънчева енергия).</w:t>
      </w:r>
    </w:p>
    <w:p>
      <w:pPr>
        <w:pStyle w:val="P68B1DB1Normal84"/>
        <w:widowControl w:val="false"/>
        <w:spacing w:lineRule="auto" w:line="240"/>
        <w:ind w:left="283" w:right="0" w:hanging="0"/>
        <w:jc w:val="left"/>
        <w:rPr/>
      </w:pPr>
      <w:r>
        <w:rPr>
          <w:color w:val="BD1271"/>
        </w:rPr>
        <w:t xml:space="preserve">2. </w:t>
      </w:r>
      <w:r>
        <w:rPr>
          <w:color w:val="000000"/>
        </w:rPr>
        <w:t>Износ на технологии за производство на стоки с нулево въздействие.</w:t>
      </w:r>
    </w:p>
    <w:p>
      <w:pPr>
        <w:pStyle w:val="P68B1DB1Normal84"/>
        <w:widowControl w:val="false"/>
        <w:spacing w:lineRule="auto" w:line="240"/>
        <w:ind w:left="283" w:right="0" w:hanging="0"/>
        <w:jc w:val="left"/>
        <w:rPr/>
      </w:pPr>
      <w:r>
        <w:rPr>
          <w:color w:val="BD1271"/>
        </w:rPr>
        <w:t xml:space="preserve">3. </w:t>
      </w:r>
      <w:r>
        <w:rPr>
          <w:color w:val="000000"/>
        </w:rPr>
        <w:t>Служи като сливане (публично място, агора) между Изтока и Запада, като насърчава културния обмен и съвместните културни инициативи (като Световните дни на изкуството, които ще бъдат организирани на свой ред в различните европейски столици, с артистична програма, включваща западни и източни художници).</w:t>
      </w:r>
    </w:p>
    <w:p>
      <w:pPr>
        <w:pStyle w:val="P68B1DB1Normal84"/>
        <w:widowControl w:val="false"/>
        <w:spacing w:lineRule="auto" w:line="240"/>
        <w:ind w:left="283" w:right="560" w:hanging="0"/>
        <w:jc w:val="left"/>
        <w:rPr/>
      </w:pPr>
      <w:r>
        <w:rPr>
          <w:color w:val="BD1271"/>
        </w:rPr>
        <w:t xml:space="preserve">4. </w:t>
      </w:r>
      <w:r>
        <w:rPr>
          <w:color w:val="000000"/>
        </w:rPr>
        <w:t>Създаване на европейски етичен модел за управление на миграционните процеси, който може да бъде споделен в международен план.</w:t>
      </w:r>
    </w:p>
    <w:p>
      <w:pPr>
        <w:pStyle w:val="P68B1DB1Normal32"/>
        <w:widowControl w:val="false"/>
        <w:spacing w:lineRule="auto" w:line="240"/>
        <w:ind w:left="283" w:right="0" w:hanging="0"/>
        <w:jc w:val="left"/>
        <w:rPr>
          <w:rFonts w:ascii="Arial" w:hAnsi="Arial"/>
          <w:b/>
          <w:b/>
          <w:color w:val="000000"/>
          <w:sz w:val="24"/>
        </w:rPr>
      </w:pPr>
      <w:r>
        <w:rPr/>
        <w:t xml:space="preserve"> </w:t>
      </w:r>
    </w:p>
    <w:p>
      <w:pPr>
        <w:pStyle w:val="Titre2"/>
        <w:numPr>
          <w:ilvl w:val="1"/>
          <w:numId w:val="2"/>
        </w:numPr>
        <w:rPr/>
      </w:pPr>
      <w:bookmarkStart w:id="233" w:name="__RefHeading___Toc300322_1346298689"/>
      <w:bookmarkEnd w:id="233"/>
      <w:r>
        <w:rPr/>
        <w:t xml:space="preserve">6. Окончателна оценка от участниците </w:t>
      </w:r>
    </w:p>
    <w:p>
      <w:pPr>
        <w:pStyle w:val="P68B1DB1Normal76"/>
        <w:widowControl w:val="false"/>
        <w:spacing w:lineRule="auto" w:line="240" w:before="106" w:after="0"/>
        <w:ind w:left="0" w:right="0" w:hanging="0"/>
        <w:jc w:val="both"/>
        <w:rPr/>
      </w:pPr>
      <w:r>
        <w:rPr/>
        <w:t xml:space="preserve">В края на двата работни дни всички участници бяха помолени да попълнят кратък въпросник, за да оценят опита си. Въпросникът за оценка беше изпратен два дни след края на експертната група, за да се даде време на всички участници да се отдръпнат от опита и да могат да отговорят по-обективно. </w:t>
      </w:r>
    </w:p>
    <w:p>
      <w:pPr>
        <w:pStyle w:val="Normal"/>
        <w:widowControl w:val="false"/>
        <w:spacing w:lineRule="auto" w:line="240" w:before="78" w:after="0"/>
        <w:ind w:left="0" w:right="2" w:hanging="0"/>
        <w:jc w:val="left"/>
        <w:rPr/>
      </w:pPr>
      <w:r>
        <w:rPr>
          <w:color w:val="000000"/>
        </w:rPr>
        <w:t xml:space="preserve">Събраните резултати показват особено високо ниво на удовлетвореност, както по отношение на интерес, така и по отношение на лекота на участие и чувство за слушане и приобщаване. </w:t>
      </w:r>
      <w:r>
        <w:br w:type="page"/>
      </w:r>
    </w:p>
    <w:p>
      <w:pPr>
        <w:pStyle w:val="Normal"/>
        <w:widowControl w:val="false"/>
        <w:spacing w:lineRule="auto" w:line="240" w:before="4764" w:after="0"/>
        <w:ind w:left="0" w:right="2"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0">
                <wp:simplePos x="0" y="0"/>
                <wp:positionH relativeFrom="column">
                  <wp:posOffset>635</wp:posOffset>
                </wp:positionH>
                <wp:positionV relativeFrom="paragraph">
                  <wp:posOffset>50165</wp:posOffset>
                </wp:positionV>
                <wp:extent cx="5996305" cy="3025775"/>
                <wp:effectExtent l="0" t="0" r="0" b="0"/>
                <wp:wrapTopAndBottom/>
                <wp:docPr id="107" name="Форма 8"/>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1"/>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Удовлетворение от участието в панела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Цялостно удовлетворение от опита</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Качество на приноса на участниците</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Съгласуваност между направените препоръки и дебата</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Лесно използване на платформата</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Зачитане на многообразието от мнения</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Способност на модераторите да дават глас на участниците и да слушат техните изказвания</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Интерес към обсъжданите теми</w:t>
                              </w:r>
                            </w:p>
                          </w:txbxContent>
                        </wps:txbx>
                        <wps:bodyPr lIns="90000" rIns="90000" tIns="45000" bIns="45000">
                          <a:noAutofit/>
                        </wps:bodyPr>
                      </wps:wsp>
                    </wpg:wgp>
                  </a:graphicData>
                </a:graphic>
              </wp:anchor>
            </w:drawing>
          </mc:Choice>
          <mc:Fallback>
            <w:pict>
              <v:group id="shape_0" alt="Форма 8" style="position:absolute;margin-left:0.05pt;margin-top:3.95pt;width:472.1pt;height:238.2pt" coordorigin="1,79" coordsize="9442,4764">
                <v:shape id="shape_0" stroked="f" style="position:absolute;left:3991;top:846;width:5321;height:3996" type="shapetype_75">
                  <v:imagedata r:id="rId111" o:detectmouseclick="t"/>
                  <w10:wrap type="none"/>
                  <v:stroke color="#3465a4" joinstyle="round" endcap="flat"/>
                </v:shape>
                <v:rect id="shape_0" stroked="f" style="position:absolute;left:332;top:79;width:9110;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Удовлетворение от участието в панела </w:t>
                        </w:r>
                      </w:p>
                    </w:txbxContent>
                  </v:textbox>
                  <w10:wrap type="square"/>
                  <v:fill o:detectmouseclick="t" on="false"/>
                  <v:stroke color="#3465a4" joinstyle="round" endcap="flat"/>
                </v:rect>
                <v:rect id="shape_0" stroked="f" style="position:absolute;left:96;top:1088;width:3901;height:590">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Цялостно удовлетворение от опита</w:t>
                        </w:r>
                      </w:p>
                    </w:txbxContent>
                  </v:textbox>
                  <w10:wrap type="square"/>
                  <v:fill o:detectmouseclick="t" on="false"/>
                  <v:stroke color="#3465a4" joinstyle="round" endcap="flat"/>
                </v:rect>
                <v:rect id="shape_0" stroked="f" style="position:absolute;left:110;top:1944;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Качество на приноса на участниците</w:t>
                        </w:r>
                      </w:p>
                    </w:txbxContent>
                  </v:textbox>
                  <w10:wrap type="square"/>
                  <v:fill o:detectmouseclick="t" on="false"/>
                  <v:stroke color="#3465a4" joinstyle="round" endcap="flat"/>
                </v:rect>
                <v:rect id="shape_0" stroked="f" style="position:absolute;left:97;top:2393;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Съгласуваност между направените препоръки и дебата</w:t>
                        </w:r>
                      </w:p>
                    </w:txbxContent>
                  </v:textbox>
                  <w10:wrap type="square"/>
                  <v:fill o:detectmouseclick="t" on="false"/>
                  <v:stroke color="#3465a4" joinstyle="round" endcap="flat"/>
                </v:rect>
                <v:rect id="shape_0" stroked="f" style="position:absolute;left:98;top:3010;width:3902;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Лесно използване на платформата</w:t>
                        </w:r>
                      </w:p>
                    </w:txbxContent>
                  </v:textbox>
                  <w10:wrap type="square"/>
                  <v:fill o:detectmouseclick="t" on="false"/>
                  <v:stroke color="#3465a4" joinstyle="round" endcap="flat"/>
                </v:rect>
                <v:rect id="shape_0" stroked="f" style="position:absolute;left:1;top:3431;width:3902;height:37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Зачитане на многообразието от мнения</w:t>
                        </w:r>
                      </w:p>
                    </w:txbxContent>
                  </v:textbox>
                  <w10:wrap type="square"/>
                  <v:fill o:detectmouseclick="t" on="false"/>
                  <v:stroke color="#3465a4" joinstyle="round" endcap="flat"/>
                </v:rect>
                <v:rect id="shape_0" stroked="f" style="position:absolute;left:71;top:3769;width:3901;height:83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Способност на модераторите да дават глас на участниците и да слушат техните изказвания</w:t>
                        </w:r>
                      </w:p>
                    </w:txbxContent>
                  </v:textbox>
                  <w10:wrap type="square"/>
                  <v:fill o:detectmouseclick="t" on="false"/>
                  <v:stroke color="#3465a4" joinstyle="round" endcap="flat"/>
                </v:rect>
                <v:rect id="shape_0" stroked="f" style="position:absolute;left:44;top:4470;width:3901;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Интерес към обсъжданите теми</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pPr>
      <w:r>
        <w:rPr/>
        <w:t xml:space="preserve">Въпреки че първоначално имаха различен опит, умения и мотивация, участниците се чувстваха силно ангажирани: 98 % от респондентите във въпросника за оценка считат, че са участвали активно и са допринесли положително за дебата.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Като цяло се усеща много силно ползата от този опит, който се възприема преди всичко като възможност за активно участие и който е дал усещане за по-голяма близост с европейските институции. Това накара почти всички респонденти да поискат този вид инициатива да бъде повторена с течение на времето. </w:t>
      </w:r>
    </w:p>
    <w:p>
      <w:pPr>
        <w:pStyle w:val="Normal"/>
        <w:widowControl w:val="false"/>
        <w:spacing w:lineRule="exact" w:line="202" w:before="4966" w:after="0"/>
        <w:ind w:left="0" w:right="0" w:hanging="0"/>
        <w:jc w:val="both"/>
        <w:rPr/>
      </w:pPr>
      <w:r>
        <mc:AlternateContent>
          <mc:Choice Requires="wpg">
            <w:drawing>
              <wp:anchor behindDoc="0" distT="0" distB="0" distL="0" distR="0" simplePos="0" locked="0" layoutInCell="1" allowOverlap="1" relativeHeight="61">
                <wp:simplePos x="0" y="0"/>
                <wp:positionH relativeFrom="column">
                  <wp:posOffset>0</wp:posOffset>
                </wp:positionH>
                <wp:positionV relativeFrom="paragraph">
                  <wp:posOffset>71120</wp:posOffset>
                </wp:positionV>
                <wp:extent cx="6047740" cy="3154045"/>
                <wp:effectExtent l="0" t="0" r="0" b="0"/>
                <wp:wrapTopAndBottom/>
                <wp:docPr id="108" name="Форма 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2"/>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ОЦЕНКА НА ИНТЕРЕСА НА „ИТАЛИАНСКИЯ ПАНЕЛ ЗА КОНФЕРЕНЦИЯТА ЗА БЪДЕЩЕТО НА ЕВРОПА“</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Трябва да се случва по-често</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Е полезен за това гласът на гражданите да бъде чут в европейските институции</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Може да има положителен принос за подобряване на бъдещето на Европа</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Доближаване на европейските институции до гражданите</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Беше загуба на време</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Напълно съм съгласен</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По-скоро бих се съгласил.</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Без споразумение и без споразумение</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Не съм съгласен.</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Изобщо не съм съгласен.</w:t>
                              </w:r>
                            </w:p>
                          </w:txbxContent>
                        </wps:txbx>
                        <wps:bodyPr lIns="90000" rIns="90000" tIns="45000" bIns="45000">
                          <a:noAutofit/>
                        </wps:bodyPr>
                      </wps:wsp>
                    </wpg:wgp>
                  </a:graphicData>
                </a:graphic>
              </wp:anchor>
            </w:drawing>
          </mc:Choice>
          <mc:Fallback>
            <w:pict>
              <v:group id="shape_0" alt="Форма 9" style="position:absolute;margin-left:0pt;margin-top:5.6pt;width:476.15pt;height:248.3pt" coordorigin="0,112" coordsize="9523,4966">
                <v:shape id="shape_0" stroked="f" style="position:absolute;left:430;top:675;width:9092;height:4095" type="shapetype_75">
                  <v:imagedata r:id="rId112" o:detectmouseclick="t"/>
                  <w10:wrap type="none"/>
                  <v:stroke color="#3465a4" joinstyle="round" endcap="flat"/>
                </v:shape>
                <v:rect id="shape_0" stroked="f" style="position:absolute;left:637;top:112;width:8841;height:126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ОЦЕНКА НА ИНТЕРЕСА НА „ИТАЛИАНСКИЯ ПАНЕЛ ЗА КОНФЕРЕНЦИЯТА ЗА БЪДЕЩЕТО НА ЕВРОПА“</w:t>
                        </w:r>
                      </w:p>
                    </w:txbxContent>
                  </v:textbox>
                  <w10:wrap type="square"/>
                  <v:fill o:detectmouseclick="t" on="false"/>
                  <v:stroke color="#3465a4" joinstyle="round" endcap="flat"/>
                </v:rect>
                <v:rect id="shape_0" stroked="f" style="position:absolute;left:74;top:895;width:3476;height:43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Трябва да се случва по-често</w:t>
                        </w:r>
                      </w:p>
                    </w:txbxContent>
                  </v:textbox>
                  <w10:wrap type="square"/>
                  <v:fill o:detectmouseclick="t" on="false"/>
                  <v:stroke color="#3465a4" joinstyle="round" endcap="flat"/>
                </v:rect>
                <v:rect id="shape_0" stroked="f" style="position:absolute;left:74;top:1666;width:3476;height:76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Е полезен за това гласът на гражданите да бъде чут в европейските институции</w:t>
                        </w:r>
                      </w:p>
                    </w:txbxContent>
                  </v:textbox>
                  <w10:wrap type="square"/>
                  <v:fill o:detectmouseclick="t" on="false"/>
                  <v:stroke color="#3465a4" joinstyle="round" endcap="flat"/>
                </v:rect>
                <v:rect id="shape_0" stroked="f" style="position:absolute;left:74;top:2463;width:3476;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Може да има положителен принос за подобряване на бъдещето на Европа</w:t>
                        </w:r>
                      </w:p>
                    </w:txbxContent>
                  </v:textbox>
                  <w10:wrap type="square"/>
                  <v:fill o:detectmouseclick="t" on="false"/>
                  <v:stroke color="#3465a4" joinstyle="round" endcap="flat"/>
                </v:rect>
                <v:rect id="shape_0" stroked="f" style="position:absolute;left:0;top:3219;width:3477;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Доближаване на европейските институции до гражданите</w:t>
                        </w:r>
                      </w:p>
                    </w:txbxContent>
                  </v:textbox>
                  <w10:wrap type="square"/>
                  <v:fill o:detectmouseclick="t" on="false"/>
                  <v:stroke color="#3465a4" joinstyle="round" endcap="flat"/>
                </v:rect>
                <v:rect id="shape_0" stroked="f" style="position:absolute;left:0;top:3906;width:3477;height:1159">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Беше загуба на време</w:t>
                        </w:r>
                      </w:p>
                    </w:txbxContent>
                  </v:textbox>
                  <w10:wrap type="square"/>
                  <v:fill o:detectmouseclick="t" on="false"/>
                  <v:stroke color="#3465a4" joinstyle="round" endcap="flat"/>
                </v:rect>
                <v:rect id="shape_0" stroked="f" style="position:absolute;left:831;top:4424;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Напълно съм съгласен</w:t>
                        </w:r>
                      </w:p>
                    </w:txbxContent>
                  </v:textbox>
                  <w10:wrap type="square"/>
                  <v:fill o:detectmouseclick="t" on="false"/>
                  <v:stroke color="#3465a4" joinstyle="round" endcap="flat"/>
                </v:rect>
                <v:rect id="shape_0" stroked="f" style="position:absolute;left:2438;top:4382;width:1225;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По-скоро бих се съгласил.</w:t>
                        </w:r>
                      </w:p>
                    </w:txbxContent>
                  </v:textbox>
                  <w10:wrap type="square"/>
                  <v:fill o:detectmouseclick="t" on="false"/>
                  <v:stroke color="#3465a4" joinstyle="round" endcap="flat"/>
                </v:rect>
                <v:rect id="shape_0" stroked="f" style="position:absolute;left:3944;top:4452;width:2028;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Без споразумение и без споразумение</w:t>
                        </w:r>
                      </w:p>
                    </w:txbxContent>
                  </v:textbox>
                  <w10:wrap type="square"/>
                  <v:fill o:detectmouseclick="t" on="false"/>
                  <v:stroke color="#3465a4" joinstyle="round" endcap="flat"/>
                </v:rect>
                <v:rect id="shape_0" stroked="f" style="position:absolute;left:6197;top:4411;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Не съм съгласен.</w:t>
                        </w:r>
                      </w:p>
                    </w:txbxContent>
                  </v:textbox>
                  <w10:wrap type="square"/>
                  <v:fill o:detectmouseclick="t" on="false"/>
                  <v:stroke color="#3465a4" joinstyle="round" endcap="flat"/>
                </v:rect>
                <v:rect id="shape_0" stroked="f" style="position:absolute;left:7944;top:4522;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Изобщо не съм съгласен.</w:t>
                        </w:r>
                      </w:p>
                    </w:txbxContent>
                  </v:textbox>
                  <w10:wrap type="square"/>
                  <v:fill o:detectmouseclick="t" on="false"/>
                  <v:stroke color="#3465a4" joinstyle="round" endcap="flat"/>
                </v:rect>
              </v:group>
            </w:pict>
          </mc:Fallback>
        </mc:AlternateContent>
      </w:r>
      <w:r>
        <w:rPr>
          <w:color w:val="000000"/>
        </w:rPr>
        <w:t>Всички участници посочиха, че ако такава инициатива бъде организирана отново, те не само ще имат желание да участват, но и ще препоръчат на приятелите си да участват.</w:t>
      </w:r>
    </w:p>
    <w:p>
      <w:pPr>
        <w:pStyle w:val="Normal"/>
        <w:widowControl w:val="false"/>
        <w:spacing w:lineRule="exact" w:line="393"/>
        <w:ind w:left="0" w:right="0" w:hanging="0"/>
        <w:jc w:val="left"/>
        <w:rPr>
          <w:rFonts w:ascii="Arial" w:hAnsi="Arial"/>
          <w:color w:val="000000"/>
          <w:sz w:val="24"/>
        </w:rPr>
      </w:pPr>
      <w:r>
        <w:rPr>
          <w:color w:val="000000"/>
          <w:sz w:val="24"/>
        </w:rPr>
      </w:r>
      <w:r>
        <w:br w:type="page"/>
      </w:r>
    </w:p>
    <w:p>
      <w:pPr>
        <w:pStyle w:val="Titre1"/>
        <w:numPr>
          <w:ilvl w:val="0"/>
          <w:numId w:val="2"/>
        </w:numPr>
        <w:rPr/>
      </w:pPr>
      <w:bookmarkStart w:id="234" w:name="__RefHeading___Toc298382_1346298689"/>
      <w:bookmarkEnd w:id="234"/>
      <w:r>
        <w:rPr/>
        <w:t>II Д Национални комитети: Литва</w:t>
      </w:r>
    </w:p>
    <w:p>
      <w:pPr>
        <w:pStyle w:val="P68B1DB1Normal95"/>
        <w:widowControl w:val="false"/>
        <w:spacing w:lineRule="exact" w:line="393"/>
        <w:ind w:left="0" w:right="0" w:hanging="0"/>
        <w:jc w:val="left"/>
        <w:rPr>
          <w:rFonts w:ascii="Arial" w:hAnsi="Arial"/>
          <w:color w:val="5A5A5A"/>
          <w:sz w:val="28"/>
        </w:rPr>
      </w:pPr>
      <w:r>
        <w:rPr/>
        <w:t xml:space="preserve">Литовски граждански панел за бъдещето на Европа </w:t>
      </w:r>
    </w:p>
    <w:p>
      <w:pPr>
        <w:pStyle w:val="P68B1DB1Normal95"/>
        <w:widowControl w:val="false"/>
        <w:spacing w:lineRule="exact" w:line="460"/>
        <w:ind w:left="4320" w:right="0" w:hanging="0"/>
        <w:jc w:val="left"/>
        <w:rPr>
          <w:rFonts w:ascii="Arial" w:hAnsi="Arial"/>
          <w:color w:val="5A5A5A"/>
          <w:sz w:val="28"/>
        </w:rPr>
      </w:pPr>
      <w:r>
        <w:rPr/>
        <w:t xml:space="preserve">Доклад </w:t>
      </w:r>
    </w:p>
    <w:p>
      <w:pPr>
        <w:pStyle w:val="P68B1DB1Normal76"/>
        <w:widowControl w:val="false"/>
        <w:spacing w:lineRule="exact" w:line="227" w:before="87" w:after="0"/>
        <w:ind w:left="0" w:right="2" w:hanging="0"/>
        <w:jc w:val="both"/>
        <w:rPr/>
      </w:pPr>
      <w:r>
        <w:rPr/>
        <w:t xml:space="preserve">Настоящият доклад се състои от четири части. Първият представя накратко напредъка на събитието. Във втория са изложени препоръките, направени от участниците в гражданския панел за политиките на ЕС и Литва. Третият предоставя кратък анализ на дискусиите в групите и основните резултати от форума. Четвъртата сравнява резултатите от гражданския панел с резултатите от проучванията на литовските граждани за състоянието и бъдещето на Европа. </w:t>
      </w:r>
    </w:p>
    <w:p>
      <w:pPr>
        <w:pStyle w:val="P68B1DB1Normal96"/>
        <w:widowControl w:val="false"/>
        <w:spacing w:lineRule="exact" w:line="517" w:before="188" w:after="0"/>
        <w:ind w:left="0" w:right="0" w:hanging="0"/>
        <w:jc w:val="left"/>
        <w:rPr/>
      </w:pPr>
      <w:r>
        <w:rPr>
          <w:rFonts w:ascii="Calibri" w:hAnsi="Calibri"/>
        </w:rPr>
        <w:t>1.</w:t>
      </w:r>
      <w:r>
        <w:rPr/>
        <w:t xml:space="preserve"> </w:t>
      </w:r>
      <w:r>
        <w:rPr>
          <w:rFonts w:ascii="Calibri" w:hAnsi="Calibri"/>
        </w:rPr>
        <w:t>Провеждане на националния граждански панел</w:t>
      </w:r>
    </w:p>
    <w:p>
      <w:pPr>
        <w:pStyle w:val="Normal"/>
        <w:widowControl w:val="false"/>
        <w:spacing w:lineRule="exact" w:line="253" w:before="95" w:after="0"/>
        <w:ind w:left="0" w:right="0" w:hanging="0"/>
        <w:jc w:val="both"/>
        <w:rPr/>
      </w:pPr>
      <w:r>
        <w:rPr>
          <w:color w:val="000000"/>
        </w:rPr>
        <w:t>В съответствие с насоките за организиране на национални граждански панели в рамките на Конференцията за бъдещето на Европа, през декември 2021 г. институтът за проучване Kantar TNS LT разработи по искане на Министерството на външните работи методология за стратифициран случаен подбор на представителна извадка от литовското население, въз основа на която Kantar TNS избра 25 литовски граждани на възраст от 18 до 65 години, представляващи различни социално-икономически групи и всички географски региони на Литва</w:t>
      </w:r>
      <w:r>
        <w:rPr>
          <w:rStyle w:val="Ancredenotedebasdepage"/>
          <w:rStyle w:val="Ancredenotedebasdepage"/>
          <w:color w:val="000000"/>
          <w:sz w:val="14"/>
        </w:rPr>
        <w:footnoteReference w:id="16"/>
      </w:r>
      <w:r>
        <w:rPr>
          <w:color w:val="000000"/>
        </w:rPr>
        <w:t xml:space="preserve">. </w:t>
      </w:r>
    </w:p>
    <w:p>
      <w:pPr>
        <w:pStyle w:val="P68B1DB1Normal76"/>
        <w:widowControl w:val="false"/>
        <w:spacing w:lineRule="exact" w:line="253"/>
        <w:ind w:left="0" w:right="1" w:hanging="0"/>
        <w:jc w:val="both"/>
        <w:rPr/>
      </w:pPr>
      <w:r>
        <w:rPr/>
        <w:t xml:space="preserve">На 4 януари избраните граждани бяха поканени на виртуална встъпителна сесия, по време на която беше представена идеята на Националния граждански панел и се проведе обмен по темите, които са най-важни за бъдещето на Европа. В края на събитието участниците получиха информационен документ с подробно описание на обсъжданите теми и източници на информация. </w:t>
      </w:r>
    </w:p>
    <w:p>
      <w:pPr>
        <w:pStyle w:val="P68B1DB1Normal76"/>
        <w:widowControl w:val="false"/>
        <w:spacing w:lineRule="exact" w:line="253"/>
        <w:ind w:left="0" w:right="2" w:hanging="0"/>
        <w:jc w:val="both"/>
        <w:rPr/>
      </w:pPr>
      <w:r>
        <w:rPr/>
        <w:t xml:space="preserve">На 15 януари в ЕЗА се проведе панел от национални граждани за бъдещето на Европа, организиран от Изследователския център за Източна Европа (RESC) на ЕЗА и института Kantar TNS LT, в който участваха пряко 25 избрани граждани. </w:t>
      </w:r>
    </w:p>
    <w:p>
      <w:pPr>
        <w:pStyle w:val="P68B1DB1Normal76"/>
        <w:widowControl w:val="false"/>
        <w:spacing w:lineRule="exact" w:line="362"/>
        <w:ind w:left="0" w:right="0" w:hanging="0"/>
        <w:jc w:val="left"/>
        <w:rPr>
          <w:rFonts w:ascii="Arial" w:hAnsi="Arial"/>
          <w:color w:val="000000"/>
          <w:sz w:val="22"/>
        </w:rPr>
      </w:pPr>
      <w:r>
        <w:rPr/>
        <w:t xml:space="preserve"> </w:t>
      </w:r>
    </w:p>
    <w:p>
      <w:pPr>
        <w:pStyle w:val="P68B1DB1Normal76"/>
        <w:widowControl w:val="false"/>
        <w:spacing w:lineRule="exact" w:line="253"/>
        <w:ind w:left="0" w:right="0" w:hanging="0"/>
        <w:jc w:val="both"/>
        <w:rPr/>
      </w:pPr>
      <w:r>
        <w:rPr/>
        <w:t xml:space="preserve">Участниците обсъдиха два въпроса, свързани с политиките на ЕС: </w:t>
      </w:r>
      <w:r>
        <w:rPr>
          <w:b/>
        </w:rPr>
        <w:t>ролята и правомощията, които ЕС би могъл да има във външната политика</w:t>
      </w:r>
      <w:r>
        <w:rPr/>
        <w:t xml:space="preserve">, както и </w:t>
      </w:r>
      <w:r>
        <w:rPr>
          <w:b/>
        </w:rPr>
        <w:t>икономическата роля на ЕС</w:t>
      </w:r>
      <w:r>
        <w:rPr/>
        <w:t>.</w:t>
      </w:r>
      <w:r>
        <w:rPr>
          <w:b/>
        </w:rPr>
        <w:t xml:space="preserve"> </w:t>
      </w:r>
      <w:r>
        <w:rPr/>
        <w:t xml:space="preserve">На това събитие всеки от тези въпроси беше предмет на отделна сесия, в началото на която експертите по политиката на ЕС Линас Кояла (RESC) и Рамунас Вилпишаускас (професор във Вилнюския университет) за кратко запознаха гражданите с актуалността и проблемите на темата на сесията. По време на дискусията гражданите имаха възможност да задават въпроси и да споделят мненията си. След експертните презентации участниците бяха разделени на три по-малки представителни групи, за да размишляват по различен въпрос, свързан с темата на сесията. Обсъдените външнополитически въпроси бяха, както следва: </w:t>
      </w:r>
    </w:p>
    <w:p>
      <w:pPr>
        <w:pStyle w:val="P68B1DB1Normal76"/>
        <w:widowControl w:val="false"/>
        <w:spacing w:lineRule="exact" w:line="253"/>
        <w:ind w:left="720" w:right="1" w:hanging="0"/>
        <w:jc w:val="left"/>
        <w:rPr/>
      </w:pPr>
      <w:r>
        <w:rPr>
          <w:b/>
        </w:rPr>
        <w:t>1.1.</w:t>
      </w:r>
      <w:r>
        <w:rPr/>
        <w:t xml:space="preserve"> Необходима ли е автономна политика на ЕС в областта на отбраната и външната политика?</w:t>
      </w:r>
    </w:p>
    <w:p>
      <w:pPr>
        <w:pStyle w:val="P68B1DB1Normal76"/>
        <w:widowControl w:val="false"/>
        <w:spacing w:lineRule="exact" w:line="253"/>
        <w:ind w:left="720" w:right="1" w:hanging="0"/>
        <w:jc w:val="left"/>
        <w:rPr/>
      </w:pPr>
      <w:r>
        <w:rPr>
          <w:b/>
        </w:rPr>
        <w:t>1.2.</w:t>
      </w:r>
      <w:r>
        <w:rPr/>
        <w:t xml:space="preserve"> Какви трябва да бъдат отношенията на ЕС с източноевропейските му съседи, Северна Африка и Турция? </w:t>
      </w:r>
    </w:p>
    <w:p>
      <w:pPr>
        <w:pStyle w:val="P68B1DB1Normal76"/>
        <w:widowControl w:val="false"/>
        <w:spacing w:lineRule="exact" w:line="379"/>
        <w:ind w:left="720" w:right="0" w:hanging="0"/>
        <w:jc w:val="left"/>
        <w:rPr/>
      </w:pPr>
      <w:r>
        <w:rPr>
          <w:b/>
        </w:rPr>
        <w:t>1.3.</w:t>
      </w:r>
      <w:r>
        <w:rPr/>
        <w:t xml:space="preserve"> Каква трябва да бъде миграционната политика на ЕС? </w:t>
      </w:r>
    </w:p>
    <w:p>
      <w:pPr>
        <w:pStyle w:val="P68B1DB1Normal76"/>
        <w:widowControl w:val="false"/>
        <w:spacing w:lineRule="exact" w:line="254"/>
        <w:ind w:left="0" w:right="0" w:hanging="0"/>
        <w:jc w:val="left"/>
        <w:rPr/>
      </w:pPr>
      <w:r>
        <w:rPr/>
        <w:t xml:space="preserve">Сесията относно икономическата роля на ЕС даде повод за размисъл по следните въпроси: </w:t>
      </w:r>
    </w:p>
    <w:p>
      <w:pPr>
        <w:pStyle w:val="P68B1DB1Normal76"/>
        <w:widowControl w:val="false"/>
        <w:spacing w:lineRule="exact" w:line="254"/>
        <w:ind w:left="720" w:right="0" w:hanging="0"/>
        <w:jc w:val="left"/>
        <w:rPr/>
      </w:pPr>
      <w:r>
        <w:rPr>
          <w:b/>
        </w:rPr>
        <w:t xml:space="preserve">2.1. </w:t>
      </w:r>
      <w:r>
        <w:rPr/>
        <w:t xml:space="preserve">Има ли нужда от по-голямо преразпределение на средствата от бюджета на ЕС, от общия дълг на ЕС? </w:t>
      </w:r>
    </w:p>
    <w:p>
      <w:pPr>
        <w:pStyle w:val="P68B1DB1Normal76"/>
        <w:widowControl w:val="false"/>
        <w:spacing w:lineRule="exact" w:line="379"/>
        <w:ind w:left="720" w:right="0" w:hanging="0"/>
        <w:jc w:val="left"/>
        <w:rPr/>
      </w:pPr>
      <w:r>
        <w:rPr>
          <w:b/>
        </w:rPr>
        <w:t xml:space="preserve">2.2. </w:t>
      </w:r>
      <w:r>
        <w:rPr/>
        <w:t>Трябва ли социалните стандарти да бъдат регулирани на равнище ЕС?</w:t>
      </w:r>
      <w:r>
        <w:rPr>
          <w:b/>
        </w:rPr>
        <w:t xml:space="preserve"> </w:t>
      </w:r>
    </w:p>
    <w:p>
      <w:pPr>
        <w:pStyle w:val="P68B1DB1Normal76"/>
        <w:widowControl w:val="false"/>
        <w:spacing w:lineRule="exact" w:line="379"/>
        <w:ind w:left="720" w:right="0" w:hanging="0"/>
        <w:jc w:val="left"/>
        <w:rPr/>
      </w:pPr>
      <w:r>
        <w:rPr>
          <w:b/>
        </w:rPr>
        <w:t>2.3.</w:t>
      </w:r>
      <w:r>
        <w:rPr/>
        <w:t xml:space="preserve"> Как да се укрепи икономиката на ЕС? </w:t>
      </w:r>
    </w:p>
    <w:p>
      <w:pPr>
        <w:pStyle w:val="P68B1DB1Normal76"/>
        <w:widowControl w:val="false"/>
        <w:spacing w:lineRule="auto" w:line="240"/>
        <w:ind w:left="0" w:right="0" w:hanging="0"/>
        <w:jc w:val="both"/>
        <w:rPr/>
      </w:pPr>
      <w:r>
        <w:rPr/>
        <w:t xml:space="preserve">В края на сесията всяка група трябваше да формулира основните заключения от дискусията, да направи принципни изявления или конкретни предложения по въпроси, свързани с политиката на ЕС. По време на дискусията с целия панел представителят на всяка група представи тези констатации на останалите участници. Тези, които са били в други групи, бяха в състояние да задават въпроси и да допълнят предложенията с идеите си. След презентациите и дебатите гражданите гласуваха по две от тези заключения, като гласуваха за най-важното предложение или декларация за ролята на Литва за укрепването на ЕС и успеха на ЕС дори в цяла Европа; а другият глас за изявлението или предложението, те изглеждат най-важни в личното си качество, в техен интерес като жител на ЕС. След това гласуване се проведе дебат в панела и бяха обсъдени основните идеи, които излязоха от дискусиите. </w:t>
      </w:r>
    </w:p>
    <w:p>
      <w:pPr>
        <w:pStyle w:val="P68B1DB1Normal76"/>
        <w:widowControl w:val="false"/>
        <w:spacing w:lineRule="auto" w:line="240"/>
        <w:ind w:left="0" w:right="0" w:hanging="0"/>
        <w:jc w:val="both"/>
        <w:rPr/>
      </w:pPr>
      <w:r>
        <w:rPr/>
        <w:t xml:space="preserve">През седмицата след събитието експертите разгледаха съдържанието на дискусиите и разкриха същността на идеите, предложени от гражданите. На 25 януари се проведе виртуална речна сесия и бяха споделени препоръки от съдържанието на дискусиите им с гражданите. Гражданите получиха възможност да кажат дали са одобрили препоръките, да ги допълнят по същество и да ги оценят. Всички участници отново имаха тази възможност една седмица след заключителната сесия, като изпратиха своите мнения и коментари в писмен вид до организаторите на панела.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P68B1DB1Normal98"/>
        <w:widowControl w:val="false"/>
        <w:spacing w:lineRule="auto" w:line="240" w:before="82" w:after="0"/>
        <w:ind w:left="0" w:right="0" w:hanging="0"/>
        <w:jc w:val="left"/>
        <w:rPr/>
      </w:pPr>
      <w:r>
        <w:rPr/>
        <w:t xml:space="preserve">2. </w:t>
      </w:r>
      <w:r>
        <w:rPr>
          <w:i/>
        </w:rPr>
        <w:t>Резултати от Националния граждански панел</w:t>
      </w:r>
      <w:r>
        <w:rPr/>
        <w:t xml:space="preserve"> </w:t>
      </w:r>
    </w:p>
    <w:p>
      <w:pPr>
        <w:pStyle w:val="P68B1DB1Normal76"/>
        <w:widowControl w:val="false"/>
        <w:spacing w:lineRule="auto" w:line="240" w:before="70" w:after="0"/>
        <w:ind w:left="0" w:right="1" w:hanging="0"/>
        <w:jc w:val="both"/>
        <w:rPr/>
      </w:pPr>
      <w:r>
        <w:rPr/>
        <w:t xml:space="preserve">Тази част от доклада показва резултатите от гражданския панел с препоръките на участниците в работните групи и техните позиции за ролята на ЕС във външната политика и икономиката.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left"/>
        <w:rPr/>
      </w:pPr>
      <w:r>
        <w:rPr>
          <w:b/>
        </w:rPr>
        <w:t>Първа сесия:</w:t>
      </w:r>
      <w:r>
        <w:rPr/>
        <w:t xml:space="preserve"> </w:t>
      </w:r>
      <w:r>
        <w:rPr>
          <w:b/>
        </w:rPr>
        <w:t>роля и компетентност на ЕС във външната политика</w:t>
      </w:r>
    </w:p>
    <w:p>
      <w:pPr>
        <w:pStyle w:val="P68B1DB1Normal99"/>
        <w:widowControl w:val="false"/>
        <w:spacing w:lineRule="auto" w:line="240" w:before="39" w:after="0"/>
        <w:ind w:left="468" w:right="0" w:hanging="0"/>
        <w:jc w:val="left"/>
        <w:rPr/>
      </w:pPr>
      <w:r>
        <w:rPr/>
        <w:t xml:space="preserve">1. Призоваваме ЕС да разработи по-ефективна политика по отношение на Китай. Литва трябва да получи по-решителна подкрепа, но също така следва да приведе позицията си в по-голяма степен в съответствие с тази на партньорите на ЕС. За да се гарантира, че интересите могат да бъдат по-добре балансирани в рамките на ЕС и че има само една политика по отношение на Китай, както и по други въпроси на външната политика, препоръчваме да се обмисли възможността за създаване на външен министър на ЕС. </w:t>
      </w:r>
    </w:p>
    <w:p>
      <w:pPr>
        <w:pStyle w:val="P68B1DB1Normal99"/>
        <w:widowControl w:val="false"/>
        <w:spacing w:lineRule="auto" w:line="240" w:before="78" w:after="0"/>
        <w:ind w:left="468" w:right="341" w:hanging="0"/>
        <w:jc w:val="left"/>
        <w:rPr/>
      </w:pPr>
      <w:r>
        <w:rPr/>
        <w:t xml:space="preserve">2. Препоръчваме да се включи в дневния ред въпросът за квотите за мигранти на равнище ЕС. </w:t>
      </w:r>
    </w:p>
    <w:p>
      <w:pPr>
        <w:pStyle w:val="P68B1DB1Normal99"/>
        <w:widowControl w:val="false"/>
        <w:spacing w:lineRule="auto" w:line="240" w:before="78" w:after="0"/>
        <w:ind w:left="468" w:right="0" w:hanging="0"/>
        <w:jc w:val="left"/>
        <w:rPr/>
      </w:pPr>
      <w:r>
        <w:rPr/>
        <w:t>3. Сметната палата препоръчва създаването на специален комитет на равнище ЕС за справяне с въпросите, свързани с миграцията, който да гарантира по-бърз отговор на миграционните кризи и правото на държавите членки да обясняват и защитават националните си интереси, както и да разработват и прилагат общи насоки за управление на миграцията.</w:t>
      </w:r>
    </w:p>
    <w:p>
      <w:pPr>
        <w:pStyle w:val="P68B1DB1Normal99"/>
        <w:widowControl w:val="false"/>
        <w:spacing w:lineRule="auto" w:line="240" w:before="78" w:after="0"/>
        <w:ind w:left="468" w:right="0" w:hanging="0"/>
        <w:jc w:val="left"/>
        <w:rPr/>
      </w:pPr>
      <w:r>
        <w:rPr/>
        <w:t xml:space="preserve">4. Препоръчваме да се засилят икономическите и хуманитарните връзки със страните от Северна Африка, без да се забравят политическите реалности, по-специално с оглед намаляване на влиянието на Китай, Русия и други държави в региона. </w:t>
      </w:r>
    </w:p>
    <w:p>
      <w:pPr>
        <w:pStyle w:val="P68B1DB1Normal99"/>
        <w:widowControl w:val="false"/>
        <w:spacing w:lineRule="auto" w:line="240" w:before="78" w:after="0"/>
        <w:ind w:left="468" w:right="466" w:hanging="0"/>
        <w:jc w:val="left"/>
        <w:rPr/>
      </w:pPr>
      <w:r>
        <w:rPr/>
        <w:t xml:space="preserve">5. Препоръчваме да се засилят връзките с Източна Европа и да се насърчат икономическите мерки на лично ниво. </w:t>
      </w:r>
    </w:p>
    <w:p>
      <w:pPr>
        <w:pStyle w:val="P68B1DB1Normal99"/>
        <w:widowControl w:val="false"/>
        <w:spacing w:lineRule="auto" w:line="240" w:before="78" w:after="0"/>
        <w:ind w:left="468" w:right="286" w:hanging="0"/>
        <w:jc w:val="left"/>
        <w:rPr/>
      </w:pPr>
      <w:r>
        <w:rPr/>
        <w:t xml:space="preserve">6. Настояваме санкциите, наложени от ЕС на чуждестранни участници, да бъдат по-строги, по-целенасочени и да се отнасят до важни фигури на санкционираната държава (напр. политически лидери). </w:t>
      </w:r>
    </w:p>
    <w:p>
      <w:pPr>
        <w:pStyle w:val="P68B1DB1Normal99"/>
        <w:widowControl w:val="false"/>
        <w:spacing w:lineRule="auto" w:line="240" w:before="78" w:after="0"/>
        <w:ind w:left="466" w:right="295" w:hanging="0"/>
        <w:jc w:val="left"/>
        <w:rPr/>
      </w:pPr>
      <w:r>
        <w:rPr/>
        <w:t>7. Настояваме общата външна политика и политика на сигурност на ЕС да се основава на основния принцип на солидарност между различните държави — членки на ЕС, и различните европейски региони и общества.</w:t>
      </w:r>
    </w:p>
    <w:p>
      <w:pPr>
        <w:pStyle w:val="P68B1DB1Normal99"/>
        <w:widowControl w:val="false"/>
        <w:spacing w:lineRule="auto" w:line="240" w:before="78" w:after="0"/>
        <w:ind w:left="466" w:right="295" w:hanging="0"/>
        <w:jc w:val="left"/>
        <w:rPr/>
      </w:pPr>
      <w:r>
        <w:rPr/>
        <w:t xml:space="preserve">8. Препоръчваме ЕС да преразгледа досегашната политика на откритост по отношение на миграцията, която създава проблеми със сигурността, увеличаване на престъпността и установяване на комунитаризъм в обществото. </w:t>
      </w:r>
    </w:p>
    <w:p>
      <w:pPr>
        <w:pStyle w:val="P68B1DB1Normal99"/>
        <w:widowControl w:val="false"/>
        <w:spacing w:lineRule="auto" w:line="240" w:before="78" w:after="0"/>
        <w:ind w:left="468" w:right="0" w:hanging="0"/>
        <w:jc w:val="left"/>
        <w:rPr/>
      </w:pPr>
      <w:r>
        <w:rPr/>
        <w:t xml:space="preserve">9. Приканваме Литва да говори по-активно по въпросите на миграционната политика и да започне дискусии по въпроси, свързани с миграцията. </w:t>
      </w:r>
    </w:p>
    <w:p>
      <w:pPr>
        <w:pStyle w:val="P68B1DB1Normal99"/>
        <w:widowControl w:val="false"/>
        <w:spacing w:lineRule="auto" w:line="240" w:before="78" w:after="0"/>
        <w:ind w:left="468" w:right="0" w:hanging="0"/>
        <w:jc w:val="left"/>
        <w:rPr>
          <w:rFonts w:ascii="Arial" w:hAnsi="Arial"/>
          <w:color w:val="000000"/>
          <w:sz w:val="20"/>
        </w:rPr>
      </w:pPr>
      <w:r>
        <w:rPr/>
        <w:t xml:space="preserve">10. Препоръчваме на ЕС да провежда активна и строга политика по отношение на държавите, които използват миграционните потоци като оръжие при хибридни атаки: от една страна, чрез прилагане на по-строги санкции, а от друга — чрез диалог с тях с оглед на деескалация. </w:t>
      </w:r>
    </w:p>
    <w:p>
      <w:pPr>
        <w:pStyle w:val="P68B1DB1Normal100"/>
        <w:widowControl w:val="false"/>
        <w:spacing w:lineRule="auto" w:line="240" w:before="111" w:after="0"/>
        <w:ind w:left="0" w:right="0" w:hanging="0"/>
        <w:jc w:val="left"/>
        <w:rPr>
          <w:rFonts w:ascii="Arial" w:hAnsi="Arial"/>
          <w:b/>
          <w:b/>
          <w:i/>
          <w:i/>
          <w:color w:val="000000"/>
          <w:sz w:val="22"/>
        </w:rPr>
      </w:pPr>
      <w:r>
        <w:rPr/>
        <w:t xml:space="preserve"> </w:t>
      </w:r>
    </w:p>
    <w:p>
      <w:pPr>
        <w:pStyle w:val="P68B1DB1Normal100"/>
        <w:widowControl w:val="false"/>
        <w:spacing w:lineRule="auto" w:line="240"/>
        <w:ind w:left="0" w:right="0" w:hanging="0"/>
        <w:jc w:val="left"/>
        <w:rPr>
          <w:rFonts w:ascii="Arial" w:hAnsi="Arial"/>
          <w:b/>
          <w:b/>
          <w:i/>
          <w:i/>
          <w:color w:val="000000"/>
          <w:sz w:val="22"/>
        </w:rPr>
      </w:pPr>
      <w:r>
        <w:rPr/>
        <w:t xml:space="preserve">Втора сесия: икономическа роля на ЕС </w:t>
      </w:r>
    </w:p>
    <w:p>
      <w:pPr>
        <w:pStyle w:val="P68B1DB1Normal99"/>
        <w:widowControl w:val="false"/>
        <w:spacing w:lineRule="auto" w:line="240"/>
        <w:ind w:left="828" w:right="142" w:hanging="359"/>
        <w:jc w:val="both"/>
        <w:rPr/>
      </w:pPr>
      <w:r>
        <w:rPr/>
        <w:t xml:space="preserve">1. Сметната палата препоръчва на ЕС да засили сигурността на доставките на стоки от първа необходимост чрез различни средства: даване на приоритет на вътрешната търговия на ЕС, насърчаване на производството на авангардни технологии и по-нататъшно разнообразяване на източниците на внос. Също така препоръчваме да се проучат нови пазари за износ. </w:t>
      </w:r>
    </w:p>
    <w:p>
      <w:pPr>
        <w:pStyle w:val="P68B1DB1Normal99"/>
        <w:widowControl w:val="false"/>
        <w:spacing w:lineRule="auto" w:line="240" w:before="83" w:after="0"/>
        <w:ind w:left="828" w:right="143" w:hanging="359"/>
        <w:jc w:val="both"/>
        <w:rPr/>
      </w:pPr>
      <w:r>
        <w:rPr/>
        <w:t xml:space="preserve">2. Препоръчваме да се преразгледат практиките на договаряне на договори за природен газ с оглед както на краткосрочни, така и на дългосрочни договори. Препоръчваме по-нататъшно разнообразяване на източниците на енергоснабдяване. </w:t>
      </w:r>
    </w:p>
    <w:p>
      <w:pPr>
        <w:pStyle w:val="P68B1DB1Normal99"/>
        <w:widowControl w:val="false"/>
        <w:spacing w:lineRule="auto" w:line="240" w:before="83" w:after="0"/>
        <w:ind w:left="828" w:right="143" w:hanging="359"/>
        <w:jc w:val="both"/>
        <w:rPr/>
      </w:pPr>
      <w:r>
        <w:rPr/>
        <w:t xml:space="preserve">3. Сметната палата препоръчва мерките на Зеления пакт и тяхното прилагане да бъдат оценени, като се вземат предвид потенциалните отрицателни социално-икономически въздействия. За да се постигнат целите на Зеления пакт, препоръчваме ядрената енергия и природният газ да се използват в допълнение към използването на възобновяеми енергийни източници. </w:t>
      </w:r>
    </w:p>
    <w:p>
      <w:pPr>
        <w:pStyle w:val="P68B1DB1Normal99"/>
        <w:widowControl w:val="false"/>
        <w:spacing w:lineRule="auto" w:line="240" w:before="83" w:after="0"/>
        <w:ind w:left="828" w:right="143" w:hanging="359"/>
        <w:jc w:val="both"/>
        <w:rPr/>
      </w:pPr>
      <w:r>
        <w:rPr/>
        <w:t xml:space="preserve">4. Подчертаваме, че е особено важно всички държави членки да спазват принципа на предимство на правото на ЕС. С пример молим Литва да има ясна принципна позиция по този въпрос. </w:t>
      </w:r>
    </w:p>
    <w:p>
      <w:pPr>
        <w:pStyle w:val="P68B1DB1Normal99"/>
        <w:widowControl w:val="false"/>
        <w:spacing w:lineRule="auto" w:line="240" w:before="83" w:after="0"/>
        <w:ind w:left="828" w:right="142" w:hanging="359"/>
        <w:jc w:val="both"/>
        <w:rPr/>
      </w:pPr>
      <w:r>
        <w:rPr/>
        <w:t>5. Препоръчваме на Литва да използва по-активно добрите практики от страните от ЕС с цел по-високи социални стандарти, икономическа експанзия и балансирано и устойчиво развитие.</w:t>
      </w:r>
    </w:p>
    <w:p>
      <w:pPr>
        <w:pStyle w:val="P68B1DB1Normal99"/>
        <w:widowControl w:val="false"/>
        <w:spacing w:lineRule="auto" w:line="240" w:before="83" w:after="0"/>
        <w:ind w:left="828" w:right="142" w:hanging="359"/>
        <w:jc w:val="both"/>
        <w:rPr/>
      </w:pPr>
      <w:r>
        <w:rPr/>
        <w:t xml:space="preserve">6. Препоръчваме да се обърне повече внимание на укрепването на киберсигурността, както и на защитата на данните и инфраструктурата. </w:t>
      </w:r>
    </w:p>
    <w:p>
      <w:pPr>
        <w:pStyle w:val="P68B1DB1Normal99"/>
        <w:widowControl w:val="false"/>
        <w:spacing w:lineRule="auto" w:line="240" w:before="83" w:after="0"/>
        <w:ind w:left="821" w:right="143" w:hanging="354"/>
        <w:jc w:val="both"/>
        <w:rPr/>
      </w:pPr>
      <w:r>
        <w:rPr/>
        <w:t xml:space="preserve">7. Препоръчваме на ЕС и държавите членки да дадат приоритет на развитието на основни икономически знания сред гражданите, образованието и разпространението на информация. </w:t>
      </w:r>
    </w:p>
    <w:p>
      <w:pPr>
        <w:pStyle w:val="P68B1DB1Normal99"/>
        <w:widowControl w:val="false"/>
        <w:spacing w:lineRule="auto" w:line="240" w:before="45" w:after="0"/>
        <w:ind w:left="821" w:right="143" w:hanging="354"/>
        <w:jc w:val="both"/>
        <w:rPr/>
      </w:pPr>
      <w:r>
        <w:rPr/>
        <w:t xml:space="preserve">8. Препоръчваме новите търговски споразумения на ЕС да включват амбициозни социални, трудови и здравни стандарти. Сметната палата препоръчва създаването на равнище ЕС на насоки за това какво да правят и нямат право да извършват социални медийни платформи, които управляват личните данни на потребителите и информацията за тях. </w:t>
      </w:r>
    </w:p>
    <w:p>
      <w:pPr>
        <w:pStyle w:val="P68B1DB1Normal99"/>
        <w:widowControl w:val="false"/>
        <w:spacing w:lineRule="auto" w:line="240" w:before="42" w:after="0"/>
        <w:ind w:left="821" w:right="143" w:hanging="354"/>
        <w:jc w:val="both"/>
        <w:rPr/>
      </w:pPr>
      <w:r>
        <w:rPr/>
        <w:t>9. Сметната палата препоръчва допълнително обсъждане на възможността за съвместно вземане на заеми на равнище ЕС, за да се получат възможно най-добрите условия за получаване на заеми. Препоръчваме също така да се разработи финансово стабилна и отговорна политика за намаляване на необходимостта от задлъжнялост на държавите членки.</w:t>
      </w:r>
    </w:p>
    <w:p>
      <w:pPr>
        <w:pStyle w:val="P68B1DB1Normal99"/>
        <w:widowControl w:val="false"/>
        <w:spacing w:lineRule="auto" w:line="240" w:before="42" w:after="0"/>
        <w:ind w:left="821" w:right="143" w:hanging="354"/>
        <w:jc w:val="both"/>
        <w:rPr/>
      </w:pPr>
      <w:r>
        <w:rPr/>
        <w:t>10. Препоръчваме да се засили мониторингът на усвояването и използването на средствата от ЕС, като се помогне на местните власти да установят реална практика за адаптиране на използването на средствата. Тъй като обективното положение на бенефициерите на средства от ЕС може да се промени, връзката между изискванията за прозрачност и гъвкавост е от особено значение.</w:t>
      </w:r>
    </w:p>
    <w:p>
      <w:pPr>
        <w:pStyle w:val="P68B1DB1Normal99"/>
        <w:widowControl w:val="false"/>
        <w:spacing w:lineRule="auto" w:line="240" w:before="42" w:after="0"/>
        <w:ind w:left="821" w:right="143" w:hanging="354"/>
        <w:jc w:val="both"/>
        <w:rPr/>
      </w:pPr>
      <w:r>
        <w:rPr/>
        <w:t xml:space="preserve">11. Препоръчваме на Литва да продължи активно да насърчава икономическото развитие и инвестициите в регионите на страната. </w:t>
      </w:r>
    </w:p>
    <w:p>
      <w:pPr>
        <w:pStyle w:val="P68B1DB1Normal35"/>
        <w:widowControl w:val="false"/>
        <w:spacing w:lineRule="auto" w:line="240" w:before="62" w:after="0"/>
        <w:ind w:left="0" w:right="0" w:hanging="0"/>
        <w:jc w:val="left"/>
        <w:rPr>
          <w:rFonts w:ascii="Arial" w:hAnsi="Arial"/>
          <w:b/>
          <w:b/>
          <w:color w:val="000000"/>
          <w:sz w:val="22"/>
        </w:rPr>
      </w:pPr>
      <w:r>
        <w:rPr/>
        <w:t xml:space="preserve"> </w:t>
      </w:r>
    </w:p>
    <w:p>
      <w:pPr>
        <w:pStyle w:val="P68B1DB1Normal96"/>
        <w:widowControl w:val="false"/>
        <w:spacing w:lineRule="auto" w:line="240" w:before="16" w:after="0"/>
        <w:ind w:left="720" w:right="0" w:hanging="0"/>
        <w:jc w:val="left"/>
        <w:rPr/>
      </w:pPr>
      <w:r>
        <w:rPr/>
        <w:t xml:space="preserve">3. Дискусии в Националния граждански панел и анализ на резултатите </w:t>
      </w:r>
    </w:p>
    <w:p>
      <w:pPr>
        <w:pStyle w:val="P68B1DB1Normal76"/>
        <w:widowControl w:val="false"/>
        <w:spacing w:lineRule="auto" w:line="240" w:before="46" w:after="0"/>
        <w:ind w:left="0" w:right="29" w:hanging="0"/>
        <w:jc w:val="both"/>
        <w:rPr/>
      </w:pPr>
      <w:r>
        <w:rPr/>
        <w:t xml:space="preserve">Участниците в Националния граждански панел обсъдиха най-важните актуални въпроси за Литва (главно обсъждани на национално равнище на политическата и медийната сцена) и как да се справят с тях. Общото гласуване на основните заключения на експертната група показа, че почти 45 % от всички подадени по време на двете сесии гласове са били посветени на предложения по две теми: отношения с Китай и контрол на миграционните потоци (вж. таблицата по-долу). Темата на енергийната политика също привлече много внимание. То беше предмет само на едно предложение, но получи гласовете на почти 10 % от участниците. Резултатът от тези гласувания показва, че възприятията на гражданите за бъдещето на Европа биха могли да бъдат решаващи за днешните политически въпроси и новини (на национално равнище). </w:t>
      </w:r>
    </w:p>
    <w:p>
      <w:pPr>
        <w:pStyle w:val="P68B1DB1Normal76"/>
        <w:widowControl w:val="false"/>
        <w:spacing w:lineRule="auto" w:line="240"/>
        <w:ind w:left="0" w:right="0" w:hanging="0"/>
        <w:jc w:val="left"/>
        <w:rPr>
          <w:rFonts w:ascii="Arial" w:hAnsi="Arial"/>
          <w:color w:val="000000"/>
          <w:sz w:val="22"/>
        </w:rPr>
      </w:pPr>
      <w:r>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Препоръка</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Гласуване</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Първа сесия: роля и компетентност на ЕС във външната политика</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Призоваваме ЕС да разработи по-ефективна политика по отношение на Китай. Настоящата подкрепа за Литва не е достатъчна, но Литва също така не е съгласувала в достатъчна степен позицията си с тази на партньорите от ЕС. За да се гарантира, че интересите могат да бъдат по-добре балансирани в рамките на ЕС и че има само една политика по отношение на Китай, както и по други въпроси на външната политика, препоръчваме да се обмисли възможността за създаване на външен министър на ЕС.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11 (22,9 %) важни за цяла Европа: 8; в лично качество: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Препоръчваме да се включи в дневния ред въпросът за квотите за мигранти на равнище ЕС.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(18,8 %) важни за цяла Европа: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rFonts w:ascii="Garamond" w:hAnsi="Garamond"/>
                <w:color w:val="000000"/>
              </w:rPr>
            </w:pPr>
            <w:r>
              <w:rPr/>
              <w:t xml:space="preserve">3. Сметната палата препоръчва създаването на специален комитет на равнище ЕС за справяне с въпросите, свързани с миграцията, който да гарантира по-бърз отговор на миграционните кризи и правото на държавите членки да обясняват и защитават националните си интереси, както и да разработват и прилагат общи насоки за управление на миграцията.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7 (14,6 %) важни за цяла Европа: 3; в лично качество: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Препоръчваме да се засилят икономическите и хуманитарните връзки със страните от Северна Африка, без да се забравят политическите реалности, по-специално с оглед намаляване на влиянието на Китай, Русия и други държави в региона.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(12,5 %) важни за личното качество: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Препоръчваме укрепване на връзките с Източна Европа и прилагане на икономически мерки на равнището на хората.</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(10,4 %) важни лично: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 xml:space="preserve">Втора сесия: икономическа роля на ЕС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Сметната палата препоръчва на ЕС да предприеме различни стъпки за повишаване на сигурността на доставките на стоки от първа необходимост: приоритизиране на търговията в рамките на ЕС, насърчаване на производството на авангардни технологии в рамките на ЕС и по-нататъшно разнообразяване на източниците на внос. Също така препоръчваме да се проучат нови пазари за износ.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(19,6 %) важни за цяла Европа: 3; лично: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Препоръчваме да се преразгледат практиките на договаряне на договори за природен газ с оглед както на краткосрочни, така и на дългосрочни договори. Препоръчваме по-нататъшно разнообразяване на източниците на енергоснабдяване.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9 (19,6 %) важни за цяла Европа: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3. Сметната палата препоръчва мерките на Зеления пакт и тяхното прилагане да бъдат оценени, като се вземат предвид потенциалните отрицателни социално-икономически въздействия. За да се постигнат целите на Зеления пакт, препоръчваме ядрената енергия и природният газ да се използват в допълнение към използването на възобновяеми енергийни източници.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(13 %) важни в лично качество: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Подчертаваме, че е важно всички държави членки да спазват принципа на предимство на правото на ЕС. С пример молим Литва да има ясна принципна позиция по този въпрос.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4 (8,7 %) важни за цяла Европа: 2; в лично качество: 2</w:t>
            </w:r>
          </w:p>
        </w:tc>
      </w:tr>
    </w:tbl>
    <w:p>
      <w:pPr>
        <w:pStyle w:val="P68B1DB1Normal97"/>
        <w:spacing w:lineRule="auto" w:line="240"/>
        <w:rPr>
          <w:rFonts w:ascii="Garamond" w:hAnsi="Garamond"/>
          <w:color w:val="000000"/>
          <w:sz w:val="22"/>
        </w:rPr>
      </w:pPr>
      <w:r>
        <w:rPr/>
        <w:t xml:space="preserve"> </w:t>
      </w:r>
    </w:p>
    <w:p>
      <w:pPr>
        <w:pStyle w:val="P68B1DB1Normal76"/>
        <w:widowControl w:val="false"/>
        <w:spacing w:lineRule="auto" w:line="240" w:before="48" w:after="0"/>
        <w:ind w:left="0" w:right="0" w:hanging="0"/>
        <w:jc w:val="both"/>
        <w:rPr/>
      </w:pPr>
      <w:r>
        <w:rPr/>
        <w:t xml:space="preserve">Освен това най-важните въпроси за гражданите, а именно отношенията с Китай, миграцията или енергетиката, са временни: тяхната резолюция ще има основно въздействие върху дългосрочното бъдеще на Европа. Следователно вероятността гражданите, мислещи за бъдещето, да дадат приоритет на това, което е важно в момента, не е проблематично. Тъй като днес изграждането на бъдещето започва с множество малки стъпки, възприемането на очакванията на гражданите в краткосрочен план е съществено условие за осигуряване на силен дългосрочен контрол на процесите и решаване на проблеми. Анализът по-долу на основните резултати от панела на националните граждани се основава на това наблюдение.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rPr/>
      </w:pPr>
      <w:r>
        <w:rPr/>
        <w:t>Резолюцията, която получава най-голям брой гласове (11 или почти 12 %), е, че</w:t>
      </w:r>
      <w:r>
        <w:rPr>
          <w:b/>
        </w:rPr>
        <w:t xml:space="preserve"> ЕС се нуждае от по-ефективна политика по отношение на Китай</w:t>
      </w:r>
      <w:r>
        <w:rPr/>
        <w:t xml:space="preserve">. Това общо заключение обхвана няколко по-конкретни изявления. Първо, участниците подчертаха, че на този етап подкрепата на ЕС за Литва в условията на икономически натиск от страна на Китай не е била достатъчна. На второ място, представителите на групата, които представиха заключението, подчертаха, че самата Литва следва да положи по-големи усилия за хармонизиране на политиката си по отношение на Китай с тази на партньорите на ЕС, по-специално защото е важно ЕС като цяло да продължи да се занимава с търговия с Китай. Трето, гражданите повдигнаха идеята, че координацията на позициите и разработването на обща политика по отношение на Китай в частност биха могли да бъдат по-ефективни, ако бъде установен външен министър на ЕС. Осем участници заявиха, че това заключение е особено важно за цяла Европа, а други трима го обявиха за важно в лично качество.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Въпросът за отношенията с Китай е тясно свързан с две други предложения с голям брой гласове на гражданите. Девет участници гласуваха в подкрепа на заключението, направено по време на втората сесия, че </w:t>
      </w:r>
      <w:r>
        <w:rPr>
          <w:b/>
        </w:rPr>
        <w:t>ЕС трябва да укрепи сигурността на доставките</w:t>
      </w:r>
      <w:r>
        <w:rPr/>
        <w:t xml:space="preserve"> (трима участници посочиха, че това е особено важно за цяла Европа и шест други, че това е за тях в лично качество). Това заключение включва и няколко аспекта. Първо, гражданите подчертаха необходимостта да се даде приоритет на пазарите на ЕС, които се характеризират с надеждни доставчици и продукти, които отговарят на строги стандарти. На второ място, участниците подчертаха необходимостта от насърчаване на високотехнологичния производствен капацитет в самата Европа. Трето, гражданите изразиха подкрепа за по-голяма диверсификация на източниците на внос. При формулирането на тези препоръки участниците в дискусията последователно се позовават на фактора на Китай: заплахите за сигурността, свързани с китайските стоки, зависимостта от китайските суровини, необходими за производството на модерни технологии, както и практиките на Китай за копиране и кражба на технологии от западни компании, работещи на неговия пазар. Предложението за</w:t>
      </w:r>
      <w:r>
        <w:rPr>
          <w:b/>
        </w:rPr>
        <w:t xml:space="preserve"> развитие на икономическото и хуманитарното сътрудничество на ЕС с държавите от Северна Африка</w:t>
      </w:r>
      <w:r>
        <w:rPr/>
        <w:t xml:space="preserve"> също получи шест гласа (важни в лично качество) на основание, че в този регион е важно да се намали влиянието на Китай, както и на Русия и други приятелски държави.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Резултатите от гласуването отразяват и опасенията на гражданите по въпросите на миграцията. Две от трите най-гласовити открития във външната политика са посветени на миграцията. Девет участници гласуваха в подкрепа на предложението </w:t>
      </w:r>
      <w:r>
        <w:rPr>
          <w:b/>
        </w:rPr>
        <w:t>ЕС да се върне към създаването на система от задължителни квоти за приемане на мигранти за държавите членки</w:t>
      </w:r>
      <w:r>
        <w:rPr/>
        <w:t xml:space="preserve"> (всички подчертаха, че това предложение е от особено значение за цяла Европа). Участниците, които направиха това заключение, изразиха подкрепа за определяне на националните квоти в зависимост от броя на жителите и за съфинансиране от ЕС, за да се отговори на нуждите на мигрантите в съответствие с тези квоти. Седем участници все още гласуваха в подкрепа на предложението </w:t>
      </w:r>
      <w:r>
        <w:rPr>
          <w:b/>
        </w:rPr>
        <w:t>за създаване на постоянна техническа комисия на равнище ЕС, която да се занимава с въпросите на миграцията, в която да бъдат командировани представители на държавите членки</w:t>
      </w:r>
      <w:r>
        <w:rPr/>
        <w:t xml:space="preserve"> (трима участници считат това предложение за особено важно за Европа като цяло, четирима смятат, че то е важно за тях в лично качество). Участниците подчертаха, че подобен орган би могъл да даде възможност на ЕС да реагира по-бързо на миграционните кризи, като същевременно се гарантира баланс между адекватното зачитане на общите принципи на ЕС и правото на държавите членки да защитават своите национални интереси и сигурност.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По време на дебата относно миграционната политика участниците обсъдиха две отделни кризи в управлението на миграционните потоци: през 2016 г. миграционната криза в Средиземно море и през 2012 г. хибридната атака на Беларус срещу Литва, Латвия и Полша, по време на която Минск използва мигранти от потоците от Близкия изток и Африка. Редица участници в панела заявиха, че кризата през 2016 г. изглежда далечна и неуместна, както за Литва като цяло, така и за тях в лично качество, и че предложението за създаване на квотна система за мигрантите не изглежда подходящо за тях. Според участниците опитът от хибридната атака е доближил миграционния въпрос в Източна Европа и е принудил да се доближи до квотите като адаптиран, ефективен и солидарен инструмент на миграционната политика. Някои участници посочиха, че в разгара на кризата от 2021 г. е станало трудно да се направи разграничение между тези на територията на страната, бежанците, мигрантите и тези, които представляват заплаха. Всички участници в дискусията се съгласиха, че настоящата „отворена“ миграционна политика на ЕС не отчита в достатъчна степен заплахите, породени от миграцията, националните интереси на държавите членки, способността им да интегрират мигранти и т.н. Гражданите също така критикуваха ЕС за забавянето или липсата на отговор на нуждите на Литва, както и за отказа му да финансира изграждането на стена по външните граници.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jc w:val="both"/>
        <w:rPr/>
      </w:pPr>
      <w:r>
        <w:rPr/>
        <w:t xml:space="preserve">В обобщение може да се каже, че два елемента от най-горещите новини на Литва през 2021 г. — отношенията с Китай и управлението на миграционните потоци — насърчават литовските граждани да поискат ЕС да се намеси повече и да има по-ефективна обща политика. Гражданите са загрижени за политиката на Китай и нарастващото ѝ влияние в Европа и съседните на ЕС държави. Трябва да се признае, че икономическото влияние на Китай принуждава Европа да търси подходящи и балансирани политически мерки. Според гражданите основното решение е да се укрепят инструментите на общата външна политика на ЕС, промишлената политика и сътрудничеството със съседните държави. По подобен начин гражданите считат, че единните действия на равнище ЕС, както и евентуална нова система от квоти за миграция, вероятно са най-подходящият начин за избягване на заплахите за сигурността, породени от миграцията, както и за бързо и ефективно контролиране на миграционните потоци към Европа. Според експертната група най-добрият отговор на нарастващия натиск на Китай и на хибридната атака на Беларус би бил да има задълбочена и засилена обща политика на ЕС.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Настоящото становище относно обсъжданите кризи може да бъде сравнено с предложенията на участниците в панела по въпросите на енергетиката и климата. В края на 2021 г. много литовски граждани трябваше да се справят пряко с повишаването на цените на отоплението, а кризата с цените на енергията бързо се оказа сред най-важните новини за Литва. Загрижеността относно цените на енергията е отразена и при гласуването на участниците: девет граждани дори гласуваха за заключението, че този въпрос е най-важният за цяла Европа. Основната препоръка на участниците беше</w:t>
      </w:r>
      <w:r>
        <w:rPr>
          <w:b/>
        </w:rPr>
        <w:t xml:space="preserve"> да се преразгледа настоящата практика на държавите членки чрез сключване на договори за доставка на енергия с различни доставчици и чрез полагане на усилия за сключването им както в краткосрочен, така и в дългосрочен план.</w:t>
      </w:r>
      <w:r>
        <w:rPr/>
        <w:t xml:space="preserve"> С други думи, гражданите подкрепиха политиката за разнообразяване на източниците на енергийни доставки, но не отправиха препоръки относно общите политики на ЕС и не препоръчаха по-нататъшна интеграция на енергийните политики.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По отношение на политиката в областта на климата гражданите препоръчаха </w:t>
      </w:r>
      <w:r>
        <w:rPr>
          <w:b/>
        </w:rPr>
        <w:t>оценка на мерките по Зеления пакт, като се вземат предвид очакваното социално-икономическо въздействие и амбиция.</w:t>
      </w:r>
      <w:r>
        <w:rPr/>
        <w:t xml:space="preserve"> Това предложение получи гласа на шестима участници, всеки от които го счете за важно в лично качество. Някои участници изразиха загриженост относно твърде бързия темп на т.нар. „зелен преход“ и заявиха, че Литва трябва да прецени по-внимателно дали подобна политика би подкопала интересите на страната и нейните граждани. Някои участници също така съживиха необходимостта от използване не само на възобновяема енергия, но и на ядрена енергия и природен газ. В подкрепа на тази позиция те се позоваха на решението на Германия да продължи да използва природен газ, както и на потенциала на „модулните“ ядрени реактори от ново поколение. Ето защо по отношение на политиката в областта на климата експертната група даде приоритет на политиките на държавите членки в съответствие с националните нужди, а не на амбициозна обща политика на ЕС в областта на управлението на климата.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Като се има предвид сравнително малкият брой участници в панела и различията в реакциите на гражданите (повече единство на действията или по-голяма гъвкавост) на различните кризи, би било погрешно да се вземат предвид тук рекапитулативни и широко приложими мерки. Тази динамика на изразяване на мнения обаче може да доведе до предложение за теми от интерес за бъдещи проучвания на мненията на литовските граждани по въпросите на интеграцията в ЕС, в които следва да се вземе предвид какво казват гражданите за автономните политики на ЕС, промените в институционалните договорености и различията.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96"/>
        <w:spacing w:lineRule="auto" w:line="240"/>
        <w:jc w:val="both"/>
        <w:rPr>
          <w:rFonts w:ascii="Arial" w:hAnsi="Arial"/>
          <w:i/>
          <w:i/>
          <w:color w:val="404040"/>
          <w:sz w:val="32"/>
        </w:rPr>
      </w:pPr>
      <w:r>
        <w:rPr/>
        <w:t xml:space="preserve">4. Резултати от гражданския панел в по-широкия контекст на общественото мнение в Литва </w:t>
      </w:r>
    </w:p>
    <w:p>
      <w:pPr>
        <w:pStyle w:val="Normal"/>
        <w:widowControl w:val="false"/>
        <w:spacing w:lineRule="auto" w:line="240"/>
        <w:ind w:left="0" w:right="1" w:hanging="0"/>
        <w:jc w:val="both"/>
        <w:rPr/>
      </w:pPr>
      <w:r>
        <w:rPr>
          <w:color w:val="000000"/>
        </w:rPr>
        <w:t xml:space="preserve">За да се контекстуализират резултатите от националния граждански панел, в последната част те се сравняват накратко с резултатите от две текущи проучвания на общественото мнение, както и с междинните резултати от друга подготвителна работа за Конференцията за бъдещето на Европа. Първата част от настоящия доклад се отнася до проучване </w:t>
      </w:r>
      <w:hyperlink r:id="rId113">
        <w:r>
          <w:rPr>
            <w:rStyle w:val="LienInternet"/>
            <w:color w:val="0563C1"/>
          </w:rPr>
          <w:t>на</w:t>
        </w:r>
      </w:hyperlink>
      <w:hyperlink r:id="rId114">
        <w:r>
          <w:rPr>
            <w:color w:val="000000"/>
          </w:rPr>
          <w:t xml:space="preserve"> </w:t>
        </w:r>
      </w:hyperlink>
      <w:hyperlink r:id="rId115">
        <w:r>
          <w:rPr>
            <w:rStyle w:val="LienInternet"/>
            <w:color w:val="0563C1"/>
          </w:rPr>
          <w:t>броя</w:t>
        </w:r>
      </w:hyperlink>
      <w:r>
        <w:rPr>
          <w:color w:val="000000"/>
        </w:rPr>
        <w:t xml:space="preserve">на гражданите, проведено през октомври и ноември 2020 г. относно Конференцията за бъдещето на Европа; второто издание на последното </w:t>
      </w:r>
      <w:hyperlink r:id="rId116">
        <w:r>
          <w:rPr>
            <w:rStyle w:val="LienInternet"/>
            <w:color w:val="0563C1"/>
          </w:rPr>
          <w:t>стандартно проучване на Евробарометър</w:t>
        </w:r>
      </w:hyperlink>
      <w:r>
        <w:rPr>
          <w:color w:val="000000"/>
        </w:rPr>
        <w:t xml:space="preserve">, проведено през лятото на 2021 г. Доколкото някои от въпросите в тези проучвания са съсредоточени върху други политически теми и очакванията на гражданите от самата конференция, по-долу е направено сравнение с въпросите, които действително бяха разгледани в панела. Прегледът на резултатите от подготвителната работа за Конференцията за бъдещето на Европа се основаваше на предварителния доклад за тази работа, изготвен от RESC, който включваше изявления на граждани, участвали в работата по различни въпроси на политиката на ЕС.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Резултатите от проучванията на Евробарометър показват, че дискусиите и гласуванията на участниците в гражданския панел отразяват доста добре преобладаващите възгледи в литовското общество. Препоръките на участниците в панела за укрепване на общата външна и миграционна политика чрез участие в решенията на равнище ЕС съответстват на констатациите от по-широките проучвания на общественото мнение: </w:t>
      </w:r>
    </w:p>
    <w:p>
      <w:pPr>
        <w:pStyle w:val="P68B1DB1Normal76"/>
        <w:widowControl w:val="false"/>
        <w:spacing w:lineRule="auto" w:line="240"/>
        <w:ind w:left="361" w:right="1" w:hanging="0"/>
        <w:jc w:val="left"/>
        <w:rPr/>
      </w:pPr>
      <w:r>
        <w:rPr>
          <w:rFonts w:ascii="Garamond" w:hAnsi="Garamond"/>
        </w:rPr>
        <w:t>-</w:t>
      </w:r>
      <w:r>
        <w:rPr/>
        <w:t xml:space="preserve"> Литовските граждани подкрепят общата политика на ЕС в областта на отбраната повече от средното за ЕС (90 % спрямо 78 %); </w:t>
      </w:r>
    </w:p>
    <w:p>
      <w:pPr>
        <w:pStyle w:val="P68B1DB1Normal76"/>
        <w:widowControl w:val="false"/>
        <w:spacing w:lineRule="auto" w:line="240"/>
        <w:ind w:left="361" w:right="3" w:hanging="0"/>
        <w:jc w:val="left"/>
        <w:rPr/>
      </w:pPr>
      <w:r>
        <w:rPr>
          <w:rFonts w:ascii="Garamond" w:hAnsi="Garamond"/>
        </w:rPr>
        <w:t>-</w:t>
      </w:r>
      <w:r>
        <w:rPr/>
        <w:t xml:space="preserve"> Литовските граждани подкрепят общата миграционна политика на ЕС повече от средното за ЕС (76 % спрямо 71 %; тази разлика е в границите на грешката); </w:t>
      </w:r>
    </w:p>
    <w:p>
      <w:pPr>
        <w:pStyle w:val="P68B1DB1Normal76"/>
        <w:widowControl w:val="false"/>
        <w:spacing w:lineRule="auto" w:line="240"/>
        <w:ind w:left="360" w:right="2" w:hanging="0"/>
        <w:jc w:val="left"/>
        <w:rPr/>
      </w:pPr>
      <w:r>
        <w:rPr>
          <w:rFonts w:ascii="Garamond" w:hAnsi="Garamond"/>
        </w:rPr>
        <w:t>-</w:t>
      </w:r>
      <w:r>
        <w:rPr/>
        <w:t xml:space="preserve"> Литовските граждани разглеждат миграцията като един от двата основни проблема на ЕС; </w:t>
      </w:r>
    </w:p>
    <w:p>
      <w:pPr>
        <w:pStyle w:val="P68B1DB1Normal76"/>
        <w:widowControl w:val="false"/>
        <w:spacing w:lineRule="auto" w:line="240"/>
        <w:ind w:left="360" w:right="3" w:hanging="0"/>
        <w:jc w:val="left"/>
        <w:rPr/>
      </w:pPr>
      <w:r>
        <w:rPr>
          <w:rFonts w:ascii="Garamond" w:hAnsi="Garamond"/>
        </w:rPr>
        <w:t>-</w:t>
      </w:r>
      <w:r>
        <w:rPr/>
        <w:t xml:space="preserve"> Литовските граждани искат повече проблеми да бъдат решени на равнище ЕС (49 % спрямо 42 %). </w:t>
      </w:r>
    </w:p>
    <w:p>
      <w:pPr>
        <w:pStyle w:val="P68B1DB1Normal76"/>
        <w:widowControl w:val="false"/>
        <w:spacing w:lineRule="auto" w:line="240" w:before="83" w:after="0"/>
        <w:ind w:left="0" w:right="3" w:hanging="0"/>
        <w:jc w:val="both"/>
        <w:rPr/>
      </w:pPr>
      <w:r>
        <w:rPr/>
        <w:t xml:space="preserve">Литовските граждани, които участваха в подготвителните прояви за Конференцията за бъдещето на Европа, също подчертаха значението на сътрудничеството в областта на отбраната и че общата миграционна политика на ЕС и външната политика на ЕС са области, в които Литва би имала полза от по-силна намеса на ЕС.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Данните на Евробарометър биха могли да хвърлят светлина върху мненията на участниците в панела относно отношенията с Китай и цените на енергията: Литовците са по-загрижени от средното за ЕС относно разпадането на отношенията между държавите по света и произтичащото от това нарастващо геополитическо напрежение (33 % спрямо 18 %). Заключенията на експертната група относно необходимостта от по-амбициозна политика по отношение на Китай също се припокриват с тези данни, както и с гореспоменатата позиция в полза на вземането на решения на равнище ЕС и на общата политика на ЕС в областта на отбраната. От друга страна, загрижеността на участниците в експертната група относно различните решения за намаляване на цените на енергията може да бъде свързана с факта, че литовците са много по-загрижени от средното за ЕС относно нарастващата инфлация и покачващите се цени (53 % спрямо 23 %). Чувствителността към нарастващата инфлация се дължи на факта, че контролирането на увеличенията на цените изглежда е по-важно от общите политически цели на ЕС или от други цели на политиката.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Данните на Евробарометър също показват интересно развитие на възприемането от страна на литовците на въпроса за миграцията от политическа гледна точка. В проучването от 2020 г. литовците посочват миграцията като важно предизвикателство за бъдещето на ЕС (16 % спрямо 27 %) от средното за ЕС; В проучването от 2021 г. 32 % от литовските респонденти считат миграцията за един от основните проблеми в ЕС (в сравнение със средно 25 % в ЕС като цяло). Въпреки че тази промяна може да се дължи на различия във формулирането на въпроса, тя се припокрива с казаното от участниците в панела в дискусиите за развитието на техните възгледи по въпросите на миграцията.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before="220" w:after="0"/>
        <w:ind w:left="0" w:right="0" w:hanging="0"/>
        <w:jc w:val="both"/>
        <w:rPr/>
      </w:pPr>
      <w:r>
        <w:rPr/>
        <w:t xml:space="preserve">Освен това сравнението на резултатите от гражданския панел с данните на Евробарометър показва разминаване между, от една страна, относително предпазливото мнение на участниците в панела относно политиката на ЕС и, от друга страна, загрижеността на литовските граждани по въпросите, свързани с изменението на климата. Въпреки че участниците в експертната група насърчиха да се направи оценка дали Зеленият пакт не е твърде амбициозен и дали няма да навреди на интересите на Литва, според проучвания на Евробарометър литовците последователно са определяли изменението на климата като едно от основните предизвикателства пред ЕС. В проучването от 2020 г. 47 % от литовските респонденти считат, че климатът е едно от най-важните предизвикателства за бъдещето на Европа (в сравнение със средно 45 % в ЕС като цяло); В проучването от 2021 г. такъв е бил случаят с 28 % от респондентите в Литва (спрямо 25 % средно в ЕС като цяло). Следва да се отбележи, че гражданите, които участваха в други подготвителни прояви за Конференцията за бъдещето на Европа, също посочиха политиката в областта на климата като една от областите, в които Литва би имала най-голям интерес от по-силна намеса на ЕС. Това несъответствие вероятно може да бъде обяснено с мотивацията на гласуването на участниците в панела: всички, които гласуваха в подкрепа на препоръката за преоценка на мерките по Зеления пакт, определиха това като важно за тях от лична гледна точка. С други думи, личното противопоставяне не би било в противоречие с констатацията, че изменението на климата е едно от най-важните предизвикателства пред политиката на ЕС.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Normal"/>
        <w:widowControl w:val="false"/>
        <w:spacing w:lineRule="auto" w:line="240" w:before="89" w:after="0"/>
        <w:ind w:left="0" w:right="0" w:hanging="0"/>
        <w:jc w:val="left"/>
        <w:rPr>
          <w:rFonts w:ascii="Garamond" w:hAnsi="Garamond"/>
          <w:color w:val="000000"/>
          <w:sz w:val="22"/>
        </w:rPr>
      </w:pPr>
      <w:r>
        <w:rPr>
          <w:rFonts w:ascii="Garamond" w:hAnsi="Garamond"/>
          <w:color w:val="000000"/>
          <w:sz w:val="22"/>
        </w:rPr>
      </w:r>
      <w:r>
        <w:br w:type="page"/>
      </w:r>
    </w:p>
    <w:p>
      <w:pPr>
        <w:pStyle w:val="Titre1"/>
        <w:numPr>
          <w:ilvl w:val="0"/>
          <w:numId w:val="2"/>
        </w:numPr>
        <w:rPr/>
      </w:pPr>
      <w:bookmarkStart w:id="235" w:name="__RefHeading___Toc297357_1346298689"/>
      <w:bookmarkEnd w:id="235"/>
      <w:r>
        <w:rPr/>
        <w:t>II Е Национални комитети: Нидерландия</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57">
            <wp:simplePos x="0" y="0"/>
            <wp:positionH relativeFrom="column">
              <wp:align>center</wp:align>
            </wp:positionH>
            <wp:positionV relativeFrom="paragraph">
              <wp:posOffset>635</wp:posOffset>
            </wp:positionV>
            <wp:extent cx="3098800" cy="3129280"/>
            <wp:effectExtent l="0" t="0" r="0" b="0"/>
            <wp:wrapTopAndBottom/>
            <wp:docPr id="109" name="Снимка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Снимка 46" descr=""/>
                    <pic:cNvPicPr>
                      <a:picLocks noChangeAspect="1" noChangeArrowheads="1"/>
                    </pic:cNvPicPr>
                  </pic:nvPicPr>
                  <pic:blipFill>
                    <a:blip r:embed="rId117"/>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rPr>
        <w:t>Н</w:t>
      </w:r>
      <w:r>
        <w:rPr>
          <w:rFonts w:ascii="Calibri" w:hAnsi="Calibri"/>
          <w:b/>
          <w:i/>
          <w:color w:val="000000"/>
          <w:sz w:val="48"/>
        </w:rPr>
        <w:t>ашата визия за Европа</w:t>
      </w:r>
    </w:p>
    <w:p>
      <w:pPr>
        <w:pStyle w:val="P68B1DB1Normal103"/>
        <w:widowControl w:val="false"/>
        <w:spacing w:lineRule="exact" w:line="499" w:before="100" w:after="0"/>
        <w:ind w:left="0" w:right="0" w:hanging="0"/>
        <w:jc w:val="left"/>
        <w:rPr>
          <w:rFonts w:ascii="Calibri" w:hAnsi="Calibri"/>
          <w:i/>
          <w:i/>
          <w:color w:val="000000"/>
          <w:sz w:val="32"/>
        </w:rPr>
      </w:pPr>
      <w:r>
        <w:rPr/>
        <w:t xml:space="preserve">Мнения, идеи и препоръки </w:t>
      </w:r>
    </w:p>
    <w:p>
      <w:pPr>
        <w:pStyle w:val="P68B1DB1Normal104"/>
        <w:widowControl w:val="false"/>
        <w:spacing w:lineRule="exact" w:line="339" w:before="101" w:after="0"/>
        <w:ind w:left="0" w:right="0" w:hanging="0"/>
        <w:jc w:val="left"/>
        <w:rPr>
          <w:rFonts w:ascii="Calibri" w:hAnsi="Calibri"/>
          <w:color w:val="000000"/>
          <w:sz w:val="21"/>
        </w:rPr>
      </w:pPr>
      <w:r>
        <w:rPr/>
        <w:t xml:space="preserve">Теми </w:t>
      </w:r>
    </w:p>
    <w:p>
      <w:pPr>
        <w:pStyle w:val="P68B1DB1Normal105"/>
        <w:widowControl w:val="false"/>
        <w:spacing w:lineRule="exact" w:line="349" w:before="7" w:after="0"/>
        <w:ind w:left="0" w:right="0" w:hanging="0"/>
        <w:jc w:val="left"/>
        <w:rPr/>
      </w:pPr>
      <w:r>
        <w:rPr>
          <w:rFonts w:ascii="Verdana" w:hAnsi="Verdana"/>
        </w:rPr>
        <w:t>•</w:t>
      </w:r>
      <w:r>
        <w:rPr/>
        <w:t xml:space="preserve"> </w:t>
      </w:r>
      <w:r>
        <w:rPr>
          <w:rFonts w:ascii="Calibri" w:hAnsi="Calibri"/>
        </w:rPr>
        <w:t xml:space="preserve">Ценности и права, върховенство на закона и сигурност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По-силна икономика, социална справедливост и заетост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Европейска демокрация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Цифрова трансформация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Образование, култура, младеж и спорт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Titre4"/>
        <w:numPr>
          <w:ilvl w:val="3"/>
          <w:numId w:val="2"/>
        </w:numPr>
        <w:rPr/>
      </w:pPr>
      <w:bookmarkStart w:id="236" w:name="__RefHeading___Toc298384_1346298689"/>
      <w:bookmarkEnd w:id="236"/>
      <w:r>
        <w:rPr/>
        <w:t xml:space="preserve">3 декември 2021 г. </w:t>
      </w:r>
    </w:p>
    <w:p>
      <w:pPr>
        <w:pStyle w:val="Normal"/>
        <w:widowControl w:val="false"/>
        <w:spacing w:lineRule="exact" w:line="282" w:before="1" w:after="0"/>
        <w:ind w:left="0" w:right="37" w:hanging="0"/>
        <w:jc w:val="left"/>
        <w:rPr/>
      </w:pPr>
      <w:r>
        <w:rPr>
          <w:rFonts w:ascii="Calibri" w:hAnsi="Calibri"/>
          <w:color w:val="000000"/>
          <w:sz w:val="21"/>
        </w:rPr>
        <w:t xml:space="preserve">Настоящият документ е превод на доклада, озаглавен „Eleven kijk op Europa; Meningen, ideeën en Aanbevelingen„(“Нашата визия за Европа: становища, идеи и препоръки“), което беше публикувано на нидерландски език на 3 декември 2021 г. на адрес www.kijkopeuropa.nl. Този превод е опростена версия на доклада, в която оригиналната презентация (илюстрации и други графични елементи) е променена за целите на превода. </w:t>
      </w:r>
      <w:r>
        <w:rPr>
          <w:rFonts w:ascii="Times New Roman" w:hAnsi="Times New Roman"/>
          <w:color w:val="000000"/>
          <w:sz w:val="24"/>
        </w:rPr>
        <w:t xml:space="preserve"> </w:t>
      </w:r>
      <w:r>
        <w:br w:type="page"/>
      </w:r>
    </w:p>
    <w:p>
      <w:pPr>
        <w:pStyle w:val="P68B1DB1Normal106"/>
        <w:rPr>
          <w:rFonts w:ascii="Calibri" w:hAnsi="Calibri"/>
          <w:b/>
          <w:b/>
          <w:i/>
          <w:i/>
          <w:color w:val="000000"/>
          <w:sz w:val="36"/>
        </w:rPr>
      </w:pPr>
      <w:r>
        <w:rPr/>
        <w:t xml:space="preserve">Нашата визия за... </w:t>
      </w:r>
    </w:p>
    <w:p>
      <w:pPr>
        <w:pStyle w:val="P68B1DB1Normal107"/>
        <w:widowControl w:val="false"/>
        <w:spacing w:lineRule="exact" w:line="375" w:before="248" w:after="0"/>
        <w:ind w:left="0" w:right="0" w:hanging="0"/>
        <w:jc w:val="left"/>
        <w:rPr>
          <w:rFonts w:ascii="Calibri" w:hAnsi="Calibri"/>
          <w:i/>
          <w:i/>
          <w:color w:val="000000"/>
          <w:sz w:val="24"/>
        </w:rPr>
      </w:pPr>
      <w:r>
        <w:rPr/>
        <w:t xml:space="preserve">Резюме на доклада: всички препоръки накратко </w:t>
      </w:r>
    </w:p>
    <w:p>
      <w:pPr>
        <w:pStyle w:val="P68B1DB1Normal104"/>
        <w:widowControl w:val="false"/>
        <w:spacing w:lineRule="exact" w:line="282" w:before="185" w:after="0"/>
        <w:ind w:left="0" w:right="25" w:hanging="0"/>
        <w:jc w:val="left"/>
        <w:rPr/>
      </w:pPr>
      <w:r>
        <w:rPr/>
        <w:t xml:space="preserve">Чрез гражданския диалог, организиран на тема „Визия на Европа“, събрахме мненията и идеите на нидерландските граждани за бъдещето на Европа. Това доведе до следните препоръки към Европейския съюз за първите пет теми.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Ценности и права, върховенство на закона и сигурност </w:t>
      </w:r>
    </w:p>
    <w:p>
      <w:pPr>
        <w:pStyle w:val="P68B1DB1Normal104"/>
        <w:widowControl w:val="false"/>
        <w:spacing w:lineRule="exact" w:line="282" w:before="178" w:after="0"/>
        <w:ind w:left="0" w:right="105" w:hanging="0"/>
        <w:jc w:val="left"/>
        <w:rPr/>
      </w:pPr>
      <w:r>
        <w:rPr/>
        <w:t xml:space="preserve">Важно е ЕС да защитава върховенството на закона. В същото време холандците смятат, че трябва да се обърне внимание на разнообразието от традиции и култури, които съществуват в Европа. Сътрудничеството в рамките на ЕС може да има много ползи под различни форми, но трябва да добави стойност за всички заинтересовани страни. Това се отнася и за обмена на информация за сигурността. Споделянето на цялата информация бързо прави сътрудничеството неефективно. </w:t>
      </w:r>
    </w:p>
    <w:p>
      <w:pPr>
        <w:pStyle w:val="P68B1DB1Normal19"/>
        <w:widowControl w:val="false"/>
        <w:spacing w:lineRule="exact" w:line="388" w:before="47" w:after="0"/>
        <w:ind w:left="0" w:right="0" w:hanging="0"/>
        <w:jc w:val="left"/>
        <w:rPr>
          <w:rFonts w:ascii="Times New Roman" w:hAnsi="Times New Roman"/>
          <w:color w:val="000000"/>
          <w:sz w:val="24"/>
        </w:rPr>
      </w:pPr>
      <w:r>
        <w:rPr/>
        <w:t xml:space="preserve"> </w:t>
      </w:r>
    </w:p>
    <w:p>
      <w:pPr>
        <w:pStyle w:val="P68B1DB1Normal105"/>
        <w:widowControl w:val="false"/>
        <w:spacing w:lineRule="exact" w:line="346" w:before="50" w:after="0"/>
        <w:ind w:left="0" w:right="0" w:hanging="0"/>
        <w:jc w:val="left"/>
        <w:rPr/>
      </w:pPr>
      <w:r>
        <w:rPr>
          <w:rFonts w:ascii="Calibri" w:hAnsi="Calibri"/>
        </w:rPr>
        <w:t>1.</w:t>
      </w:r>
      <w:r>
        <w:rPr/>
        <w:t xml:space="preserve"> </w:t>
      </w:r>
      <w:r>
        <w:rPr>
          <w:rFonts w:ascii="Calibri" w:hAnsi="Calibri"/>
        </w:rPr>
        <w:t>Уверете се, че всеки може да се чувства свободен и безопасен</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Разширяване на ЕС само ако то носи добавена стойност</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Сътрудничество главно в борбата срещу международната престъпност и тероризма</w:t>
      </w:r>
    </w:p>
    <w:p>
      <w:pPr>
        <w:pStyle w:val="P68B1DB1Normal104"/>
        <w:widowControl w:val="false"/>
        <w:spacing w:lineRule="exact" w:line="339"/>
        <w:ind w:left="283"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По-силна икономика, социална справедливост и заетост </w:t>
      </w:r>
    </w:p>
    <w:p>
      <w:pPr>
        <w:pStyle w:val="P68B1DB1Normal104"/>
        <w:widowControl w:val="false"/>
        <w:spacing w:lineRule="exact" w:line="282" w:before="178" w:after="0"/>
        <w:ind w:left="0" w:right="18" w:hanging="0"/>
        <w:jc w:val="left"/>
        <w:rPr/>
      </w:pPr>
      <w:r>
        <w:rPr/>
        <w:t xml:space="preserve">Холандците смятат, че има много възможности за укрепване на европейската икономика. Но държавите не винаги могат да бъдат сравнявани помежду си. По-специално данъчната система следва да бъде по-справедлива и по-ясна. И в Европа трябва да се съсредоточим повече върху нашите силни страни, като качество и многообразие. Освен това държавите от ЕС могат да си сътрудничат, за да гарантират равни възможности на европейския пазар на труда. </w:t>
      </w:r>
    </w:p>
    <w:p>
      <w:pPr>
        <w:pStyle w:val="P68B1DB1Normal104"/>
        <w:widowControl w:val="false"/>
        <w:spacing w:lineRule="exact" w:line="339" w:before="58" w:after="0"/>
        <w:ind w:left="0" w:right="0" w:hanging="0"/>
        <w:jc w:val="left"/>
        <w:rPr>
          <w:rFonts w:ascii="Calibri" w:hAnsi="Calibri"/>
          <w:color w:val="000000"/>
          <w:sz w:val="21"/>
        </w:rPr>
      </w:pPr>
      <w:r>
        <w:rPr/>
        <w:t xml:space="preserve"> </w:t>
      </w:r>
    </w:p>
    <w:p>
      <w:pPr>
        <w:pStyle w:val="P68B1DB1Normal105"/>
        <w:widowControl w:val="false"/>
        <w:spacing w:lineRule="exact" w:line="281" w:before="58" w:after="0"/>
        <w:ind w:left="0" w:right="4851" w:hanging="0"/>
        <w:jc w:val="left"/>
        <w:rPr/>
      </w:pPr>
      <w:r>
        <w:rPr>
          <w:rFonts w:ascii="Calibri" w:hAnsi="Calibri"/>
        </w:rPr>
        <w:t>4.</w:t>
      </w:r>
      <w:r>
        <w:rPr/>
        <w:t xml:space="preserve"> </w:t>
      </w:r>
      <w:r>
        <w:rPr>
          <w:rFonts w:ascii="Calibri" w:hAnsi="Calibri"/>
        </w:rPr>
        <w:t>Отчитане на сходствата и различията</w:t>
      </w:r>
    </w:p>
    <w:p>
      <w:pPr>
        <w:pStyle w:val="P68B1DB1Normal105"/>
        <w:widowControl w:val="false"/>
        <w:spacing w:lineRule="exact" w:line="281" w:before="58" w:after="0"/>
        <w:ind w:left="0" w:right="4851" w:hanging="0"/>
        <w:jc w:val="left"/>
        <w:rPr/>
      </w:pPr>
      <w:r>
        <w:rPr>
          <w:rFonts w:ascii="Calibri" w:hAnsi="Calibri"/>
        </w:rPr>
        <w:t>5.</w:t>
      </w:r>
      <w:r>
        <w:rPr/>
        <w:t xml:space="preserve"> </w:t>
      </w:r>
      <w:r>
        <w:rPr>
          <w:rFonts w:ascii="Calibri" w:hAnsi="Calibri"/>
        </w:rPr>
        <w:t>По-широко използване на силните страни на Европа</w:t>
      </w:r>
    </w:p>
    <w:p>
      <w:pPr>
        <w:pStyle w:val="P68B1DB1Normal105"/>
        <w:widowControl w:val="false"/>
        <w:spacing w:lineRule="exact" w:line="346"/>
        <w:ind w:left="0" w:right="0" w:hanging="0"/>
        <w:jc w:val="left"/>
        <w:rPr/>
      </w:pPr>
      <w:r>
        <w:rPr>
          <w:rFonts w:ascii="Calibri" w:hAnsi="Calibri"/>
        </w:rPr>
        <w:t>6.</w:t>
      </w:r>
      <w:r>
        <w:rPr/>
        <w:t xml:space="preserve"> </w:t>
      </w:r>
      <w:r>
        <w:rPr>
          <w:rFonts w:ascii="Calibri" w:hAnsi="Calibri"/>
        </w:rPr>
        <w:t>Разработване на справедлива и ясна данъчна система</w:t>
      </w:r>
    </w:p>
    <w:p>
      <w:pPr>
        <w:pStyle w:val="P68B1DB1Normal76"/>
        <w:widowControl w:val="false"/>
        <w:spacing w:lineRule="exact" w:line="374"/>
        <w:ind w:left="0" w:right="5338" w:hanging="0"/>
        <w:jc w:val="left"/>
        <w:rPr/>
      </w:pPr>
      <w:r>
        <w:rPr>
          <w:rFonts w:ascii="Calibri" w:hAnsi="Calibri"/>
          <w:sz w:val="21"/>
        </w:rPr>
        <w:t>7.</w:t>
      </w:r>
      <w:r>
        <w:rPr>
          <w:sz w:val="21"/>
        </w:rPr>
        <w:t xml:space="preserve"> </w:t>
      </w:r>
      <w:r>
        <w:rPr>
          <w:rFonts w:ascii="Calibri" w:hAnsi="Calibri"/>
          <w:sz w:val="21"/>
        </w:rPr>
        <w:t xml:space="preserve">Гарантиране, че всички могат да участват в </w:t>
      </w:r>
      <w:r>
        <w:rPr>
          <w:rFonts w:ascii="Calibri" w:hAnsi="Calibri"/>
          <w:b/>
          <w:i/>
          <w:sz w:val="24"/>
        </w:rPr>
        <w:t xml:space="preserve">европейската демокрация </w:t>
      </w:r>
    </w:p>
    <w:p>
      <w:pPr>
        <w:pStyle w:val="P68B1DB1Normal104"/>
        <w:widowControl w:val="false"/>
        <w:spacing w:lineRule="exact" w:line="282" w:before="178" w:after="0"/>
        <w:ind w:left="0" w:right="323" w:hanging="0"/>
        <w:jc w:val="both"/>
        <w:rPr/>
      </w:pPr>
      <w:r>
        <w:rPr/>
        <w:t xml:space="preserve">Холандците не трябва да знаят всичко за Европейския съюз, но искат повече прозрачност и повече информация. Например познаването на възгледите на други държави от ЕС може да допринесе за по-добър преглед. Освен това нидерландците смятат, че ЕС следва да се ангажира по-често и за предпочитане постоянно с гражданите. В това отношение е важно не само да се вземат предвид различните интереси, но и да се вземат решения по-бързо, отколкото е в момента. </w:t>
      </w:r>
    </w:p>
    <w:p>
      <w:pPr>
        <w:pStyle w:val="P68B1DB1Normal105"/>
        <w:widowControl w:val="false"/>
        <w:spacing w:lineRule="exact" w:line="346" w:before="58" w:after="0"/>
        <w:ind w:left="0" w:right="0" w:hanging="0"/>
        <w:jc w:val="left"/>
        <w:rPr/>
      </w:pPr>
      <w:r>
        <w:rPr>
          <w:rFonts w:ascii="Calibri" w:hAnsi="Calibri"/>
        </w:rPr>
        <w:t>1.</w:t>
      </w:r>
      <w:r>
        <w:rPr/>
        <w:t xml:space="preserve"> </w:t>
      </w:r>
      <w:r>
        <w:rPr>
          <w:rFonts w:ascii="Calibri" w:hAnsi="Calibri"/>
        </w:rPr>
        <w:t>По-добра представа за Европа</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Намиране на нови начини за непрекъснато слушане на гражданите</w:t>
      </w:r>
    </w:p>
    <w:p>
      <w:pPr>
        <w:pStyle w:val="P68B1DB1Normal105"/>
        <w:widowControl w:val="false"/>
        <w:spacing w:lineRule="exact" w:line="281"/>
        <w:ind w:left="0" w:right="1902" w:hanging="0"/>
        <w:jc w:val="left"/>
        <w:rPr/>
      </w:pPr>
      <w:r>
        <w:rPr>
          <w:rFonts w:ascii="Calibri" w:hAnsi="Calibri"/>
        </w:rPr>
        <w:t>3.</w:t>
      </w:r>
      <w:r>
        <w:rPr/>
        <w:t xml:space="preserve"> </w:t>
      </w:r>
      <w:r>
        <w:rPr>
          <w:rFonts w:ascii="Calibri" w:hAnsi="Calibri"/>
        </w:rPr>
        <w:t>Повече прозрачност и яснота по отношение на взетите решения</w:t>
      </w:r>
    </w:p>
    <w:p>
      <w:pPr>
        <w:pStyle w:val="P68B1DB1Normal105"/>
        <w:widowControl w:val="false"/>
        <w:spacing w:lineRule="exact" w:line="281"/>
        <w:ind w:left="0" w:right="1902" w:hanging="0"/>
        <w:jc w:val="left"/>
        <w:rPr/>
      </w:pPr>
      <w:r>
        <w:rPr>
          <w:rFonts w:ascii="Calibri" w:hAnsi="Calibri"/>
        </w:rPr>
        <w:t>4.</w:t>
      </w:r>
      <w:r>
        <w:rPr/>
        <w:t xml:space="preserve"> </w:t>
      </w:r>
      <w:r>
        <w:rPr>
          <w:rFonts w:ascii="Calibri" w:hAnsi="Calibri"/>
        </w:rPr>
        <w:t>Да се гарантира, че трудните проблеми могат да бъдат решени по-бързо</w:t>
      </w:r>
    </w:p>
    <w:p>
      <w:pPr>
        <w:pStyle w:val="P68B1DB1Normal104"/>
        <w:widowControl w:val="false"/>
        <w:spacing w:lineRule="exact" w:line="339" w:before="60" w:after="0"/>
        <w:ind w:left="0"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Дигитална трансформация </w:t>
      </w:r>
    </w:p>
    <w:p>
      <w:pPr>
        <w:pStyle w:val="P68B1DB1Normal104"/>
        <w:widowControl w:val="false"/>
        <w:spacing w:lineRule="exact" w:line="282" w:before="178" w:after="0"/>
        <w:ind w:left="0" w:right="54" w:hanging="0"/>
        <w:jc w:val="left"/>
        <w:rPr/>
      </w:pPr>
      <w:r>
        <w:rPr/>
        <w:t xml:space="preserve">Обществото става все по-зависимо от интернет и големите технологични компании стават все по-мощни. Това понякога притеснява много холандците. Ето защо е полезно ЕС да разработи европейски правила и стандарти (за неприкосновеност на личния живот). Важно е обаче всеки да може да разбере и прилага тези правила и стандарти. Нидерландците предпочитат да получават подкрепа и информация от националните органи на техния собствен език.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ind w:left="0" w:right="0" w:hanging="0"/>
        <w:jc w:val="left"/>
        <w:rPr/>
      </w:pPr>
      <w:r>
        <w:rPr>
          <w:rFonts w:ascii="Calibri" w:hAnsi="Calibri"/>
        </w:rPr>
        <w:t>1.</w:t>
      </w:r>
      <w:r>
        <w:rPr/>
        <w:t xml:space="preserve"> </w:t>
      </w:r>
      <w:r>
        <w:rPr>
          <w:rFonts w:ascii="Calibri" w:hAnsi="Calibri"/>
        </w:rPr>
        <w:t>Осигуряване на бърз, безопасен и стабилен интернет навсякъде</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Определяне на ясни правила и стандарти за интернет дружествата</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Добавяне на прилагане и практически обяснения към правилата за поверителност</w:t>
      </w:r>
    </w:p>
    <w:p>
      <w:pPr>
        <w:pStyle w:val="P68B1DB1Normal19"/>
        <w:widowControl w:val="false"/>
        <w:spacing w:lineRule="exact" w:line="388"/>
        <w:ind w:left="284" w:right="0" w:hanging="0"/>
        <w:jc w:val="left"/>
        <w:rPr>
          <w:rFonts w:ascii="Times New Roman" w:hAnsi="Times New Roman"/>
          <w:color w:val="000000"/>
          <w:sz w:val="24"/>
        </w:rPr>
      </w:pPr>
      <w:r>
        <w:rPr/>
        <w:t xml:space="preserve"> </w:t>
      </w:r>
    </w:p>
    <w:p>
      <w:pPr>
        <w:pStyle w:val="P68B1DB1Normal108"/>
        <w:widowControl w:val="false"/>
        <w:spacing w:lineRule="exact" w:line="387" w:before="30" w:after="0"/>
        <w:ind w:left="0" w:right="0" w:hanging="0"/>
        <w:jc w:val="left"/>
        <w:rPr>
          <w:rFonts w:ascii="Calibri" w:hAnsi="Calibri"/>
          <w:b/>
          <w:b/>
          <w:i/>
          <w:i/>
          <w:color w:val="000000"/>
          <w:sz w:val="24"/>
        </w:rPr>
      </w:pPr>
      <w:r>
        <w:rPr/>
        <w:t xml:space="preserve">Образование, култура, младеж и спорт </w:t>
      </w:r>
    </w:p>
    <w:p>
      <w:pPr>
        <w:pStyle w:val="P68B1DB1Normal104"/>
        <w:widowControl w:val="false"/>
        <w:spacing w:lineRule="exact" w:line="282" w:before="178" w:after="0"/>
        <w:ind w:left="0" w:right="166" w:hanging="0"/>
        <w:jc w:val="left"/>
        <w:rPr/>
      </w:pPr>
      <w:r>
        <w:rPr/>
        <w:t>Младите хора, които учат в чужбина, следва да могат да научат повече от приемащата държава, отколкото</w:t>
      </w:r>
      <w:r>
        <w:rPr/>
        <w:commentReference w:id="21"/>
      </w:r>
      <w:r>
        <w:rPr/>
        <w:t xml:space="preserve"> са днес. И страните с по-ниско ниво на знания не трябва да губят всичките си таланти, които отиват в чужбина. Нидерландия счита, че теми като културата и злоупотребите в спорта са въпроси, които по-скоро следва да бъдат отговорност на самите държави членки. И те смятат, че е много важно да има собствен национален език. Като цяло в Европа всеки човек трябва преди всичко да се чувства свободен и да може да бъде себе си.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before="55" w:after="0"/>
        <w:ind w:left="0" w:right="0" w:hanging="0"/>
        <w:jc w:val="left"/>
        <w:rPr/>
      </w:pPr>
      <w:r>
        <w:rPr>
          <w:rFonts w:ascii="Calibri" w:hAnsi="Calibri"/>
        </w:rPr>
        <w:t>1.</w:t>
      </w:r>
      <w:r>
        <w:rPr/>
        <w:t xml:space="preserve"> </w:t>
      </w:r>
      <w:r>
        <w:rPr>
          <w:rFonts w:ascii="Calibri" w:hAnsi="Calibri"/>
        </w:rPr>
        <w:t>Насърчаване на учениците да учат интелигентно в чужбина</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Да се даде възможност на държавите членки да се съсредоточат върху теми като културата и спорта</w:t>
      </w:r>
    </w:p>
    <w:p>
      <w:pPr>
        <w:pStyle w:val="Normal"/>
        <w:widowControl w:val="false"/>
        <w:spacing w:lineRule="exact" w:line="346"/>
        <w:ind w:left="1" w:right="0" w:hanging="0"/>
        <w:jc w:val="left"/>
        <w:rPr/>
      </w:pPr>
      <w:r>
        <w:rPr>
          <w:rFonts w:ascii="Calibri" w:hAnsi="Calibri"/>
          <w:color w:val="000000"/>
          <w:sz w:val="21"/>
        </w:rPr>
        <w:t>3.</w:t>
      </w:r>
      <w:r>
        <w:rPr>
          <w:color w:val="000000"/>
          <w:sz w:val="21"/>
        </w:rPr>
        <w:t xml:space="preserve"> </w:t>
      </w:r>
      <w:r>
        <w:rPr>
          <w:rFonts w:ascii="Calibri" w:hAnsi="Calibri"/>
          <w:color w:val="000000"/>
          <w:sz w:val="21"/>
        </w:rPr>
        <w:t>Гарантиране, че европейците се опознават по-добре и се уважават взаимно</w:t>
      </w:r>
      <w:r>
        <w:rPr>
          <w:color w:val="000000"/>
          <w:sz w:val="21"/>
        </w:rPr>
        <w:t xml:space="preserve"> </w:t>
      </w:r>
      <w:r>
        <w:br w:type="page"/>
      </w:r>
    </w:p>
    <w:p>
      <w:pPr>
        <w:pStyle w:val="P68B1DB1Normal109"/>
        <w:rPr>
          <w:rFonts w:ascii="Calibri" w:hAnsi="Calibri"/>
          <w:b/>
          <w:b/>
          <w:i/>
          <w:i/>
          <w:color w:val="000000"/>
          <w:sz w:val="32"/>
        </w:rPr>
      </w:pPr>
      <w:r>
        <w:rPr/>
        <w:t xml:space="preserve">Въведение </w:t>
      </w:r>
    </w:p>
    <w:p>
      <w:pPr>
        <w:pStyle w:val="P68B1DB1Normal110"/>
        <w:widowControl w:val="false"/>
        <w:spacing w:lineRule="exact" w:line="274" w:before="31" w:after="0"/>
        <w:ind w:left="0" w:right="113" w:hanging="0"/>
        <w:jc w:val="left"/>
        <w:rPr/>
      </w:pPr>
      <w:r>
        <w:rPr>
          <w:sz w:val="21"/>
        </w:rPr>
        <w:t xml:space="preserve">Гражданският диалог „Визия на Европа“, проведен от 1 септември до средата на ноември, позволи на всички холандци да изразят своите мнения и идеи за бъдещето на Европа. Нидерландия представя на Европейския съюз (ЕС) препоръките, въз основа на които е водил диалогът, както и изразените идеи и мнения. В настоящия доклад се съсредоточаваме върху първите пет теми. Останалите четири теми ще бъдат разгледани в предстоящ доклад в началото на 2022 г. </w:t>
      </w:r>
      <w:r>
        <w:rPr>
          <w:b/>
          <w:i/>
          <w:sz w:val="24"/>
        </w:rPr>
        <w:t>Относно визията на Европа</w:t>
      </w:r>
    </w:p>
    <w:p>
      <w:pPr>
        <w:pStyle w:val="P68B1DB1Normal104"/>
        <w:widowControl w:val="false"/>
        <w:spacing w:lineRule="exact" w:line="257" w:before="34" w:after="0"/>
        <w:ind w:left="0" w:right="200" w:hanging="0"/>
        <w:jc w:val="left"/>
        <w:rPr/>
      </w:pPr>
      <w:r>
        <w:rPr/>
        <w:t xml:space="preserve">Европейският съюз иска неговите граждани да споделят какво мислят за Европа. Ето защо ЕС организира Конференцията за бъдещето на Европа. След това мненията и идеите на гражданите в целия Европейски съюз ще бъдат включени в плановете за бъдещето на Европа. Като част от конференцията Нидерландия организира гражданския диалог „Визия на Европа“ на национално равнище.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P68B1DB1Normal104"/>
        <w:widowControl w:val="false"/>
        <w:spacing w:lineRule="exact" w:line="257" w:before="32" w:after="0"/>
        <w:ind w:left="0" w:right="109" w:hanging="0"/>
        <w:jc w:val="left"/>
        <w:rPr/>
      </w:pPr>
      <w:r>
        <w:rPr/>
        <w:t xml:space="preserve">Диалогът „Визия за Европа“ започна на 1 септември с онлайн събиране на мнения и идеи чрез проучване на представителна група. За да задълбочим първоначалните резултати от проучването на панела и да отправим конкретни препоръки, организирахме тематични онлайн диалози. Всеки, който иска да участва, може да участва. Също така посетихме страната, за да проведем дискусии с млади хора и други групи (трудни за достигане). </w:t>
      </w:r>
    </w:p>
    <w:p>
      <w:pPr>
        <w:pStyle w:val="P68B1DB1Normal111"/>
        <w:widowControl w:val="false"/>
        <w:spacing w:lineRule="exact" w:line="269" w:before="28" w:after="0"/>
        <w:ind w:left="0" w:right="113" w:hanging="0"/>
        <w:jc w:val="left"/>
        <w:rPr/>
      </w:pPr>
      <w:r>
        <w:rPr/>
        <w:t xml:space="preserve">От ученици, ученици от средните професионални училища и ученици до министъра, земеделските стопани и мигрантите </w:t>
      </w:r>
    </w:p>
    <w:p>
      <w:pPr>
        <w:pStyle w:val="P68B1DB1Normal104"/>
        <w:widowControl w:val="false"/>
        <w:spacing w:lineRule="exact" w:line="257" w:before="26" w:after="0"/>
        <w:ind w:left="0" w:right="44" w:hanging="0"/>
        <w:jc w:val="left"/>
        <w:rPr/>
      </w:pPr>
      <w:r>
        <w:rPr/>
        <w:t xml:space="preserve">През октомври и ноември бяха проведени общо осем тематични онлайн диалога със средно 30 участници на заседание. Организирахме и онлайн тематичен диалог и седем тематични диалога на място с различни групи нидерландски граждани. Разговаряхме с турската общност в Шидам и бяхме поканени от доброволците на фондация „Пиезо“ в Зотермер. В последния случай външният министър Бен Кнапен също присъства в края на диалога. Министърът проведе дискусия с участниците относно диалога и изразените мнения за бъдещето на Европа. И накрая, организирахме шест срещи с различни групи млади хора. Например, ние бяхме добре дошли в средно училище в Хелмонд, професионално средно училище в Doetinchem и Университета в Лайден. </w:t>
      </w:r>
    </w:p>
    <w:p>
      <w:pPr>
        <w:pStyle w:val="P68B1DB1Normal112"/>
        <w:widowControl w:val="false"/>
        <w:spacing w:lineRule="exact" w:line="260" w:before="31" w:after="0"/>
        <w:ind w:left="0" w:right="0" w:hanging="0"/>
        <w:jc w:val="left"/>
        <w:rPr>
          <w:rFonts w:ascii="Times New Roman" w:hAnsi="Times New Roman"/>
          <w:color w:val="000000"/>
          <w:sz w:val="16"/>
        </w:rPr>
      </w:pPr>
      <w:r>
        <w:rPr/>
        <w:t xml:space="preserve"> </w:t>
      </w:r>
    </w:p>
    <w:p>
      <w:pPr>
        <w:pStyle w:val="P68B1DB1Normal113"/>
        <w:widowControl w:val="false"/>
        <w:spacing w:lineRule="exact" w:line="319" w:before="28" w:after="0"/>
        <w:ind w:left="883" w:right="888" w:hanging="0"/>
        <w:jc w:val="center"/>
        <w:rPr/>
      </w:pPr>
      <w:r>
        <w:rPr/>
        <w:t xml:space="preserve">Винаги искам да изразя мнението си пред кафемашината. Затова си помислих, че трябва да участвам. </w:t>
      </w:r>
    </w:p>
    <w:p>
      <w:pPr>
        <w:pStyle w:val="P68B1DB1Normal110"/>
        <w:widowControl w:val="false"/>
        <w:spacing w:lineRule="exact" w:line="346" w:before="41" w:after="0"/>
        <w:ind w:left="0" w:right="6639" w:hanging="0"/>
        <w:jc w:val="left"/>
        <w:rPr/>
      </w:pPr>
      <w:r>
        <w:rPr>
          <w:sz w:val="21"/>
        </w:rPr>
        <w:t xml:space="preserve">Участник в тематичен </w:t>
      </w:r>
      <w:r>
        <w:rPr>
          <w:b/>
          <w:i/>
          <w:sz w:val="24"/>
        </w:rPr>
        <w:t xml:space="preserve">диалог За този доклад </w:t>
      </w:r>
    </w:p>
    <w:p>
      <w:pPr>
        <w:pStyle w:val="P68B1DB1Normal104"/>
        <w:widowControl w:val="false"/>
        <w:spacing w:lineRule="exact" w:line="257" w:before="178" w:after="0"/>
        <w:ind w:left="0" w:right="56" w:hanging="0"/>
        <w:jc w:val="left"/>
        <w:rPr/>
      </w:pPr>
      <w:r>
        <w:rPr/>
        <w:t xml:space="preserve">Въз основа на идеите и мненията, които събрахме през последните месеци, изготвихме редица препоръки, които нидерландските граждани отправят към Европейския съюз. По време на дискусиите между нидерландските граждани се проведе интересен обмен на мнения и бяха представени новаторски идеи. Предложения бяха направени и чрез панела и общественото проучване. Някои от тези идеи са включени в настоящия доклад. Ето защо съдържанието на настоящия доклад е гласът на Нидерландия: нашата визия за Европа.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Normal"/>
        <w:widowControl w:val="false"/>
        <w:spacing w:lineRule="exact" w:line="256" w:before="32" w:after="0"/>
        <w:ind w:left="0" w:right="16" w:hanging="0"/>
        <w:jc w:val="left"/>
        <w:rPr/>
      </w:pPr>
      <w:r>
        <w:rPr>
          <w:rFonts w:ascii="Calibri" w:hAnsi="Calibri"/>
          <w:color w:val="000000"/>
          <w:sz w:val="21"/>
        </w:rPr>
        <w:t xml:space="preserve">Точно както има различия в мненията между държавите и европейските граждани, ние също не винаги сме съгласни един с друг в рамките на Нидерландия. Тези различия в мненията, точно, са ценни: те са важна характеристика на демокрацията. Препоръките са изведени от най-често изразените идеи и мнения на участниците в проучването Vision of Europe. Ние също така описваме притеснения, идеи и чувства, които може да са по-малко разпространени, но които са привлекли вниманието ни по време на диалозите и онлайн проучването. </w:t>
      </w:r>
      <w:r>
        <w:br w:type="page"/>
      </w:r>
    </w:p>
    <w:p>
      <w:pPr>
        <w:pStyle w:val="P68B1DB1Normal113"/>
        <w:spacing w:lineRule="auto" w:line="240"/>
        <w:rPr/>
      </w:pPr>
      <w:r>
        <w:rPr/>
        <w:t xml:space="preserve">Беше хубаво да мога да говоря в малки групи с поддръжници и опоненти. Това е много различно от това, как обикновено се провеждат дискусиите в социалните медии. </w:t>
      </w:r>
    </w:p>
    <w:p>
      <w:pPr>
        <w:pStyle w:val="P68B1DB1Normal76"/>
        <w:widowControl w:val="false"/>
        <w:spacing w:lineRule="auto" w:line="240" w:before="267" w:after="0"/>
        <w:ind w:left="0" w:right="0" w:hanging="0"/>
        <w:jc w:val="left"/>
        <w:rPr/>
      </w:pPr>
      <w:r>
        <w:rPr>
          <w:rFonts w:ascii="Calibri" w:hAnsi="Calibri"/>
          <w:sz w:val="21"/>
        </w:rPr>
        <w:t>Участник в тематичния диалог</w:t>
      </w:r>
      <w:r>
        <w:rPr>
          <w:rFonts w:ascii="Times New Roman" w:hAnsi="Times New Roman"/>
          <w:sz w:val="24"/>
        </w:rPr>
        <w:t xml:space="preserve">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4"/>
        <w:widowControl w:val="false"/>
        <w:spacing w:lineRule="auto" w:line="240"/>
        <w:ind w:left="0" w:right="54" w:hanging="0"/>
        <w:jc w:val="left"/>
        <w:rPr/>
      </w:pPr>
      <w:r>
        <w:rPr/>
        <w:t xml:space="preserve">Девет теми бяха набелязани за Конференцията за бъдещето на Европа. Тези теми също са в основата на диалога „Визия за Европа“ с нидерландските граждани. През октомври Сметната палата публикува междинен доклад, съдържащ първоначален преглед на резултатите и допълнителни въпроси въз основа на проучването на експертната група. Във втория доклад изложихме становищата, идеите и препоръките по първите пет теми за пленарното заседание на Конференцията за бъдещето на Европа през декември. Следващият доклад, който ще разгледа останалите четири теми, ще бъде публикуван в средата на януари. </w:t>
      </w:r>
    </w:p>
    <w:p>
      <w:pPr>
        <w:pStyle w:val="Normal"/>
        <w:rPr/>
      </w:pPr>
      <w:r>
        <w:rPr/>
        <w:t xml:space="preserve">Текущ доклад — декември 2021 г.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Ценности и права, върховенство на закона и сигурност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По-силна икономика, социална справедливост и заетост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Европейска демокрация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Цифрова трансформация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Образование, култура, младеж и спорт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69"/>
        <w:widowControl w:val="false"/>
        <w:spacing w:lineRule="auto" w:line="240"/>
        <w:ind w:left="0" w:right="0" w:hanging="0"/>
        <w:jc w:val="left"/>
        <w:rPr>
          <w:rFonts w:ascii="Calibri" w:hAnsi="Calibri"/>
          <w:b/>
          <w:b/>
          <w:color w:val="000000"/>
          <w:sz w:val="20"/>
        </w:rPr>
      </w:pPr>
      <w:r>
        <w:rPr/>
        <w:t xml:space="preserve">Следващ доклад — януари 2022 г. </w:t>
      </w:r>
    </w:p>
    <w:p>
      <w:pPr>
        <w:pStyle w:val="P68B1DB1Normal105"/>
        <w:widowControl w:val="false"/>
        <w:spacing w:lineRule="auto" w:line="240"/>
        <w:ind w:left="0" w:right="0" w:hanging="0"/>
        <w:jc w:val="left"/>
        <w:rPr/>
      </w:pPr>
      <w:r>
        <w:rPr>
          <w:rFonts w:ascii="Verdana" w:hAnsi="Verdana"/>
        </w:rPr>
        <w:t xml:space="preserve">• </w:t>
      </w:r>
      <w:r>
        <w:rPr>
          <w:rFonts w:ascii="Verdana" w:hAnsi="Verdana"/>
        </w:rPr>
        <w:t>Изменение</w:t>
      </w:r>
      <w:r>
        <w:rPr/>
        <w:t xml:space="preserve"> </w:t>
      </w:r>
      <w:r>
        <w:rPr>
          <w:rFonts w:ascii="Calibri" w:hAnsi="Calibri"/>
        </w:rPr>
        <w:t xml:space="preserve">на климата и околна среда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Миграция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Здраве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ЕС в света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Следващи стъпки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Конференцията за бъдещето на Европа обединява идеите, становищата и препоръките на всички граждани на ЕС. Срещите ще бъдат посветени не само на резултатите от всички граждански диалози на национално равнище, но и на резултатите от други инициативи, предприети в контекста на конференцията. Например има и групи от европейски граждани, а всички граждани на ЕС (включително нидерландски граждани) имат достъп до европейска цифрова платформа. </w:t>
      </w:r>
    </w:p>
    <w:p>
      <w:pPr>
        <w:pStyle w:val="P68B1DB1Normal113"/>
        <w:widowControl w:val="false"/>
        <w:spacing w:lineRule="auto" w:line="240" w:before="203" w:after="0"/>
        <w:ind w:left="1080" w:right="1083" w:hanging="0"/>
        <w:jc w:val="center"/>
        <w:rPr/>
      </w:pPr>
      <w:r>
        <w:rPr/>
        <w:t>„</w:t>
      </w:r>
      <w:r>
        <w:rPr/>
        <w:t xml:space="preserve">Добре е ЕС да поеме тази инициатива. Надявам се резултатите наистина да бъдат взети предвид. </w:t>
      </w:r>
    </w:p>
    <w:p>
      <w:pPr>
        <w:pStyle w:val="P68B1DB1Normal104"/>
        <w:widowControl w:val="false"/>
        <w:spacing w:lineRule="auto" w:line="240" w:before="307" w:after="0"/>
        <w:ind w:left="0" w:right="0" w:hanging="0"/>
        <w:jc w:val="left"/>
        <w:rPr>
          <w:rFonts w:ascii="Calibri" w:hAnsi="Calibri"/>
          <w:color w:val="000000"/>
          <w:sz w:val="21"/>
        </w:rPr>
      </w:pPr>
      <w:r>
        <w:rPr/>
        <w:t xml:space="preserve">Участник в тематичния диалог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Конференцията ще приключи през пролетта на 2022 г. След това Нидерландия ще изготви окончателен доклад относно диалога с гражданите: обобщение на настоящия доклад и на следващия доклад (включително други теми). След конференцията ще бъдат отправени препоръки към председателя на Съвета: председателите на Европейския парламент, Съвета на министрите и Европейската комисия. Те се ангажираха да проучат начините и средствата за изпълнение на препоръките. За нидерландското правителство резултатите също са ценен принос за развитието на европейските политики на Нидерландия. </w:t>
      </w:r>
    </w:p>
    <w:p>
      <w:pPr>
        <w:pStyle w:val="Normal"/>
        <w:widowControl w:val="false"/>
        <w:spacing w:lineRule="auto" w:line="240"/>
        <w:ind w:left="0" w:right="0" w:hanging="0"/>
        <w:jc w:val="left"/>
        <w:rPr/>
      </w:pPr>
      <w:r>
        <w:rPr>
          <w:rFonts w:ascii="Verdana" w:hAnsi="Verdana"/>
          <w:color w:val="000000"/>
          <w:sz w:val="21"/>
        </w:rPr>
        <w:t>•</w:t>
      </w:r>
      <w:r>
        <w:rPr>
          <w:color w:val="000000"/>
          <w:sz w:val="21"/>
        </w:rPr>
        <w:t xml:space="preserve"> </w:t>
      </w:r>
      <w:r>
        <w:rPr>
          <w:rFonts w:ascii="Calibri" w:hAnsi="Calibri"/>
          <w:color w:val="000000"/>
          <w:sz w:val="21"/>
        </w:rPr>
        <w:t xml:space="preserve">Накратко, процесът до пролетта на 2022 г. ще бъде организиран, както следва: </w:t>
      </w:r>
      <w:r>
        <w:br w:type="page"/>
      </w:r>
    </w:p>
    <w:p>
      <w:pPr>
        <w:pStyle w:val="P68B1DB1Normal107"/>
        <w:spacing w:lineRule="auto" w:line="240"/>
        <w:rPr/>
      </w:pPr>
      <w:r>
        <w:rPr/>
        <w:t xml:space="preserve">Хронология </w:t>
      </w:r>
    </w:p>
    <w:p>
      <w:pPr>
        <w:pStyle w:val="P68B1DB1Normal114"/>
        <w:spacing w:lineRule="auto" w:line="240"/>
        <w:rPr/>
      </w:pPr>
      <w:r>
        <w:rPr/>
        <w:t xml:space="preserve">Визия за Европа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0"/>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Първите седем.</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12 октомври</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22/23 октомври</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На 15 ноември.</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17/18 декември</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21—22 януари</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22/24 април</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Събиране на идеи онлайн</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Тематични диалози</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Междинни резултати (междинен доклад)</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Междинен доклад относно „Икономика„и „Демокрация“</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Междинен доклад относно „Климат„и „ЕС в света“</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Окончателен доклад „Нашата визия за Европа“</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w:t>
            </w:r>
            <w:r>
              <w:rPr/>
              <w:t xml:space="preserve">&gt;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w:t>
            </w:r>
            <w:r>
              <w:rPr/>
              <w:t xml:space="preserve">&gt;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w:t>
            </w:r>
            <w:r>
              <w:rPr/>
              <w:t xml:space="preserve">&gt;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w:t>
            </w:r>
            <w:r>
              <w:rPr/>
              <w:t xml:space="preserve">&gt;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Заседание на конференцията</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Заседание на конференцията</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Заседание на конференцията</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Закриване на конференцията</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 xml:space="preserve">Препоръки към президентите </w:t>
              <w:br/>
              <w:t xml:space="preserve">• Европейски парламент </w:t>
              <w:br/>
              <w:t xml:space="preserve">• Европейска комисия </w:t>
              <w:br/>
              <w:t>• Министерски съвет</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962"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Повече мнения и идеи за бъдещето на Европа:</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Диалог с гражданите</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Европейски граждански панели</w:t>
            </w:r>
          </w:p>
        </w:tc>
        <w:tc>
          <w:tcPr>
            <w:tcW w:w="3840"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Европейска цифрова платформа (също и за нидерландски граждани)</w:t>
            </w:r>
          </w:p>
        </w:tc>
      </w:tr>
    </w:tbl>
    <w:p>
      <w:pPr>
        <w:pStyle w:val="Normal"/>
        <w:spacing w:lineRule="auto" w:line="240"/>
        <w:rPr/>
      </w:pPr>
      <w:r>
        <w:rPr/>
      </w:r>
    </w:p>
    <w:p>
      <w:pPr>
        <w:pStyle w:val="P68B1DB1Normal107"/>
        <w:spacing w:lineRule="auto" w:line="240"/>
        <w:ind w:left="0" w:right="0" w:hanging="0"/>
        <w:rPr>
          <w:rFonts w:ascii="Calibri" w:hAnsi="Calibri"/>
          <w:i/>
          <w:i/>
          <w:color w:val="000000"/>
          <w:sz w:val="24"/>
        </w:rPr>
      </w:pPr>
      <w:r>
        <w:rPr/>
        <w:t xml:space="preserve">Обяснения за улесняване на четенето </w:t>
      </w:r>
    </w:p>
    <w:p>
      <w:pPr>
        <w:pStyle w:val="P68B1DB1Normal104"/>
        <w:widowControl w:val="false"/>
        <w:spacing w:lineRule="auto" w:line="240" w:before="125" w:after="0"/>
        <w:ind w:left="0" w:right="0" w:hanging="0"/>
        <w:jc w:val="left"/>
        <w:rPr/>
      </w:pPr>
      <w:r>
        <w:rPr/>
        <w:t xml:space="preserve">В този доклад обсъдихме пет теми. За всяка тема сме включили последователно: </w:t>
      </w:r>
    </w:p>
    <w:p>
      <w:pPr>
        <w:pStyle w:val="P68B1DB1Normal104"/>
        <w:widowControl w:val="false"/>
        <w:spacing w:lineRule="auto" w:line="240"/>
        <w:ind w:left="0" w:right="0" w:hanging="0"/>
        <w:jc w:val="left"/>
        <w:rPr>
          <w:rFonts w:ascii="Calibri" w:hAnsi="Calibri"/>
          <w:color w:val="000000"/>
          <w:sz w:val="21"/>
        </w:rPr>
      </w:pPr>
      <w:r>
        <w:rPr/>
        <w:t xml:space="preserve">препоръки, основани на всички аспекти на гражданския диалог; </w:t>
      </w:r>
    </w:p>
    <w:p>
      <w:pPr>
        <w:pStyle w:val="P68B1DB1Normal104"/>
        <w:widowControl w:val="false"/>
        <w:spacing w:lineRule="auto" w:line="240" w:before="1" w:after="0"/>
        <w:ind w:left="0" w:right="0" w:hanging="0"/>
        <w:jc w:val="left"/>
        <w:rPr/>
      </w:pPr>
      <w:r>
        <w:rPr/>
        <w:t xml:space="preserve">преглед на мненията, идеите и мненията, обменени (онлайн и с физическо присъствие) по време на тематични диалози и предложения от онлайн проучването, с думи и изображения.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Описание на методологията, използвана в проучването, може да бъде намерено в края на настоящия доклад. </w:t>
      </w:r>
    </w:p>
    <w:p>
      <w:pPr>
        <w:pStyle w:val="P68B1DB1Normal19"/>
        <w:widowControl w:val="false"/>
        <w:spacing w:lineRule="exact" w:line="388"/>
        <w:ind w:left="0" w:right="0" w:hanging="0"/>
        <w:jc w:val="left"/>
        <w:rPr>
          <w:rFonts w:ascii="Times New Roman" w:hAnsi="Times New Roman"/>
          <w:color w:val="000000"/>
          <w:sz w:val="24"/>
        </w:rPr>
      </w:pPr>
      <w:r>
        <w:rPr/>
        <w:t xml:space="preserve"> </w:t>
      </w:r>
    </w:p>
    <w:p>
      <w:pPr>
        <w:pStyle w:val="Normal"/>
        <w:spacing w:lineRule="auto" w:line="240"/>
        <w:rPr/>
      </w:pPr>
      <w:r>
        <w:rPr/>
      </w:r>
      <w:r>
        <w:br w:type="page"/>
      </w:r>
    </w:p>
    <w:p>
      <w:pPr>
        <w:pStyle w:val="P68B1DB1Normal117"/>
        <w:spacing w:lineRule="auto" w:line="240"/>
        <w:ind w:left="0" w:right="0" w:hanging="0"/>
        <w:rPr>
          <w:rFonts w:ascii="Calibri" w:hAnsi="Calibri"/>
          <w:b/>
          <w:b/>
          <w:i/>
          <w:i/>
          <w:color w:val="000000"/>
          <w:sz w:val="28"/>
        </w:rPr>
      </w:pPr>
      <w:r>
        <w:rPr/>
        <w:t xml:space="preserve">Ценности и права, върховенство на закона и сигурност </w:t>
      </w:r>
    </w:p>
    <w:p>
      <w:pPr>
        <w:pStyle w:val="P68B1DB1Normal104"/>
        <w:widowControl w:val="false"/>
        <w:spacing w:lineRule="auto" w:line="240" w:before="36" w:after="0"/>
        <w:ind w:left="0" w:right="0" w:hanging="0"/>
        <w:jc w:val="both"/>
        <w:rPr/>
      </w:pPr>
      <w:r>
        <w:rPr/>
        <w:t xml:space="preserve">ЕС наблюдава принципите на правовата държава във всички държави от ЕС и се опитва да намали неравенствата в рамките на ЕС. ЕС иска също така да защити всички европейци от тероризма и престъпността. За да постигне това, ЕС въвежда мерки и правила, а държавите от ЕС си сътрудничат интензивно. </w:t>
      </w:r>
    </w:p>
    <w:p>
      <w:pPr>
        <w:pStyle w:val="P68B1DB1Normal104"/>
        <w:widowControl w:val="false"/>
        <w:spacing w:lineRule="auto" w:line="240" w:before="32" w:after="0"/>
        <w:ind w:left="0" w:right="0" w:hanging="0"/>
        <w:jc w:val="left"/>
        <w:rPr>
          <w:rFonts w:ascii="Calibri" w:hAnsi="Calibri"/>
          <w:color w:val="000000"/>
          <w:sz w:val="21"/>
        </w:rPr>
      </w:pPr>
      <w:r>
        <w:rPr/>
        <w:t xml:space="preserve"> </w:t>
      </w:r>
      <w:r>
        <w:rPr/>
        <w:t xml:space="preserve">Каква е визията на Холандия за това? </w:t>
      </w:r>
    </w:p>
    <w:p>
      <w:pPr>
        <w:pStyle w:val="P68B1DB1Normal19"/>
        <w:widowControl w:val="false"/>
        <w:spacing w:lineRule="auto" w:line="240" w:before="23"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Препоръки — Нашата визия за сигурност и върховенство на закона </w:t>
      </w:r>
    </w:p>
    <w:p>
      <w:pPr>
        <w:pStyle w:val="P68B1DB1Normal69"/>
        <w:widowControl w:val="false"/>
        <w:spacing w:lineRule="auto" w:line="240" w:before="41" w:after="0"/>
        <w:ind w:left="0" w:right="0" w:hanging="0"/>
        <w:jc w:val="left"/>
        <w:rPr/>
      </w:pPr>
      <w:r>
        <w:rPr/>
        <w:t xml:space="preserve">68 % от холандците смятат, че сигурността и върховенството на закона са важен въпрос и че ЕС трябва да се намеси в тази област. </w:t>
      </w:r>
    </w:p>
    <w:p>
      <w:pPr>
        <w:pStyle w:val="P68B1DB1Normal111"/>
        <w:widowControl w:val="false"/>
        <w:spacing w:lineRule="auto" w:line="240" w:before="16" w:after="0"/>
        <w:ind w:left="0" w:right="0" w:hanging="0"/>
        <w:jc w:val="left"/>
        <w:rPr>
          <w:rFonts w:ascii="Calibri" w:hAnsi="Calibri"/>
          <w:b/>
          <w:b/>
          <w:color w:val="000000"/>
          <w:sz w:val="22"/>
        </w:rPr>
      </w:pPr>
      <w:r>
        <w:rPr/>
        <w:t xml:space="preserve">1. Уверете се, че всеки може да се чувства свободен и безопасен </w:t>
      </w:r>
    </w:p>
    <w:p>
      <w:pPr>
        <w:pStyle w:val="P68B1DB1Normal104"/>
        <w:widowControl w:val="false"/>
        <w:spacing w:lineRule="auto" w:line="240" w:before="25" w:after="0"/>
        <w:ind w:left="0" w:right="0" w:hanging="0"/>
        <w:jc w:val="left"/>
        <w:rPr/>
      </w:pPr>
      <w:r>
        <w:rPr/>
        <w:t xml:space="preserve">78 % от холандците смятат, че е важно ЕС да защитава принципите на правовата държава и нашите основни права и свободи. Също така отдаваме значение на защитата на правата на потребителите: по-голямата част от гражданите смятат, че е добре, че ЕС изисква производителите да включват една и съща информация върху етикетите във всички държави. Въпреки това голям брой холандци смятат, че ЕС трябва да обърне внимание на различията в (управленските) традиции и култури в Европа. И това, наред с други неща, защото в противен случай би било трудно да се сътрудничи ефективно. Ние вярваме, че е особено важно всички да се чувстват свободни и сигурни в Европа. Това включва да имате покрив над главата си, но също така и образование и грижи. И това се отнася и до факта, че продуктите, които се намират в европейските магазини, са </w:t>
      </w:r>
    </w:p>
    <w:p>
      <w:pPr>
        <w:pStyle w:val="P68B1DB1Normal104"/>
        <w:widowControl w:val="false"/>
        <w:spacing w:lineRule="auto" w:line="240"/>
        <w:ind w:left="0" w:right="0" w:hanging="0"/>
        <w:jc w:val="left"/>
        <w:rPr>
          <w:rFonts w:ascii="Calibri" w:hAnsi="Calibri"/>
          <w:color w:val="000000"/>
          <w:sz w:val="21"/>
        </w:rPr>
      </w:pPr>
      <w:r>
        <w:rPr/>
        <w:t xml:space="preserve">винаги съм сигурен. </w:t>
      </w:r>
    </w:p>
    <w:p>
      <w:pPr>
        <w:pStyle w:val="P68B1DB1Normal111"/>
        <w:widowControl w:val="false"/>
        <w:spacing w:lineRule="auto" w:line="240" w:before="29" w:after="0"/>
        <w:ind w:left="0" w:right="0" w:hanging="0"/>
        <w:jc w:val="left"/>
        <w:rPr>
          <w:rFonts w:ascii="Calibri" w:hAnsi="Calibri"/>
          <w:b/>
          <w:b/>
          <w:color w:val="000000"/>
          <w:sz w:val="22"/>
        </w:rPr>
      </w:pPr>
      <w:r>
        <w:rPr/>
        <w:t xml:space="preserve">2. Разширяване на ЕС само ако то носи добавена стойност </w:t>
      </w:r>
    </w:p>
    <w:p>
      <w:pPr>
        <w:pStyle w:val="P68B1DB1Normal104"/>
        <w:widowControl w:val="false"/>
        <w:spacing w:lineRule="auto" w:line="240" w:before="25" w:after="0"/>
        <w:ind w:left="0" w:right="0" w:hanging="0"/>
        <w:jc w:val="left"/>
        <w:rPr/>
      </w:pPr>
      <w:r>
        <w:rPr/>
        <w:t xml:space="preserve">44 % от холандците не смятат, че ЕС трябва да се разширява в повече държави. От друга страна, 25 % подкрепят разширяването. Отбелязваме, че вече има много разисквания между настоящите държави членки. Много холандци смятат, че първо трябва да се съсредоточим върху този въпрос. И ако нови страни се присъединят към Съюза, те трябва наистина да могат да отговорят на нашите условия. Днес и в бъдеще. Много нидерландци считат, че настоящите държави членки също трябва да възприемат добавената стойност на разширяването. Вярваме, че има и други възможности за съвместна работа като страна за сигурност и стабилност. Например, понякога сме загрижени за влиянието на Русия върху страните по източната граница на ЕС. Важно е ЕС да обърне внимание. </w:t>
      </w:r>
    </w:p>
    <w:p>
      <w:pPr>
        <w:pStyle w:val="P68B1DB1Normal19"/>
        <w:widowControl w:val="false"/>
        <w:spacing w:lineRule="auto" w:line="240" w:before="21" w:after="0"/>
        <w:ind w:left="0" w:right="0" w:hanging="0"/>
        <w:jc w:val="left"/>
        <w:rPr>
          <w:rFonts w:ascii="Times New Roman" w:hAnsi="Times New Roman"/>
          <w:color w:val="000000"/>
          <w:sz w:val="24"/>
        </w:rPr>
      </w:pPr>
      <w:r>
        <w:rPr/>
        <w:t xml:space="preserve"> </w:t>
      </w:r>
    </w:p>
    <w:p>
      <w:pPr>
        <w:pStyle w:val="P68B1DB1Normal113"/>
        <w:widowControl w:val="false"/>
        <w:spacing w:lineRule="auto" w:line="240" w:before="28" w:after="0"/>
        <w:ind w:left="0" w:right="0" w:hanging="0"/>
        <w:jc w:val="center"/>
        <w:rPr/>
      </w:pPr>
      <w:r>
        <w:rPr/>
        <w:t>„</w:t>
      </w:r>
      <w:r>
        <w:rPr/>
        <w:t xml:space="preserve">Разширяването не следва да се съсредоточава върху разходите и ползите, а върху визията за стабилност.“ </w:t>
      </w:r>
    </w:p>
    <w:p>
      <w:pPr>
        <w:pStyle w:val="P68B1DB1Normal111"/>
        <w:widowControl w:val="false"/>
        <w:spacing w:lineRule="auto" w:line="240" w:before="40" w:after="0"/>
        <w:ind w:left="0" w:right="0" w:hanging="0"/>
        <w:jc w:val="left"/>
        <w:rPr/>
      </w:pPr>
      <w:r>
        <w:rPr/>
        <w:t xml:space="preserve">3. Сътрудничество главно в борбата срещу международната престъпност и тероризма </w:t>
      </w:r>
    </w:p>
    <w:p>
      <w:pPr>
        <w:pStyle w:val="P68B1DB1Normal104"/>
        <w:widowControl w:val="false"/>
        <w:spacing w:lineRule="auto" w:line="240" w:before="26" w:after="0"/>
        <w:ind w:left="0" w:right="0" w:hanging="0"/>
        <w:jc w:val="left"/>
        <w:rPr/>
      </w:pPr>
      <w:r>
        <w:rPr/>
        <w:t xml:space="preserve">68 % от холандците смятат, че службите за сигурност на ЕС трябва да споделят информацията си. Считаме обаче, че е важно държавите да могат да продължат да решават за себе си отчасти каква информация желаят да предоставят или не. Споделянето на цялата информация бързо прави сътрудничеството неефективно. Днес ЕС е толкова голям, че трябва да продължим да проучваме критично къде пристига или има вероятност да се случи чувствителна информация. Искаме да продължим да вярваме, че неприкосновеността на личния ни живот е защитена. Считаме, че преди всичко има смисъл да си сътрудничим в борбата срещу тежката международна престъпност, като киберпрестъпността, трафика на наркотици и тероризма. </w:t>
      </w:r>
    </w:p>
    <w:p>
      <w:pPr>
        <w:pStyle w:val="P68B1DB1Normal113"/>
        <w:widowControl w:val="false"/>
        <w:spacing w:lineRule="auto" w:line="240" w:before="28" w:after="0"/>
        <w:ind w:left="0" w:right="0" w:hanging="0"/>
        <w:jc w:val="center"/>
        <w:rPr/>
      </w:pPr>
      <w:r>
        <w:rPr/>
        <w:t xml:space="preserve">Ако веднъж изгорите червена светлина в Холандия, наистина няма причина това да се знае в Испания. </w:t>
      </w:r>
    </w:p>
    <w:p>
      <w:pPr>
        <w:pStyle w:val="P68B1DB1Normal19"/>
        <w:widowControl w:val="false"/>
        <w:spacing w:lineRule="auto" w:line="240" w:before="44" w:after="0"/>
        <w:ind w:left="0" w:right="0" w:hanging="0"/>
        <w:jc w:val="left"/>
        <w:rPr>
          <w:rFonts w:ascii="Times New Roman" w:hAnsi="Times New Roman"/>
          <w:color w:val="000000"/>
          <w:sz w:val="24"/>
        </w:rPr>
      </w:pPr>
      <w:r>
        <w:rPr/>
        <w:t xml:space="preserve"> </w:t>
      </w:r>
    </w:p>
    <w:p>
      <w:pPr>
        <w:pStyle w:val="P68B1DB1Normal108"/>
        <w:spacing w:lineRule="auto" w:line="240"/>
        <w:ind w:left="0" w:right="0" w:hanging="0"/>
        <w:rPr>
          <w:rFonts w:ascii="Calibri" w:hAnsi="Calibri"/>
          <w:b/>
          <w:b/>
          <w:i/>
          <w:i/>
          <w:color w:val="000000"/>
          <w:sz w:val="24"/>
        </w:rPr>
      </w:pPr>
      <w:r>
        <w:rPr/>
        <w:t xml:space="preserve">Онлайн и на място дискусии и идеи </w:t>
      </w:r>
    </w:p>
    <w:p>
      <w:pPr>
        <w:pStyle w:val="P68B1DB1Normal118"/>
        <w:widowControl w:val="false"/>
        <w:spacing w:lineRule="auto" w:line="240" w:before="118" w:after="0"/>
        <w:ind w:left="0" w:right="0" w:hanging="0"/>
        <w:jc w:val="left"/>
        <w:rPr>
          <w:rFonts w:ascii="Calibri" w:hAnsi="Calibri"/>
          <w:i/>
          <w:i/>
          <w:color w:val="000000"/>
          <w:sz w:val="21"/>
        </w:rPr>
      </w:pPr>
      <w:r>
        <w:rPr/>
        <w:t xml:space="preserve">Ако санкционирате страна, която не спазва правилата, това са най-бедните жители на тази страна, които са първите жертви. Ето защо мисля, че е по-добре да говорим, отколкото да санкционираме. </w:t>
      </w:r>
    </w:p>
    <w:p>
      <w:pPr>
        <w:pStyle w:val="P68B1DB1Normal118"/>
        <w:widowControl w:val="false"/>
        <w:spacing w:lineRule="auto" w:line="240" w:before="87" w:after="0"/>
        <w:ind w:left="0" w:right="0" w:hanging="0"/>
        <w:jc w:val="left"/>
        <w:rPr>
          <w:rFonts w:ascii="Calibri" w:hAnsi="Calibri"/>
          <w:i/>
          <w:i/>
          <w:color w:val="000000"/>
          <w:sz w:val="21"/>
        </w:rPr>
      </w:pPr>
      <w:r>
        <w:rPr/>
        <w:t xml:space="preserve">Първо трябва да осигурим стабилност в сегашния клуб. И тогава помислете само за разширяването. </w:t>
      </w:r>
    </w:p>
    <w:p>
      <w:pPr>
        <w:pStyle w:val="P68B1DB1Normal118"/>
        <w:widowControl w:val="false"/>
        <w:spacing w:lineRule="auto" w:line="240" w:before="85" w:after="0"/>
        <w:ind w:left="0" w:right="392" w:hanging="0"/>
        <w:jc w:val="left"/>
        <w:rPr/>
      </w:pPr>
      <w:r>
        <w:rPr/>
        <w:t xml:space="preserve">Също така трябва да разгледаме критично нашата собствена върховенство на закона. Със сигурност има една или друга неизправност. </w:t>
      </w:r>
    </w:p>
    <w:p>
      <w:pPr>
        <w:pStyle w:val="P68B1DB1Normal118"/>
        <w:widowControl w:val="false"/>
        <w:spacing w:lineRule="auto" w:line="240" w:before="85" w:after="0"/>
        <w:ind w:left="0" w:right="244" w:hanging="0"/>
        <w:jc w:val="left"/>
        <w:rPr/>
      </w:pPr>
      <w:r>
        <w:rPr/>
        <w:t xml:space="preserve">ИДЕЯ: „Създаване на строги правила за почтеност за политиците в цяла Европа, за да се предотврати прекалено лесното им влияние.“ </w:t>
      </w:r>
    </w:p>
    <w:p>
      <w:pPr>
        <w:pStyle w:val="P68B1DB1Normal118"/>
        <w:widowControl w:val="false"/>
        <w:spacing w:lineRule="auto" w:line="240" w:before="85" w:after="0"/>
        <w:ind w:left="0" w:right="0" w:hanging="0"/>
        <w:jc w:val="left"/>
        <w:rPr>
          <w:rFonts w:ascii="Calibri" w:hAnsi="Calibri"/>
          <w:i/>
          <w:i/>
          <w:color w:val="000000"/>
          <w:sz w:val="21"/>
        </w:rPr>
      </w:pPr>
      <w:r>
        <w:rPr/>
        <w:t xml:space="preserve">ИДЕЯ: „Засилване на сътрудничеството между полицията и съдебната система в държавите от ЕС.“ </w:t>
      </w:r>
    </w:p>
    <w:p>
      <w:pPr>
        <w:pStyle w:val="P68B1DB1Normal111"/>
        <w:widowControl w:val="false"/>
        <w:spacing w:lineRule="auto" w:line="240" w:before="84" w:after="0"/>
        <w:ind w:left="0" w:right="67" w:hanging="0"/>
        <w:jc w:val="left"/>
        <w:rPr/>
      </w:pPr>
      <w:r>
        <w:rPr/>
        <w:t xml:space="preserve">Ученици от Професионални училища в Doetinchem: Тези, които искат да бъдат част от ЕС, трябва да спазват правилата. </w:t>
      </w:r>
    </w:p>
    <w:p>
      <w:pPr>
        <w:pStyle w:val="P68B1DB1Normal104"/>
        <w:widowControl w:val="false"/>
        <w:spacing w:lineRule="auto" w:line="240" w:before="100" w:after="0"/>
        <w:ind w:left="0" w:right="0" w:hanging="0"/>
        <w:jc w:val="left"/>
        <w:rPr/>
      </w:pPr>
      <w:r>
        <w:rPr/>
        <w:t xml:space="preserve">В Graafschap College в Doetinchem около 20 студенти-медицински сестри обсъдиха въпроса кои според тях са най-големите ползи от ЕС: свободният пазар, еврото като обща валута и фактът, че като европейска може лесно да се установи и да работи в други държави от ЕС. И факта, че страните от ЕС могат да се подкрепят взаимно. Съюзът е сила", каза един от присъстващите ученици. Беше обсъдено и значението на правилата. Ако страните не ги уважават, често им е трудно да ги накажат строго. Според учениците, може да е полезно това да стане малко по-лесно. Един от тях спомена и възпиращия ефект. Ако наложите строги санкции, другите страни виждат какво може да се случи, когато не спазвате правилата. </w:t>
      </w:r>
    </w:p>
    <w:p>
      <w:pPr>
        <w:pStyle w:val="P68B1DB1Normal111"/>
        <w:widowControl w:val="false"/>
        <w:spacing w:lineRule="auto" w:line="240" w:before="88" w:after="0"/>
        <w:ind w:left="0" w:right="0" w:hanging="0"/>
        <w:jc w:val="left"/>
        <w:rPr>
          <w:rFonts w:ascii="Calibri" w:hAnsi="Calibri"/>
          <w:b/>
          <w:b/>
          <w:color w:val="000000"/>
          <w:sz w:val="22"/>
        </w:rPr>
      </w:pPr>
      <w:r>
        <w:rPr/>
        <w:t xml:space="preserve">Хиндутанис от Суринам до Утрехт: Понякога липсва доверие в върховенството на закона </w:t>
      </w:r>
    </w:p>
    <w:p>
      <w:pPr>
        <w:pStyle w:val="Normal"/>
        <w:widowControl w:val="false"/>
        <w:spacing w:lineRule="auto" w:line="240" w:before="97" w:after="0"/>
        <w:ind w:left="0" w:right="34" w:hanging="0"/>
        <w:jc w:val="left"/>
        <w:rPr/>
      </w:pPr>
      <w:r>
        <w:rPr>
          <w:rFonts w:ascii="Calibri" w:hAnsi="Calibri"/>
          <w:color w:val="000000"/>
          <w:sz w:val="21"/>
        </w:rPr>
        <w:t xml:space="preserve">Фондация „Аша“ е организация на индустански доброволци от Суринам в община Утрехт. Участниците в тематичния диалог обсъдиха по-специално значението на правата на гражданите: правото да има покрив над главата, но също така и правото на недискриминация. Според присъстващите доброволци трябва да има правила, които защитават тези права за всички европейски граждани. Не винаги е известно какво се регулира понастоящем в Нидерландия и какво понастоящем се регулира на европейско равнище. В резултат на това понякога е трудно да се има доверие в публичните органи. Особено като се има предвид, че понякога има някои неизправности в рамките на публичните органи. „Можете да кажете, че властите трябва да ме защитят, но понякога успяват да посеят гребла, какъвто беше случаят със случая с надбавките“, каза един от участниците. „ЕС трябва да гарантира, че правилата действително се спазват“, каза друг участник. </w:t>
      </w:r>
      <w:r>
        <w:br w:type="page"/>
      </w:r>
    </w:p>
    <w:p>
      <w:pPr>
        <w:pStyle w:val="P68B1DB1Normal117"/>
        <w:spacing w:lineRule="auto" w:line="240"/>
        <w:ind w:left="0" w:right="0" w:hanging="0"/>
        <w:rPr>
          <w:rFonts w:ascii="Calibri" w:hAnsi="Calibri"/>
          <w:b/>
          <w:b/>
          <w:i/>
          <w:i/>
          <w:color w:val="000000"/>
          <w:sz w:val="28"/>
        </w:rPr>
      </w:pPr>
      <w:r>
        <w:rPr/>
        <w:t xml:space="preserve">По-силна икономика, социална справедливост и заетост </w:t>
      </w:r>
    </w:p>
    <w:p>
      <w:pPr>
        <w:pStyle w:val="P68B1DB1Normal104"/>
        <w:widowControl w:val="false"/>
        <w:spacing w:lineRule="auto" w:line="240" w:before="139" w:after="0"/>
        <w:ind w:left="0" w:right="0" w:hanging="0"/>
        <w:jc w:val="left"/>
        <w:rPr/>
      </w:pPr>
      <w:r>
        <w:rPr/>
        <w:t xml:space="preserve">Малките и средните предприятия са гръбнакът на европейската икономика. Ето защо ЕС иска държавите от ЕС да работят заедно по плановете за възстановяване, за да излязат икономически по-силни от кризата с COVID-19. В дългосрочен план целта на ЕС е да направи европейската икономика по-здрава, по-екологосъобразна и цифрова. Каква е визията на Холандия за това?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Препоръки — Нашата визия за икономиката и заетостта </w:t>
      </w:r>
    </w:p>
    <w:p>
      <w:pPr>
        <w:pStyle w:val="P68B1DB1Normal35"/>
        <w:widowControl w:val="false"/>
        <w:spacing w:lineRule="auto" w:line="240" w:before="123" w:after="0"/>
        <w:ind w:left="0" w:right="0" w:hanging="0"/>
        <w:jc w:val="left"/>
        <w:rPr/>
      </w:pPr>
      <w:r>
        <w:rPr>
          <w:rFonts w:ascii="Calibri" w:hAnsi="Calibri"/>
          <w:sz w:val="20"/>
        </w:rPr>
        <w:t>61 % от холандците смятат, че икономиката и заетостта са важна тема и че ЕС трябва да се намеси в тази област.</w:t>
      </w:r>
      <w:r>
        <w:rPr>
          <w:rFonts w:ascii="Times New Roman" w:hAnsi="Times New Roman"/>
          <w:sz w:val="24"/>
        </w:rPr>
        <w:t xml:space="preserve"> </w:t>
      </w:r>
    </w:p>
    <w:p>
      <w:pPr>
        <w:pStyle w:val="P68B1DB1Normal111"/>
        <w:widowControl w:val="false"/>
        <w:spacing w:lineRule="auto" w:line="240" w:before="6" w:after="0"/>
        <w:ind w:left="0" w:right="0" w:hanging="0"/>
        <w:jc w:val="left"/>
        <w:rPr>
          <w:rFonts w:ascii="Calibri" w:hAnsi="Calibri"/>
          <w:b/>
          <w:b/>
          <w:color w:val="000000"/>
          <w:sz w:val="22"/>
        </w:rPr>
      </w:pPr>
      <w:r>
        <w:rPr/>
        <w:t xml:space="preserve">1. Отчитане на сходствата и различията </w:t>
      </w:r>
    </w:p>
    <w:p>
      <w:pPr>
        <w:pStyle w:val="P68B1DB1Normal104"/>
        <w:widowControl w:val="false"/>
        <w:spacing w:lineRule="auto" w:line="240" w:before="97" w:after="0"/>
        <w:ind w:left="0" w:right="0" w:hanging="0"/>
        <w:jc w:val="left"/>
        <w:rPr/>
      </w:pPr>
      <w:r>
        <w:rPr/>
        <w:t xml:space="preserve">71 % от холандците смятат, че ЕС трябва да гарантира, че предприятията си сътрудничат повече, като по този начин укрепва европейската икономика. От тези хора обаче само малка част от тях смятат, че ЕС трябва да плаща повече пари на предприятията. Преди всичко вярваме, че сътрудничеството може да бъде по-ефективно. Днес виждаме, че различни компании инвестират в една и съща нова технология, понякога дори с публични средства. Ако имахме европейска визия за икономиката, бихме могли да използваме тези пари по-ефективно. По този начин обаче следва да се обърне особено внимание на различията между държавите. </w:t>
      </w:r>
    </w:p>
    <w:p>
      <w:pPr>
        <w:pStyle w:val="P68B1DB1Normal113"/>
        <w:widowControl w:val="false"/>
        <w:spacing w:lineRule="auto" w:line="240" w:before="306" w:after="0"/>
        <w:ind w:left="0" w:right="0" w:hanging="0"/>
        <w:jc w:val="center"/>
        <w:rPr/>
      </w:pPr>
      <w:r>
        <w:rPr/>
        <w:t xml:space="preserve">Селскостопанският сектор в Холандия е толкова модерен. Не винаги е възможно да се сравни с това на други държави. </w:t>
      </w:r>
    </w:p>
    <w:p>
      <w:pPr>
        <w:pStyle w:val="P68B1DB1Normal111"/>
        <w:widowControl w:val="false"/>
        <w:spacing w:lineRule="auto" w:line="240" w:before="297" w:after="0"/>
        <w:ind w:left="0" w:right="0" w:hanging="0"/>
        <w:jc w:val="left"/>
        <w:rPr>
          <w:rFonts w:ascii="Calibri" w:hAnsi="Calibri"/>
          <w:b/>
          <w:b/>
          <w:color w:val="000000"/>
          <w:sz w:val="22"/>
        </w:rPr>
      </w:pPr>
      <w:r>
        <w:rPr/>
        <w:t xml:space="preserve">2. По-широко използване на силните страни на Европа </w:t>
      </w:r>
    </w:p>
    <w:p>
      <w:pPr>
        <w:pStyle w:val="P68B1DB1Normal104"/>
        <w:widowControl w:val="false"/>
        <w:spacing w:lineRule="auto" w:line="240" w:before="97" w:after="0"/>
        <w:ind w:left="0" w:right="0" w:hanging="0"/>
        <w:jc w:val="left"/>
        <w:rPr/>
      </w:pPr>
      <w:r>
        <w:rPr/>
        <w:t>Холандците смятат, че има много възможности за укрепване на европейската икономика, но че трябва да се направи избор. Ето защо считаме, че ЕС трябва да се съсредоточи преди всичко върху силните си страни. Например, ние считаме, че Европа е добра в</w:t>
      </w:r>
    </w:p>
    <w:p>
      <w:pPr>
        <w:pStyle w:val="P68B1DB1Normal104"/>
        <w:widowControl w:val="false"/>
        <w:spacing w:lineRule="auto" w:line="240"/>
        <w:ind w:left="0" w:right="0" w:hanging="0"/>
        <w:jc w:val="left"/>
        <w:rPr/>
      </w:pPr>
      <w:r>
        <w:rPr/>
        <w:t xml:space="preserve"> </w:t>
      </w:r>
      <w:r>
        <w:rPr/>
        <w:t xml:space="preserve">области като цифровия преход, устойчивостта и инфраструктурата. И това, което може би е по-важно: ние защитаваме качеството и разнообразието. Именно разнообразието на нашия континент, с различни мнения и идеи, трябва да използваме много повече като икономическо предимство. Това може да позволи на Европа да се разграничи, например, от китайската икономика. </w:t>
      </w:r>
    </w:p>
    <w:p>
      <w:pPr>
        <w:pStyle w:val="P68B1DB1Normal111"/>
        <w:widowControl w:val="false"/>
        <w:spacing w:lineRule="auto" w:line="240" w:before="40" w:after="0"/>
        <w:ind w:left="0" w:right="0" w:hanging="0"/>
        <w:jc w:val="left"/>
        <w:rPr>
          <w:rFonts w:ascii="Calibri" w:hAnsi="Calibri"/>
          <w:b/>
          <w:b/>
          <w:color w:val="000000"/>
          <w:sz w:val="22"/>
        </w:rPr>
      </w:pPr>
      <w:r>
        <w:rPr/>
        <w:t xml:space="preserve">3. Разработване на справедлива и ясна данъчна система </w:t>
      </w:r>
    </w:p>
    <w:p>
      <w:pPr>
        <w:pStyle w:val="P68B1DB1Normal104"/>
        <w:widowControl w:val="false"/>
        <w:spacing w:lineRule="auto" w:line="240" w:before="95" w:after="0"/>
        <w:ind w:left="0" w:right="0" w:hanging="0"/>
        <w:jc w:val="left"/>
        <w:rPr/>
      </w:pPr>
      <w:r>
        <w:rPr/>
        <w:t xml:space="preserve">82 % от холандците смятат, че страните от ЕС трябва колективно да гарантират, че всички дружества от ЕС плащат справедливи данъци. Това включва много големи компании. Днес те понякога се установяват в други страни по простата причина, че плащат по-малко данъци. ЕС следва да се бори с това явление, например като определи минимална ставка за всички държави. От друга страна, ние вярваме, че данъчното облагане е компетентност, която принадлежи на държавите, които имат свои собствени цели и контекст. Считаме, че данъчното облагане като цяло е сложен въпрос. Именно поради тази причина бихме искали по-добра данъчна система, която е справедлива и ясна за всички в Европа. </w:t>
      </w:r>
    </w:p>
    <w:p>
      <w:pPr>
        <w:pStyle w:val="P68B1DB1Normal113"/>
        <w:widowControl w:val="false"/>
        <w:spacing w:lineRule="auto" w:line="240" w:before="256" w:after="0"/>
        <w:ind w:left="0" w:right="0" w:hanging="0"/>
        <w:jc w:val="center"/>
        <w:rPr/>
      </w:pPr>
      <w:r>
        <w:rPr/>
        <w:t xml:space="preserve">Краставиците трябва да имат една и съща форма навсякъде, но данъчните правила са различни. Това е лудост, нали? </w:t>
      </w:r>
    </w:p>
    <w:p>
      <w:pPr>
        <w:pStyle w:val="P68B1DB1Normal111"/>
        <w:widowControl w:val="false"/>
        <w:spacing w:lineRule="auto" w:line="240" w:before="297" w:after="0"/>
        <w:ind w:left="0" w:right="0" w:hanging="0"/>
        <w:jc w:val="left"/>
        <w:rPr>
          <w:rFonts w:ascii="Calibri" w:hAnsi="Calibri"/>
          <w:b/>
          <w:b/>
          <w:color w:val="000000"/>
          <w:sz w:val="22"/>
        </w:rPr>
      </w:pPr>
      <w:r>
        <w:rPr/>
        <w:t xml:space="preserve">4. Уверете се, че всеки може да участва </w:t>
      </w:r>
    </w:p>
    <w:p>
      <w:pPr>
        <w:pStyle w:val="P68B1DB1Normal104"/>
        <w:widowControl w:val="false"/>
        <w:spacing w:lineRule="auto" w:line="240" w:before="97" w:after="0"/>
        <w:ind w:left="0" w:right="0" w:hanging="0"/>
        <w:jc w:val="left"/>
        <w:rPr/>
      </w:pPr>
      <w:r>
        <w:rPr/>
        <w:t xml:space="preserve">71 % от холандците смятат, че ЕС трябва да помогне за увеличаване на заетостта. Във връзка с това считаме, че следва да се обърне специално внимание на определени групи, като например младите хора и хората извън пазара на труда. Това може да стане чрез правила или субсидии за дружествата, но също така и чрез предоставяне на специфична подкрепа на работодателите и работниците. Мислим например за дейности за повишаване на осведомеността или за много практически въпроси. Възможно е в някои случаи тази подкрепа да може да бъде организирана по-ефективно на равнището на ЕС, а в други — задача, а не за самите държави членки. В крайна сметка държавите от ЕС следва да си сътрудничат, за да гарантират равни възможности на европейския пазар на труда. </w:t>
      </w:r>
    </w:p>
    <w:p>
      <w:pPr>
        <w:pStyle w:val="P68B1DB1Normal108"/>
        <w:widowControl w:val="false"/>
        <w:spacing w:lineRule="auto" w:line="240" w:before="40" w:after="0"/>
        <w:ind w:left="0" w:right="0" w:hanging="0"/>
        <w:jc w:val="left"/>
        <w:rPr>
          <w:rFonts w:ascii="Calibri" w:hAnsi="Calibri"/>
          <w:b/>
          <w:b/>
          <w:i/>
          <w:i/>
          <w:color w:val="000000"/>
          <w:sz w:val="24"/>
        </w:rPr>
      </w:pPr>
      <w:r>
        <w:rPr/>
        <w:t xml:space="preserve">Онлайн и на място дискусии и идеи </w:t>
      </w:r>
    </w:p>
    <w:p>
      <w:pPr>
        <w:pStyle w:val="P68B1DB1Normal118"/>
        <w:widowControl w:val="false"/>
        <w:spacing w:lineRule="auto" w:line="240" w:before="115" w:after="0"/>
        <w:ind w:left="0" w:right="0" w:hanging="0"/>
        <w:jc w:val="left"/>
        <w:rPr>
          <w:rFonts w:ascii="Calibri" w:hAnsi="Calibri"/>
          <w:i/>
          <w:i/>
          <w:color w:val="000000"/>
          <w:sz w:val="21"/>
        </w:rPr>
      </w:pPr>
      <w:r>
        <w:rPr/>
        <w:t xml:space="preserve">Ускоряване на автоматизацията в Европа, така че стоките, които в момента идват от Китай, да се произвеждат отново тук. </w:t>
      </w:r>
    </w:p>
    <w:p>
      <w:pPr>
        <w:pStyle w:val="P68B1DB1Normal118"/>
        <w:widowControl w:val="false"/>
        <w:spacing w:lineRule="auto" w:line="240" w:before="85" w:after="0"/>
        <w:ind w:left="0" w:right="0" w:hanging="0"/>
        <w:jc w:val="left"/>
        <w:rPr/>
      </w:pPr>
      <w:r>
        <w:rPr/>
        <w:t xml:space="preserve">Вземете революцията на биткойни и други криптовалути сериозно. Хората, които се интересуват от него, се третират като данъчни измамници, докато този тип блокчейн технология е бъдещето. </w:t>
      </w:r>
    </w:p>
    <w:p>
      <w:pPr>
        <w:pStyle w:val="P68B1DB1Normal118"/>
        <w:widowControl w:val="false"/>
        <w:spacing w:lineRule="auto" w:line="240" w:before="87" w:after="0"/>
        <w:ind w:left="0" w:right="0" w:hanging="0"/>
        <w:jc w:val="left"/>
        <w:rPr/>
      </w:pPr>
      <w:r>
        <w:rPr/>
        <w:t xml:space="preserve">Акционерите не са единствените участници в европейската икономика. Нищо не е възможно без служители.„“Европа трябва да направи повече за хората с увреждания. За тях е твърде трудно да намерят подходяща работа днес. </w:t>
      </w:r>
    </w:p>
    <w:p>
      <w:pPr>
        <w:pStyle w:val="P68B1DB1Normal118"/>
        <w:widowControl w:val="false"/>
        <w:spacing w:lineRule="auto" w:line="240" w:before="85" w:after="0"/>
        <w:ind w:left="0" w:right="0" w:hanging="0"/>
        <w:jc w:val="left"/>
        <w:rPr/>
      </w:pPr>
      <w:r>
        <w:rPr/>
        <w:t xml:space="preserve">Много европейски правила са сложни и се променят редовно. Поради това за дружествата е трудно да въвеждат иновации. </w:t>
      </w:r>
    </w:p>
    <w:p>
      <w:pPr>
        <w:pStyle w:val="P68B1DB1Normal118"/>
        <w:widowControl w:val="false"/>
        <w:spacing w:lineRule="auto" w:line="240" w:before="85" w:after="0"/>
        <w:ind w:left="0" w:right="0" w:hanging="0"/>
        <w:jc w:val="both"/>
        <w:rPr/>
      </w:pPr>
      <w:r>
        <w:rPr/>
        <w:t xml:space="preserve">В случай на работа по преобразуване в моята компания, местният ми изпълнител можеше да започне преди много време. Но първо трябваше да стартирам европейска покана за участие в търг. Това е срамота. </w:t>
      </w:r>
    </w:p>
    <w:p>
      <w:pPr>
        <w:pStyle w:val="P68B1DB1Normal111"/>
        <w:widowControl w:val="false"/>
        <w:spacing w:lineRule="auto" w:line="240" w:before="85" w:after="0"/>
        <w:ind w:left="0" w:right="0" w:hanging="0"/>
        <w:jc w:val="both"/>
        <w:rPr>
          <w:rFonts w:ascii="Calibri" w:hAnsi="Calibri"/>
          <w:b/>
          <w:b/>
          <w:color w:val="000000"/>
          <w:sz w:val="22"/>
        </w:rPr>
      </w:pPr>
      <w:r>
        <w:rPr/>
        <w:t xml:space="preserve">Участници в онлайн диалога: „Съвместно обмисляне на въпроса за големите дружества“ </w:t>
      </w:r>
    </w:p>
    <w:p>
      <w:pPr>
        <w:pStyle w:val="P68B1DB1Normal104"/>
        <w:widowControl w:val="false"/>
        <w:spacing w:lineRule="auto" w:line="240" w:before="97" w:after="0"/>
        <w:ind w:left="0" w:right="0" w:hanging="0"/>
        <w:jc w:val="left"/>
        <w:rPr/>
      </w:pPr>
      <w:r>
        <w:rPr/>
        <w:t>По време на един от онлайн тематичните диалози възникна дебат за нарастващата мощ на големите компании. Някои участници биха желали ЕС</w:t>
      </w:r>
      <w:r>
        <w:rPr/>
        <w:commentReference w:id="22"/>
      </w:r>
      <w:r>
        <w:rPr/>
        <w:t xml:space="preserve"> да предприеме по-решителни действия в това отношение. В действителност някои компании понякога реализират значителни печалби, върху които плащат малко данъци благодарение на сложни договорености. Други участници призоваха за разглеждане на нещата като цяло: тези дружества генерират високо равнище на заетост и са от полза за националната икономика. „Не трябва да ги преследваш“, каза някой. Друг участник счита, че във всеки случай е важно държавите от ЕС да обмислят този въпрос заедно. В момента големите компании могат да се конкурират между държавите. Ето защо трябва да представим по-обединен фронт като ЕС. </w:t>
      </w:r>
    </w:p>
    <w:p>
      <w:pPr>
        <w:pStyle w:val="P68B1DB1Normal111"/>
        <w:widowControl w:val="false"/>
        <w:spacing w:lineRule="auto" w:line="240" w:before="97" w:after="0"/>
        <w:ind w:left="0" w:right="0" w:hanging="0"/>
        <w:jc w:val="left"/>
        <w:rPr>
          <w:rFonts w:ascii="Calibri" w:hAnsi="Calibri"/>
          <w:b/>
          <w:b/>
          <w:color w:val="000000"/>
          <w:sz w:val="22"/>
        </w:rPr>
      </w:pPr>
      <w:r>
        <w:rPr/>
        <w:t xml:space="preserve">Земеделски стопани, които вземат предвид природата: „Определяне на цели, а не квоти“ </w:t>
      </w:r>
    </w:p>
    <w:p>
      <w:pPr>
        <w:pStyle w:val="P68B1DB1Normal104"/>
        <w:widowControl w:val="false"/>
        <w:spacing w:lineRule="auto" w:line="240" w:before="95" w:after="0"/>
        <w:ind w:left="0" w:right="0" w:hanging="0"/>
        <w:jc w:val="left"/>
        <w:rPr/>
      </w:pPr>
      <w:r>
        <w:rPr/>
        <w:t xml:space="preserve">BoerenNatuur е сдружение на селскостопански групи. Малка група от членове обсъди, наред с другото, правилата на ЕС за земеделските стопани. От една страна, те смятат, че ЕС носи много положителни неща, като например лекотата на износа към други държави. От друга страна, те смятат, че политиките често могат да бъдат още по-ясни. „Но всички вече работят все повече и повече в една и съща посока“, каза някой за това. По-специално са възможни подобрения в процедурите: те често са много административни и отнемат много време. Според един участник правилата не трябва да бъдат твърде подробни. Предпочитайте ясни цели, като чиста вода. След това можем да решим себе си в резултат на ширината на канавката.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17"/>
        <w:widowControl w:val="false"/>
        <w:spacing w:lineRule="auto" w:line="240"/>
        <w:ind w:left="0" w:right="0" w:hanging="0"/>
        <w:jc w:val="left"/>
        <w:rPr>
          <w:rFonts w:ascii="Calibri" w:hAnsi="Calibri"/>
          <w:b/>
          <w:b/>
          <w:i/>
          <w:i/>
          <w:color w:val="000000"/>
          <w:sz w:val="28"/>
        </w:rPr>
      </w:pPr>
      <w:r>
        <w:rPr/>
        <w:t xml:space="preserve">Европейска демокрация </w:t>
      </w:r>
    </w:p>
    <w:p>
      <w:pPr>
        <w:pStyle w:val="P68B1DB1Normal104"/>
        <w:widowControl w:val="false"/>
        <w:spacing w:lineRule="auto" w:line="240"/>
        <w:ind w:left="0" w:right="0" w:hanging="0"/>
        <w:jc w:val="left"/>
        <w:rPr/>
      </w:pPr>
      <w:r>
        <w:rPr/>
        <w:t xml:space="preserve">ЕС насърчава европейците да гласуват и също така иска да ги включи в процеса на вземане на решения и политики в Европа извън изборния период. ЕС също така предприема инициативи за укрепване на демокрацията, например чрез разработване на план за действие, насочен към свободните и честни избори и свободата на печата. Каква е визията на Холандия за това?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5" w:after="0"/>
        <w:ind w:left="0" w:right="0" w:hanging="0"/>
        <w:jc w:val="left"/>
        <w:rPr>
          <w:rFonts w:ascii="Calibri" w:hAnsi="Calibri"/>
          <w:b/>
          <w:b/>
          <w:i/>
          <w:i/>
          <w:color w:val="000000"/>
          <w:sz w:val="24"/>
        </w:rPr>
      </w:pPr>
      <w:r>
        <w:rPr/>
        <w:t xml:space="preserve">Препоръки — Нашата визия за европейската демокрация </w:t>
      </w:r>
    </w:p>
    <w:p>
      <w:pPr>
        <w:pStyle w:val="P68B1DB1Normal69"/>
        <w:widowControl w:val="false"/>
        <w:spacing w:lineRule="auto" w:line="240"/>
        <w:ind w:left="0" w:right="0" w:hanging="0"/>
        <w:jc w:val="left"/>
        <w:rPr/>
      </w:pPr>
      <w:r>
        <w:rPr/>
        <w:t xml:space="preserve">60 % от холандците смятат, че европейската демокрация е важен въпрос и че ЕС трябва да се намеси в тази област. </w:t>
      </w:r>
    </w:p>
    <w:p>
      <w:pPr>
        <w:pStyle w:val="P68B1DB1Normal111"/>
        <w:widowControl w:val="false"/>
        <w:spacing w:lineRule="auto" w:line="240" w:before="13" w:after="0"/>
        <w:ind w:left="0" w:right="0" w:hanging="0"/>
        <w:jc w:val="left"/>
        <w:rPr>
          <w:rFonts w:ascii="Calibri" w:hAnsi="Calibri"/>
          <w:b/>
          <w:b/>
          <w:color w:val="000000"/>
          <w:sz w:val="22"/>
        </w:rPr>
      </w:pPr>
      <w:r>
        <w:rPr/>
        <w:t xml:space="preserve">1. По-добра представа за Европа </w:t>
      </w:r>
    </w:p>
    <w:p>
      <w:pPr>
        <w:pStyle w:val="P68B1DB1Normal104"/>
        <w:widowControl w:val="false"/>
        <w:spacing w:lineRule="auto" w:line="240"/>
        <w:ind w:left="0" w:right="0" w:hanging="0"/>
        <w:jc w:val="left"/>
        <w:rPr/>
      </w:pPr>
      <w:r>
        <w:rPr/>
        <w:t xml:space="preserve">Холандците посочват, че Европа често се появява в медиите в случай на криза. От друга страна, имаме малко информация за ежедневните решения. Като граждани не е необходимо да знаем всичко, но за да формираме добро мнение, би било добре да имаме по-добра представа. Например би било интересно да чуем по-често мненията на други държави за ЕС. Медиите и образованието могат да играят важна роля в това отношение. Но медиите трябва да останат в състояние да направят свой собствен избор. Защото холандците смятат, че свободата на печата е много важна за нашата демокрация. </w:t>
      </w:r>
    </w:p>
    <w:p>
      <w:pPr>
        <w:pStyle w:val="P68B1DB1Normal113"/>
        <w:widowControl w:val="false"/>
        <w:spacing w:lineRule="auto" w:line="240" w:before="184" w:after="0"/>
        <w:ind w:left="0" w:right="0" w:hanging="0"/>
        <w:jc w:val="center"/>
        <w:rPr/>
      </w:pPr>
      <w:r>
        <w:rPr/>
        <w:t>„</w:t>
      </w:r>
      <w:r>
        <w:rPr/>
        <w:t xml:space="preserve">През повечето време чуваме за ЕС само в случай на криза. Именно поради тази причина настроенията към Европа остават отрицателни. </w:t>
      </w:r>
    </w:p>
    <w:p>
      <w:pPr>
        <w:pStyle w:val="P68B1DB1Normal111"/>
        <w:widowControl w:val="false"/>
        <w:spacing w:lineRule="auto" w:line="240" w:before="153" w:after="0"/>
        <w:ind w:left="0" w:right="0" w:hanging="0"/>
        <w:jc w:val="left"/>
        <w:rPr>
          <w:rFonts w:ascii="Calibri" w:hAnsi="Calibri"/>
          <w:b/>
          <w:b/>
          <w:color w:val="000000"/>
          <w:sz w:val="22"/>
        </w:rPr>
      </w:pPr>
      <w:r>
        <w:rPr/>
        <w:t xml:space="preserve">2. Намиране на нови начини за непрекъснато слушане на гражданите </w:t>
      </w:r>
    </w:p>
    <w:p>
      <w:pPr>
        <w:pStyle w:val="P68B1DB1Normal104"/>
        <w:widowControl w:val="false"/>
        <w:spacing w:lineRule="auto" w:line="240"/>
        <w:ind w:left="0" w:right="0" w:hanging="0"/>
        <w:jc w:val="left"/>
        <w:rPr/>
      </w:pPr>
      <w:r>
        <w:rPr/>
        <w:t xml:space="preserve">51 % от холандците смятат, че ЕС не е достатъчно наясно какво се случва в обществото. За да се подобри това положение, ЕС следва да се ангажира по-често и за предпочитане постоянно в диалог с гражданите. Ето защо много холандци смятат, че Конференцията за бъдещето на Европа е добра инициатива. Референдумите също могат да бъдат ценен инструмент, но холандците имат различни мнения по този въпрос. За някои теми също понякога е необходимо да имате специализирани знания. Във всеки случай говоренето с гражданите не следва да бъде просто формалност. Ние вярваме, че е важно да бъдем взети на сериозно. </w:t>
      </w:r>
    </w:p>
    <w:p>
      <w:pPr>
        <w:pStyle w:val="P68B1DB1Normal111"/>
        <w:widowControl w:val="false"/>
        <w:spacing w:lineRule="auto" w:line="240" w:before="21" w:after="0"/>
        <w:ind w:left="0" w:right="0" w:hanging="0"/>
        <w:jc w:val="left"/>
        <w:rPr>
          <w:rFonts w:ascii="Calibri" w:hAnsi="Calibri"/>
          <w:b/>
          <w:b/>
          <w:color w:val="000000"/>
          <w:sz w:val="22"/>
        </w:rPr>
      </w:pPr>
      <w:r>
        <w:rPr/>
        <w:t xml:space="preserve">3. Повече прозрачност и яснота по отношение на взетите решения </w:t>
      </w:r>
    </w:p>
    <w:p>
      <w:pPr>
        <w:pStyle w:val="P68B1DB1Normal104"/>
        <w:widowControl w:val="false"/>
        <w:spacing w:lineRule="auto" w:line="240"/>
        <w:ind w:left="0" w:right="0" w:hanging="0"/>
        <w:jc w:val="left"/>
        <w:rPr/>
      </w:pPr>
      <w:r>
        <w:rPr/>
        <w:t xml:space="preserve">Холандците понякога смятат Европа за доста сложна. Не всеки има едно и също ниво на основни знания. ЕС трябва да вземе това предвид в по-голяма степен. Искаме ЕС да стане по-прозрачен и да улесни актуализирането. Нидерландските органи също трябва да играят роля в това отношение. Много холандци се интересуват от европейските решения, но смятат, че официалните канали са твърде трудни за намиране или твърде сложни. Освен това всеки има различни интереси и нужди. Ето защо би било необходимо да можем да избираме темите, по които бихме искали да научим повече. Младите хора често се интересуват от Европа, но например не виждат достатъчно информация за нея в социалните си мрежи. </w:t>
      </w:r>
    </w:p>
    <w:p>
      <w:pPr>
        <w:pStyle w:val="P68B1DB1Normal113"/>
        <w:widowControl w:val="false"/>
        <w:spacing w:lineRule="auto" w:line="240" w:before="184" w:after="0"/>
        <w:ind w:left="0" w:right="0" w:hanging="0"/>
        <w:jc w:val="center"/>
        <w:rPr/>
      </w:pPr>
      <w:r>
        <w:rPr/>
        <w:t xml:space="preserve">Докато бях на почивка в Унгария, видях голям знак близо до нова горска плантация, в който пишеше: „Тази плантация беше възможна благодарение на ЕС.“ Въпреки че съм скептичен към Европа, все още се чувствах горд. </w:t>
      </w:r>
    </w:p>
    <w:p>
      <w:pPr>
        <w:pStyle w:val="P68B1DB1Normal19"/>
        <w:widowControl w:val="false"/>
        <w:spacing w:lineRule="auto" w:line="240" w:before="155" w:after="0"/>
        <w:ind w:left="0" w:right="0" w:hanging="0"/>
        <w:jc w:val="left"/>
        <w:rPr>
          <w:rFonts w:ascii="Times New Roman" w:hAnsi="Times New Roman"/>
          <w:color w:val="000000"/>
          <w:sz w:val="24"/>
        </w:rPr>
      </w:pPr>
      <w:r>
        <w:rPr/>
        <w:t xml:space="preserve"> </w:t>
      </w:r>
    </w:p>
    <w:p>
      <w:pPr>
        <w:pStyle w:val="P68B1DB1Normal111"/>
        <w:widowControl w:val="false"/>
        <w:spacing w:lineRule="auto" w:line="240" w:before="172" w:after="0"/>
        <w:ind w:left="0" w:right="0" w:hanging="0"/>
        <w:jc w:val="left"/>
        <w:rPr>
          <w:rFonts w:ascii="Calibri" w:hAnsi="Calibri"/>
          <w:b/>
          <w:b/>
          <w:color w:val="000000"/>
          <w:sz w:val="22"/>
        </w:rPr>
      </w:pPr>
      <w:r>
        <w:rPr/>
        <w:t xml:space="preserve">4. Да се гарантира, че трудните проблеми могат да бъдат решени по-бързо </w:t>
      </w:r>
    </w:p>
    <w:p>
      <w:pPr>
        <w:pStyle w:val="P68B1DB1Normal104"/>
        <w:widowControl w:val="false"/>
        <w:spacing w:lineRule="auto" w:line="240"/>
        <w:ind w:left="0" w:right="0" w:hanging="0"/>
        <w:jc w:val="left"/>
        <w:rPr/>
      </w:pPr>
      <w:r>
        <w:rPr/>
        <w:t>За холандците е трудно да разберат как работи европейската демокрация, но им се струва, че вземането на решения в ЕС често е много бавно. На европейските избори виждаме преди всичко съюзи между</w:t>
      </w:r>
      <w:r>
        <w:rPr/>
        <w:commentReference w:id="23"/>
      </w:r>
      <w:r>
        <w:rPr/>
        <w:t xml:space="preserve"> националните партии. Може да има и други начини за справяне с европейските интереси. Около една трета от холандците смятат, че на изборите за Европейски парламент би трябвало да е възможно да се гласува за чуждестранни кандидати. Приблизително равен брой граждани смятат, че това не би трябвало да е възможно. Най-важното е, че различните засегнати интереси са взети предвид в достатъчна степен. В същото време е възможно да се разрешат трънливите проблеми по-бързо, отколкото е днес. </w:t>
      </w:r>
    </w:p>
    <w:p>
      <w:pPr>
        <w:pStyle w:val="P68B1DB1Normal113"/>
        <w:widowControl w:val="false"/>
        <w:spacing w:lineRule="auto" w:line="240" w:before="201" w:after="0"/>
        <w:ind w:left="0" w:right="0" w:hanging="0"/>
        <w:jc w:val="center"/>
        <w:rPr/>
      </w:pPr>
      <w:r>
        <w:rPr/>
        <w:t xml:space="preserve">На изборите ми се иска да мога да се отъждествявам с някого и да знам какво защитава. Не е задължително да е сънародник. </w:t>
      </w:r>
    </w:p>
    <w:p>
      <w:pPr>
        <w:pStyle w:val="P68B1DB1Normal108"/>
        <w:widowControl w:val="false"/>
        <w:spacing w:lineRule="auto" w:line="240" w:before="171" w:after="0"/>
        <w:ind w:left="0" w:right="0" w:hanging="0"/>
        <w:jc w:val="left"/>
        <w:rPr>
          <w:rFonts w:ascii="Calibri" w:hAnsi="Calibri"/>
          <w:b/>
          <w:b/>
          <w:i/>
          <w:i/>
          <w:color w:val="000000"/>
          <w:sz w:val="24"/>
        </w:rPr>
      </w:pPr>
      <w:r>
        <w:rPr/>
        <w:t xml:space="preserve">Онлайн и на място дискусии и идеи </w:t>
      </w:r>
    </w:p>
    <w:p>
      <w:pPr>
        <w:pStyle w:val="P68B1DB1Normal118"/>
        <w:widowControl w:val="false"/>
        <w:spacing w:lineRule="auto" w:line="240" w:before="3" w:after="0"/>
        <w:ind w:left="0" w:right="0" w:hanging="0"/>
        <w:jc w:val="left"/>
        <w:rPr>
          <w:rFonts w:ascii="Calibri" w:hAnsi="Calibri"/>
          <w:i/>
          <w:i/>
          <w:color w:val="000000"/>
          <w:sz w:val="21"/>
        </w:rPr>
      </w:pPr>
      <w:r>
        <w:rPr/>
        <w:t xml:space="preserve">Премахване на правото на вето на държавите. Мнозинството трябва да реши. </w:t>
      </w:r>
    </w:p>
    <w:p>
      <w:pPr>
        <w:pStyle w:val="Normal"/>
        <w:widowControl w:val="false"/>
        <w:spacing w:lineRule="auto" w:line="240" w:before="85" w:after="0"/>
        <w:ind w:left="0" w:right="0" w:hanging="0"/>
        <w:jc w:val="left"/>
        <w:rPr/>
      </w:pPr>
      <w:r>
        <w:rPr>
          <w:rFonts w:ascii="Calibri" w:hAnsi="Calibri"/>
          <w:i/>
          <w:color w:val="000000"/>
          <w:sz w:val="21"/>
        </w:rPr>
        <w:t xml:space="preserve">За важни решения се създават дискусионни групи, </w:t>
      </w:r>
      <w:commentRangeStart w:id="24"/>
      <w:r>
        <w:rPr>
          <w:rFonts w:ascii="Calibri" w:hAnsi="Calibri"/>
          <w:i/>
          <w:color w:val="000000"/>
          <w:sz w:val="21"/>
        </w:rPr>
        <w:t xml:space="preserve">съставени </w:t>
      </w:r>
      <w:r>
        <w:rPr>
          <w:rFonts w:ascii="Calibri" w:hAnsi="Calibri"/>
          <w:i/>
          <w:color w:val="000000"/>
          <w:sz w:val="21"/>
        </w:rPr>
      </w:r>
      <w:commentRangeEnd w:id="24"/>
      <w:r>
        <w:commentReference w:id="24"/>
      </w:r>
      <w:r>
        <w:rPr>
          <w:rFonts w:ascii="Calibri" w:hAnsi="Calibri"/>
          <w:i/>
          <w:color w:val="000000"/>
          <w:sz w:val="21"/>
        </w:rPr>
        <w:t>от граждани, може би на (полу) задължителна основа, както се прави за журитата в Съединените щати.</w:t>
      </w:r>
    </w:p>
    <w:p>
      <w:pPr>
        <w:pStyle w:val="P68B1DB1Normal118"/>
        <w:widowControl w:val="false"/>
        <w:spacing w:lineRule="auto" w:line="240" w:before="85" w:after="0"/>
        <w:ind w:left="0" w:right="0" w:hanging="0"/>
        <w:jc w:val="left"/>
        <w:rPr/>
      </w:pPr>
      <w:r>
        <w:rPr/>
        <w:t>„</w:t>
      </w:r>
      <w:r>
        <w:rPr/>
        <w:t xml:space="preserve">Гарантирайте, че политиците и длъжностните лица на ЕС редовно посещават вътрешността на страната“ и не остават напълно затворени в техния брюкселски балон. </w:t>
      </w:r>
    </w:p>
    <w:p>
      <w:pPr>
        <w:pStyle w:val="P68B1DB1Normal118"/>
        <w:widowControl w:val="false"/>
        <w:spacing w:lineRule="auto" w:line="240" w:before="85" w:after="0"/>
        <w:ind w:left="0" w:right="0" w:hanging="0"/>
        <w:jc w:val="left"/>
        <w:rPr/>
      </w:pPr>
      <w:r>
        <w:rPr/>
        <w:t xml:space="preserve">ИДЕЯ: Всъщност телевизионните новини трябва да отделят по няколко минути на Европа във всяко от нейните издания. Или можем да пуснем ежедневен или седмичен вестник, посветен на Европа. </w:t>
      </w:r>
    </w:p>
    <w:p>
      <w:pPr>
        <w:pStyle w:val="P68B1DB1Normal118"/>
        <w:widowControl w:val="false"/>
        <w:spacing w:lineRule="auto" w:line="240" w:before="85" w:after="0"/>
        <w:ind w:left="0" w:right="0" w:hanging="0"/>
        <w:jc w:val="left"/>
        <w:rPr/>
      </w:pPr>
      <w:r>
        <w:rPr/>
        <w:t xml:space="preserve">ИДЕЯ: Може би европейските политици трябва да участват по-често в телевизионни програми. </w:t>
      </w:r>
    </w:p>
    <w:p>
      <w:pPr>
        <w:pStyle w:val="P68B1DB1Normal118"/>
        <w:widowControl w:val="false"/>
        <w:spacing w:lineRule="auto" w:line="240" w:before="85" w:after="0"/>
        <w:ind w:left="0" w:right="0" w:hanging="0"/>
        <w:jc w:val="left"/>
        <w:rPr/>
      </w:pPr>
      <w:r>
        <w:rPr/>
        <w:t xml:space="preserve">Като млад човек почти никога не съм чел нищо за Европа. Любопитен съм обаче да знам повече, но без да се налага да полагам прекалено много усилия, за да получа информация. </w:t>
      </w:r>
    </w:p>
    <w:p>
      <w:pPr>
        <w:pStyle w:val="P68B1DB1Normal111"/>
        <w:widowControl w:val="false"/>
        <w:spacing w:lineRule="auto" w:line="240" w:before="84" w:after="0"/>
        <w:ind w:left="0" w:right="0" w:hanging="0"/>
        <w:jc w:val="left"/>
        <w:rPr>
          <w:rFonts w:ascii="Calibri" w:hAnsi="Calibri"/>
          <w:b/>
          <w:b/>
          <w:color w:val="000000"/>
          <w:sz w:val="22"/>
        </w:rPr>
      </w:pPr>
      <w:r>
        <w:rPr/>
        <w:t xml:space="preserve">Млади членове на Coalitie-Y в Утрехт: обсъждане на използването на референдуми </w:t>
      </w:r>
    </w:p>
    <w:p>
      <w:pPr>
        <w:pStyle w:val="P68B1DB1Normal104"/>
        <w:widowControl w:val="false"/>
        <w:spacing w:lineRule="auto" w:line="240"/>
        <w:ind w:left="0" w:right="0" w:hanging="0"/>
        <w:jc w:val="left"/>
        <w:rPr/>
      </w:pPr>
      <w:r>
        <w:rPr/>
        <w:t xml:space="preserve">Членовете на Coalitie-Y — сътрудничество между различни младежки организации — проведоха оживен дебат относно използването на референдуми. Опонентите споменаха риска от дебати, при които всичко е черно или бяло, докато темите често са много по-сложни. Един от участниците заяви още: Можем да гласуваме за ЕС и да се кандидатираме. Поддръжниците на референдума смятат, че е полезно политиците да знаят какво мислят гражданите по конкретна тема: това би могло да помогне за предоставяне на насоки. Референдумите биха могли също така да спомогнат за повишаване на обществената осведоменост за ЕС като цяло: какви са темите в дневния ред и какви са решенията, които трябва да се направят? </w:t>
      </w:r>
    </w:p>
    <w:p>
      <w:pPr>
        <w:pStyle w:val="P68B1DB1Normal111"/>
        <w:widowControl w:val="false"/>
        <w:spacing w:lineRule="auto" w:line="240" w:before="38" w:after="0"/>
        <w:ind w:left="0" w:right="0" w:hanging="0"/>
        <w:jc w:val="left"/>
        <w:rPr>
          <w:rFonts w:ascii="Calibri" w:hAnsi="Calibri"/>
          <w:b/>
          <w:b/>
          <w:color w:val="000000"/>
          <w:sz w:val="22"/>
        </w:rPr>
      </w:pPr>
      <w:r>
        <w:rPr/>
        <w:t xml:space="preserve">Социални доброволци: Трябва да има по-добро взаимно разбирателство между държавите. </w:t>
      </w:r>
    </w:p>
    <w:p>
      <w:pPr>
        <w:pStyle w:val="Normal"/>
        <w:widowControl w:val="false"/>
        <w:spacing w:lineRule="auto" w:line="240"/>
        <w:ind w:left="0" w:right="0" w:hanging="0"/>
        <w:jc w:val="left"/>
        <w:rPr/>
      </w:pPr>
      <w:r>
        <w:rPr/>
        <w:t>Фондация</w:t>
      </w:r>
      <w:r>
        <w:rPr>
          <w:rFonts w:ascii="Calibri" w:hAnsi="Calibri"/>
          <w:color w:val="000000"/>
          <w:sz w:val="21"/>
        </w:rPr>
        <w:t xml:space="preserve">Piëzo в Zoetermeer се състои от доброволци, които са активни по различни начини в областта на социалното участие. Участниците в тематичния диалог изразиха загриженост относно нарастващата разлика в Европа. Това са например възгледите, които държавите имат по отношение на ЛГБТИК общността. Ако страните не разбират своите виждания, е трудно да си сътрудничат. „Поради тази причина е от съществено значение да се опознаем по-добре“, каза един от участниците. Днес ние просто не знаем какво мислят хората в други страни. Ние не разбираме в достатъчна степен културата и контекста на нашите страни. Това е от съществено значение, ако искаме да вземаме добри решения заедно. </w:t>
      </w:r>
      <w:r>
        <w:br w:type="page"/>
      </w:r>
    </w:p>
    <w:p>
      <w:pPr>
        <w:pStyle w:val="P68B1DB1Normal117"/>
        <w:spacing w:lineRule="auto" w:line="240"/>
        <w:ind w:left="0" w:right="0" w:hanging="0"/>
        <w:rPr>
          <w:rFonts w:ascii="Calibri" w:hAnsi="Calibri"/>
          <w:b/>
          <w:b/>
          <w:i/>
          <w:i/>
          <w:color w:val="000000"/>
          <w:sz w:val="28"/>
        </w:rPr>
      </w:pPr>
      <w:r>
        <w:rPr/>
        <w:t xml:space="preserve">Дигитална трансформация </w:t>
      </w:r>
    </w:p>
    <w:p>
      <w:pPr>
        <w:pStyle w:val="P68B1DB1Normal104"/>
        <w:widowControl w:val="false"/>
        <w:spacing w:lineRule="auto" w:line="240" w:before="62" w:after="0"/>
        <w:ind w:left="0" w:right="0" w:hanging="0"/>
        <w:jc w:val="left"/>
        <w:rPr/>
      </w:pPr>
      <w:r>
        <w:rPr/>
        <w:t xml:space="preserve">Във виртуалния свят изискванията за интернет свързаност, сигурност и неприкосновеност на личния живот нарастват. ЕС се чувства отговорен в това отношение и се ангажира да гарантира, че никой няма да бъде изоставен в цифровото общество. Освен това ЕС инвестира в цифрови решения на обществените предизвикателства. Каква е визията на Холандия за това? </w:t>
      </w:r>
    </w:p>
    <w:p>
      <w:pPr>
        <w:pStyle w:val="P68B1DB1Normal108"/>
        <w:widowControl w:val="false"/>
        <w:spacing w:lineRule="auto" w:line="240" w:before="57" w:after="0"/>
        <w:ind w:left="0" w:right="0" w:hanging="0"/>
        <w:jc w:val="left"/>
        <w:rPr>
          <w:rFonts w:ascii="Calibri" w:hAnsi="Calibri"/>
          <w:b/>
          <w:b/>
          <w:i/>
          <w:i/>
          <w:color w:val="000000"/>
          <w:sz w:val="24"/>
        </w:rPr>
      </w:pPr>
      <w:r>
        <w:rPr/>
        <w:t xml:space="preserve">Препоръки — Нашият виртуален мироглед </w:t>
      </w:r>
    </w:p>
    <w:p>
      <w:pPr>
        <w:pStyle w:val="P68B1DB1Normal69"/>
        <w:widowControl w:val="false"/>
        <w:spacing w:lineRule="auto" w:line="240" w:before="65" w:after="0"/>
        <w:ind w:left="0" w:right="0" w:hanging="0"/>
        <w:jc w:val="left"/>
        <w:rPr/>
      </w:pPr>
      <w:r>
        <w:rPr/>
        <w:t xml:space="preserve">45 % от холандците смятат, че виртуалният свят е важна тема и че ЕС трябва да се намеси в тази област. </w:t>
      </w:r>
    </w:p>
    <w:p>
      <w:pPr>
        <w:pStyle w:val="P68B1DB1Normal111"/>
        <w:widowControl w:val="false"/>
        <w:spacing w:lineRule="auto" w:line="240" w:before="47" w:after="0"/>
        <w:ind w:left="0" w:right="0" w:hanging="0"/>
        <w:jc w:val="left"/>
        <w:rPr>
          <w:rFonts w:ascii="Calibri" w:hAnsi="Calibri"/>
          <w:b/>
          <w:b/>
          <w:color w:val="000000"/>
          <w:sz w:val="22"/>
        </w:rPr>
      </w:pPr>
      <w:r>
        <w:rPr/>
        <w:t xml:space="preserve">1. Осигуряване на бърз, безопасен и стабилен интернет навсякъде </w:t>
      </w:r>
    </w:p>
    <w:p>
      <w:pPr>
        <w:pStyle w:val="P68B1DB1Normal104"/>
        <w:widowControl w:val="false"/>
        <w:spacing w:lineRule="auto" w:line="240" w:before="49" w:after="0"/>
        <w:ind w:left="0" w:right="0" w:hanging="0"/>
        <w:jc w:val="left"/>
        <w:rPr/>
      </w:pPr>
      <w:r>
        <w:rPr/>
        <w:t xml:space="preserve">61 % от холандците смятат, че ЕС трябва да гарантира, че всеки човек в Европа има достъп до бърз и стабилен интернет. Всички виждаме, че интернет играе все по-важна роля в живота ни. Децата растат с дигитално образование. И комуникацията все повече преминава през интернет, както на национално, така и на международно равнище. Понякога сме обезпокоени от високата зависимост от интернет. Поради това много холандци смятат, че ЕС е в най-добра позиция да отдели средства за него, при условие че те се използват ефективно. Според нас защитата срещу онлайн престъпността е най-важният въпрос, който трябва да бъде разгледан на европейско равнище. Следва обаче да се обърне внимание и на борбата с престъпността в интернет на национално равнище. </w:t>
      </w:r>
    </w:p>
    <w:p>
      <w:pPr>
        <w:pStyle w:val="P68B1DB1Normal113"/>
        <w:widowControl w:val="false"/>
        <w:spacing w:lineRule="auto" w:line="240" w:before="54" w:after="0"/>
        <w:ind w:left="0" w:right="0" w:hanging="0"/>
        <w:jc w:val="center"/>
        <w:rPr/>
      </w:pPr>
      <w:r>
        <w:rPr/>
        <w:t xml:space="preserve">Идеята за кибератака срещу нашата система за защита на водата ме кара да се чувствам уязвима. </w:t>
      </w:r>
    </w:p>
    <w:p>
      <w:pPr>
        <w:pStyle w:val="P68B1DB1Normal111"/>
        <w:widowControl w:val="false"/>
        <w:spacing w:lineRule="auto" w:line="240" w:before="71" w:after="0"/>
        <w:ind w:left="0" w:right="0" w:hanging="0"/>
        <w:jc w:val="left"/>
        <w:rPr>
          <w:rFonts w:ascii="Calibri" w:hAnsi="Calibri"/>
          <w:b/>
          <w:b/>
          <w:color w:val="000000"/>
          <w:sz w:val="22"/>
        </w:rPr>
      </w:pPr>
      <w:r>
        <w:rPr/>
        <w:t xml:space="preserve">2. Определяне на ясни правила и стандарти за интернет дружествата </w:t>
      </w:r>
    </w:p>
    <w:p>
      <w:pPr>
        <w:pStyle w:val="P68B1DB1Normal104"/>
        <w:widowControl w:val="false"/>
        <w:spacing w:lineRule="auto" w:line="240" w:before="49" w:after="0"/>
        <w:ind w:left="0" w:right="0" w:hanging="0"/>
        <w:jc w:val="left"/>
        <w:rPr/>
      </w:pPr>
      <w:r>
        <w:rPr/>
        <w:t xml:space="preserve">75 % от холандците смятат, че ЕС трябва да гарантира, че онлайн покупките могат да се извършват с еднакво ниво на сигурност във всички държави от ЕС. Всички ние купуваме все повече и повече в чужбина и споделяме чувствителни лични данни по този начин. Това понякога изглежда опасно. Трудно е да се определи кои сайтове са надеждни. Добре е, че ЕС разработва европейски правила и стандарти за неприкосновеността на личния живот, които всеки може да разбере. Силата на големите интернет компании също е редовен източник на безпокойство за нас. Ние вярваме, че е наша отговорност да проявяваме предпазливост при използването на нашите данни. Но също така считаме, че ЕС може да играе роля в това отношение. Страните от ЕС трябва да работят заедно, за да гарантират, че компании като Google и Facebook нямат твърде много власт. </w:t>
      </w:r>
    </w:p>
    <w:p>
      <w:pPr>
        <w:pStyle w:val="P68B1DB1Normal113"/>
        <w:widowControl w:val="false"/>
        <w:spacing w:lineRule="auto" w:line="240" w:before="54" w:after="0"/>
        <w:ind w:left="0" w:right="0" w:hanging="0"/>
        <w:jc w:val="center"/>
        <w:rPr/>
      </w:pPr>
      <w:r>
        <w:rPr/>
        <w:t xml:space="preserve">Изправени пред глобален играч като Facebook, ние сме сравнително бедни като малка страна. </w:t>
      </w:r>
    </w:p>
    <w:p>
      <w:pPr>
        <w:pStyle w:val="P68B1DB1Normal111"/>
        <w:widowControl w:val="false"/>
        <w:spacing w:lineRule="auto" w:line="240" w:before="71" w:after="0"/>
        <w:ind w:left="0" w:right="0" w:hanging="0"/>
        <w:jc w:val="left"/>
        <w:rPr/>
      </w:pPr>
      <w:r>
        <w:rPr/>
        <w:t xml:space="preserve">3. Добавяне на прилагане и практически обяснения към правилата за поверителност </w:t>
      </w:r>
    </w:p>
    <w:p>
      <w:pPr>
        <w:pStyle w:val="Normal"/>
        <w:widowControl w:val="false"/>
        <w:spacing w:lineRule="auto" w:line="240" w:before="49" w:after="0"/>
        <w:ind w:left="0" w:right="0" w:hanging="0"/>
        <w:jc w:val="left"/>
        <w:rPr/>
      </w:pPr>
      <w:r>
        <w:rPr>
          <w:rFonts w:ascii="Calibri" w:hAnsi="Calibri"/>
          <w:color w:val="000000"/>
          <w:sz w:val="21"/>
        </w:rPr>
        <w:t xml:space="preserve">С въвеждането на Общия регламент за защита на данните (GDPR) холандците знаят, че всички държави трябва да спазват едни и същи закони и разпоредби за защита на личните данни. Смятаме, че е добре да можем да разчитаме на това, защото неприкосновеността на личния живот е важен въпрос. Някои холандци обаче смятат, че правилата за поверителност понякога са преувеличени или нелогични. В допълнение, това законодателство може да генерира много работа за предприемачите. Поради това считаме, че следва да се обърне повече внимание на практическото прилагане на законодателството в областта на неприкосновеността на личния живот: подкрепа и информация както за гражданите, така и за предприятията. По-специално считаме, че държавите членки трябва да играят роля. Въпросите, свързани с неприкосновеността на личния живот, се управляват най-добре от националните органи на нашия собствен език. </w:t>
      </w:r>
      <w:r>
        <w:br w:type="page"/>
      </w:r>
    </w:p>
    <w:p>
      <w:pPr>
        <w:pStyle w:val="P68B1DB1Normal108"/>
        <w:spacing w:lineRule="auto" w:line="240"/>
        <w:ind w:left="0" w:right="0" w:hanging="0"/>
        <w:rPr>
          <w:rFonts w:ascii="Calibri" w:hAnsi="Calibri"/>
          <w:b/>
          <w:b/>
          <w:i/>
          <w:i/>
          <w:color w:val="000000"/>
          <w:sz w:val="24"/>
        </w:rPr>
      </w:pPr>
      <w:r>
        <w:rPr/>
        <w:t xml:space="preserve">Онлайн и на място дискусии и идеи </w:t>
      </w:r>
    </w:p>
    <w:p>
      <w:pPr>
        <w:pStyle w:val="P68B1DB1Normal118"/>
        <w:widowControl w:val="false"/>
        <w:spacing w:lineRule="auto" w:line="240" w:before="120" w:after="0"/>
        <w:ind w:left="0" w:right="889" w:hanging="0"/>
        <w:jc w:val="left"/>
        <w:rPr/>
      </w:pPr>
      <w:r>
        <w:rPr/>
        <w:t xml:space="preserve">ИДЕЯ: Задаване на по-строги критерии за програмистите и бизнеса чрез забрана на опасни езици за програмиране. </w:t>
      </w:r>
    </w:p>
    <w:p>
      <w:pPr>
        <w:pStyle w:val="P68B1DB1Normal118"/>
        <w:widowControl w:val="false"/>
        <w:spacing w:lineRule="auto" w:line="240" w:before="87" w:after="0"/>
        <w:ind w:left="0" w:right="0" w:hanging="0"/>
        <w:jc w:val="left"/>
        <w:rPr>
          <w:rFonts w:ascii="Calibri" w:hAnsi="Calibri"/>
          <w:i/>
          <w:i/>
          <w:color w:val="000000"/>
          <w:sz w:val="21"/>
        </w:rPr>
      </w:pPr>
      <w:r>
        <w:rPr/>
        <w:t xml:space="preserve">Предложение за безплатен европейски антивирусен софтуер за създаване на европейска защитна стена. </w:t>
      </w:r>
    </w:p>
    <w:p>
      <w:pPr>
        <w:pStyle w:val="P68B1DB1Normal118"/>
        <w:widowControl w:val="false"/>
        <w:spacing w:lineRule="auto" w:line="240" w:before="85" w:after="0"/>
        <w:ind w:left="0" w:right="42" w:hanging="0"/>
        <w:jc w:val="left"/>
        <w:rPr/>
      </w:pPr>
      <w:r>
        <w:rPr/>
        <w:t xml:space="preserve">Когато прекосявам границата с Германия, изведнъж вече нямам мрежа на мобилния си телефон. Не трябва да се случва повече, нали? </w:t>
      </w:r>
    </w:p>
    <w:p>
      <w:pPr>
        <w:pStyle w:val="P68B1DB1Normal118"/>
        <w:widowControl w:val="false"/>
        <w:spacing w:lineRule="auto" w:line="240" w:before="85" w:after="0"/>
        <w:ind w:left="0" w:right="959" w:hanging="0"/>
        <w:jc w:val="left"/>
        <w:rPr/>
      </w:pPr>
      <w:r>
        <w:rPr/>
        <w:t xml:space="preserve">С нашите iPhone можем да проследим всичките си пътувания. Ние също имаме своя дял от отговорността. </w:t>
      </w:r>
    </w:p>
    <w:p>
      <w:pPr>
        <w:pStyle w:val="P68B1DB1Normal118"/>
        <w:widowControl w:val="false"/>
        <w:spacing w:lineRule="auto" w:line="240" w:before="83" w:after="0"/>
        <w:ind w:left="0" w:right="0" w:hanging="0"/>
        <w:jc w:val="left"/>
        <w:rPr/>
      </w:pPr>
      <w:r>
        <w:rPr/>
        <w:t xml:space="preserve">Не е удобно да се налага да попълвате различен вид формуляр за поверителност във всяка страна. </w:t>
      </w:r>
    </w:p>
    <w:p>
      <w:pPr>
        <w:pStyle w:val="P68B1DB1Normal118"/>
        <w:widowControl w:val="false"/>
        <w:spacing w:lineRule="auto" w:line="240" w:before="87" w:after="0"/>
        <w:ind w:left="0" w:right="0" w:hanging="0"/>
        <w:jc w:val="left"/>
        <w:rPr>
          <w:rFonts w:ascii="Calibri" w:hAnsi="Calibri"/>
          <w:i/>
          <w:i/>
          <w:color w:val="000000"/>
          <w:sz w:val="21"/>
        </w:rPr>
      </w:pPr>
      <w:r>
        <w:rPr/>
        <w:t xml:space="preserve">ИДЕЯ: Трябва да създадем европейска киберполитика. Това очевидно е нещо за ЕС. </w:t>
      </w:r>
    </w:p>
    <w:p>
      <w:pPr>
        <w:pStyle w:val="P68B1DB1Normal111"/>
        <w:widowControl w:val="false"/>
        <w:spacing w:lineRule="auto" w:line="240" w:before="84" w:after="0"/>
        <w:ind w:left="0" w:right="823" w:hanging="0"/>
        <w:jc w:val="left"/>
        <w:rPr/>
      </w:pPr>
      <w:r>
        <w:rPr/>
        <w:t xml:space="preserve">Участници в онлайн диалога: Наличието на качествен достъп до интернет навсякъде също е в наш интерес. </w:t>
      </w:r>
    </w:p>
    <w:p>
      <w:pPr>
        <w:pStyle w:val="P68B1DB1Normal104"/>
        <w:widowControl w:val="false"/>
        <w:spacing w:lineRule="auto" w:line="240" w:before="97" w:after="0"/>
        <w:ind w:left="0" w:right="236" w:hanging="0"/>
        <w:jc w:val="left"/>
        <w:rPr/>
      </w:pPr>
      <w:r>
        <w:rPr/>
        <w:t xml:space="preserve">По време на един от тематичните онлайн диалози се роди интересен дебат относно ролята на ЕС във виртуалния свят. Всички участници се съгласиха, че е добре и важно да има добра интернет връзка в цяла Европа. Но от ЕС зависи ли да се справи с това? Няколко участници посочиха, че това е задача предимно на отделните държави членки. Друг участник подчерта, че стабилният и качествен интернет в чужбина също е предимство за Нидерландия: Ние правим милиарди долари от търговия с други страни от ЕС. Ето защо е в наш интерес тези държави да функционират добре. </w:t>
      </w:r>
    </w:p>
    <w:p>
      <w:pPr>
        <w:pStyle w:val="P68B1DB1Normal111"/>
        <w:widowControl w:val="false"/>
        <w:spacing w:lineRule="auto" w:line="240" w:before="40" w:after="0"/>
        <w:ind w:left="0" w:right="0" w:hanging="0"/>
        <w:jc w:val="left"/>
        <w:rPr>
          <w:rFonts w:ascii="Calibri" w:hAnsi="Calibri"/>
          <w:b/>
          <w:b/>
          <w:color w:val="000000"/>
          <w:sz w:val="22"/>
        </w:rPr>
      </w:pPr>
      <w:r>
        <w:rPr/>
        <w:t xml:space="preserve">Студенти в Хелмонд: Идентични правила и санкции за киберпрестъпниците </w:t>
      </w:r>
    </w:p>
    <w:p>
      <w:pPr>
        <w:pStyle w:val="Normal"/>
        <w:widowControl w:val="false"/>
        <w:spacing w:lineRule="auto" w:line="240" w:before="95" w:after="0"/>
        <w:ind w:left="0" w:right="32" w:hanging="0"/>
        <w:jc w:val="left"/>
        <w:rPr/>
      </w:pPr>
      <w:r>
        <w:rPr>
          <w:rFonts w:ascii="Calibri" w:hAnsi="Calibri"/>
          <w:color w:val="000000"/>
          <w:sz w:val="21"/>
        </w:rPr>
        <w:t xml:space="preserve">В колежа д-р Knippenberg в Хелмонд студенти на възраст 15 и 16 години обсъдиха проблема с интернет престъпността. Те редовно чуват новините. Например, когато има изтичане на данни в дадена компания. Или когато страна като Русия или Китай се опитва да открадне данни. Тъй като киберпрестъпниците често работят зад граница, те намират за логично европейските държави да си сътрудничат. В този контекст те разглеждат разработването на правила, но също така и определянето на санкции. Ако руските киберпирати се опитат да проникнат в домовете ни, ЕС трябва да предприеме решителни действия, за да ги предотврати. </w:t>
      </w:r>
      <w:r>
        <w:br w:type="page"/>
      </w:r>
    </w:p>
    <w:p>
      <w:pPr>
        <w:pStyle w:val="P68B1DB1Normal117"/>
        <w:spacing w:lineRule="auto" w:line="240"/>
        <w:ind w:left="0" w:right="0" w:hanging="0"/>
        <w:rPr>
          <w:rFonts w:ascii="Calibri" w:hAnsi="Calibri"/>
          <w:b/>
          <w:b/>
          <w:i/>
          <w:i/>
          <w:color w:val="000000"/>
          <w:sz w:val="28"/>
        </w:rPr>
      </w:pPr>
      <w:r>
        <w:rPr/>
        <w:t xml:space="preserve">Образование, култура, младеж и спорт </w:t>
      </w:r>
    </w:p>
    <w:p>
      <w:pPr>
        <w:pStyle w:val="P68B1DB1Normal104"/>
        <w:widowControl w:val="false"/>
        <w:spacing w:lineRule="auto" w:line="240" w:before="93" w:after="0"/>
        <w:ind w:left="0" w:right="0" w:hanging="0"/>
        <w:jc w:val="left"/>
        <w:rPr/>
      </w:pPr>
      <w:r>
        <w:rPr/>
        <w:t xml:space="preserve">Държавите от ЕС са пряко отговорни за образованието, културата, младежта и спорта. ЕС може и би искал да им помогне в това отношение, например чрез насърчаване на качественото образование, многоезичието, опазването на културното наследство и подкрепата за секторите на културата и спорта. Каква е визията на Холандия за това? </w:t>
      </w:r>
    </w:p>
    <w:p>
      <w:pPr>
        <w:pStyle w:val="P68B1DB1Normal108"/>
        <w:widowControl w:val="false"/>
        <w:spacing w:lineRule="auto" w:line="240" w:before="90" w:after="0"/>
        <w:ind w:left="0" w:right="0" w:hanging="0"/>
        <w:jc w:val="left"/>
        <w:rPr>
          <w:rFonts w:ascii="Calibri" w:hAnsi="Calibri"/>
          <w:b/>
          <w:b/>
          <w:i/>
          <w:i/>
          <w:color w:val="000000"/>
          <w:sz w:val="24"/>
        </w:rPr>
      </w:pPr>
      <w:r>
        <w:rPr/>
        <w:t xml:space="preserve">Препоръки — Нашата визия за образованието, културата, младежта и спорта </w:t>
      </w:r>
    </w:p>
    <w:p>
      <w:pPr>
        <w:pStyle w:val="P68B1DB1Normal69"/>
        <w:widowControl w:val="false"/>
        <w:spacing w:lineRule="auto" w:line="240" w:before="123" w:after="0"/>
        <w:ind w:left="0" w:right="0" w:hanging="0"/>
        <w:jc w:val="left"/>
        <w:rPr/>
      </w:pPr>
      <w:r>
        <w:rPr/>
        <w:t xml:space="preserve">45 % от холандците смятат, че образованието е важен въпрос и че ЕС трябва да се намеси в тази област. За младежта, културата и спорта тази цифра възлиза съответно на 39 %, 23 % и 19 %. </w:t>
      </w:r>
    </w:p>
    <w:p>
      <w:pPr>
        <w:pStyle w:val="P68B1DB1Normal69"/>
        <w:widowControl w:val="false"/>
        <w:spacing w:lineRule="auto" w:line="240"/>
        <w:ind w:left="0" w:right="0" w:hanging="0"/>
        <w:jc w:val="left"/>
        <w:rPr>
          <w:rFonts w:ascii="Calibri" w:hAnsi="Calibri"/>
          <w:b/>
          <w:b/>
          <w:color w:val="000000"/>
          <w:sz w:val="20"/>
        </w:rPr>
      </w:pPr>
      <w:r>
        <w:rPr/>
        <w:t xml:space="preserve"> </w:t>
      </w:r>
    </w:p>
    <w:p>
      <w:pPr>
        <w:pStyle w:val="P68B1DB1Normal111"/>
        <w:widowControl w:val="false"/>
        <w:spacing w:lineRule="auto" w:line="240" w:before="28" w:after="0"/>
        <w:ind w:left="0" w:right="0" w:hanging="0"/>
        <w:jc w:val="left"/>
        <w:rPr>
          <w:rFonts w:ascii="Calibri" w:hAnsi="Calibri"/>
          <w:b/>
          <w:b/>
          <w:color w:val="000000"/>
          <w:sz w:val="22"/>
        </w:rPr>
      </w:pPr>
      <w:r>
        <w:rPr/>
        <w:t xml:space="preserve">1. Насърчаване на учениците да учат интелигентно в чужбина </w:t>
      </w:r>
    </w:p>
    <w:p>
      <w:pPr>
        <w:pStyle w:val="P68B1DB1Normal104"/>
        <w:widowControl w:val="false"/>
        <w:spacing w:lineRule="auto" w:line="240"/>
        <w:ind w:left="0" w:right="0" w:hanging="0"/>
        <w:jc w:val="left"/>
        <w:rPr/>
      </w:pPr>
      <w:r>
        <w:rPr/>
        <w:t xml:space="preserve">Много холандци смятат, че ученето в чужбина има положително въздействие върху младите хора. Това допринася за личностното развитие. Освен това обучението в чужбина може да помогне на европейците да се разбират по-добре. Тя може да допринесе и за по-добрата интеграция. Поради това много холандци намират за положително, че има програма „Еразъм“, която насърчава обучението в чужбина. Считаме обаче, че ЕС следва също така да продължи да разглежда критично този въпрос. На практика, например, изглежда, че чуждестранните студенти предимно остават един с друг и не винаги научават много за страната, в която се намират. ЕС трябва също така да попречи на държавите с по-ниско ниво на знания да „празнят“, тъй като всички таланти ще учат в чужбина. </w:t>
      </w:r>
    </w:p>
    <w:p>
      <w:pPr>
        <w:pStyle w:val="P68B1DB1Normal113"/>
        <w:widowControl w:val="false"/>
        <w:spacing w:lineRule="auto" w:line="240" w:before="167" w:after="0"/>
        <w:ind w:left="0" w:right="0" w:hanging="0"/>
        <w:jc w:val="center"/>
        <w:rPr/>
      </w:pPr>
      <w:r>
        <w:rPr/>
        <w:t>„</w:t>
      </w:r>
      <w:r>
        <w:rPr/>
        <w:t xml:space="preserve">Разработване на програми за обмен и на равнището на професионалното средно образование.“ </w:t>
      </w:r>
    </w:p>
    <w:p>
      <w:pPr>
        <w:pStyle w:val="Normal"/>
        <w:widowControl w:val="false"/>
        <w:spacing w:lineRule="auto" w:line="240" w:before="136" w:after="0"/>
        <w:ind w:left="0" w:right="0" w:hanging="0"/>
        <w:jc w:val="left"/>
        <w:rPr/>
      </w:pPr>
      <w:r>
        <w:rPr>
          <w:rFonts w:ascii="Calibri" w:hAnsi="Calibri"/>
          <w:b/>
          <w:color w:val="000000"/>
        </w:rPr>
        <w:t>2. Да се даде възможност на държавите членки да се съсредоточат върху теми като културата и спорта</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58 % от холандците смятат, че ЕС трябва да защитава по-добре културното наследство в Европа. Ние мислим, например, за храмовете в Гърция. От друга страна, ние откриваме, че местната култура е преди всичко отговорност на самите страни. Същото важи например за злоупотребите в спорта. Считаме, че това е важен въпрос, но не и основна мисия на ЕС. Европа трябва задължително да определи приоритети и са необходими значителни финансови ресурси за други въпроси. Понякога можем да направим финансов принос, но понякога можем да си сътрудничим и по други начини, например чрез обмен на знания и идеи. </w:t>
      </w:r>
    </w:p>
    <w:p>
      <w:pPr>
        <w:pStyle w:val="P68B1DB1Normal113"/>
        <w:widowControl w:val="false"/>
        <w:spacing w:lineRule="auto" w:line="240" w:before="167" w:after="0"/>
        <w:ind w:left="0" w:right="0" w:hanging="0"/>
        <w:jc w:val="center"/>
        <w:rPr/>
      </w:pPr>
      <w:r>
        <w:rPr/>
        <w:t xml:space="preserve">Защитата на културата е в самите страни. Но ако световното наследство бъде пренебрегнато, мисля, че ЕС трябва да се намеси.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Гарантиране, че европейците се опознават по-добре и се уважават взаимно </w:t>
      </w:r>
    </w:p>
    <w:p>
      <w:pPr>
        <w:pStyle w:val="P68B1DB1Normal104"/>
        <w:widowControl w:val="false"/>
        <w:spacing w:lineRule="auto" w:line="240"/>
        <w:ind w:left="0" w:right="0" w:hanging="0"/>
        <w:jc w:val="left"/>
        <w:rPr/>
      </w:pPr>
      <w:r>
        <w:rPr/>
        <w:t xml:space="preserve">Холандците ценят, когато другите европейци говорят добре английски. Това опростява нещата, когато сме в чужбина. И когато, например, искаме да общуваме с работниците мигранти в Холандия. В същото време много холандци смятат, че е много важно да продължим да говорим и ценим собствения си език. Ето защо искаме да бъдат зачитани и други различия в рамките на Европа. Независимо дали става въпрос за култура, образование или спорт, всеки човек трябва да се чувства свободен и да може да бъде себе си. Различията понякога могат да предизвикат напрежение, но също така правят европейския континент богат. Много холандци смятат, че на страните трябва да се даде време да се запознаят със съответните си навици и идеи. </w:t>
      </w:r>
    </w:p>
    <w:p>
      <w:pPr>
        <w:pStyle w:val="P68B1DB1Normal113"/>
        <w:widowControl w:val="false"/>
        <w:spacing w:lineRule="auto" w:line="240" w:before="167" w:after="0"/>
        <w:ind w:left="0" w:right="0" w:hanging="0"/>
        <w:jc w:val="center"/>
        <w:rPr/>
      </w:pPr>
      <w:r>
        <w:rPr/>
        <w:t xml:space="preserve">За мен ЕС е като група приятели. Уважаваме различията си и мога да помоля за помощ, ако имам нужда от тях. </w:t>
      </w:r>
    </w:p>
    <w:p>
      <w:pPr>
        <w:pStyle w:val="P68B1DB1Normal108"/>
        <w:widowControl w:val="false"/>
        <w:spacing w:lineRule="auto" w:line="240" w:before="135" w:after="0"/>
        <w:ind w:left="0" w:right="0" w:hanging="0"/>
        <w:jc w:val="left"/>
        <w:rPr>
          <w:rFonts w:ascii="Calibri" w:hAnsi="Calibri"/>
          <w:b/>
          <w:b/>
          <w:i/>
          <w:i/>
          <w:color w:val="000000"/>
          <w:sz w:val="24"/>
        </w:rPr>
      </w:pPr>
      <w:r>
        <w:rPr/>
        <w:t xml:space="preserve">Онлайн и на място дискусии и идеи </w:t>
      </w:r>
    </w:p>
    <w:p>
      <w:pPr>
        <w:pStyle w:val="P68B1DB1Normal118"/>
        <w:widowControl w:val="false"/>
        <w:spacing w:lineRule="auto" w:line="240" w:before="120" w:after="0"/>
        <w:ind w:left="0" w:right="0" w:hanging="0"/>
        <w:jc w:val="left"/>
        <w:rPr/>
      </w:pPr>
      <w:r>
        <w:rPr/>
        <w:t xml:space="preserve">ИДЕЯ: В допълнение към местната учебна програма следва да се въведе обща европейска учебна програма на всички равнища на образование. </w:t>
      </w:r>
    </w:p>
    <w:p>
      <w:pPr>
        <w:pStyle w:val="P68B1DB1Normal118"/>
        <w:widowControl w:val="false"/>
        <w:spacing w:lineRule="auto" w:line="240" w:before="254" w:after="0"/>
        <w:ind w:left="0" w:right="0" w:hanging="0"/>
        <w:jc w:val="left"/>
        <w:rPr>
          <w:rFonts w:ascii="Calibri" w:hAnsi="Calibri"/>
          <w:i/>
          <w:i/>
          <w:color w:val="000000"/>
          <w:sz w:val="21"/>
        </w:rPr>
      </w:pPr>
      <w:r>
        <w:rPr/>
        <w:t xml:space="preserve">ИДЕЯ: В допълнение към столицата на културата, трябва да изберете столица (или страна) всяка година в областта на образованието, младежта и спорта. </w:t>
      </w:r>
    </w:p>
    <w:p>
      <w:pPr>
        <w:pStyle w:val="P68B1DB1Normal118"/>
        <w:widowControl w:val="false"/>
        <w:spacing w:lineRule="auto" w:line="240" w:before="85" w:after="0"/>
        <w:ind w:left="0" w:right="0" w:hanging="0"/>
        <w:jc w:val="left"/>
        <w:rPr/>
      </w:pPr>
      <w:r>
        <w:rPr/>
        <w:t xml:space="preserve">Това, което ни обединява в ЕС, е именно фактът, че всички ние имаме собствена национална култура. И следователно не могат да бъдат събрани под знамето на една култура. </w:t>
      </w:r>
    </w:p>
    <w:p>
      <w:pPr>
        <w:pStyle w:val="P68B1DB1Normal118"/>
        <w:widowControl w:val="false"/>
        <w:spacing w:lineRule="auto" w:line="240" w:before="87" w:after="0"/>
        <w:ind w:left="0" w:right="0" w:hanging="0"/>
        <w:jc w:val="left"/>
        <w:rPr>
          <w:rFonts w:ascii="Calibri" w:hAnsi="Calibri"/>
          <w:i/>
          <w:i/>
          <w:color w:val="000000"/>
          <w:sz w:val="21"/>
        </w:rPr>
      </w:pPr>
      <w:r>
        <w:rPr/>
        <w:t xml:space="preserve">Вместо да подчертавате негативните неща, по-добре е да се опитате да популяризирате спорта. </w:t>
      </w:r>
    </w:p>
    <w:p>
      <w:pPr>
        <w:pStyle w:val="P68B1DB1Normal118"/>
        <w:widowControl w:val="false"/>
        <w:spacing w:lineRule="auto" w:line="240" w:before="85" w:after="0"/>
        <w:ind w:left="0" w:right="0" w:hanging="0"/>
        <w:jc w:val="left"/>
        <w:rPr/>
      </w:pPr>
      <w:r>
        <w:rPr/>
        <w:t xml:space="preserve">Аз съм интегриран тук, плащам данъци, но съм и оставам латиноамериканец. Обичам езика си, музиката и храната си. Не става въпрос за Европа. </w:t>
      </w:r>
    </w:p>
    <w:p>
      <w:pPr>
        <w:pStyle w:val="P68B1DB1Normal118"/>
        <w:widowControl w:val="false"/>
        <w:spacing w:lineRule="auto" w:line="240" w:before="87" w:after="0"/>
        <w:ind w:left="0" w:right="0" w:hanging="0"/>
        <w:jc w:val="left"/>
        <w:rPr>
          <w:rFonts w:ascii="Calibri" w:hAnsi="Calibri"/>
          <w:i/>
          <w:i/>
          <w:color w:val="000000"/>
          <w:sz w:val="21"/>
        </w:rPr>
      </w:pPr>
      <w:r>
        <w:rPr/>
        <w:t xml:space="preserve">Говорим твърде много за икономиката в Европа. И твърде малко благополучие. </w:t>
      </w:r>
    </w:p>
    <w:p>
      <w:pPr>
        <w:pStyle w:val="P68B1DB1Normal111"/>
        <w:widowControl w:val="false"/>
        <w:spacing w:lineRule="auto" w:line="240" w:before="84" w:after="0"/>
        <w:ind w:left="0" w:right="0" w:hanging="0"/>
        <w:jc w:val="left"/>
        <w:rPr>
          <w:rFonts w:ascii="Calibri" w:hAnsi="Calibri"/>
          <w:b/>
          <w:b/>
          <w:color w:val="000000"/>
          <w:sz w:val="22"/>
        </w:rPr>
      </w:pPr>
      <w:r>
        <w:rPr/>
        <w:t xml:space="preserve">Студенти от Университета в Лайден: Езикът е важен, но трябва да остане свободен избор. </w:t>
      </w:r>
    </w:p>
    <w:p>
      <w:pPr>
        <w:pStyle w:val="P68B1DB1Normal104"/>
        <w:widowControl w:val="false"/>
        <w:spacing w:lineRule="auto" w:line="240" w:before="100" w:after="0"/>
        <w:ind w:left="0" w:right="0" w:hanging="0"/>
        <w:jc w:val="left"/>
        <w:rPr/>
      </w:pPr>
      <w:r>
        <w:rPr/>
        <w:t xml:space="preserve">В университета в Лайден студентите по история разговаряха помежду си. Те смятат, че е важно хората да говорят няколко езика. Те смятат, че овладяването на няколко езика е чудесно за личностното му развитие и е от полза за търговските и политическите отношения в рамките на ЕС. Те обаче смятат, че езиците трябва да се предлагат в училище, а не да бъдат задължителни. Те също така смятат, че не е задължително втори език да бъде европейски език. „Ако живеете в Източна Европа и изберете да научите руски език, това е ваше право“, каза един от участниците. </w:t>
      </w:r>
    </w:p>
    <w:p>
      <w:pPr>
        <w:pStyle w:val="P68B1DB1Normal110"/>
        <w:widowControl w:val="false"/>
        <w:spacing w:lineRule="auto" w:line="240" w:before="223" w:after="0"/>
        <w:ind w:left="0" w:right="0" w:hanging="0"/>
        <w:jc w:val="left"/>
        <w:rPr/>
      </w:pPr>
      <w:r>
        <w:rPr>
          <w:b/>
        </w:rPr>
        <w:t xml:space="preserve">Турска общност Схидам: </w:t>
      </w:r>
      <w:r>
        <w:rPr>
          <w:sz w:val="21"/>
        </w:rPr>
        <w:t xml:space="preserve">Във фондация „Хакдер“ в Шидам местната турска общност обсъди значението на справедливите възможности за заетост за всички. Всички участници се съгласиха, че ЕС следва да задължи предприятията да предлагат стажове или работни места на млади хора с ограничени перспективи. Те посочиха, че младите мигранти, по-специално, срещат трудности при намирането на стаж или работа. Понякога дори не смеят да отидат при личния лекар, защото се страхуват да платят за посещението си. Да не говорим за смелостта да кандидатстваме за стаж или работа", каза един от участниците. „Предприятията трябва да бъдат по-внимателни и ЕС може да ги насърчи да го направят.“ </w:t>
      </w:r>
    </w:p>
    <w:p>
      <w:pPr>
        <w:pStyle w:val="Normal"/>
        <w:spacing w:lineRule="auto" w:line="240"/>
        <w:ind w:left="0" w:right="0" w:hanging="0"/>
        <w:rPr/>
      </w:pPr>
      <w:r>
        <w:rPr/>
      </w:r>
    </w:p>
    <w:p>
      <w:pPr>
        <w:pStyle w:val="Normal"/>
        <w:spacing w:lineRule="auto" w:line="240"/>
        <w:ind w:left="0" w:right="0" w:hanging="0"/>
        <w:rPr/>
      </w:pPr>
      <w:r>
        <w:rPr/>
      </w:r>
      <w:r>
        <w:br w:type="page"/>
      </w:r>
    </w:p>
    <w:p>
      <w:pPr>
        <w:pStyle w:val="P68B1DB1Normal18"/>
        <w:spacing w:lineRule="auto" w:line="240"/>
        <w:ind w:left="0" w:right="0" w:hanging="0"/>
        <w:rPr/>
      </w:pPr>
      <w:r>
        <w:rPr>
          <w:b/>
          <w:i/>
          <w:color w:val="000000"/>
        </w:rPr>
        <w:t>Описание на методологията, използвана в проучването</w:t>
      </w:r>
      <w:r>
        <w:rPr>
          <w:color w:val="365F91"/>
        </w:rPr>
        <w:t xml:space="preserve"> </w:t>
      </w:r>
    </w:p>
    <w:p>
      <w:pPr>
        <w:pStyle w:val="P68B1DB1Normal104"/>
        <w:widowControl w:val="false"/>
        <w:spacing w:lineRule="auto" w:line="240" w:before="137" w:after="0"/>
        <w:ind w:left="0" w:right="0" w:hanging="0"/>
        <w:jc w:val="left"/>
        <w:rPr/>
      </w:pPr>
      <w:r>
        <w:rPr/>
        <w:t xml:space="preserve">Проучването „Визия на Европа“ се състои от различни форми на свързан диалог, за да се съберат мненията и идеите на нидерландските граждани за бъдещето на Европа и ЕС. В настоящата глава се описва методологията, използвана, за да се гарантира, че съответните форми на диалог са в съответствие с насоките за националните граждански панели в контекста на Конференцията за бъдещето на Европа. </w:t>
      </w:r>
    </w:p>
    <w:p>
      <w:pPr>
        <w:pStyle w:val="P68B1DB1Normal110"/>
        <w:widowControl w:val="false"/>
        <w:spacing w:lineRule="auto" w:line="240" w:before="236" w:after="0"/>
        <w:ind w:left="0" w:right="0" w:hanging="0"/>
        <w:jc w:val="both"/>
        <w:rPr/>
      </w:pPr>
      <w:r>
        <w:rPr>
          <w:b/>
          <w:i/>
          <w:sz w:val="24"/>
        </w:rPr>
        <w:t xml:space="preserve">Проектиране на свързаните форми на диалог </w:t>
      </w:r>
      <w:r>
        <w:rPr>
          <w:sz w:val="21"/>
        </w:rPr>
        <w:t xml:space="preserve">Използват се следните форми на диалог: </w:t>
      </w:r>
    </w:p>
    <w:p>
      <w:pPr>
        <w:pStyle w:val="P68B1DB1Normal119"/>
        <w:widowControl w:val="false"/>
        <w:spacing w:lineRule="auto" w:line="240" w:before="236" w:after="0"/>
        <w:ind w:left="0" w:right="0" w:hanging="0"/>
        <w:jc w:val="both"/>
        <w:rPr/>
      </w:pPr>
      <w:r>
        <w:rPr>
          <w:rFonts w:ascii="Calibri" w:hAnsi="Calibri"/>
        </w:rPr>
        <w:t>4.</w:t>
      </w:r>
      <w:r>
        <w:rPr/>
        <w:t xml:space="preserve"> </w:t>
      </w:r>
      <w:r>
        <w:rPr>
          <w:rFonts w:ascii="Calibri" w:hAnsi="Calibri"/>
        </w:rPr>
        <w:t>Проучване на панел</w:t>
      </w:r>
    </w:p>
    <w:p>
      <w:pPr>
        <w:pStyle w:val="P68B1DB1Normal104"/>
        <w:widowControl w:val="false"/>
        <w:spacing w:lineRule="auto" w:line="240"/>
        <w:ind w:left="0" w:right="0" w:hanging="0"/>
        <w:jc w:val="left"/>
        <w:rPr>
          <w:rFonts w:ascii="Calibri" w:hAnsi="Calibri"/>
          <w:color w:val="000000"/>
          <w:sz w:val="21"/>
        </w:rPr>
      </w:pPr>
      <w:r>
        <w:rPr/>
        <w:t xml:space="preserve">Проучване на представителна извадка от нидерландското население. </w:t>
      </w:r>
    </w:p>
    <w:p>
      <w:pPr>
        <w:pStyle w:val="P68B1DB1Normal119"/>
        <w:widowControl w:val="false"/>
        <w:spacing w:lineRule="auto" w:line="240"/>
        <w:ind w:left="0" w:right="0" w:hanging="0"/>
        <w:jc w:val="left"/>
        <w:rPr/>
      </w:pPr>
      <w:r>
        <w:rPr>
          <w:rFonts w:ascii="Calibri" w:hAnsi="Calibri"/>
        </w:rPr>
        <w:t>5.</w:t>
      </w:r>
      <w:r>
        <w:rPr/>
        <w:t xml:space="preserve"> </w:t>
      </w:r>
      <w:r>
        <w:rPr>
          <w:rFonts w:ascii="Calibri" w:hAnsi="Calibri"/>
        </w:rPr>
        <w:t>Тематични онлайн диалози за задълбочаване</w:t>
      </w:r>
    </w:p>
    <w:p>
      <w:pPr>
        <w:pStyle w:val="P68B1DB1Normal104"/>
        <w:widowControl w:val="false"/>
        <w:spacing w:lineRule="auto" w:line="240"/>
        <w:ind w:left="0" w:right="0" w:hanging="0"/>
        <w:jc w:val="left"/>
        <w:rPr/>
      </w:pPr>
      <w:r>
        <w:rPr/>
        <w:t xml:space="preserve">Диалози, организирани всеки път с група нидерландци с цел задълбочаване на заключенията от първия междинен доклад „Нашата визия за Европа“ (8 октомври 2021 г.), в който се прави първоначален преглед на резултатите и допълнителните въпроси.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Диалог с конкретни групи</w:t>
      </w:r>
    </w:p>
    <w:p>
      <w:pPr>
        <w:pStyle w:val="P68B1DB1Normal104"/>
        <w:widowControl w:val="false"/>
        <w:spacing w:lineRule="auto" w:line="240"/>
        <w:ind w:left="0" w:right="0" w:hanging="0"/>
        <w:jc w:val="left"/>
        <w:rPr>
          <w:rFonts w:ascii="Calibri" w:hAnsi="Calibri"/>
          <w:color w:val="000000"/>
          <w:sz w:val="21"/>
        </w:rPr>
      </w:pPr>
      <w:r>
        <w:rPr/>
        <w:t xml:space="preserve">Срещи с нидерландци, които не са свикнали да участват в проучвания и панели (онлайн).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Диалог с младите хора</w:t>
      </w:r>
    </w:p>
    <w:p>
      <w:pPr>
        <w:pStyle w:val="P68B1DB1Normal104"/>
        <w:widowControl w:val="false"/>
        <w:spacing w:lineRule="auto" w:line="240"/>
        <w:ind w:left="0" w:right="0" w:hanging="0"/>
        <w:jc w:val="left"/>
        <w:rPr>
          <w:rFonts w:ascii="Calibri" w:hAnsi="Calibri"/>
          <w:color w:val="000000"/>
          <w:sz w:val="21"/>
        </w:rPr>
      </w:pPr>
      <w:r>
        <w:rPr/>
        <w:t xml:space="preserve">Срещи, насочени към най-подходящите европейски теми за младите хора. </w:t>
      </w:r>
    </w:p>
    <w:p>
      <w:pPr>
        <w:pStyle w:val="Normal"/>
        <w:widowControl w:val="false"/>
        <w:spacing w:lineRule="auto" w:line="240"/>
        <w:ind w:left="0" w:right="0" w:hanging="0"/>
        <w:jc w:val="left"/>
        <w:rPr/>
      </w:pPr>
      <w:r>
        <w:rPr>
          <w:rFonts w:ascii="Calibri" w:hAnsi="Calibri"/>
          <w:b/>
          <w:color w:val="000000"/>
          <w:sz w:val="21"/>
        </w:rPr>
        <w:t>8.</w:t>
      </w:r>
      <w:r>
        <w:rPr>
          <w:b/>
          <w:color w:val="000000"/>
          <w:sz w:val="21"/>
        </w:rPr>
        <w:t xml:space="preserve"> </w:t>
      </w:r>
      <w:r>
        <w:rPr>
          <w:rFonts w:ascii="Calibri" w:hAnsi="Calibri"/>
          <w:b/>
          <w:color w:val="000000"/>
          <w:sz w:val="21"/>
        </w:rPr>
        <w:t>Публично онлайн проучване: Въпросник и „Swipen naar de toekomst“ (</w:t>
      </w:r>
      <w:commentRangeStart w:id="25"/>
      <w:r>
        <w:rPr>
          <w:rFonts w:ascii="Calibri" w:hAnsi="Calibri"/>
          <w:b/>
          <w:color w:val="000000"/>
          <w:sz w:val="21"/>
        </w:rPr>
        <w:t xml:space="preserve">Swiper </w:t>
      </w:r>
      <w:r>
        <w:rPr>
          <w:rFonts w:ascii="Calibri" w:hAnsi="Calibri"/>
          <w:b/>
          <w:color w:val="000000"/>
          <w:sz w:val="21"/>
        </w:rPr>
      </w:r>
      <w:commentRangeEnd w:id="25"/>
      <w:r>
        <w:commentReference w:id="25"/>
      </w:r>
      <w:r>
        <w:rPr>
          <w:rFonts w:ascii="Calibri" w:hAnsi="Calibri"/>
          <w:b/>
          <w:color w:val="000000"/>
          <w:sz w:val="21"/>
        </w:rPr>
        <w:t xml:space="preserve">to the future) </w:t>
      </w:r>
    </w:p>
    <w:p>
      <w:pPr>
        <w:pStyle w:val="P68B1DB1Normal104"/>
        <w:widowControl w:val="false"/>
        <w:spacing w:lineRule="auto" w:line="240"/>
        <w:ind w:left="0" w:right="0" w:hanging="0"/>
        <w:jc w:val="left"/>
        <w:rPr/>
      </w:pPr>
      <w:r>
        <w:rPr/>
        <w:t xml:space="preserve">Въпросникът за проучване на панела може да бъде попълнен и от всички нидерландски граждани, включително тези, които пребивават в чужбина. Въпросникът беше на разположение от 1 септември 2021 г. до 14 ноември 2021 г. В допълнение, през същия период всеки холандец е в състояние да участва в действието „Swipen naar de toekomst“ (Swiper to the future), онлайн инструмент, представящ 20 твърдения. </w:t>
      </w:r>
    </w:p>
    <w:p>
      <w:pPr>
        <w:pStyle w:val="P68B1DB1Normal108"/>
        <w:widowControl w:val="false"/>
        <w:spacing w:lineRule="auto" w:line="240" w:before="229" w:after="0"/>
        <w:ind w:left="0" w:right="0" w:hanging="0"/>
        <w:jc w:val="left"/>
        <w:rPr>
          <w:rFonts w:ascii="Calibri" w:hAnsi="Calibri"/>
          <w:b/>
          <w:b/>
          <w:i/>
          <w:i/>
          <w:color w:val="000000"/>
          <w:sz w:val="24"/>
        </w:rPr>
      </w:pPr>
      <w:r>
        <w:rPr/>
        <w:t xml:space="preserve">1. Проучване на панел </w:t>
      </w:r>
    </w:p>
    <w:p>
      <w:pPr>
        <w:pStyle w:val="P68B1DB1Normal104"/>
        <w:widowControl w:val="false"/>
        <w:spacing w:lineRule="auto" w:line="240" w:before="118" w:after="0"/>
        <w:ind w:left="0" w:right="0" w:hanging="0"/>
        <w:jc w:val="left"/>
        <w:rPr/>
      </w:pPr>
      <w:r>
        <w:rPr/>
        <w:t xml:space="preserve">Холандският граждански диалог „Визия на Европа“ започна на 1 септември с анкетно проучване. В това описание на методологията на проучването ние накратко обясняваме на панел проектирането и изпълнението на това проучване. </w:t>
      </w:r>
    </w:p>
    <w:p>
      <w:pPr>
        <w:pStyle w:val="P68B1DB1Normal107"/>
        <w:widowControl w:val="false"/>
        <w:spacing w:lineRule="auto" w:line="240" w:before="43" w:after="0"/>
        <w:ind w:left="0" w:right="0" w:hanging="0"/>
        <w:jc w:val="left"/>
        <w:rPr>
          <w:rFonts w:ascii="Calibri" w:hAnsi="Calibri"/>
          <w:i/>
          <w:i/>
          <w:color w:val="000000"/>
          <w:sz w:val="24"/>
        </w:rPr>
      </w:pPr>
      <w:r>
        <w:rPr/>
        <w:t xml:space="preserve">Целево и целево население </w:t>
      </w:r>
    </w:p>
    <w:p>
      <w:pPr>
        <w:pStyle w:val="Normal"/>
        <w:widowControl w:val="false"/>
        <w:spacing w:lineRule="auto" w:line="240" w:before="123" w:after="0"/>
        <w:ind w:left="0" w:right="0" w:hanging="0"/>
        <w:jc w:val="left"/>
        <w:rPr/>
      </w:pPr>
      <w:r>
        <w:rPr>
          <w:rFonts w:ascii="Calibri" w:hAnsi="Calibri"/>
          <w:color w:val="000000"/>
          <w:sz w:val="21"/>
        </w:rPr>
        <w:t>Проучването „Визия на Европа“ започна с онлайн въпросник за това как холандците виждат бъдещето на Европа. Въпросникът е представен на представителна група и е отворен и за всички нидерландски граждани (включително тези, които пребивават в чужбина). В допълнение, всеки човек е в състояние да участва в действието „Swipen naar de toekomst“</w:t>
      </w:r>
      <w:commentRangeStart w:id="26"/>
      <w:r>
        <w:rPr>
          <w:rFonts w:ascii="Calibri" w:hAnsi="Calibri"/>
          <w:color w:val="000000"/>
          <w:sz w:val="21"/>
        </w:rPr>
        <w:t>(</w:t>
      </w:r>
      <w:r>
        <w:rPr>
          <w:rFonts w:ascii="Calibri" w:hAnsi="Calibri"/>
          <w:color w:val="000000"/>
          <w:sz w:val="21"/>
        </w:rPr>
      </w:r>
      <w:commentRangeEnd w:id="26"/>
      <w:r>
        <w:commentReference w:id="26"/>
      </w:r>
      <w:r>
        <w:rPr>
          <w:rFonts w:ascii="Calibri" w:hAnsi="Calibri"/>
          <w:color w:val="000000"/>
          <w:sz w:val="21"/>
        </w:rPr>
        <w:t xml:space="preserve"> Swiper to the future), онлайн инструмент, представящ 20 твърдения. Резултатите от проучването послужиха за основа на няколко тематични диалога, организирани като последващи действия във връзка с процеса на граждански диалог „Визия на Европа“.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Целевата популация на панелното проучване включва всички холандци на възраст 18 или повече години, които са били регистрирани като жители в регистъра на населението към момента на започване на теренната работа. Според Нидерландската национална статистическа служба (Centraal Bureau voor de Statistiek — CBS) към 1 януари 2021 г. тази целева група е имала 14 190 874 души. Долната граница от 18 години съответства на избирателното мнозинство. Ние го наричаме населението на панелното проучване.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07"/>
        <w:spacing w:lineRule="auto" w:line="240"/>
        <w:ind w:left="0" w:right="0" w:hanging="0"/>
        <w:rPr>
          <w:rFonts w:ascii="Calibri" w:hAnsi="Calibri"/>
          <w:i/>
          <w:i/>
          <w:color w:val="000000"/>
          <w:sz w:val="24"/>
        </w:rPr>
      </w:pPr>
      <w:r>
        <w:rPr/>
        <w:t xml:space="preserve">Работа на терен </w:t>
      </w:r>
    </w:p>
    <w:p>
      <w:pPr>
        <w:pStyle w:val="P68B1DB1Normal104"/>
        <w:widowControl w:val="false"/>
        <w:spacing w:lineRule="auto" w:line="240" w:before="127" w:after="0"/>
        <w:ind w:left="0" w:right="0" w:hanging="0"/>
        <w:jc w:val="left"/>
        <w:rPr/>
      </w:pPr>
      <w:r>
        <w:rPr/>
        <w:t xml:space="preserve">Панел от повече от 100 000 участници от цялата страна (сертифициран по ISO, Research Keurmerk groep, Nederlandse marktonderzoek Associatie) беше използван за получаване на цифрово изображение на „Среднохоландския“. Тези участници се включваха в панела за проучване, за да представят редовно своите виждания по широк кръг от теми. В допълнение към присъщата им мотивация да участват, те получават заплащане, за да отговорят на въпросниците. Няколко научни проучвания показват, че респондентите, които получават компенсация за попълването на въпросника, не дават значително различни отговори (източник: Използването на стимули за проучване влошава качеството на данните?Cole, J. S., Sarraf, S.A., Wang, X., 2015 г.).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Работата на място започна на 11 август 2021 г. и приключи на 19 септември 2021 г. За изпълнението е използван само един метод за събиране на данни, т.е. проучването в интернет. Членовете на анкетната група получиха електронно писмо с лична връзка към онлайн въпросника. След две седмици участниците в панела получиха напомняне. Поканите за участие бяха изпратени на партиди и стратифицирани (чрез осигуряване на равно разпределение на подгрупите) до достигане на необходимия брой респонденти. </w:t>
      </w:r>
    </w:p>
    <w:p>
      <w:pPr>
        <w:pStyle w:val="P68B1DB1Normal107"/>
        <w:widowControl w:val="false"/>
        <w:spacing w:lineRule="auto" w:line="240" w:before="42" w:after="0"/>
        <w:ind w:left="0" w:right="0" w:hanging="0"/>
        <w:jc w:val="left"/>
        <w:rPr>
          <w:rFonts w:ascii="Calibri" w:hAnsi="Calibri"/>
          <w:i/>
          <w:i/>
          <w:color w:val="000000"/>
          <w:sz w:val="24"/>
        </w:rPr>
      </w:pPr>
      <w:r>
        <w:rPr/>
        <w:t xml:space="preserve">Вземане на проби и разпределение </w:t>
      </w:r>
    </w:p>
    <w:p>
      <w:pPr>
        <w:pStyle w:val="P68B1DB1Normal104"/>
        <w:widowControl w:val="false"/>
        <w:spacing w:lineRule="auto" w:line="240" w:before="123" w:after="0"/>
        <w:ind w:left="0" w:right="0" w:hanging="0"/>
        <w:jc w:val="left"/>
        <w:rPr/>
      </w:pPr>
      <w:r>
        <w:rPr/>
        <w:t xml:space="preserve">Дизайнът на проучването се основава на принципа, че минимум 3600 респонденти трябва да участват в проучването, за да се гарантира добра статистическа надеждност. Освен това този брой позволява добро разпределение между различните общи характеристики на населението. Няма само един тип холандец. Ето защо предварително се уверихме, че пробата е разпределена добре по редица характеристики. Нидерландия е сравнително малка страна, но мненията могат да се различават по региони. Позиционирането и значението на темите могат (частично) да бъдат определени от региона, в който живеете. Например хората, живеещи в селските райони, могат да разберат тема като сигурността, различна от тази в градските райони. Изследванията на нидерландската служба за социално и културно планиране също така показват, че хората с по-високо ниво на обучение са по-често поддръжници на ЕС, отколкото тези с по-ниско равнище на обучение, и че младите хора подкрепят ЕС по-силно от възрастните хора (източник: Wat Willen Nederlanders van de Europese Unie?Dutch Social and Cultural Office, Хага, 2019 г.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Ето защо преди това сме разпределили следните три характеристики пропорционално, за да гарантираме представителността на извадката: 1) пребиваване в региони на COROP, 2) възраст и 3) образователно равнище. Разпределението на извадката беше представено и в съответствие със следните общи характеристики: пол, произход, основна професия, политическа ориентация.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Регионите на COROP са разработени въз основа на принципа на възлите (сърце с атрактивна област или регионална функция), въз основа на потока от хора, които пътуват до работното място. Допуснати са няколко нарушения на принципа на възела, така че регионите да следват провинциалните граници. След реорганизацията на общините извън границите на COROP разпределението беше коригирано (източник: Нидерландска национална статистическа служба). В рамките на регионите на Корепер осигурихме добро разпределение между възрастовите групи със следната разбивка: възраст 18—34, 35—54, 55—75 и над 75 години.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И накрая, осигурихме представително разпределение на образователните нива. В извадката разпределението на респондентите съответства на разпределението на национално равнище на най-високото ниво на образование, което е следното: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20"/>
        <w:spacing w:lineRule="auto" w:line="240"/>
        <w:ind w:left="0" w:right="0" w:hanging="0"/>
        <w:rPr>
          <w:rFonts w:ascii="Calibri" w:hAnsi="Calibri"/>
          <w:b/>
          <w:b/>
          <w:color w:val="000000"/>
          <w:sz w:val="21"/>
        </w:rPr>
      </w:pPr>
      <w:r>
        <w:rPr/>
        <w:t xml:space="preserve">Най-високо ниво на образование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Ниско ниво: основно образование, подготвително професионално образование, 1-ви до 3-ти клас на общо гимназиален етап на средното образование/предуниверситетско образование, средно професионално образование, ниво 1</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Междинен продукт: общо гимназиално образование/предуниверситетско образование, средно професионално образование от 2 до 4</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На високо ниво: висше професионално образование или университетско образование</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Неизвестно</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Честота на отговор </w:t>
      </w:r>
    </w:p>
    <w:p>
      <w:pPr>
        <w:pStyle w:val="P68B1DB1Normal104"/>
        <w:widowControl w:val="false"/>
        <w:spacing w:lineRule="exact" w:line="283" w:before="87" w:after="0"/>
        <w:ind w:left="0" w:right="368" w:hanging="0"/>
        <w:jc w:val="left"/>
        <w:rPr/>
      </w:pPr>
      <w:r>
        <w:rPr/>
        <w:t xml:space="preserve">Общо 4 086 души са участвали в проучването на панел. Следователно целта от 3 600 напълно попълнени въпросници е постигната.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b/>
                <w:b/>
                <w:color w:val="000000"/>
              </w:rPr>
            </w:pPr>
            <w:r>
              <w:rPr/>
              <w:t>Отговори на регионите и възрастта на COROP</w:t>
            </w:r>
          </w:p>
        </w:tc>
        <w:tc>
          <w:tcPr>
            <w:tcW w:w="1348" w:type="dxa"/>
            <w:tcBorders/>
            <w:shd w:fill="auto" w:val="clear"/>
            <w:vAlign w:val="bottom"/>
          </w:tcPr>
          <w:p>
            <w:pPr>
              <w:pStyle w:val="P68B1DB1Contenudetableau122"/>
              <w:spacing w:before="57" w:after="57"/>
              <w:jc w:val="left"/>
              <w:rPr>
                <w:b/>
                <w:b/>
                <w:color w:val="000000"/>
              </w:rPr>
            </w:pPr>
            <w:r>
              <w:rPr/>
              <w:t>От 18 до 34 години</w:t>
            </w:r>
          </w:p>
        </w:tc>
        <w:tc>
          <w:tcPr>
            <w:tcW w:w="1348" w:type="dxa"/>
            <w:tcBorders/>
            <w:shd w:fill="auto" w:val="clear"/>
            <w:vAlign w:val="bottom"/>
          </w:tcPr>
          <w:p>
            <w:pPr>
              <w:pStyle w:val="P68B1DB1Contenudetableau122"/>
              <w:spacing w:before="57" w:after="57"/>
              <w:jc w:val="left"/>
              <w:rPr>
                <w:b/>
                <w:b/>
                <w:color w:val="000000"/>
              </w:rPr>
            </w:pPr>
            <w:r>
              <w:rPr/>
              <w:t>От 35 до 54 години</w:t>
            </w:r>
          </w:p>
        </w:tc>
        <w:tc>
          <w:tcPr>
            <w:tcW w:w="1574" w:type="dxa"/>
            <w:tcBorders/>
            <w:shd w:fill="auto" w:val="clear"/>
            <w:vAlign w:val="bottom"/>
          </w:tcPr>
          <w:p>
            <w:pPr>
              <w:pStyle w:val="P68B1DB1Contenudetableau122"/>
              <w:spacing w:before="57" w:after="57"/>
              <w:jc w:val="left"/>
              <w:rPr>
                <w:b/>
                <w:b/>
                <w:color w:val="000000"/>
              </w:rPr>
            </w:pPr>
            <w:r>
              <w:rPr/>
              <w:t>От 55 до 75 години</w:t>
            </w:r>
          </w:p>
        </w:tc>
        <w:tc>
          <w:tcPr>
            <w:tcW w:w="1352" w:type="dxa"/>
            <w:tcBorders/>
            <w:shd w:fill="auto" w:val="clear"/>
            <w:vAlign w:val="bottom"/>
          </w:tcPr>
          <w:p>
            <w:pPr>
              <w:pStyle w:val="P68B1DB1Contenudetableau122"/>
              <w:spacing w:before="57" w:after="57"/>
              <w:jc w:val="left"/>
              <w:rPr>
                <w:b/>
                <w:b/>
                <w:color w:val="000000"/>
              </w:rPr>
            </w:pPr>
            <w:r>
              <w:rPr/>
              <w:t xml:space="preserve"> </w:t>
            </w:r>
            <w:r>
              <w:rPr/>
              <w:t>на повече от 75 години</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Северен Дрент</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Югоизточно от Дренте</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Югозапад от Дренте</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Флеволанд</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Северна Фризландия</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Югоизточно от Фризланд</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Югозапад от Фризланд</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Велуве</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Югозапад от Гелдерланд</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Източна Грьонинген</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Останалата част от Грьонинген</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Централна Лимбург</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Северен Лимбург</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Южен Лимбург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Център на Северен Брабант</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bl>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P68B1DB1Contenudetableau122"/>
              <w:spacing w:before="57" w:after="57"/>
              <w:jc w:val="left"/>
              <w:rPr>
                <w:b/>
                <w:b/>
                <w:color w:val="000000"/>
              </w:rPr>
            </w:pPr>
            <w:r>
              <w:rPr/>
              <w:t xml:space="preserve">Отговори на регионите и възрастта на COROP </w:t>
            </w:r>
          </w:p>
        </w:tc>
        <w:tc>
          <w:tcPr>
            <w:tcW w:w="1393" w:type="dxa"/>
            <w:tcBorders/>
            <w:shd w:fill="auto" w:val="clear"/>
            <w:vAlign w:val="bottom"/>
          </w:tcPr>
          <w:p>
            <w:pPr>
              <w:pStyle w:val="P68B1DB1Contenudetableau122"/>
              <w:spacing w:before="57" w:after="57"/>
              <w:jc w:val="left"/>
              <w:rPr>
                <w:b/>
                <w:b/>
                <w:color w:val="000000"/>
              </w:rPr>
            </w:pPr>
            <w:r>
              <w:rPr/>
              <w:t>От 18 до 34 години</w:t>
            </w:r>
          </w:p>
        </w:tc>
        <w:tc>
          <w:tcPr>
            <w:tcW w:w="1393" w:type="dxa"/>
            <w:tcBorders/>
            <w:shd w:fill="auto" w:val="clear"/>
            <w:vAlign w:val="bottom"/>
          </w:tcPr>
          <w:p>
            <w:pPr>
              <w:pStyle w:val="P68B1DB1Contenudetableau122"/>
              <w:spacing w:before="57" w:after="57"/>
              <w:jc w:val="left"/>
              <w:rPr>
                <w:b/>
                <w:b/>
                <w:color w:val="000000"/>
              </w:rPr>
            </w:pPr>
            <w:r>
              <w:rPr/>
              <w:t>От 35 до 54 години</w:t>
            </w:r>
          </w:p>
        </w:tc>
        <w:tc>
          <w:tcPr>
            <w:tcW w:w="1370" w:type="dxa"/>
            <w:tcBorders/>
            <w:shd w:fill="auto" w:val="clear"/>
            <w:vAlign w:val="bottom"/>
          </w:tcPr>
          <w:p>
            <w:pPr>
              <w:pStyle w:val="P68B1DB1Contenudetableau122"/>
              <w:spacing w:before="57" w:after="57"/>
              <w:jc w:val="left"/>
              <w:rPr>
                <w:b/>
                <w:b/>
                <w:color w:val="000000"/>
              </w:rPr>
            </w:pPr>
            <w:r>
              <w:rPr/>
              <w:t>От 55 до 75 години</w:t>
            </w:r>
          </w:p>
        </w:tc>
        <w:tc>
          <w:tcPr>
            <w:tcW w:w="1376" w:type="dxa"/>
            <w:tcBorders/>
            <w:shd w:fill="auto" w:val="clear"/>
            <w:vAlign w:val="bottom"/>
          </w:tcPr>
          <w:p>
            <w:pPr>
              <w:pStyle w:val="P68B1DB1Contenudetableau122"/>
              <w:spacing w:before="57" w:after="57"/>
              <w:jc w:val="left"/>
              <w:rPr>
                <w:b/>
                <w:b/>
                <w:color w:val="000000"/>
              </w:rPr>
            </w:pPr>
            <w:r>
              <w:rPr/>
              <w:t>на повече от 75 години</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Североизточно от Северен Брабант</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Западно от Северен Брабант</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Югоизточно от Северен Брабант</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Агломерация Хаарлем</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Алкмаар и околностите му</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Голям Амстердам</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и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Връх на Северна Холандия</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Регион Заан</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Северен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Югозападно от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Утрехт</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Останалата част от Zeeland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Зейланд Фландрия</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Агломерация Лайден и регион на луковиците</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Агломерация на Хага</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Делфт и Уестланд</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Гранд Рийнмънд</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Източно от Южна Холандия</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Югоизточно от Южна Холандия</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bl>
    <w:p>
      <w:pPr>
        <w:pStyle w:val="Normal"/>
        <w:spacing w:lineRule="auto" w:line="240"/>
        <w:ind w:left="0" w:right="0" w:hanging="0"/>
        <w:rPr/>
      </w:pPr>
      <w:r>
        <w:rPr/>
      </w:r>
    </w:p>
    <w:p>
      <w:pPr>
        <w:pStyle w:val="P68B1DB1Normal120"/>
        <w:spacing w:lineRule="auto" w:line="240"/>
        <w:ind w:left="0" w:right="0" w:hanging="0"/>
        <w:rPr>
          <w:rFonts w:ascii="Calibri" w:hAnsi="Calibri"/>
          <w:b/>
          <w:b/>
          <w:color w:val="000000"/>
          <w:sz w:val="21"/>
        </w:rPr>
      </w:pPr>
      <w:r>
        <w:rPr/>
        <w:t xml:space="preserve">Отговори по ниво на образованието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Ниско</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Посредник</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Високо</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Неизвестно</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Надеждност и представителност </w:t>
      </w:r>
    </w:p>
    <w:p>
      <w:pPr>
        <w:pStyle w:val="P68B1DB1Normal104"/>
        <w:widowControl w:val="false"/>
        <w:spacing w:lineRule="auto" w:line="240" w:before="87" w:after="0"/>
        <w:ind w:left="0" w:right="0" w:hanging="0"/>
        <w:jc w:val="left"/>
        <w:rPr/>
      </w:pPr>
      <w:r>
        <w:rPr/>
        <w:t xml:space="preserve">Броят на респондентите от 4 086 души дава възможност да се направят наблюдения за съвкупността като цяло с ниво на доверие 95 % и граница на грешка от 1,53 %. Доверителната вероятност и границата на грешка на резултатите се определят от размера на извадката. Колкото по-голяма е извадката, толкова по-надеждни и точни резултати могат да бъдат екстраполирани към цялата популация.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Доверителното ниво се определя като 1 (100 %) минус нивото на значение. Обичайно е да се основава на ниво 5 % смисъл. Говорим за ниво на доверие от 95 %. С други думи, ако проучването се повтори по един и същ начин и при едни и същи условия, резултатите биха били едни и същи в 95 % от случаите. </w:t>
      </w:r>
    </w:p>
    <w:p>
      <w:pPr>
        <w:pStyle w:val="P68B1DB1Normal104"/>
        <w:widowControl w:val="false"/>
        <w:spacing w:lineRule="auto" w:line="240"/>
        <w:ind w:left="0" w:right="0" w:hanging="0"/>
        <w:jc w:val="left"/>
        <w:rPr/>
      </w:pPr>
      <w:r>
        <w:rPr/>
        <w:t xml:space="preserve">Точността (изразена чрез границата на грешката) показва диапазона от стойности, в рамките на който се намира действителната стойност в съвкупността. С други думи: каква би била максималната разлика между резултатите от извадката и резултатите, които ще бъдат получени от съвкупността като цяло? Допустима грешка от 1,53 % означава, че действителната стойност в рамките на общата съвкупност може да бъде с 1,53 % по-висока или по-ниска от стойността на извадката. Например, ако проучване на извадка от хора покаже, че 50 % от респондентите считат дадена тема за важна, действителният процент е с 1,53 % по-висок или по-нисък от този 50 %, т.е. между 48,47 и 51,53 %. Максимална граница на грешката от 5 % е често срещана и общоприета в количествените проучвания (статистика). </w:t>
      </w:r>
    </w:p>
    <w:p>
      <w:pPr>
        <w:pStyle w:val="P68B1DB1Normal104"/>
        <w:widowControl w:val="false"/>
        <w:spacing w:lineRule="auto" w:line="240"/>
        <w:ind w:left="0" w:right="0" w:hanging="0"/>
        <w:jc w:val="left"/>
        <w:rPr/>
      </w:pPr>
      <w:r>
        <w:rPr/>
        <w:t xml:space="preserve">В допълнение към надеждността, представителността на извадката е важна. Тъй като поканите за участие са изпратени на партиди и стратифицирани, резултатите са представителни по отношение на характеристиките на региона COROP и възрастовите групи по регион COROP. Отговорите са представителни и от гледна точка на нивото на образование в сравнение с най-високото ниво на образование, постигнато на национално ниво. </w:t>
      </w:r>
    </w:p>
    <w:p>
      <w:pPr>
        <w:pStyle w:val="P68B1DB1Normal107"/>
        <w:widowControl w:val="false"/>
        <w:spacing w:lineRule="auto" w:line="240"/>
        <w:ind w:left="0" w:right="0" w:hanging="0"/>
        <w:jc w:val="left"/>
        <w:rPr>
          <w:rFonts w:ascii="Calibri" w:hAnsi="Calibri"/>
          <w:i/>
          <w:i/>
          <w:color w:val="000000"/>
          <w:sz w:val="24"/>
        </w:rPr>
      </w:pPr>
      <w:r>
        <w:rPr/>
        <w:t xml:space="preserve">Други общи характеристики </w:t>
      </w:r>
    </w:p>
    <w:p>
      <w:pPr>
        <w:pStyle w:val="P68B1DB1Normal104"/>
        <w:widowControl w:val="false"/>
        <w:spacing w:lineRule="auto" w:line="240" w:before="5" w:after="0"/>
        <w:ind w:left="0" w:right="0" w:hanging="0"/>
        <w:jc w:val="left"/>
        <w:rPr/>
      </w:pPr>
      <w:r>
        <w:rPr/>
        <w:t xml:space="preserve">Редица допълнителни контекстуални въпроси бяха зададени на участниците в проучването по групи. Те включват пол, позициониране на ЕС, произход, основна професия и политическа партия, за която лицето би гласувало в случай на избори. </w:t>
      </w:r>
    </w:p>
    <w:p>
      <w:pPr>
        <w:pStyle w:val="P68B1DB1Normal104"/>
        <w:widowControl w:val="false"/>
        <w:spacing w:lineRule="auto" w:line="240"/>
        <w:ind w:left="0" w:right="0" w:hanging="0"/>
        <w:jc w:val="left"/>
        <w:rPr/>
      </w:pPr>
      <w:r>
        <w:rPr/>
        <w:t xml:space="preserve">49 % от анкетираните са мъже, 50 % са жени, а 1 % предпочитат да не отговарят на този въпрос. </w:t>
      </w:r>
    </w:p>
    <w:p>
      <w:pPr>
        <w:pStyle w:val="Normal"/>
        <w:widowControl w:val="false"/>
        <w:spacing w:lineRule="auto" w:line="240"/>
        <w:ind w:left="0" w:right="0" w:hanging="0"/>
        <w:jc w:val="left"/>
        <w:rPr/>
      </w:pPr>
      <w:r>
        <w:rPr>
          <w:rFonts w:ascii="Calibri" w:hAnsi="Calibri"/>
          <w:color w:val="000000"/>
          <w:sz w:val="21"/>
        </w:rPr>
        <w:t xml:space="preserve">51 % от анкетираните смятат, че е добре Нидерландия да бъде член на ЕС, 13 % смятат, че това е нещо лошо, а 36 % са неутрални или нямат мнение. </w:t>
      </w:r>
      <w:r>
        <w:br w:type="page"/>
      </w:r>
    </w:p>
    <w:p>
      <w:pPr>
        <w:pStyle w:val="P68B1DB1Normal104"/>
        <w:spacing w:lineRule="auto" w:line="240"/>
        <w:ind w:left="0" w:right="0" w:hanging="0"/>
        <w:rPr/>
      </w:pPr>
      <w:r>
        <w:rPr/>
        <w:t xml:space="preserve">95 % от анкетираните са родени в Нидерландия. 89 % от анкетираните посочват, че и двамата родители са родени в Нидерландия. 5 % са родени от двама родители, родени в чужбина.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P68B1DB1Normal107"/>
        <w:widowControl w:val="false"/>
        <w:spacing w:lineRule="exact" w:line="375" w:before="33" w:after="0"/>
        <w:ind w:left="1" w:right="0" w:hanging="0"/>
        <w:jc w:val="left"/>
        <w:rPr>
          <w:rFonts w:ascii="Calibri" w:hAnsi="Calibri"/>
          <w:i/>
          <w:i/>
          <w:color w:val="000000"/>
          <w:sz w:val="24"/>
        </w:rPr>
      </w:pPr>
      <w:r>
        <w:rPr/>
        <w:t xml:space="preserve">Настояща политическа ориентация на респондентите </w:t>
      </w:r>
    </w:p>
    <w:p>
      <w:pPr>
        <w:pStyle w:val="P68B1DB1Normal120"/>
        <w:widowControl w:val="false"/>
        <w:spacing w:lineRule="exact" w:line="352" w:before="34" w:after="0"/>
        <w:ind w:left="63" w:right="0" w:hanging="0"/>
        <w:jc w:val="left"/>
        <w:rPr>
          <w:rFonts w:ascii="Calibri" w:hAnsi="Calibri"/>
          <w:b/>
          <w:b/>
          <w:color w:val="000000"/>
          <w:sz w:val="21"/>
        </w:rPr>
      </w:pPr>
      <w:r>
        <w:rPr/>
        <w:t xml:space="preserve">Парти </w:t>
        <w:tab/>
        <w:tab/>
        <w:tab/>
        <w:tab/>
        <w:tab/>
        <w:tab/>
        <w:tab/>
        <w:tab/>
        <w:tab/>
        <w:tab/>
        <w: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(Народна партия за свобода и демокрация)</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(страна за свобода)</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Социалистическа партия (Социалистическа партия)</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(Демократи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(Christian Democratic Call)</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(Трудова партия)</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(Animal Party)</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(зелена левица)</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(Християнски съюз)</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(Движение на гражданите на земеделски производители)</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Форум за демокрация (Форум за демокрация)</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ОСП (реформирана политическа партия)</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Волт</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ДЕНК</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Други</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Гласуване в бяло</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Предпочитам да не отговарям</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Аз не гласувам</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P68B1DB1Normal107"/>
        <w:spacing w:lineRule="auto" w:line="240"/>
        <w:ind w:left="0" w:right="0" w:hanging="0"/>
        <w:rPr>
          <w:rFonts w:ascii="Calibri" w:hAnsi="Calibri"/>
          <w:i/>
          <w:i/>
          <w:color w:val="000000"/>
          <w:sz w:val="24"/>
        </w:rPr>
      </w:pPr>
      <w:r>
        <w:rPr/>
        <w:t xml:space="preserve">Коя е вашата основна професия в момента? </w:t>
      </w:r>
    </w:p>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P68B1DB1Contenudetableau122"/>
              <w:spacing w:before="57" w:after="57"/>
              <w:jc w:val="left"/>
              <w:rPr>
                <w:b/>
                <w:b/>
                <w:color w:val="000000"/>
              </w:rPr>
            </w:pPr>
            <w:r>
              <w:rPr/>
              <w:t xml:space="preserve">Професия </w:t>
            </w:r>
          </w:p>
        </w:tc>
        <w:tc>
          <w:tcPr>
            <w:tcW w:w="3514" w:type="dxa"/>
            <w:tcBorders/>
            <w:shd w:fill="auto" w:val="clear"/>
            <w:vAlign w:val="bottom"/>
          </w:tcPr>
          <w:p>
            <w:pPr>
              <w:pStyle w:val="P68B1DB1Contenudetableau122"/>
              <w:spacing w:before="57" w:after="57"/>
              <w:jc w:val="left"/>
              <w:rPr>
                <w:b/>
                <w:b/>
                <w:color w:val="000000"/>
              </w:rPr>
            </w:pPr>
            <w:r>
              <w:rPr/>
              <w:t>%</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Студент/студент</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Служител на непълно работно време</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Служител на пълно работно време</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Независим изпълнител</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Човек у дома</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Търсещ работа</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Доброволец</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Неработоспособност</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Пенсионери</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Други</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Предпочитам да не отговарям</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34"/>
        <w:spacing w:lineRule="auto" w:line="240"/>
        <w:ind w:left="0" w:right="0" w:hanging="0"/>
        <w:rPr/>
      </w:pPr>
      <w:r>
        <w:rPr>
          <w:rFonts w:ascii="Calibri" w:hAnsi="Calibri"/>
          <w:i/>
        </w:rPr>
        <w:t>Въпросник</w:t>
      </w:r>
      <w:r>
        <w:rPr>
          <w:rFonts w:ascii="Times New Roman" w:hAnsi="Times New Roman"/>
        </w:rPr>
        <w:t xml:space="preserve"> </w:t>
      </w:r>
    </w:p>
    <w:p>
      <w:pPr>
        <w:pStyle w:val="P68B1DB1Normal104"/>
        <w:widowControl w:val="false"/>
        <w:spacing w:lineRule="auto" w:line="240" w:before="79" w:after="0"/>
        <w:ind w:left="0" w:right="0" w:hanging="0"/>
        <w:jc w:val="left"/>
        <w:rPr/>
      </w:pPr>
      <w:r>
        <w:rPr/>
        <w:t xml:space="preserve">Въпросникът и настоящият доклад бяха изготвени от независима външна организация по искане на Министерството на външните работи. Въпросникът представя модулна структура и включва следните групи въпроси в съответствие с темите, набелязани за Конференцията за бъдещето на Европа: Важни теми и ролята на Европа </w:t>
      </w:r>
    </w:p>
    <w:p>
      <w:pPr>
        <w:pStyle w:val="P68B1DB1Normal104"/>
        <w:widowControl w:val="false"/>
        <w:spacing w:lineRule="auto" w:line="240" w:before="1" w:after="0"/>
        <w:ind w:left="0" w:right="0" w:hanging="0"/>
        <w:jc w:val="left"/>
        <w:rPr>
          <w:rFonts w:ascii="Calibri" w:hAnsi="Calibri"/>
          <w:color w:val="000000"/>
          <w:sz w:val="21"/>
        </w:rPr>
      </w:pPr>
      <w:r>
        <w:rPr/>
        <w:t xml:space="preserve">Изменение на климата и околна среда </w:t>
      </w:r>
    </w:p>
    <w:p>
      <w:pPr>
        <w:pStyle w:val="P68B1DB1Normal104"/>
        <w:widowControl w:val="false"/>
        <w:spacing w:lineRule="auto" w:line="240"/>
        <w:ind w:left="0" w:right="0" w:hanging="0"/>
        <w:jc w:val="left"/>
        <w:rPr>
          <w:rFonts w:ascii="Calibri" w:hAnsi="Calibri"/>
          <w:color w:val="000000"/>
          <w:sz w:val="21"/>
        </w:rPr>
      </w:pPr>
      <w:r>
        <w:rPr/>
        <w:t xml:space="preserve">Здраве </w:t>
      </w:r>
    </w:p>
    <w:p>
      <w:pPr>
        <w:pStyle w:val="P68B1DB1Normal104"/>
        <w:widowControl w:val="false"/>
        <w:spacing w:lineRule="auto" w:line="240" w:before="1" w:after="0"/>
        <w:ind w:left="0" w:right="0" w:hanging="0"/>
        <w:jc w:val="left"/>
        <w:rPr>
          <w:rFonts w:ascii="Calibri" w:hAnsi="Calibri"/>
          <w:color w:val="000000"/>
          <w:sz w:val="21"/>
        </w:rPr>
      </w:pPr>
      <w:r>
        <w:rPr/>
        <w:t xml:space="preserve">Икономика и заетост </w:t>
      </w:r>
    </w:p>
    <w:p>
      <w:pPr>
        <w:pStyle w:val="P68B1DB1Normal104"/>
        <w:widowControl w:val="false"/>
        <w:spacing w:lineRule="auto" w:line="240"/>
        <w:ind w:left="0" w:right="0" w:hanging="0"/>
        <w:jc w:val="left"/>
        <w:rPr>
          <w:rFonts w:ascii="Calibri" w:hAnsi="Calibri"/>
          <w:color w:val="000000"/>
          <w:sz w:val="21"/>
        </w:rPr>
      </w:pPr>
      <w:r>
        <w:rPr/>
        <w:t xml:space="preserve">Ролята на Европейския съюз в света </w:t>
      </w:r>
    </w:p>
    <w:p>
      <w:pPr>
        <w:pStyle w:val="P68B1DB1Normal104"/>
        <w:widowControl w:val="false"/>
        <w:spacing w:lineRule="auto" w:line="240" w:before="1" w:after="0"/>
        <w:ind w:left="0" w:right="0" w:hanging="0"/>
        <w:jc w:val="left"/>
        <w:rPr>
          <w:rFonts w:ascii="Calibri" w:hAnsi="Calibri"/>
          <w:color w:val="000000"/>
          <w:sz w:val="21"/>
        </w:rPr>
      </w:pPr>
      <w:r>
        <w:rPr/>
        <w:t xml:space="preserve">Сигурност и върховенство на закона </w:t>
      </w:r>
    </w:p>
    <w:p>
      <w:pPr>
        <w:pStyle w:val="P68B1DB1Normal104"/>
        <w:widowControl w:val="false"/>
        <w:spacing w:lineRule="auto" w:line="240"/>
        <w:ind w:left="0" w:right="0" w:hanging="0"/>
        <w:jc w:val="left"/>
        <w:rPr>
          <w:rFonts w:ascii="Calibri" w:hAnsi="Calibri"/>
          <w:color w:val="000000"/>
          <w:sz w:val="21"/>
        </w:rPr>
      </w:pPr>
      <w:r>
        <w:rPr/>
        <w:t xml:space="preserve">Виртуалният свят </w:t>
      </w:r>
    </w:p>
    <w:p>
      <w:pPr>
        <w:pStyle w:val="P68B1DB1Normal104"/>
        <w:widowControl w:val="false"/>
        <w:spacing w:lineRule="auto" w:line="240" w:before="1" w:after="0"/>
        <w:ind w:left="0" w:right="0" w:hanging="0"/>
        <w:jc w:val="left"/>
        <w:rPr>
          <w:rFonts w:ascii="Calibri" w:hAnsi="Calibri"/>
          <w:color w:val="000000"/>
          <w:sz w:val="21"/>
        </w:rPr>
      </w:pPr>
      <w:r>
        <w:rPr/>
        <w:t xml:space="preserve">Европейска демокрация </w:t>
      </w:r>
    </w:p>
    <w:p>
      <w:pPr>
        <w:pStyle w:val="P68B1DB1Normal104"/>
        <w:widowControl w:val="false"/>
        <w:spacing w:lineRule="auto" w:line="240"/>
        <w:ind w:left="0" w:right="0" w:hanging="0"/>
        <w:jc w:val="left"/>
        <w:rPr>
          <w:rFonts w:ascii="Calibri" w:hAnsi="Calibri"/>
          <w:color w:val="000000"/>
          <w:sz w:val="21"/>
        </w:rPr>
      </w:pPr>
      <w:r>
        <w:rPr/>
        <w:t xml:space="preserve">Миграция и бежанци </w:t>
      </w:r>
    </w:p>
    <w:p>
      <w:pPr>
        <w:pStyle w:val="P68B1DB1Normal104"/>
        <w:widowControl w:val="false"/>
        <w:spacing w:lineRule="auto" w:line="240" w:before="1" w:after="0"/>
        <w:ind w:left="0" w:right="0" w:hanging="0"/>
        <w:jc w:val="left"/>
        <w:rPr>
          <w:rFonts w:ascii="Calibri" w:hAnsi="Calibri"/>
          <w:color w:val="000000"/>
          <w:sz w:val="21"/>
        </w:rPr>
      </w:pPr>
      <w:r>
        <w:rPr/>
        <w:t xml:space="preserve">Образование/култура/младеж/спорт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По време на подготовката на въпросника беше обърнато голямо внимание на качеството, надеждността и валидността на въпросите. Поради тази причина беше търсена неутрална и ненасочена формулировка на въпроси, твърдения и варианти за отговор и беше проверено, че въпросите са формулирани на разбираем език (ниво B1).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Въпросникът беше подложен на тестове за качество чрез интервюта лице в лице с участниците в тестовете, принадлежащи към целевата група. Това ни позволи да проучим как въпросите се разбират от различните видове респонденти. Ако въпросът изглежда представлява прекалено голям (твърде сложен) когнитивен товар, той е подходящ. </w:t>
      </w:r>
      <w:r>
        <w:br w:type="page"/>
      </w:r>
    </w:p>
    <w:p>
      <w:pPr>
        <w:pStyle w:val="P68B1DB1Normal107"/>
        <w:spacing w:lineRule="auto" w:line="240"/>
        <w:ind w:left="0" w:right="0" w:hanging="0"/>
        <w:rPr>
          <w:rFonts w:ascii="Calibri" w:hAnsi="Calibri"/>
          <w:i/>
          <w:i/>
          <w:color w:val="000000"/>
          <w:sz w:val="24"/>
        </w:rPr>
      </w:pPr>
      <w:r>
        <w:rPr/>
        <w:t xml:space="preserve">Методи за анализ </w:t>
      </w:r>
    </w:p>
    <w:p>
      <w:pPr>
        <w:pStyle w:val="P68B1DB1Normal104"/>
        <w:widowControl w:val="false"/>
        <w:spacing w:lineRule="auto" w:line="240" w:before="127" w:after="0"/>
        <w:ind w:left="0" w:right="0" w:hanging="0"/>
        <w:jc w:val="left"/>
        <w:rPr>
          <w:rFonts w:ascii="Calibri" w:hAnsi="Calibri"/>
          <w:color w:val="000000"/>
          <w:sz w:val="21"/>
        </w:rPr>
      </w:pPr>
      <w:r>
        <w:rPr/>
        <w:t xml:space="preserve">В това проучване са използвани два метода за анализ: </w:t>
      </w:r>
    </w:p>
    <w:p>
      <w:pPr>
        <w:pStyle w:val="P68B1DB1Normal111"/>
        <w:widowControl w:val="false"/>
        <w:spacing w:lineRule="auto" w:line="240" w:before="38" w:after="0"/>
        <w:ind w:left="0" w:right="0" w:hanging="0"/>
        <w:jc w:val="left"/>
        <w:rPr>
          <w:rFonts w:ascii="Calibri" w:hAnsi="Calibri"/>
          <w:b/>
          <w:b/>
          <w:color w:val="000000"/>
          <w:sz w:val="22"/>
        </w:rPr>
      </w:pPr>
      <w:r>
        <w:rPr/>
        <w:t xml:space="preserve">Едновариантни анализи </w:t>
      </w:r>
    </w:p>
    <w:p>
      <w:pPr>
        <w:pStyle w:val="P68B1DB1Normal104"/>
        <w:widowControl w:val="false"/>
        <w:spacing w:lineRule="auto" w:line="240" w:before="97" w:after="0"/>
        <w:ind w:left="0" w:right="0" w:hanging="0"/>
        <w:jc w:val="left"/>
        <w:rPr/>
      </w:pPr>
      <w:r>
        <w:rPr/>
        <w:t xml:space="preserve">За описание на променливите на дадено проучване се използват описателни статистически данни. В това проучване се използват честоти и средни стойности. </w:t>
      </w:r>
    </w:p>
    <w:p>
      <w:pPr>
        <w:pStyle w:val="P68B1DB1Normal111"/>
        <w:widowControl w:val="false"/>
        <w:spacing w:lineRule="auto" w:line="240" w:before="41" w:after="0"/>
        <w:ind w:left="0" w:right="0" w:hanging="0"/>
        <w:jc w:val="left"/>
        <w:rPr>
          <w:rFonts w:ascii="Calibri" w:hAnsi="Calibri"/>
          <w:b/>
          <w:b/>
          <w:color w:val="000000"/>
          <w:sz w:val="22"/>
        </w:rPr>
      </w:pPr>
      <w:r>
        <w:rPr/>
        <w:t xml:space="preserve">Бивариативни анализи </w:t>
      </w:r>
    </w:p>
    <w:p>
      <w:pPr>
        <w:pStyle w:val="P68B1DB1Normal104"/>
        <w:widowControl w:val="false"/>
        <w:spacing w:lineRule="auto" w:line="240" w:before="95" w:after="0"/>
        <w:ind w:left="0" w:right="0" w:hanging="0"/>
        <w:jc w:val="left"/>
        <w:rPr/>
      </w:pPr>
      <w:r>
        <w:rPr/>
        <w:t xml:space="preserve">Двувариантните анализи позволяват да се разгледа връзката между две променливи, в случая връзката между значението на различните теми и въпроса дали Съюзът трябва да се намеси в тази област и общата характеристика на възрастта. Беше извършен преглед, за да се определи дали различните възрастови групи придават различно значение на дадена тема и дали съществуват различни мнения относно степента, в която това са въпроси, в които ЕС следва да участва. </w:t>
      </w:r>
    </w:p>
    <w:p>
      <w:pPr>
        <w:pStyle w:val="P68B1DB1Normal107"/>
        <w:widowControl w:val="false"/>
        <w:spacing w:lineRule="auto" w:line="240" w:before="43" w:after="0"/>
        <w:ind w:left="0" w:right="0" w:hanging="0"/>
        <w:jc w:val="left"/>
        <w:rPr>
          <w:rFonts w:ascii="Calibri" w:hAnsi="Calibri"/>
          <w:i/>
          <w:i/>
          <w:color w:val="000000"/>
          <w:sz w:val="24"/>
        </w:rPr>
      </w:pPr>
      <w:r>
        <w:rPr/>
        <w:t xml:space="preserve">Публикуване на информация и пълнота </w:t>
      </w:r>
    </w:p>
    <w:p>
      <w:pPr>
        <w:pStyle w:val="P68B1DB1Normal104"/>
        <w:widowControl w:val="false"/>
        <w:spacing w:lineRule="auto" w:line="240" w:before="123" w:after="0"/>
        <w:ind w:left="0" w:right="0" w:hanging="0"/>
        <w:jc w:val="left"/>
        <w:rPr/>
      </w:pPr>
      <w:r>
        <w:rPr/>
        <w:t xml:space="preserve">Този доклад включва (визуално) представяне на резултатите от всички въпроси, зададени на респондентите в анкетната група. За някои въпроси на респондента е дадена възможност да предостави „отворени“ (т.е. не предварително определени) отговори. След това отворените отговори бяха категоризирани и включени в публикацията. Идеите, споделяни от респондентите в безплатните коментари, се използват, за да бъдат включени в различните тематични диалози, организирани като продължение на процеса на граждански диалог „Визия на Европа“.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2. Тематични онлайн диалози за задълбочаване </w:t>
      </w:r>
    </w:p>
    <w:p>
      <w:pPr>
        <w:pStyle w:val="P68B1DB1Normal104"/>
        <w:widowControl w:val="false"/>
        <w:spacing w:lineRule="auto" w:line="240" w:before="17" w:after="0"/>
        <w:ind w:left="0" w:right="0" w:hanging="0"/>
        <w:jc w:val="left"/>
        <w:rPr/>
      </w:pPr>
      <w:r>
        <w:rPr/>
        <w:t xml:space="preserve">Темите, които са в основата на Конференцията за бъдещето на Европа, бяха задълбочени чрез осем тематични онлайн диалога. Целта на тези диалози беше да се открият причините за изразените мнения, както и мотивацията и чувствата зад тях. Какви са възприеманите опасения и възможности? Дискусионните сесии също така позволиха на участниците да формулират предложения и идеи по тези теми, както и да повдигнат въпроси, които не са част от конференцията, но остават важни за тях. </w:t>
      </w:r>
    </w:p>
    <w:p>
      <w:pPr>
        <w:pStyle w:val="P68B1DB1Normal24"/>
        <w:widowControl w:val="false"/>
        <w:spacing w:lineRule="auto" w:line="240" w:before="2" w:after="0"/>
        <w:ind w:left="0" w:right="0" w:hanging="0"/>
        <w:jc w:val="left"/>
        <w:rPr>
          <w:rFonts w:ascii="Times New Roman" w:hAnsi="Times New Roman"/>
          <w:color w:val="000000"/>
          <w:sz w:val="22"/>
        </w:rPr>
      </w:pPr>
      <w:r>
        <w:rPr/>
        <w:t xml:space="preserve"> </w:t>
      </w:r>
    </w:p>
    <w:p>
      <w:pPr>
        <w:pStyle w:val="P68B1DB1Normal104"/>
        <w:widowControl w:val="false"/>
        <w:spacing w:lineRule="auto" w:line="240" w:before="8" w:after="0"/>
        <w:ind w:left="0" w:right="0" w:hanging="0"/>
        <w:jc w:val="left"/>
        <w:rPr/>
      </w:pPr>
      <w:r>
        <w:rPr/>
        <w:t xml:space="preserve">Тематичните диалози се проведоха на 12—14 октомври и 9—11 ноември. През октомври бяха организирани четири онлайн тематични диалога по темите „Икономика„и „Демокрация“. През ноември бяха проведени четири тематични онлайн диалога по темите „Климат„и „ЕС в света“. Средно 29 души участваха във всяка дискусионна сесия (231 общо). Участниците бяха наети измежду членовете на експертната група (вж. точка 1) и чрез социалните медии. </w:t>
      </w:r>
    </w:p>
    <w:p>
      <w:pPr>
        <w:pStyle w:val="P68B1DB1Normal19"/>
        <w:widowControl w:val="false"/>
        <w:spacing w:lineRule="auto" w:line="240" w:before="1"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 w:after="0"/>
        <w:ind w:left="0" w:right="0" w:hanging="0"/>
        <w:jc w:val="left"/>
        <w:rPr>
          <w:rFonts w:ascii="Calibri" w:hAnsi="Calibri"/>
          <w:b/>
          <w:b/>
          <w:i/>
          <w:i/>
          <w:color w:val="000000"/>
          <w:sz w:val="24"/>
        </w:rPr>
      </w:pPr>
      <w:r>
        <w:rPr/>
        <w:t xml:space="preserve">3. Диалог с конкретни групи </w:t>
      </w:r>
    </w:p>
    <w:p>
      <w:pPr>
        <w:pStyle w:val="P68B1DB1Normal104"/>
        <w:widowControl w:val="false"/>
        <w:spacing w:lineRule="auto" w:line="240" w:before="12" w:after="0"/>
        <w:ind w:left="0" w:right="0" w:hanging="0"/>
        <w:jc w:val="left"/>
        <w:rPr/>
      </w:pPr>
      <w:r>
        <w:rPr/>
        <w:t xml:space="preserve">Известно е, че някои холандски групи са по-малко свикнали да участват в проучвания и панели (онлайн). За да се получи представителен образ на „гласа на Нидерландия“, беше важно тези граждани също да могат да изразяват своите идеи и мнения. Ето защо организирахме и редица диалози на място за проучването „Визия на Европа“. Мненията и идеите, които успяхме да съберем, бяха използвани като основа (наред с другото) за формулиране на препоръките. </w:t>
      </w:r>
    </w:p>
    <w:p>
      <w:pPr>
        <w:pStyle w:val="P68B1DB1Normal24"/>
        <w:widowControl w:val="false"/>
        <w:spacing w:lineRule="auto" w:line="240" w:before="4" w:after="0"/>
        <w:ind w:left="0" w:right="0" w:hanging="0"/>
        <w:jc w:val="left"/>
        <w:rPr>
          <w:rFonts w:ascii="Times New Roman" w:hAnsi="Times New Roman"/>
          <w:color w:val="000000"/>
          <w:sz w:val="22"/>
        </w:rPr>
      </w:pPr>
      <w:r>
        <w:rPr/>
        <w:t xml:space="preserve"> </w:t>
      </w:r>
    </w:p>
    <w:p>
      <w:pPr>
        <w:pStyle w:val="Normal"/>
        <w:spacing w:lineRule="auto" w:line="240"/>
        <w:ind w:left="0" w:right="0" w:hanging="0"/>
        <w:rPr/>
      </w:pPr>
      <w:r>
        <w:rPr/>
      </w:r>
      <w:r>
        <w:br w:type="page"/>
      </w:r>
    </w:p>
    <w:p>
      <w:pPr>
        <w:pStyle w:val="P68B1DB1Normal107"/>
        <w:spacing w:lineRule="auto" w:line="240"/>
        <w:ind w:left="0" w:right="0" w:hanging="0"/>
        <w:rPr>
          <w:rFonts w:ascii="Calibri" w:hAnsi="Calibri"/>
          <w:i/>
          <w:i/>
          <w:color w:val="000000"/>
          <w:sz w:val="24"/>
        </w:rPr>
      </w:pPr>
      <w:r>
        <w:rPr/>
        <w:t xml:space="preserve">Целеви групи </w:t>
      </w:r>
    </w:p>
    <w:p>
      <w:pPr>
        <w:pStyle w:val="P68B1DB1Normal110"/>
        <w:widowControl w:val="false"/>
        <w:spacing w:lineRule="auto" w:line="240" w:before="22" w:after="0"/>
        <w:ind w:left="0" w:right="0" w:hanging="0"/>
        <w:jc w:val="left"/>
        <w:rPr/>
      </w:pPr>
      <w:r>
        <w:rPr>
          <w:sz w:val="21"/>
        </w:rPr>
        <w:t xml:space="preserve">Труднодостъпните целеви групи не могат да бъдат определени недвусмислено. Проучванията и опитът ни позволяват да знаем, че холандските хора с </w:t>
      </w:r>
      <w:r>
        <w:rPr>
          <w:b/>
          <w:sz w:val="21"/>
        </w:rPr>
        <w:t>незападен произход участват</w:t>
      </w:r>
      <w:r>
        <w:rPr>
          <w:sz w:val="21"/>
        </w:rPr>
        <w:t>значително по-малко от себе си в разследванията и дискусиите. Тъй като това представлява голяма група (14 % от холандците</w:t>
      </w:r>
      <w:r>
        <w:rPr>
          <w:position w:val="6"/>
          <w:sz w:val="14"/>
        </w:rPr>
        <w:t>1</w:t>
      </w:r>
      <w:r>
        <w:rPr>
          <w:sz w:val="21"/>
        </w:rPr>
        <w:t xml:space="preserve">), те бяха избрани да участват в диалога „Визия за Европа“. Същата логика е следвана и по отношение на </w:t>
      </w:r>
      <w:r>
        <w:rPr>
          <w:b/>
          <w:sz w:val="21"/>
        </w:rPr>
        <w:t>лицата с малко образование</w:t>
      </w:r>
      <w:r>
        <w:rPr>
          <w:sz w:val="21"/>
        </w:rPr>
        <w:t>. Това е и голяма група (2,5 милиона холандци</w:t>
      </w:r>
      <w:r>
        <w:rPr>
          <w:position w:val="6"/>
          <w:sz w:val="14"/>
        </w:rPr>
        <w:t>2</w:t>
      </w:r>
      <w:r>
        <w:rPr>
          <w:sz w:val="21"/>
        </w:rPr>
        <w:t xml:space="preserve">), която отчасти се припокрива с мигрантската група (39 %). И накрая, беше проведен диалог с група хора, които рядко се срещат в проучвания и дискусии, </w:t>
      </w:r>
      <w:r>
        <w:rPr>
          <w:b/>
          <w:sz w:val="21"/>
        </w:rPr>
        <w:t>които са критични към Европа, но за които Европа играе важна роля в професионалната сфера.</w:t>
      </w:r>
      <w:r>
        <w:rPr>
          <w:sz w:val="21"/>
        </w:rPr>
        <w:t xml:space="preserve"> Избрани са предприемачи от селскостопанския сектор.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pPr>
      <w:r>
        <w:rPr/>
        <w:t xml:space="preserve">Към посочените по-горе групи се подхожда чрез организации, в които членуват, като например мигрантски организации, сдружения за застъпничество и професионални организации. Тъй като ограничихме броя на диалозите до осем, не можехме да бъдем напълно „изчерпателни“. Това прави избора на участниците донякъде произволен. За да направим този избор, взехме предвид и ентусиазма за участие и помощ за мобилизиране на тяхната база, както и практически въпроси като наличност според датите и местоположението.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rFonts w:ascii="Calibri" w:hAnsi="Calibri"/>
          <w:color w:val="000000"/>
          <w:sz w:val="21"/>
        </w:rPr>
      </w:pPr>
      <w:r>
        <w:rPr/>
        <w:t xml:space="preserve">Проведени бяха диалози на място с членове на следните организации: </w:t>
      </w:r>
    </w:p>
    <w:p>
      <w:pPr>
        <w:pStyle w:val="P68B1DB1Normal105"/>
        <w:widowControl w:val="false"/>
        <w:spacing w:lineRule="auto" w:line="240" w:before="19" w:after="0"/>
        <w:ind w:left="0" w:right="0" w:hanging="0"/>
        <w:jc w:val="left"/>
        <w:rPr/>
      </w:pPr>
      <w:r>
        <w:rPr>
          <w:rFonts w:ascii="Verdana" w:hAnsi="Verdana"/>
        </w:rPr>
        <w:t>•</w:t>
      </w:r>
      <w:r>
        <w:rPr/>
        <w:t xml:space="preserve"> </w:t>
      </w:r>
      <w:r>
        <w:rPr>
          <w:rFonts w:ascii="Calibri" w:hAnsi="Calibri"/>
        </w:rPr>
        <w:t xml:space="preserve">Фондация Hakder, общността на алевите,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Фондация Аша, хиндуистка общност, Утрехт (две дискусионни сесии)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организация на гражданското общество,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организация за нискообразовани хора, Утрехт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сдружение на селскостопанските групи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мароканска общност, Утрехт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Жени за свобода, застъпническа организация за жени с мигрантски произход, Хага </w:t>
      </w:r>
    </w:p>
    <w:p>
      <w:pPr>
        <w:pStyle w:val="P68B1DB1Normal104"/>
        <w:widowControl w:val="false"/>
        <w:spacing w:lineRule="auto" w:line="240" w:before="12" w:after="0"/>
        <w:ind w:left="0" w:right="0" w:hanging="0"/>
        <w:jc w:val="left"/>
        <w:rPr>
          <w:rFonts w:ascii="Calibri" w:hAnsi="Calibri"/>
          <w:color w:val="000000"/>
          <w:sz w:val="21"/>
        </w:rPr>
      </w:pPr>
      <w:r>
        <w:rPr/>
        <w:t xml:space="preserve"> </w:t>
      </w:r>
    </w:p>
    <w:p>
      <w:pPr>
        <w:pStyle w:val="P68B1DB1Normal104"/>
        <w:widowControl w:val="false"/>
        <w:spacing w:lineRule="auto" w:line="240" w:before="101" w:after="0"/>
        <w:ind w:left="0" w:right="0" w:hanging="0"/>
        <w:jc w:val="left"/>
        <w:rPr>
          <w:rFonts w:ascii="Calibri" w:hAnsi="Calibri"/>
          <w:color w:val="000000"/>
          <w:sz w:val="21"/>
        </w:rPr>
      </w:pPr>
      <w:r>
        <w:rPr/>
        <w:t xml:space="preserve">Общо 110 души участваха в тези дискусионни срещи.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39" w:after="0"/>
        <w:ind w:left="0" w:right="0" w:hanging="0"/>
        <w:jc w:val="left"/>
        <w:rPr>
          <w:rFonts w:ascii="Calibri" w:hAnsi="Calibri"/>
          <w:b/>
          <w:b/>
          <w:i/>
          <w:i/>
          <w:color w:val="000000"/>
          <w:sz w:val="24"/>
        </w:rPr>
      </w:pPr>
      <w:r>
        <w:rPr/>
        <w:t xml:space="preserve">4. Диалог с младите хора </w:t>
      </w:r>
    </w:p>
    <w:p>
      <w:pPr>
        <w:pStyle w:val="P68B1DB1Normal104"/>
        <w:widowControl w:val="false"/>
        <w:spacing w:lineRule="auto" w:line="240" w:before="118" w:after="0"/>
        <w:ind w:left="0" w:right="0" w:hanging="0"/>
        <w:jc w:val="both"/>
        <w:rPr/>
      </w:pPr>
      <w:r>
        <w:rPr/>
        <w:t xml:space="preserve">Младите хора са приоритетна целева група на Конференцията за бъдещето на Европа. С цел активно да се насърчи участието им в гражданския диалог „Визията на Европа“ и да се чуят добре становищата и идеите на тази група, бяха организирани пет срещи за физическа дискусия специално за младите хора. Шеста планирана среща с млади хора не можа да се проведе поради ограничителните мерки, свързани с коронавируса.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rFonts w:ascii="Calibri" w:hAnsi="Calibri"/>
          <w:color w:val="000000"/>
          <w:sz w:val="21"/>
        </w:rPr>
      </w:pPr>
      <w:r>
        <w:rPr/>
        <w:t xml:space="preserve">Заседанията се проведоха в следните институции: </w:t>
      </w:r>
    </w:p>
    <w:p>
      <w:pPr>
        <w:pStyle w:val="P68B1DB1Normal104"/>
        <w:widowControl w:val="false"/>
        <w:spacing w:lineRule="auto" w:line="240"/>
        <w:ind w:left="0" w:right="0" w:hanging="0"/>
        <w:jc w:val="both"/>
        <w:rPr>
          <w:rFonts w:ascii="Calibri" w:hAnsi="Calibri"/>
          <w:color w:val="000000"/>
          <w:sz w:val="21"/>
        </w:rPr>
      </w:pPr>
      <w:r>
        <w:rPr/>
        <w:t xml:space="preserve">Асоциация на студентите по история, Университет в Лайден </w:t>
      </w:r>
    </w:p>
    <w:p>
      <w:pPr>
        <w:pStyle w:val="P68B1DB1Normal104"/>
        <w:widowControl w:val="false"/>
        <w:spacing w:lineRule="auto" w:line="240"/>
        <w:ind w:left="0" w:right="0" w:hanging="0"/>
        <w:jc w:val="both"/>
        <w:rPr>
          <w:rFonts w:ascii="Calibri" w:hAnsi="Calibri"/>
          <w:color w:val="000000"/>
          <w:sz w:val="21"/>
        </w:rPr>
      </w:pPr>
      <w:r>
        <w:rPr/>
        <w:t xml:space="preserve">Д-р Knippenberg College, гимназия, Хелмонд </w:t>
      </w:r>
    </w:p>
    <w:p>
      <w:pPr>
        <w:pStyle w:val="P68B1DB1Normal104"/>
        <w:widowControl w:val="false"/>
        <w:spacing w:lineRule="auto" w:line="240" w:before="1" w:after="0"/>
        <w:ind w:left="0" w:right="0" w:hanging="0"/>
        <w:jc w:val="left"/>
        <w:rPr>
          <w:rFonts w:ascii="Calibri" w:hAnsi="Calibri"/>
          <w:color w:val="000000"/>
          <w:sz w:val="21"/>
        </w:rPr>
      </w:pPr>
      <w:r>
        <w:rPr/>
        <w:t xml:space="preserve">Coalitie-Y, Младежка платформа на Икономическия и социален съвет </w:t>
      </w:r>
    </w:p>
    <w:p>
      <w:pPr>
        <w:pStyle w:val="P68B1DB1Normal104"/>
        <w:widowControl w:val="false"/>
        <w:spacing w:lineRule="auto" w:line="240"/>
        <w:ind w:left="0" w:right="0" w:hanging="0"/>
        <w:jc w:val="left"/>
        <w:rPr>
          <w:rFonts w:ascii="Calibri" w:hAnsi="Calibri"/>
          <w:color w:val="000000"/>
          <w:sz w:val="21"/>
        </w:rPr>
      </w:pPr>
      <w:r>
        <w:rPr/>
        <w:t xml:space="preserve">Graafschap College, Професионално средно образование, Doetinchem </w:t>
      </w:r>
    </w:p>
    <w:p>
      <w:pPr>
        <w:pStyle w:val="P68B1DB1Normal104"/>
        <w:widowControl w:val="false"/>
        <w:spacing w:lineRule="auto" w:line="240" w:before="1" w:after="0"/>
        <w:ind w:left="0" w:right="0" w:hanging="0"/>
        <w:jc w:val="left"/>
        <w:rPr>
          <w:rFonts w:ascii="Calibri" w:hAnsi="Calibri"/>
          <w:color w:val="000000"/>
          <w:sz w:val="21"/>
        </w:rPr>
      </w:pPr>
      <w:r>
        <w:rPr/>
        <w:t xml:space="preserve">CSG Jan Arentsz, средно образование, фокусирано върху технологични теми, Алкмаар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Общо 95 младежи взеха участие в дискусионните срещи. </w:t>
      </w:r>
      <w:r>
        <w:br w:type="page"/>
      </w:r>
    </w:p>
    <w:p>
      <w:pPr>
        <w:pStyle w:val="P68B1DB1Normal107"/>
        <w:spacing w:lineRule="auto" w:line="240"/>
        <w:ind w:left="0" w:right="0" w:hanging="0"/>
        <w:rPr>
          <w:rFonts w:ascii="Calibri" w:hAnsi="Calibri"/>
          <w:i/>
          <w:i/>
          <w:color w:val="000000"/>
          <w:sz w:val="24"/>
        </w:rPr>
      </w:pPr>
      <w:r>
        <w:rPr/>
        <w:t xml:space="preserve">Използвани техники за поддръжка </w:t>
      </w:r>
    </w:p>
    <w:p>
      <w:pPr>
        <w:pStyle w:val="P68B1DB1Normal104"/>
        <w:widowControl w:val="false"/>
        <w:spacing w:lineRule="auto" w:line="240" w:before="10" w:after="0"/>
        <w:ind w:left="0" w:right="0" w:hanging="0"/>
        <w:jc w:val="left"/>
        <w:rPr/>
      </w:pPr>
      <w:r>
        <w:rPr/>
        <w:t xml:space="preserve">Онлайн тематични диалози, диалози с конкретни групи и диалози с млади хора бяха проведени по т.нар. „сократичен“ метод на интервю. Този метод се използва в продължение на много години в Деня на диалога, където хората в Холандия си взаимодействат по въпроси, които ги засягат. В контекста на метода на Сократовата поддръжка модераторът взема предвид следните принципи: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5"/>
        <w:widowControl w:val="false"/>
        <w:spacing w:lineRule="auto" w:line="240" w:before="7" w:after="0"/>
        <w:ind w:left="0" w:right="0" w:hanging="0"/>
        <w:jc w:val="left"/>
        <w:rPr/>
      </w:pPr>
      <w:r>
        <w:rPr>
          <w:rFonts w:ascii="Verdana" w:hAnsi="Verdana"/>
        </w:rPr>
        <w:t>Нека</w:t>
      </w:r>
      <w:r>
        <w:rPr/>
        <w:t xml:space="preserve"> другите разкажат своята история. </w:t>
      </w:r>
      <w:r>
        <w:rPr>
          <w:rFonts w:ascii="Calibri" w:hAnsi="Calibri"/>
        </w:rPr>
        <w:t xml:space="preserve"> </w:t>
      </w:r>
    </w:p>
    <w:p>
      <w:pPr>
        <w:pStyle w:val="P68B1DB1Normal105"/>
        <w:widowControl w:val="false"/>
        <w:spacing w:lineRule="auto" w:line="240" w:before="2" w:after="0"/>
        <w:ind w:left="0" w:right="0" w:hanging="0"/>
        <w:jc w:val="left"/>
        <w:rPr/>
      </w:pPr>
      <w:r>
        <w:rPr>
          <w:rFonts w:ascii="Verdana" w:hAnsi="Verdana"/>
        </w:rPr>
        <w:t>Не</w:t>
      </w:r>
      <w:r>
        <w:rPr/>
        <w:t xml:space="preserve"> </w:t>
      </w:r>
      <w:r>
        <w:rPr>
          <w:rFonts w:ascii="Calibri" w:hAnsi="Calibri"/>
        </w:rPr>
        <w:t xml:space="preserve">отговаряйте веднага с друга история.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Отнасяйте се с уважение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Говорете за собствената си гледна точка („Намирам„, а не „те казват“)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Да поиска повече обяснения, ако изразените мнения са ограничени до общи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Избягвайте преценки и ги анализирайте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Дайте моменти на мълчание, ако хората трябва да помислят за момент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По време на диалозите се използва следният ритъм: разминаване — сближаване — разминаване. Принципът е, че първо трябва да се разграничите (пряко да изразявате индивидуални чувства и мнения), преди да можете да се сближите (говорете възможни пътища) и след това най-накрая да се разграничите отново (например, събирайте индивидуални препоръки). Опитът и теорията показват, че този ритъм осигурява оптимален поток на диалог.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Всички диалози бяха проведени от професионални фасилитатори.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229" w:after="0"/>
        <w:ind w:left="0" w:right="0" w:hanging="0"/>
        <w:jc w:val="both"/>
        <w:rPr/>
      </w:pPr>
      <w:r>
        <w:rPr/>
        <w:t>5. Публично онлайн проучване: Въпросник и „Swipen naar de toekomst“ (Swiper to the future)</w:t>
      </w:r>
    </w:p>
    <w:p>
      <w:pPr>
        <w:pStyle w:val="P68B1DB1Normal104"/>
        <w:widowControl w:val="false"/>
        <w:spacing w:lineRule="auto" w:line="240" w:before="229" w:after="0"/>
        <w:ind w:left="0" w:right="0" w:hanging="0"/>
        <w:jc w:val="both"/>
        <w:rPr/>
      </w:pPr>
      <w:r>
        <w:rPr/>
        <w:t xml:space="preserve">Въпросникът за проучване на панела беше отворен и за всички холандци, включително тези, които пребивават в чужбина. Въпросникът беше на разположение от 1 септември 2021 г. до 14 ноември 2021 г. В допълнение, през същия период всеки холандец е в състояние да участва в действието „Swipen naar de toekomst“ (Swiper to the future), онлайн инструмент, представящ 20 твърдения. </w:t>
      </w:r>
    </w:p>
    <w:p>
      <w:pPr>
        <w:pStyle w:val="P68B1DB1Normal107"/>
        <w:widowControl w:val="false"/>
        <w:spacing w:lineRule="auto" w:line="240" w:before="41" w:after="0"/>
        <w:ind w:left="0" w:right="0" w:hanging="0"/>
        <w:jc w:val="left"/>
        <w:rPr>
          <w:rFonts w:ascii="Calibri" w:hAnsi="Calibri"/>
          <w:i/>
          <w:i/>
          <w:color w:val="000000"/>
          <w:sz w:val="24"/>
        </w:rPr>
      </w:pPr>
      <w:r>
        <w:rPr/>
        <w:t xml:space="preserve">Отговори и използване </w:t>
      </w:r>
    </w:p>
    <w:p>
      <w:pPr>
        <w:pStyle w:val="P68B1DB1Normal104"/>
        <w:widowControl w:val="false"/>
        <w:spacing w:lineRule="auto" w:line="240" w:before="7" w:after="0"/>
        <w:ind w:left="0" w:right="0" w:hanging="0"/>
        <w:jc w:val="left"/>
        <w:rPr/>
      </w:pPr>
      <w:r>
        <w:rPr/>
        <w:t xml:space="preserve">Общо 1 967 участници попълниха въпросника, а 6 968 бяха до края на инструмента за сканиране на екрана. Както въпросникът, така и инструментът за сканиране на екрана бяха отворени за всички: не са налице предпоставки или критерии за подбор за участие. Във въпросника беше възможно да се приемат въпроси (няма задължителни въпроси), за да се увеличи максимално процентът на отговорилите. Участниците избират „Предпочитам да не отговарям“ много по-често, отколкото в представителното проучване на панела. </w:t>
      </w:r>
    </w:p>
    <w:p>
      <w:pPr>
        <w:pStyle w:val="P68B1DB1Normal104"/>
        <w:widowControl w:val="false"/>
        <w:spacing w:lineRule="auto" w:line="240"/>
        <w:ind w:left="0" w:right="0" w:hanging="0"/>
        <w:jc w:val="left"/>
        <w:rPr/>
      </w:pPr>
      <w:r>
        <w:rPr/>
        <w:t xml:space="preserve">Общите характеристики на участниците в отворения въпросник и инструмента за сканиране на екрана се различават в няколко отношения от тези на участниците в представителната група. За разлика от проучването на панела, резултатите от отворения въпросник и инструмента за сканиране на екрана не са представителни. Резултатите от онлайн отвореното проучване бяха използвани за допълване на проучването на панела. Те дават представа за чувствата и идеите, които циркулират в Холандия. Предложенията за подобрение, споменати в полетата за въвеждане, бяха използвани в раздел „Дискусии и идеи онлайн и на място“. Инструментът за сканиране на екрана е използван за по-добро разбиране на някои от чувствата, циркулиращи в Холандия. Тези резултати бяха взети предвид при изготвянето на препоръките. Поради изискването за представителност резултатите от разследването, започнато онлайн, са взети предвид в ограничена степен в настоящия доклад.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Настоящият доклад е публикуван от Министерството на външните работи. </w:t>
      </w:r>
      <w:hyperlink r:id="rId118">
        <w:r>
          <w:rPr>
            <w:rStyle w:val="LienInternet"/>
          </w:rPr>
          <w:t>www.kijkopeuropa.nl</w:t>
        </w:r>
      </w:hyperlink>
      <w:r>
        <w:rPr>
          <w:rFonts w:ascii="Calibri" w:hAnsi="Calibri"/>
          <w:color w:val="000000"/>
          <w:sz w:val="21"/>
        </w:rPr>
        <w:t xml:space="preserve"> </w:t>
      </w:r>
      <w:r>
        <w:rPr/>
        <w:t xml:space="preserve"> </w:t>
      </w:r>
      <w:r>
        <w:br w:type="page"/>
      </w:r>
    </w:p>
    <w:p>
      <w:pPr>
        <w:pStyle w:val="Normal"/>
        <w:spacing w:lineRule="auto" w:line="240"/>
        <w:ind w:left="0" w:right="0" w:hanging="0"/>
        <w:rPr/>
      </w:pPr>
      <w:r>
        <w:rPr/>
        <w:drawing>
          <wp:anchor behindDoc="0" distT="0" distB="0" distL="0" distR="0" simplePos="0" locked="0" layoutInCell="1" allowOverlap="1" relativeHeight="50">
            <wp:simplePos x="0" y="0"/>
            <wp:positionH relativeFrom="column">
              <wp:align>center</wp:align>
            </wp:positionH>
            <wp:positionV relativeFrom="paragraph">
              <wp:posOffset>635</wp:posOffset>
            </wp:positionV>
            <wp:extent cx="3114040" cy="2009775"/>
            <wp:effectExtent l="0" t="0" r="0" b="0"/>
            <wp:wrapTopAndBottom/>
            <wp:docPr id="110" name="Снимка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Снимка 47" descr=""/>
                    <pic:cNvPicPr>
                      <a:picLocks noChangeAspect="1" noChangeArrowheads="1"/>
                    </pic:cNvPicPr>
                  </pic:nvPicPr>
                  <pic:blipFill>
                    <a:blip r:embed="rId119"/>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rFonts w:ascii="Calibri" w:hAnsi="Calibri"/>
          <w:color w:val="000000"/>
          <w:sz w:val="32"/>
        </w:rPr>
      </w:pPr>
      <w:r>
        <w:rPr/>
        <w:t xml:space="preserve">Национално правителство на Нидерландия </w:t>
      </w:r>
    </w:p>
    <w:p>
      <w:pPr>
        <w:pStyle w:val="P68B1DB1Normal124"/>
        <w:widowControl w:val="false"/>
        <w:spacing w:lineRule="exact" w:line="1199" w:before="278" w:after="0"/>
        <w:ind w:left="0" w:right="0" w:hanging="0"/>
        <w:jc w:val="left"/>
        <w:rPr>
          <w:rFonts w:ascii="Calibri" w:hAnsi="Calibri"/>
          <w:b/>
          <w:b/>
          <w:color w:val="0070C0"/>
          <w:sz w:val="72"/>
        </w:rPr>
      </w:pPr>
      <w:r>
        <w:rPr/>
        <w:t xml:space="preserve">Нашата визия за Европа </w:t>
      </w:r>
    </w:p>
    <w:p>
      <w:pPr>
        <w:pStyle w:val="Titre4"/>
        <w:numPr>
          <w:ilvl w:val="3"/>
          <w:numId w:val="2"/>
        </w:numPr>
        <w:rPr/>
      </w:pPr>
      <w:bookmarkStart w:id="237" w:name="__RefHeading___Toc298386_1346298689"/>
      <w:bookmarkEnd w:id="237"/>
      <w:r>
        <w:rPr/>
        <w:t>Доклад от януари 2022 г.</w:t>
      </w:r>
    </w:p>
    <w:p>
      <w:pPr>
        <w:pStyle w:val="P68B1DB1Normal20"/>
        <w:widowControl w:val="false"/>
        <w:spacing w:lineRule="auto" w:line="240" w:before="105" w:after="0"/>
        <w:ind w:left="0" w:right="0" w:hanging="0"/>
        <w:jc w:val="left"/>
        <w:rPr>
          <w:rFonts w:ascii="Calibri" w:hAnsi="Calibri"/>
          <w:color w:val="000000"/>
          <w:sz w:val="24"/>
        </w:rPr>
      </w:pPr>
      <w:r>
        <w:rPr/>
        <w:t xml:space="preserve">Мнения, идеи и препоръки </w:t>
      </w:r>
    </w:p>
    <w:p>
      <w:pPr>
        <w:pStyle w:val="P68B1DB1Normal104"/>
        <w:widowControl w:val="false"/>
        <w:spacing w:lineRule="auto" w:line="240" w:before="116"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20"/>
        <w:widowControl w:val="false"/>
        <w:spacing w:lineRule="auto" w:line="240"/>
        <w:ind w:left="0" w:right="0" w:hanging="0"/>
        <w:jc w:val="left"/>
        <w:rPr>
          <w:rFonts w:ascii="Calibri" w:hAnsi="Calibri"/>
          <w:b/>
          <w:b/>
          <w:color w:val="000000"/>
          <w:sz w:val="21"/>
        </w:rPr>
      </w:pPr>
      <w:r>
        <w:rPr/>
        <w:t xml:space="preserve">Теми </w:t>
      </w:r>
    </w:p>
    <w:p>
      <w:pPr>
        <w:pStyle w:val="P68B1DB1Normal105"/>
        <w:widowControl w:val="false"/>
        <w:spacing w:lineRule="auto" w:line="240"/>
        <w:ind w:left="0" w:right="0" w:hanging="0"/>
        <w:jc w:val="left"/>
        <w:rPr/>
      </w:pPr>
      <w:r>
        <w:rPr>
          <w:rFonts w:ascii="Verdana" w:hAnsi="Verdana"/>
        </w:rPr>
        <w:t xml:space="preserve">• </w:t>
      </w:r>
      <w:r>
        <w:rPr>
          <w:rFonts w:ascii="Verdana" w:hAnsi="Verdana"/>
        </w:rPr>
        <w:t>Изменение</w:t>
      </w:r>
      <w:r>
        <w:rPr/>
        <w:t xml:space="preserve"> </w:t>
      </w:r>
      <w:r>
        <w:rPr>
          <w:rFonts w:ascii="Calibri" w:hAnsi="Calibri"/>
        </w:rPr>
        <w:t xml:space="preserve">на климата и околна среда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Миграция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Здраве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ЕС в света </w:t>
      </w:r>
    </w:p>
    <w:p>
      <w:pPr>
        <w:pStyle w:val="P68B1DB1Normal105"/>
        <w:widowControl w:val="false"/>
        <w:spacing w:lineRule="auto" w:line="240" w:before="7" w:after="0"/>
        <w:ind w:left="0" w:right="0" w:hanging="0"/>
        <w:jc w:val="left"/>
        <w:rPr/>
      </w:pPr>
      <w:r>
        <w:rPr>
          <w:rFonts w:ascii="Verdana" w:hAnsi="Verdana"/>
        </w:rPr>
        <w:t>•</w:t>
      </w:r>
      <w:r>
        <w:rPr/>
        <w:t xml:space="preser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14 януари 2022 г. </w:t>
      </w:r>
    </w:p>
    <w:p>
      <w:pPr>
        <w:pStyle w:val="P68B1DB1Normal105"/>
        <w:widowControl w:val="false"/>
        <w:spacing w:lineRule="auto" w:line="240" w:before="5" w:after="0"/>
        <w:ind w:left="0" w:right="0" w:hanging="0"/>
        <w:jc w:val="left"/>
        <w:rPr/>
      </w:pPr>
      <w:r>
        <w:rPr>
          <w:rFonts w:ascii="Verdana" w:hAnsi="Verdana"/>
        </w:rPr>
        <w:t>•</w:t>
      </w:r>
      <w:r>
        <w:rPr/>
        <w:t xml:space="preserv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Настоящият документ е превод на доклада, озаглавен „Elze kijk op Europa“; Meningen, ideeën en Aanbevelingen„(“Нашата визия за Европа: становища, идеи и препоръки“), който беше публикуван на нидерландски език на 14 януари 2022 г. на адрес www.kijkopeuropa.nl. Този превод е опростена версия на доклада, в която оригиналната презентация (илюстрации и други графични елементи) е променена за целите на превода.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spacing w:lineRule="auto" w:line="240"/>
        <w:ind w:left="0" w:right="0" w:hanging="0"/>
        <w:rPr/>
      </w:pPr>
      <w:r>
        <w:rPr/>
      </w:r>
      <w:r>
        <w:br w:type="page"/>
      </w:r>
    </w:p>
    <w:p>
      <w:pPr>
        <w:pStyle w:val="P68B1DB1Normal125"/>
        <w:spacing w:lineRule="auto" w:line="240"/>
        <w:ind w:left="0" w:right="0" w:hanging="0"/>
        <w:rPr>
          <w:rFonts w:ascii="Calibri" w:hAnsi="Calibri"/>
          <w:b/>
          <w:b/>
          <w:color w:val="0070C0"/>
          <w:sz w:val="32"/>
        </w:rPr>
      </w:pPr>
      <w:r>
        <w:rPr/>
        <w:t xml:space="preserve">Нашата визия за... </w:t>
      </w:r>
    </w:p>
    <w:p>
      <w:pPr>
        <w:pStyle w:val="P68B1DB1Normal126"/>
        <w:widowControl w:val="false"/>
        <w:spacing w:lineRule="auto" w:line="240" w:before="101" w:after="0"/>
        <w:ind w:left="0" w:right="0" w:hanging="0"/>
        <w:jc w:val="left"/>
        <w:rPr>
          <w:rFonts w:ascii="Calibri" w:hAnsi="Calibri"/>
          <w:color w:val="0070C0"/>
          <w:sz w:val="24"/>
        </w:rPr>
      </w:pPr>
      <w:r>
        <w:rPr/>
        <w:t xml:space="preserve">Резюме на доклада: всички препоръки накратко </w:t>
      </w:r>
    </w:p>
    <w:p>
      <w:pPr>
        <w:pStyle w:val="P68B1DB1Normal104"/>
        <w:widowControl w:val="false"/>
        <w:spacing w:lineRule="auto" w:line="240" w:before="109" w:after="0"/>
        <w:ind w:left="0" w:right="0" w:hanging="0"/>
        <w:jc w:val="both"/>
        <w:rPr/>
      </w:pPr>
      <w:r>
        <w:rPr/>
        <w:t xml:space="preserve">Чрез гражданския диалог, организиран на тема „Визия на Европа“, събрахме мненията и идеите на нидерландските граждани за бъдещето на Европа. Това доведе до следните препоръки към Европейския съюз за последните четири теми (от общо деветте посочени теми). </w:t>
      </w:r>
    </w:p>
    <w:p>
      <w:pPr>
        <w:pStyle w:val="P68B1DB1Normal126"/>
        <w:widowControl w:val="false"/>
        <w:spacing w:lineRule="auto" w:line="240" w:before="108" w:after="0"/>
        <w:ind w:left="0" w:right="0" w:hanging="0"/>
        <w:jc w:val="left"/>
        <w:rPr>
          <w:rFonts w:ascii="Calibri" w:hAnsi="Calibri"/>
          <w:color w:val="0070C0"/>
          <w:sz w:val="24"/>
        </w:rPr>
      </w:pPr>
      <w:r>
        <w:rPr/>
        <w:t xml:space="preserve">Изменение на климата и околна среда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Изберете ясна посока за европейския подход към изменението на климата</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Да се гарантира, че държавите и предприятията си сътрудничат по-тясно, за да намерят целенасочени решения 3.</w:t>
      </w:r>
      <w:r>
        <w:rPr/>
        <w:t xml:space="preserve"> </w:t>
      </w:r>
      <w:r>
        <w:rPr>
          <w:rFonts w:ascii="Calibri" w:hAnsi="Calibri"/>
        </w:rPr>
        <w:t>Създаване на система за CO2, която е справедлива и осъществима на практика</w:t>
      </w:r>
    </w:p>
    <w:p>
      <w:pPr>
        <w:pStyle w:val="P68B1DB1Normal119"/>
        <w:widowControl w:val="false"/>
        <w:spacing w:lineRule="auto" w:line="240"/>
        <w:ind w:left="0" w:right="0" w:hanging="0"/>
        <w:jc w:val="left"/>
        <w:rPr/>
      </w:pPr>
      <w:r>
        <w:rPr>
          <w:rFonts w:ascii="Calibri" w:hAnsi="Calibri"/>
        </w:rPr>
        <w:t>4.</w:t>
      </w:r>
      <w:r>
        <w:rPr/>
        <w:t xml:space="preserve"> </w:t>
      </w:r>
      <w:r>
        <w:rPr>
          <w:rFonts w:ascii="Calibri" w:hAnsi="Calibri"/>
        </w:rPr>
        <w:t>Да комуникират по по-ясен и по-положителен начин относно подхода в областта на климата</w:t>
      </w:r>
    </w:p>
    <w:p>
      <w:pPr>
        <w:pStyle w:val="P68B1DB1Normal104"/>
        <w:widowControl w:val="false"/>
        <w:spacing w:lineRule="auto" w:line="240" w:before="93" w:after="0"/>
        <w:ind w:left="0" w:right="0" w:hanging="0"/>
        <w:jc w:val="left"/>
        <w:rPr/>
      </w:pPr>
      <w:r>
        <w:rPr/>
        <w:t xml:space="preserve">Холандците смятат, че ЕС трябва да играе водеща роля в борбата срещу изменението на климата. Държавите членки трябва да могат да правят свой собствен избор, но въпреки това трябва да си сътрудничат за постигането на същите цели. Вместо да се насочват една към друга, държавите от ЕС следва да отделят повече енергия за обмен на знания и намиране на общи решения. Една система за данъчно облагане на емисиите на CO2 може да бъде ефективна, но също така трябва да бъде справедлива, практична и ясна. Като общо правило нидерландците смятат, че ЕС следва да комуникира по-ефективно и положително по въпросите на климата. </w:t>
      </w:r>
    </w:p>
    <w:p>
      <w:pPr>
        <w:pStyle w:val="P68B1DB1Normal126"/>
        <w:widowControl w:val="false"/>
        <w:spacing w:lineRule="auto" w:line="240" w:before="108" w:after="0"/>
        <w:ind w:left="0" w:right="0" w:hanging="0"/>
        <w:jc w:val="left"/>
        <w:rPr>
          <w:rFonts w:ascii="Calibri" w:hAnsi="Calibri"/>
          <w:color w:val="0070C0"/>
          <w:sz w:val="24"/>
        </w:rPr>
      </w:pPr>
      <w:r>
        <w:rPr/>
        <w:t xml:space="preserve">Миграция </w:t>
      </w:r>
    </w:p>
    <w:p>
      <w:pPr>
        <w:pStyle w:val="P68B1DB1Normal119"/>
        <w:widowControl w:val="false"/>
        <w:spacing w:lineRule="auto" w:line="240" w:before="105" w:after="0"/>
        <w:ind w:left="0" w:right="0" w:hanging="0"/>
        <w:jc w:val="left"/>
        <w:rPr/>
      </w:pPr>
      <w:r>
        <w:rPr>
          <w:rFonts w:ascii="Calibri" w:hAnsi="Calibri"/>
        </w:rPr>
        <w:t>1.</w:t>
      </w:r>
      <w:r>
        <w:rPr/>
        <w:t xml:space="preserve"> </w:t>
      </w:r>
      <w:r>
        <w:rPr>
          <w:rFonts w:ascii="Calibri" w:hAnsi="Calibri"/>
        </w:rPr>
        <w:t>Предотвратяване на по-малко нюанси на дебатите по въпроса за бежанците</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Определяне на справедливото и практично разпределение на бежанците</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Използване на знанията и опита, придобити за подпомагане на регионите, от които идват бежанците</w:t>
      </w:r>
    </w:p>
    <w:p>
      <w:pPr>
        <w:pStyle w:val="P68B1DB1Normal104"/>
        <w:widowControl w:val="false"/>
        <w:spacing w:lineRule="auto" w:line="240"/>
        <w:ind w:left="0" w:right="0" w:hanging="0"/>
        <w:jc w:val="left"/>
        <w:rPr/>
      </w:pPr>
      <w:r>
        <w:rPr/>
        <w:t xml:space="preserve">Холандците смятат, че е важно да се прави разлика между хората, бягащи от опасни райони, и икономическите бежанци. Дебатите за миграцията и интеграцията често нямат нюанси. За да се постигне справедливо разпределение на бежанците в Европа, е необходимо в рамките на ЕС да се постигне съгласие по ясни критерии, които вземат предвид както държавите членки, така и тези, които са избягали. И накрая, Нидерландия предлага ЕС да подкрепи регионите, от които бежанците идват не само финансово, но и чрез знания. </w:t>
      </w:r>
    </w:p>
    <w:p>
      <w:pPr>
        <w:pStyle w:val="P68B1DB1Normal126"/>
        <w:widowControl w:val="false"/>
        <w:spacing w:lineRule="auto" w:line="240" w:before="108" w:after="0"/>
        <w:ind w:left="0" w:right="0" w:hanging="0"/>
        <w:jc w:val="left"/>
        <w:rPr>
          <w:rFonts w:ascii="Calibri" w:hAnsi="Calibri"/>
          <w:color w:val="0070C0"/>
          <w:sz w:val="24"/>
        </w:rPr>
      </w:pPr>
      <w:r>
        <w:rPr/>
        <w:t xml:space="preserve">Здраве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По-добър контрол върху управлението на пандемия</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Осигуряване на достъпни и надеждни лекарства за всички</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Страните трябва да се съсредоточат върху подобряването на здравните си системи и да ги направят по-справедливи.</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both"/>
        <w:rPr/>
      </w:pPr>
      <w:r>
        <w:rPr>
          <w:rFonts w:ascii="Calibri" w:hAnsi="Calibri"/>
          <w:color w:val="000000"/>
          <w:sz w:val="21"/>
        </w:rPr>
        <w:t xml:space="preserve">Холандците смятат, че страните от ЕС трябва да си сътрудничат повече, за да се борят с пандемията. Начинът, по който се справя с кризата с коронавируса, понякога създава объркване. Правилата трябва да бъдат по-съгласувани помежду си, без да е необходимо да бъдат еднакви навсякъде. Що се отнася до ваксините или лекарствата, холандците искат цените да останат възможно най-ниски, но искат да могат да разчитат на качествено и отговорно производство. Освен това считаме, че е важно големите компании да не злоупотребяват с властта си и вярваме, че здравеопазването трябва да продължи да бъде на национално равнище. </w:t>
      </w:r>
      <w:r>
        <w:br w:type="page"/>
      </w:r>
    </w:p>
    <w:p>
      <w:pPr>
        <w:pStyle w:val="P68B1DB1Normal126"/>
        <w:widowControl w:val="false"/>
        <w:spacing w:lineRule="auto" w:line="240"/>
        <w:ind w:left="0" w:right="0" w:hanging="0"/>
        <w:jc w:val="left"/>
        <w:rPr>
          <w:rFonts w:ascii="Calibri" w:hAnsi="Calibri"/>
          <w:color w:val="0070C0"/>
          <w:sz w:val="24"/>
        </w:rPr>
      </w:pPr>
      <w:r>
        <w:rPr/>
        <w:t xml:space="preserve">Ролята на ЕС в света </w:t>
      </w:r>
    </w:p>
    <w:p>
      <w:pPr>
        <w:pStyle w:val="P68B1DB1Normal119"/>
        <w:widowControl w:val="false"/>
        <w:spacing w:lineRule="auto" w:line="240" w:before="112" w:after="0"/>
        <w:ind w:left="0" w:right="0" w:hanging="0"/>
        <w:jc w:val="left"/>
        <w:rPr/>
      </w:pPr>
      <w:r>
        <w:rPr>
          <w:rFonts w:ascii="Calibri" w:hAnsi="Calibri"/>
        </w:rPr>
        <w:t>1.</w:t>
      </w:r>
      <w:r>
        <w:rPr/>
        <w:t xml:space="preserve"> </w:t>
      </w:r>
      <w:r>
        <w:rPr>
          <w:rFonts w:ascii="Calibri" w:hAnsi="Calibri"/>
        </w:rPr>
        <w:t>Използване на силата на ЕС главно по ключови международни теми</w:t>
      </w:r>
    </w:p>
    <w:p>
      <w:pPr>
        <w:pStyle w:val="P68B1DB1Normal119"/>
        <w:widowControl w:val="false"/>
        <w:spacing w:lineRule="auto" w:line="240" w:before="112" w:after="0"/>
        <w:ind w:left="0" w:right="0" w:hanging="0"/>
        <w:jc w:val="left"/>
        <w:rPr/>
      </w:pPr>
      <w:r>
        <w:rPr>
          <w:rFonts w:ascii="Calibri" w:hAnsi="Calibri"/>
        </w:rPr>
        <w:t>2.</w:t>
      </w:r>
      <w:r>
        <w:rPr/>
        <w:t xml:space="preserve"> </w:t>
      </w:r>
      <w:r>
        <w:rPr>
          <w:rFonts w:ascii="Calibri" w:hAnsi="Calibri"/>
        </w:rPr>
        <w:t>В и извън Европа, избирайте сътрудничеството, а не борбата.</w:t>
      </w:r>
    </w:p>
    <w:p>
      <w:pPr>
        <w:pStyle w:val="P68B1DB1Normal119"/>
        <w:widowControl w:val="false"/>
        <w:spacing w:lineRule="auto" w:line="240" w:before="112" w:after="0"/>
        <w:ind w:left="0" w:right="0" w:hanging="0"/>
        <w:jc w:val="left"/>
        <w:rPr/>
      </w:pPr>
      <w:r>
        <w:rPr>
          <w:rFonts w:ascii="Calibri" w:hAnsi="Calibri"/>
        </w:rPr>
        <w:t>3.</w:t>
      </w:r>
      <w:r>
        <w:rPr/>
        <w:t xml:space="preserve"> </w:t>
      </w:r>
      <w:r>
        <w:rPr>
          <w:rFonts w:ascii="Calibri" w:hAnsi="Calibri"/>
        </w:rPr>
        <w:t>Предлагайки, по обмислен начин, помощ в случай на конфликт</w:t>
      </w:r>
    </w:p>
    <w:p>
      <w:pPr>
        <w:pStyle w:val="P68B1DB1Normal104"/>
        <w:widowControl w:val="false"/>
        <w:spacing w:lineRule="auto" w:line="240" w:before="84" w:after="0"/>
        <w:ind w:left="0" w:right="0" w:hanging="0"/>
        <w:jc w:val="left"/>
        <w:rPr/>
      </w:pPr>
      <w:r>
        <w:rPr/>
        <w:t xml:space="preserve">Холандците смятат, че европейското сътрудничество трябва да се съсредоточи преди всичко върху основните общи интереси. Сътрудничеството на ЕС с трети държави също трябва да бъде част от този подход. В допълнение към изменението на климата и пандемията от коронавирус те включват например международната сигурност и защитата на европейската икономика от нелоялни търговски практики. Във и извън Европа холандците предпочитат сътрудничеството пред борбата. Що се отнася до подхода към конфликтите, винаги е за предпочитане те да бъдат разрешени, без да се прибягва до насилие. </w:t>
      </w:r>
    </w:p>
    <w:p>
      <w:pPr>
        <w:pStyle w:val="P68B1DB1Normal125"/>
        <w:widowControl w:val="false"/>
        <w:spacing w:lineRule="auto" w:line="240" w:before="96" w:after="0"/>
        <w:ind w:left="0" w:right="0" w:hanging="0"/>
        <w:jc w:val="left"/>
        <w:rPr>
          <w:rFonts w:ascii="Calibri" w:hAnsi="Calibri"/>
          <w:b/>
          <w:b/>
          <w:color w:val="0070C0"/>
          <w:sz w:val="32"/>
        </w:rPr>
      </w:pPr>
      <w:r>
        <w:rPr/>
        <w:t xml:space="preserve">Въведение </w:t>
      </w:r>
    </w:p>
    <w:p>
      <w:pPr>
        <w:pStyle w:val="P68B1DB1Normal104"/>
        <w:widowControl w:val="false"/>
        <w:spacing w:lineRule="auto" w:line="240" w:before="183" w:after="0"/>
        <w:ind w:left="0" w:right="0" w:hanging="0"/>
        <w:jc w:val="left"/>
        <w:rPr/>
      </w:pPr>
      <w:r>
        <w:rPr/>
        <w:t xml:space="preserve">Гражданският диалог „Визия на Европа“, проведен от 1 септември до средата на ноември, позволи на всички холандци да изразят своите мнения и идеи за бъдещето на Европа. Нидерландия представя на Европейския съюз (ЕС) препоръките, въз основа на които е водил диалогът, както и изразените идеи и мнения. В настоящия доклад Сметната палата разглежда последните четири теми (от общо деветте посочени теми). Първите пет теми вече бяха разгледани в доклада, публикуван на 3 декември 2021 г. </w:t>
      </w:r>
    </w:p>
    <w:p>
      <w:pPr>
        <w:pStyle w:val="P68B1DB1Normal126"/>
        <w:widowControl w:val="false"/>
        <w:spacing w:lineRule="auto" w:line="240" w:before="79" w:after="0"/>
        <w:ind w:left="0" w:right="0" w:hanging="0"/>
        <w:jc w:val="left"/>
        <w:rPr>
          <w:rFonts w:ascii="Calibri" w:hAnsi="Calibri"/>
          <w:color w:val="0070C0"/>
          <w:sz w:val="24"/>
        </w:rPr>
      </w:pPr>
      <w:r>
        <w:rPr/>
        <w:t xml:space="preserve">Относно визията на Европа </w:t>
      </w:r>
    </w:p>
    <w:p>
      <w:pPr>
        <w:pStyle w:val="P68B1DB1Normal104"/>
        <w:widowControl w:val="false"/>
        <w:spacing w:lineRule="auto" w:line="240" w:before="78" w:after="0"/>
        <w:ind w:left="0" w:right="0" w:hanging="0"/>
        <w:jc w:val="left"/>
        <w:rPr/>
      </w:pPr>
      <w:r>
        <w:rPr/>
        <w:t xml:space="preserve">Европейският съюз иска неговите граждани да споделят какво мислят за Европа. Ето защо ЕС организира Конференцията за бъдещето на Европа. След това мненията и идеите на гражданите в целия Европейски съюз ще бъдат включени в плановете за бъдещето на Европа. Като част от конференцията Нидерландия организира гражданския диалог „Визия на Европа“ на национално равнище. </w:t>
      </w:r>
    </w:p>
    <w:p>
      <w:pPr>
        <w:pStyle w:val="P68B1DB1Normal104"/>
        <w:widowControl w:val="false"/>
        <w:spacing w:lineRule="auto" w:line="240"/>
        <w:ind w:left="0" w:right="0" w:hanging="0"/>
        <w:jc w:val="left"/>
        <w:rPr/>
      </w:pPr>
      <w:r>
        <w:rPr/>
        <w:t xml:space="preserve">Диалогът „Визия за Европа“ започна на 1 септември с онлайн събиране на мнения и идеи чрез проучване на представителна група. За да задълбочим първите резултати от проучването на панела и да отправим конкретни препоръки, организирахме тематични диалози онлайн. Всеки, който иска да участва, може да участва. Също така посетихме страната, за да проведем дискусии с млади хора и други групи (трудни за достигане).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 xml:space="preserve">От ученици, ученици от средните професионални училища и ученици до министъра, земеделските стопани и мигрантите </w:t>
      </w:r>
    </w:p>
    <w:p>
      <w:pPr>
        <w:pStyle w:val="P68B1DB1Normal104"/>
        <w:widowControl w:val="false"/>
        <w:spacing w:lineRule="auto" w:line="240" w:before="91" w:after="0"/>
        <w:ind w:left="0" w:right="0" w:hanging="0"/>
        <w:jc w:val="both"/>
        <w:rPr/>
      </w:pPr>
      <w:r>
        <w:rPr/>
        <w:t xml:space="preserve">През октомври и ноември бяха проведени общо осем тематични онлайн диалога със средно 30 участници на заседание. Организирахме и онлайн тематичен диалог и седем тематични диалога на място с различни групи нидерландски граждани. Разговаряхме с турската общност в Шидам и бяхме поканени от доброволците на фондация „Пиезо“ в Зотермер. В последния случай външният министър Бен Кнапен също присъства в края на диалога. Министърът проведе дискусия с участниците относно диалога и изразените мнения за бъдещето на Европа. И накрая, организирахме шест срещи с различни групи млади хора. Например, ние бяхме добре дошли в средно училище в Хелмонд, професионално средно училище в Doetinchem и Университета в Лайден. </w:t>
      </w:r>
    </w:p>
    <w:p>
      <w:pPr>
        <w:pStyle w:val="P68B1DB1Normal113"/>
        <w:widowControl w:val="false"/>
        <w:spacing w:lineRule="auto" w:line="240" w:before="160" w:after="0"/>
        <w:ind w:left="0" w:right="0" w:hanging="0"/>
        <w:jc w:val="center"/>
        <w:rPr/>
      </w:pPr>
      <w:r>
        <w:rPr/>
        <w:t xml:space="preserve">Това е бъдещето на нашите деца. Ето защо мисля, че е важно да участваме. </w:t>
      </w:r>
    </w:p>
    <w:p>
      <w:pPr>
        <w:pStyle w:val="P68B1DB1Normal104"/>
        <w:widowControl w:val="false"/>
        <w:spacing w:lineRule="auto" w:line="240" w:before="127" w:after="0"/>
        <w:ind w:left="0" w:right="0" w:hanging="0"/>
        <w:jc w:val="left"/>
        <w:rPr>
          <w:rFonts w:ascii="Calibri" w:hAnsi="Calibri"/>
          <w:color w:val="000000"/>
          <w:sz w:val="21"/>
        </w:rPr>
      </w:pPr>
      <w:r>
        <w:rPr/>
        <w:t xml:space="preserve">Участник в тематичния диалог </w:t>
      </w:r>
    </w:p>
    <w:p>
      <w:pPr>
        <w:pStyle w:val="Normal"/>
        <w:widowControl w:val="false"/>
        <w:spacing w:lineRule="auto" w:line="240" w:before="92"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За този доклад </w:t>
      </w:r>
    </w:p>
    <w:p>
      <w:pPr>
        <w:pStyle w:val="P68B1DB1Normal104"/>
        <w:widowControl w:val="false"/>
        <w:spacing w:lineRule="auto" w:line="240" w:before="88" w:after="0"/>
        <w:ind w:left="0" w:right="0" w:hanging="0"/>
        <w:jc w:val="left"/>
        <w:rPr/>
      </w:pPr>
      <w:r>
        <w:rPr/>
        <w:t xml:space="preserve">Въз основа на идеите и мненията, които събрахме през последните месеци, изготвихме редица препоръки, които нидерландските граждани отправят към Европейския съюз. По време на дискусиите между нидерландски граждани се проведе интересен обмен на мнения и бяха направени новаторски идеи и предложения. Някои от тези идеи и предложения са включени в настоящия доклад. Ето защо съдържанието на настоящия доклад е гласът на Нидерландия: нашата визия за Европа.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Точно както има различия в мненията между държавите и европейските граждани, ние също не винаги сме съгласни един с друг в рамките на Нидерландия. Тези различия в мненията, точно, са ценни: те са важна характеристика на демокрацията. Препоръките са изведени от най-често изразените идеи и мнения на участниците в проучването Vision of Europe. Ние също така описваме притеснения, идеи и чувства, които може да са по-малко разпространени, но които са привлекли вниманието ни по време на диалозите и онлайн проучването. </w:t>
      </w:r>
    </w:p>
    <w:p>
      <w:pPr>
        <w:pStyle w:val="P68B1DB1Normal113"/>
        <w:widowControl w:val="false"/>
        <w:spacing w:lineRule="auto" w:line="240" w:before="181" w:after="0"/>
        <w:ind w:left="0" w:right="0" w:hanging="0"/>
        <w:jc w:val="center"/>
        <w:rPr/>
      </w:pPr>
      <w:r>
        <w:rPr/>
        <w:t xml:space="preserve">Радвам се, че мога да дам мнението си по теми, които според мен са важни. И да имаш чувството, че те слушат. </w:t>
      </w:r>
    </w:p>
    <w:p>
      <w:pPr>
        <w:pStyle w:val="P68B1DB1Normal104"/>
        <w:widowControl w:val="false"/>
        <w:spacing w:lineRule="auto" w:line="240" w:before="300" w:after="0"/>
        <w:ind w:left="0" w:right="0" w:hanging="0"/>
        <w:jc w:val="left"/>
        <w:rPr>
          <w:rFonts w:ascii="Calibri" w:hAnsi="Calibri"/>
          <w:color w:val="000000"/>
          <w:sz w:val="21"/>
        </w:rPr>
      </w:pPr>
      <w:r>
        <w:rPr/>
        <w:t xml:space="preserve">Участник в тематичния диалог </w:t>
      </w:r>
    </w:p>
    <w:p>
      <w:pPr>
        <w:pStyle w:val="P68B1DB1Normal104"/>
        <w:widowControl w:val="false"/>
        <w:spacing w:lineRule="auto" w:line="240"/>
        <w:ind w:left="0" w:right="0" w:hanging="0"/>
        <w:jc w:val="left"/>
        <w:rPr/>
      </w:pPr>
      <w:r>
        <w:rPr/>
        <w:t xml:space="preserve">Девет теми бяха набелязани за Конференцията за бъдещето на Европа. Тези теми също са в основата на диалога „Визия за Европа“ с нидерландските граждани. През октомври Сметната палата публикува междинен доклад, съдържащ първоначален преглед на резултатите и допълнителни въпроси въз основа на проучването на експертната група. В началото на декември беше публикуван нов доклад, съдържащ становища, идеи и препоръки по първите пет теми. В настоящия доклад са разгледани останалите четири теми.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rFonts w:ascii="Calibri" w:hAnsi="Calibri"/>
          <w:b/>
          <w:b/>
          <w:color w:val="000000"/>
          <w:sz w:val="22"/>
        </w:rPr>
      </w:pPr>
      <w:r>
        <w:rPr/>
        <w:t xml:space="preserve">Предишен доклад — декември 2021 г. </w:t>
      </w:r>
    </w:p>
    <w:p>
      <w:pPr>
        <w:pStyle w:val="P68B1DB1Normal104"/>
        <w:widowControl w:val="false"/>
        <w:spacing w:lineRule="auto" w:line="240"/>
        <w:ind w:left="0" w:right="0" w:hanging="0"/>
        <w:jc w:val="left"/>
        <w:rPr>
          <w:rFonts w:ascii="Calibri" w:hAnsi="Calibri"/>
          <w:color w:val="000000"/>
          <w:sz w:val="21"/>
        </w:rPr>
      </w:pPr>
      <w:r>
        <w:rPr/>
        <w:t xml:space="preserve">Ценности и права, върховенство на закона и сигурност </w:t>
      </w:r>
    </w:p>
    <w:p>
      <w:pPr>
        <w:pStyle w:val="P68B1DB1Normal104"/>
        <w:widowControl w:val="false"/>
        <w:spacing w:lineRule="auto" w:line="240"/>
        <w:ind w:left="0" w:right="0" w:hanging="0"/>
        <w:jc w:val="left"/>
        <w:rPr/>
      </w:pPr>
      <w:r>
        <w:rPr/>
        <w:t xml:space="preserve">По-силна икономика, социална справедливост и заетост Европейска демокрация </w:t>
      </w:r>
    </w:p>
    <w:p>
      <w:pPr>
        <w:pStyle w:val="P68B1DB1Normal104"/>
        <w:widowControl w:val="false"/>
        <w:spacing w:lineRule="auto" w:line="240"/>
        <w:ind w:left="0" w:right="0" w:hanging="0"/>
        <w:jc w:val="left"/>
        <w:rPr>
          <w:rFonts w:ascii="Calibri" w:hAnsi="Calibri"/>
          <w:color w:val="000000"/>
          <w:sz w:val="21"/>
        </w:rPr>
      </w:pPr>
      <w:r>
        <w:rPr/>
        <w:t xml:space="preserve">Дигитална трансформация </w:t>
      </w:r>
    </w:p>
    <w:p>
      <w:pPr>
        <w:pStyle w:val="P68B1DB1Normal104"/>
        <w:widowControl w:val="false"/>
        <w:spacing w:lineRule="auto" w:line="240"/>
        <w:ind w:left="0" w:right="0" w:hanging="0"/>
        <w:jc w:val="left"/>
        <w:rPr>
          <w:rFonts w:ascii="Calibri" w:hAnsi="Calibri"/>
          <w:color w:val="000000"/>
          <w:sz w:val="21"/>
        </w:rPr>
      </w:pPr>
      <w:r>
        <w:rPr/>
        <w:t xml:space="preserve">Образование, култура, младеж и спорт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Текущ доклад — януари 2022 г.</w:t>
      </w:r>
    </w:p>
    <w:p>
      <w:pPr>
        <w:pStyle w:val="P68B1DB1Normal104"/>
        <w:widowControl w:val="false"/>
        <w:spacing w:lineRule="auto" w:line="240"/>
        <w:ind w:left="0" w:right="0" w:hanging="0"/>
        <w:jc w:val="left"/>
        <w:rPr/>
      </w:pPr>
      <w:r>
        <w:rPr/>
        <w:t xml:space="preserve">Изменение на климата и околна среда </w:t>
      </w:r>
    </w:p>
    <w:p>
      <w:pPr>
        <w:pStyle w:val="P68B1DB1Normal104"/>
        <w:widowControl w:val="false"/>
        <w:spacing w:lineRule="auto" w:line="240"/>
        <w:ind w:left="0" w:right="0" w:hanging="0"/>
        <w:jc w:val="left"/>
        <w:rPr>
          <w:rFonts w:ascii="Calibri" w:hAnsi="Calibri"/>
          <w:color w:val="000000"/>
          <w:sz w:val="21"/>
        </w:rPr>
      </w:pPr>
      <w:r>
        <w:rPr/>
        <w:t xml:space="preserve">Миграция </w:t>
      </w:r>
    </w:p>
    <w:p>
      <w:pPr>
        <w:pStyle w:val="P68B1DB1Normal104"/>
        <w:widowControl w:val="false"/>
        <w:spacing w:lineRule="auto" w:line="240"/>
        <w:ind w:left="0" w:right="0" w:hanging="0"/>
        <w:jc w:val="left"/>
        <w:rPr>
          <w:rFonts w:ascii="Calibri" w:hAnsi="Calibri"/>
          <w:color w:val="000000"/>
          <w:sz w:val="21"/>
        </w:rPr>
      </w:pPr>
      <w:r>
        <w:rPr/>
        <w:t xml:space="preserve">Здраве </w:t>
      </w:r>
    </w:p>
    <w:p>
      <w:pPr>
        <w:pStyle w:val="P68B1DB1Normal104"/>
        <w:widowControl w:val="false"/>
        <w:spacing w:lineRule="auto" w:line="240"/>
        <w:ind w:left="0" w:right="0" w:hanging="0"/>
        <w:jc w:val="left"/>
        <w:rPr>
          <w:rFonts w:ascii="Calibri" w:hAnsi="Calibri"/>
          <w:color w:val="000000"/>
          <w:sz w:val="21"/>
        </w:rPr>
      </w:pPr>
      <w:r>
        <w:rPr/>
        <w:t xml:space="preserve">ЕС в света </w:t>
      </w:r>
    </w:p>
    <w:p>
      <w:pPr>
        <w:pStyle w:val="P68B1DB1Normal126"/>
        <w:widowControl w:val="false"/>
        <w:spacing w:lineRule="auto" w:line="240" w:before="105" w:after="0"/>
        <w:ind w:left="0" w:right="0" w:hanging="0"/>
        <w:jc w:val="left"/>
        <w:rPr>
          <w:rFonts w:ascii="Calibri" w:hAnsi="Calibri"/>
          <w:color w:val="0070C0"/>
          <w:sz w:val="24"/>
        </w:rPr>
      </w:pPr>
      <w:r>
        <w:rPr/>
        <w:t xml:space="preserve">Следващи стъпки </w:t>
      </w:r>
    </w:p>
    <w:p>
      <w:pPr>
        <w:pStyle w:val="Normal"/>
        <w:widowControl w:val="false"/>
        <w:spacing w:lineRule="auto" w:line="240" w:before="107" w:after="0"/>
        <w:ind w:left="0" w:right="0" w:hanging="0"/>
        <w:jc w:val="left"/>
        <w:rPr/>
      </w:pPr>
      <w:r>
        <w:rPr>
          <w:rFonts w:ascii="Calibri" w:hAnsi="Calibri"/>
          <w:color w:val="000000"/>
          <w:sz w:val="21"/>
        </w:rPr>
        <w:t xml:space="preserve">Конференцията за бъдещето на Европа обединява идеите, становищата и препоръките на всички граждани на ЕС. Срещите ще бъдат посветени не само на резултатите от всички граждански диалози на национално равнище, но и на резултатите от други инициативи, предприети в контекста на конференцията. Например има и групи от европейски граждани, а всички граждани на ЕС (включително нидерландски граждани) имат достъп до европейска цифрова платформа. </w:t>
      </w:r>
      <w:r>
        <w:br w:type="page"/>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13"/>
        <w:widowControl w:val="false"/>
        <w:spacing w:lineRule="auto" w:line="240"/>
        <w:ind w:left="0" w:right="0" w:hanging="0"/>
        <w:jc w:val="center"/>
        <w:rPr/>
      </w:pPr>
      <w:r>
        <w:rPr/>
        <w:t>„</w:t>
      </w:r>
      <w:r>
        <w:rPr/>
        <w:t xml:space="preserve">Надявам се, че лидерите на ЕС ще вземат предвид моето мнение. И това ще им помогне да направят правилния избор. </w:t>
      </w:r>
    </w:p>
    <w:p>
      <w:pPr>
        <w:pStyle w:val="P68B1DB1Normal104"/>
        <w:widowControl w:val="false"/>
        <w:spacing w:lineRule="auto" w:line="240" w:before="300" w:after="0"/>
        <w:ind w:left="0" w:right="0" w:hanging="0"/>
        <w:jc w:val="left"/>
        <w:rPr>
          <w:rFonts w:ascii="Calibri" w:hAnsi="Calibri"/>
          <w:color w:val="000000"/>
          <w:sz w:val="21"/>
        </w:rPr>
      </w:pPr>
      <w:r>
        <w:rPr/>
        <w:t xml:space="preserve">Участник в тематичния диалог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Конференцията ще приключи през пролетта на 2022 г. След това Нидерландия ще изготви окончателен доклад относно диалога с гражданите: обобщение на настоящия доклад и предишния доклад, включително препоръки по всичките девет теми. След конференцията ще бъдат отправени препоръки към председателя на Съвета: председателите на Европейския парламент, Съвета на министрите и Европейската комисия. Те се ангажираха да проучат начините и средствата за изпълнение на препоръките. За нидерландското правителство резултатите също са ценен принос за развитието на европейските политики на Нидерландия.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Накратко, процесът до пролетта на 2022 г. ще бъде организиран, както следва: </w:t>
      </w:r>
      <w:r>
        <w:br w:type="page"/>
      </w:r>
    </w:p>
    <w:p>
      <w:pPr>
        <w:pStyle w:val="P68B1DB1Normal127"/>
        <w:widowControl w:val="false"/>
        <w:spacing w:lineRule="auto" w:line="240" w:before="0" w:after="0"/>
        <w:ind w:left="0" w:right="0" w:hanging="0"/>
        <w:jc w:val="left"/>
        <w:rPr/>
      </w:pPr>
      <w:r>
        <w:rPr>
          <w:color w:val="0070C0"/>
          <w:sz w:val="24"/>
        </w:rPr>
        <w:t>Хронология</w:t>
      </w:r>
      <w:r>
        <w:rPr>
          <w:color w:val="365F91"/>
          <w:sz w:val="28"/>
        </w:rPr>
        <w:t xml:space="preserve"> </w:t>
      </w:r>
    </w:p>
    <w:p>
      <w:pPr>
        <w:pStyle w:val="P68B1DB1Normal35"/>
        <w:widowControl w:val="false"/>
        <w:spacing w:lineRule="auto" w:line="240" w:before="0" w:after="0"/>
        <w:ind w:left="24" w:right="0" w:hanging="0"/>
        <w:jc w:val="left"/>
        <w:rPr/>
      </w:pPr>
      <w:r>
        <w:rPr>
          <w:rFonts w:ascii="Times New Roman" w:hAnsi="Times New Roman"/>
          <w:sz w:val="24"/>
        </w:rPr>
        <w:t xml:space="preserve"> </w:t>
      </w:r>
      <w:r>
        <w:rPr>
          <w:rFonts w:ascii="Calibri" w:hAnsi="Calibri"/>
          <w:position w:val="2"/>
          <w:sz w:val="21"/>
        </w:rPr>
        <w:t>Визия за Европа</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1"/>
        <w:gridCol w:w="706"/>
        <w:gridCol w:w="1"/>
        <w:gridCol w:w="853"/>
        <w:gridCol w:w="1"/>
        <w:gridCol w:w="852"/>
        <w:gridCol w:w="913"/>
        <w:gridCol w:w="340"/>
        <w:gridCol w:w="1346"/>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 септември</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12 октомври</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22/23 октомври</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15 ноември</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3 декември</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14 януари</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21—22 януари</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Февруари</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18/19 февруари</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11—12 март</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22/24 април</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Събиране на идеи онлайн</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Тематични диалози</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Междинни резултати (междинен доклад)</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Междинен доклад относно „Икономика„и „Демокрация“</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Междинен доклад относно „Климат„и „ЕС в света“</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Окончателен доклад „Нашата визия за Европа“</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r>
              <w:rPr/>
              <w:t xml:space="preserve">&gt;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r>
              <w:rPr/>
              <w:t xml:space="preserve">&gt;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r>
              <w:rPr/>
              <w:t xml:space="preserve">&gt;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r>
              <w:rPr/>
              <w:t xml:space="preserve">&gt;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r>
              <w:rPr/>
              <w:t xml:space="preserve">&gt;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Заседание на конференцията</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Заседание на конференцията</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Среща на </w:t>
              <w:br/>
              <w:t>конференцията</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(евентуално) заседание на конференцията</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Заключителна проява на конференцията</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Препоръки към президентите </w:t>
            </w:r>
          </w:p>
          <w:p>
            <w:pPr>
              <w:pStyle w:val="P68B1DB1Contenudetableau128"/>
              <w:spacing w:before="57" w:after="57"/>
              <w:jc w:val="left"/>
              <w:rPr>
                <w:color w:val="000000"/>
                <w:sz w:val="14"/>
              </w:rPr>
            </w:pPr>
            <w:r>
              <w:rPr/>
              <w:t xml:space="preserve">• </w:t>
            </w:r>
            <w:r>
              <w:rPr/>
              <w:t xml:space="preserve">Европейски парламент </w:t>
              <w:br/>
              <w:t xml:space="preserve">• Европейска комисия </w:t>
              <w:br/>
              <w:t>• Министерски съвет</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967" w:type="dxa"/>
            <w:gridSpan w:val="1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Повече мнения и идеи за бъдещето на Европа:</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Диалог с гражданите</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512"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Европейски граждански панели</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5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Европейска цифрова платформа (също и за нидерландски граждани)</w:t>
            </w:r>
          </w:p>
        </w:tc>
      </w:tr>
    </w:tbl>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p>
    <w:p>
      <w:pPr>
        <w:pStyle w:val="P68B1DB1Normal126"/>
        <w:widowControl w:val="false"/>
        <w:spacing w:lineRule="auto" w:line="240"/>
        <w:ind w:left="0" w:right="0" w:hanging="0"/>
        <w:jc w:val="left"/>
        <w:rPr>
          <w:rFonts w:ascii="Calibri" w:hAnsi="Calibri"/>
          <w:color w:val="0070C0"/>
          <w:sz w:val="24"/>
        </w:rPr>
      </w:pPr>
      <w:r>
        <w:rPr/>
        <w:t xml:space="preserve">Обяснения за улесняване на четенето </w:t>
      </w:r>
    </w:p>
    <w:p>
      <w:pPr>
        <w:pStyle w:val="P68B1DB1Normal104"/>
        <w:widowControl w:val="false"/>
        <w:spacing w:lineRule="exact" w:line="281" w:before="116" w:after="0"/>
        <w:ind w:left="0" w:right="772" w:hanging="0"/>
        <w:jc w:val="left"/>
        <w:rPr/>
      </w:pPr>
      <w:r>
        <w:rPr/>
        <w:t xml:space="preserve">В този доклад обсъдихме четири теми. За всяка тема сме включили последователно: </w:t>
      </w:r>
    </w:p>
    <w:p>
      <w:pPr>
        <w:pStyle w:val="P68B1DB1Normal104"/>
        <w:widowControl w:val="false"/>
        <w:spacing w:lineRule="exact" w:line="339" w:before="1" w:after="0"/>
        <w:ind w:left="0" w:right="0" w:hanging="0"/>
        <w:jc w:val="left"/>
        <w:rPr>
          <w:rFonts w:ascii="Calibri" w:hAnsi="Calibri"/>
          <w:color w:val="000000"/>
          <w:sz w:val="21"/>
        </w:rPr>
      </w:pPr>
      <w:r>
        <w:rPr/>
        <w:t xml:space="preserve">препоръки, основани на всички аспекти на гражданския диалог; </w:t>
      </w:r>
    </w:p>
    <w:p>
      <w:pPr>
        <w:pStyle w:val="P68B1DB1Normal104"/>
        <w:widowControl w:val="false"/>
        <w:spacing w:lineRule="exact" w:line="283"/>
        <w:ind w:left="0" w:right="137" w:hanging="0"/>
        <w:jc w:val="left"/>
        <w:rPr/>
      </w:pPr>
      <w:r>
        <w:rPr/>
        <w:t xml:space="preserve">онлайн и на място дискусии и идеи: преглед на мненията, идеите и мненията, обменени (онлайн и с физическо присъствие) по време на тематични диалози.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rPr>
        <w:t xml:space="preserve">Описание на методологията, използвана в проучването, може да бъде намерено в края на настоящия доклад.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Изменение на климата и околна среда </w:t>
      </w:r>
    </w:p>
    <w:p>
      <w:pPr>
        <w:pStyle w:val="P68B1DB1Normal126"/>
        <w:widowControl w:val="false"/>
        <w:spacing w:lineRule="auto" w:line="240" w:before="48" w:after="0"/>
        <w:ind w:left="0" w:right="0" w:hanging="0"/>
        <w:jc w:val="left"/>
        <w:rPr>
          <w:rFonts w:ascii="Calibri" w:hAnsi="Calibri"/>
          <w:color w:val="0070C0"/>
          <w:sz w:val="24"/>
        </w:rPr>
      </w:pPr>
      <w:r>
        <w:rPr/>
        <w:t xml:space="preserve">Препоръки — Нашата визия за изменението на климата и околната среда </w:t>
      </w:r>
    </w:p>
    <w:p>
      <w:pPr>
        <w:pStyle w:val="P68B1DB1Normal120"/>
        <w:widowControl w:val="false"/>
        <w:spacing w:lineRule="auto" w:line="240" w:before="61" w:after="0"/>
        <w:ind w:left="0" w:right="0" w:hanging="0"/>
        <w:jc w:val="left"/>
        <w:rPr/>
      </w:pPr>
      <w:r>
        <w:rPr/>
        <w:t xml:space="preserve">71 % от холандците смятат, че изменението на климата и околната среда са важен въпрос и че ЕС трябва да се намеси в тази област. </w:t>
      </w:r>
    </w:p>
    <w:p>
      <w:pPr>
        <w:pStyle w:val="P68B1DB1Normal110"/>
        <w:widowControl w:val="false"/>
        <w:spacing w:lineRule="auto" w:line="240" w:before="57" w:after="0"/>
        <w:ind w:left="0" w:right="0" w:hanging="0"/>
        <w:jc w:val="left"/>
        <w:rPr/>
      </w:pPr>
      <w:r>
        <w:rPr>
          <w:b/>
        </w:rPr>
        <w:t xml:space="preserve">1. </w:t>
      </w:r>
      <w:r>
        <w:rPr>
          <w:sz w:val="21"/>
        </w:rPr>
        <w:t xml:space="preserve">68 % от холандците смятат, че ЕС трябва да играе водеща роля в борбата с изменението на климата. Глобалното затопляне е проблем и никоя държава не може да го реши сама. Дори и холандците да не са съгласни с изменението на климата, ние вярваме, че ЕС трябва така или иначе да има по-ясна визия за бъдещето. Въпреки Зеления пакт понастоящем виждаме, че държавите членки често не са приведени в съответствие. Въпреки че държавите трябва да могат да продължат да правят свой собствен избор, те все пак трябва да си сътрудничат за постигането на същите цели. Считаме също така, че като граждани ние също имаме собствен дял от отговорността, например по отношение на адаптирането на нашите потребителски навици. </w:t>
      </w:r>
    </w:p>
    <w:p>
      <w:pPr>
        <w:pStyle w:val="P68B1DB1Normal113"/>
        <w:widowControl w:val="false"/>
        <w:spacing w:lineRule="auto" w:line="240" w:before="135" w:after="0"/>
        <w:ind w:left="0" w:right="0" w:hanging="0"/>
        <w:jc w:val="center"/>
        <w:rPr/>
      </w:pPr>
      <w:r>
        <w:rPr/>
        <w:t xml:space="preserve">Холандия иска да се откаже от природния газ, докато в Германия се насърчава именно да го използва. Понякога е да не разбираш нищо. </w:t>
      </w:r>
    </w:p>
    <w:p>
      <w:pPr>
        <w:pStyle w:val="P68B1DB1Normal111"/>
        <w:widowControl w:val="false"/>
        <w:spacing w:lineRule="auto" w:line="240" w:before="109" w:after="0"/>
        <w:ind w:left="0" w:right="0" w:hanging="0"/>
        <w:jc w:val="left"/>
        <w:rPr/>
      </w:pPr>
      <w:r>
        <w:rPr/>
        <w:t xml:space="preserve">2. Гарантиране на по-тясно сътрудничество между държавите и предприятията за намиране на целенасочени решения </w:t>
      </w:r>
    </w:p>
    <w:p>
      <w:pPr>
        <w:pStyle w:val="P68B1DB1Normal104"/>
        <w:widowControl w:val="false"/>
        <w:spacing w:lineRule="auto" w:line="240"/>
        <w:ind w:left="0" w:right="0" w:hanging="0"/>
        <w:jc w:val="left"/>
        <w:rPr/>
      </w:pPr>
      <w:r>
        <w:rPr/>
        <w:t xml:space="preserve">Що се отнася до изменението на климата и околната среда, холандците откриват, че държавите често сочат с пръсти. Често акцентът е поставен върху различията, например между бедните и богатите страни в рамките на ЕС. Или между силно индустриализирани или слабо индустриализирани страни. Бихме предпочели да се опитаме да постигнем споразумения. Например подобни дружества в различни държави биха могли да обменят знания и да мислят заедно за решения. Ако това се случи, по-бедните страни биха могли да участват в по-голяма степен в подхода към изменението на климата. Те биха могли да участват в размисъла и да се възползват от общи решения. </w:t>
      </w:r>
    </w:p>
    <w:p>
      <w:pPr>
        <w:pStyle w:val="P68B1DB1Normal113"/>
        <w:widowControl w:val="false"/>
        <w:spacing w:lineRule="auto" w:line="240" w:before="143" w:after="0"/>
        <w:ind w:left="0" w:right="0" w:hanging="0"/>
        <w:jc w:val="center"/>
        <w:rPr/>
      </w:pPr>
      <w:r>
        <w:rPr/>
        <w:t xml:space="preserve">Подходът към изменението на климата не трябва да бъде състезание, а сътрудничество. </w:t>
      </w:r>
    </w:p>
    <w:p>
      <w:pPr>
        <w:pStyle w:val="P68B1DB1Normal111"/>
        <w:widowControl w:val="false"/>
        <w:spacing w:lineRule="auto" w:line="240" w:before="107" w:after="0"/>
        <w:ind w:left="0" w:right="0" w:hanging="0"/>
        <w:jc w:val="left"/>
        <w:rPr>
          <w:rFonts w:ascii="Calibri" w:hAnsi="Calibri"/>
          <w:b/>
          <w:b/>
          <w:color w:val="000000"/>
          <w:sz w:val="22"/>
        </w:rPr>
      </w:pPr>
      <w:r>
        <w:rPr/>
        <w:t xml:space="preserve">3. Създаване на система за CO2, която е справедлива и осъществима на практика </w:t>
      </w:r>
    </w:p>
    <w:p>
      <w:pPr>
        <w:pStyle w:val="P68B1DB1Normal104"/>
        <w:widowControl w:val="false"/>
        <w:spacing w:lineRule="auto" w:line="240"/>
        <w:ind w:left="0" w:right="0" w:hanging="0"/>
        <w:jc w:val="left"/>
        <w:rPr/>
      </w:pPr>
      <w:r>
        <w:rPr/>
        <w:t xml:space="preserve">Подходът на ЕС към изменението на климата обръща голямо внимание на намаляването на емисиите на CO2. Нидерландия счита, че за тази цел е необходима по-добра система, която би позволила както на производителите, така и на потребителите да бъдат облагани справедливо. Холандците са разделени по въпроса дали страните с най-много жители имат право да отделят повече CO2. Някои държави, например, имат много замърсяваща промишленост. От друга страна, други страни имат много възможности за производство на зелена енергия. Тези различия следва да бъдат взети предвид. Без това да става твърде сложно, защото системата трябва да бъде разбираема за всички. </w:t>
      </w:r>
    </w:p>
    <w:p>
      <w:pPr>
        <w:pStyle w:val="P68B1DB1Normal129"/>
        <w:widowControl w:val="false"/>
        <w:spacing w:lineRule="auto" w:line="240" w:before="135" w:after="0"/>
        <w:ind w:left="0" w:right="0" w:hanging="0"/>
        <w:jc w:val="center"/>
        <w:rPr/>
      </w:pPr>
      <w:r>
        <w:rPr>
          <w:sz w:val="26"/>
        </w:rPr>
        <w:t>Индустриализираните страни изнасят много. Трябва ли да плащат само данъка върху</w:t>
      </w:r>
      <w:r>
        <w:rPr>
          <w:position w:val="0"/>
          <w:sz w:val="17"/>
        </w:rPr>
        <w:t>CO2</w:t>
      </w:r>
      <w:r>
        <w:rPr>
          <w:sz w:val="26"/>
        </w:rPr>
        <w:t xml:space="preserve">? По мое мнение, потребителят също трябва да плати. </w:t>
      </w:r>
    </w:p>
    <w:p>
      <w:pPr>
        <w:pStyle w:val="P68B1DB1Normal120"/>
        <w:widowControl w:val="false"/>
        <w:spacing w:lineRule="auto" w:line="240" w:before="107" w:after="0"/>
        <w:ind w:left="0" w:right="0" w:hanging="0"/>
        <w:jc w:val="left"/>
        <w:rPr>
          <w:rFonts w:ascii="Calibri" w:hAnsi="Calibri"/>
          <w:b/>
          <w:b/>
          <w:color w:val="000000"/>
          <w:sz w:val="21"/>
        </w:rPr>
      </w:pPr>
      <w:r>
        <w:rPr/>
        <w:t xml:space="preserve"> </w:t>
      </w:r>
    </w:p>
    <w:p>
      <w:pPr>
        <w:pStyle w:val="P68B1DB1Normal110"/>
        <w:widowControl w:val="false"/>
        <w:spacing w:lineRule="auto" w:line="240"/>
        <w:ind w:left="0" w:right="0" w:hanging="0"/>
        <w:jc w:val="both"/>
        <w:rPr/>
      </w:pPr>
      <w:r>
        <w:rPr>
          <w:b/>
        </w:rPr>
        <w:t xml:space="preserve">4. Общувайте по по-ясен и по-положителен начин за подхода към климата </w:t>
      </w:r>
      <w:r>
        <w:rPr>
          <w:sz w:val="21"/>
        </w:rPr>
        <w:t xml:space="preserve">Холандците чуват много за изменението на климата и четат много за него. Това обаче остава абстрактна и сложна тема за много хора. Често се възприема като нещо, което струва много пари, докато подходът към изменението на климата също създава възможности. Ние мислим, например, за стимулиране на местното производство на храни и разработване на нови и устойчиви технологии. ЕС би могъл да излага този аспект по-често и по-ефективно. Считаме също така, че правителствените ръководители на държавите членки биха могли сами да дадат по-добър пример. Пътуванията по-малко — например между Брюксел и Страсбург — и срещите по-често онлайн биха могли например да допринесат за подкрепа на устойчивостта. </w:t>
      </w:r>
    </w:p>
    <w:p>
      <w:pPr>
        <w:pStyle w:val="P68B1DB1Normal113"/>
        <w:widowControl w:val="false"/>
        <w:spacing w:lineRule="auto" w:line="240" w:before="61" w:after="0"/>
        <w:ind w:left="0" w:right="0" w:hanging="0"/>
        <w:jc w:val="center"/>
        <w:rPr/>
      </w:pPr>
      <w:r>
        <w:rPr/>
        <w:t xml:space="preserve">Устойчивостта все още твърде често се възприема като разход. Това трябва да се разглежда като възможност, а не като заплаха. </w:t>
      </w:r>
    </w:p>
    <w:p>
      <w:pPr>
        <w:pStyle w:val="P68B1DB1Normal126"/>
        <w:widowControl w:val="false"/>
        <w:spacing w:lineRule="auto" w:line="240" w:before="129" w:after="0"/>
        <w:ind w:left="0" w:right="0" w:hanging="0"/>
        <w:jc w:val="left"/>
        <w:rPr>
          <w:rFonts w:ascii="Calibri" w:hAnsi="Calibri"/>
          <w:color w:val="0070C0"/>
          <w:sz w:val="24"/>
        </w:rPr>
      </w:pPr>
      <w:r>
        <w:rPr/>
        <w:t xml:space="preserve">Онлайн и на място дискусии и идеи </w:t>
      </w:r>
    </w:p>
    <w:p>
      <w:pPr>
        <w:pStyle w:val="P68B1DB1Normal129"/>
        <w:widowControl w:val="false"/>
        <w:spacing w:lineRule="auto" w:line="240" w:before="78" w:after="0"/>
        <w:ind w:left="0" w:right="0" w:hanging="0"/>
        <w:jc w:val="left"/>
        <w:rPr/>
      </w:pPr>
      <w:r>
        <w:rPr>
          <w:sz w:val="21"/>
        </w:rPr>
        <w:t>Не трябва да разглеждаме емисиите на CO2</w:t>
      </w:r>
      <w:r>
        <w:rPr>
          <w:position w:val="0"/>
          <w:sz w:val="14"/>
        </w:rPr>
        <w:t>като</w:t>
      </w:r>
      <w:r>
        <w:rPr>
          <w:sz w:val="21"/>
        </w:rPr>
        <w:t xml:space="preserve"> право, а като неудобна последица. </w:t>
      </w:r>
    </w:p>
    <w:p>
      <w:pPr>
        <w:pStyle w:val="P68B1DB1Normal104"/>
        <w:widowControl w:val="false"/>
        <w:spacing w:lineRule="auto" w:line="240" w:before="87"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Имам впечатлението, че в Европа прекарваме повече време в разговори за изменението на климата, отколкото да предприемаме реални действия за справяне с него.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По-строгите правила за климата в крайна сметка също могат да се окажат полезни за нас. Като континент, занимаващ се с търговия, трябва да се опитаме да видим възможности там.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Нямаме търпение за други континенти. Нямаме време да чакаме.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ИДЕЯ:</w:t>
      </w:r>
      <w:r>
        <w:rPr>
          <w:i/>
        </w:rPr>
        <w:t xml:space="preserve"> Възнаграждавайте държавите финансово, ако покажат, че тяхната природа и биологично разнообразие се увеличават.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ИДЕЯ:</w:t>
      </w:r>
      <w:r>
        <w:rPr>
          <w:i/>
        </w:rPr>
        <w:t xml:space="preserve"> „Стимулиране на природосъобразен туризъм в бедните региони на ЕС.“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Ученици от Професионални училища в Doetinchem: Далечните пътувания трябва да останат достъпни за всички.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Тезата, че полетите в рамките на ЕС трябва да станат по-скъпи, беше представена на студентите в Graafschap College в Doetinchem. Някои студенти се съгласиха, че по-скъпите билети ще насърчат хората да търсят по-евтини алтернативи. Освен това беше подчертано, че след това ЕС следва да осигури по-екологосъобразни варианти, като например по-добри железопътни връзки. Други участници посочиха, че не подкрепят по-високите цени на самолетните билети. „Богатите хора са тези, които пътуват най-много днес и те ще могат да плащат за това лесно“, каза един от участниците. Високите цени няма да ги спрат да пътуват. Въпреки че далечните празници ще станат невъзможни за „обикновените“ граждани. </w:t>
      </w:r>
    </w:p>
    <w:p>
      <w:pPr>
        <w:pStyle w:val="P68B1DB1Normal118"/>
        <w:widowControl w:val="false"/>
        <w:spacing w:lineRule="auto" w:line="240"/>
        <w:ind w:left="0" w:right="0" w:hanging="0"/>
        <w:jc w:val="left"/>
        <w:rPr/>
      </w:pPr>
      <w:r>
        <w:rPr/>
        <w:t xml:space="preserve">Природосъобразни земеделски стопани: „ЕС би могъл да допринесе за разпространението на знания за устойчиви решения.“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BoerenNatuur е сдружение на земеделски групи. По време на тематичния диалог разговорът се съсредоточи върху изменението на климата и околната среда. </w:t>
      </w:r>
    </w:p>
    <w:p>
      <w:pPr>
        <w:pStyle w:val="Normal"/>
        <w:widowControl w:val="false"/>
        <w:spacing w:lineRule="auto" w:line="240"/>
        <w:ind w:left="0" w:right="0" w:hanging="0"/>
        <w:jc w:val="left"/>
        <w:rPr/>
      </w:pPr>
      <w:r>
        <w:rPr>
          <w:rFonts w:ascii="Calibri" w:hAnsi="Calibri"/>
          <w:color w:val="000000"/>
          <w:sz w:val="21"/>
        </w:rPr>
        <w:t>Това, което според участниците вероятно ще бъде подобрено, е прилагането на законодателството и нормативната уредба на ЕС от различни държави. Досието за азота е цитирано като пример. „Законодателството на ЕС гласи само, че дадена природна зона „не може да се влоши“. Но в Южна Европа това понятие се тълкува по различен начин, отколкото в Холандия." Повечето от присъстващите са съгласни, че Европа трябва да играе водеща роля в борбата срещу изменението на климата. И не трябва да се задоволяваме с речта, трябва да постигнем резултати. Особено чрез обмен на знания, вярват фермерите. В аграрния сектор работим върху решения за</w:t>
      </w:r>
      <w:r>
        <w:rPr>
          <w:rFonts w:ascii="Calibri" w:hAnsi="Calibri"/>
          <w:color w:val="000000"/>
          <w:sz w:val="21"/>
        </w:rPr>
        <w:commentReference w:id="27"/>
      </w:r>
      <w:r>
        <w:rPr>
          <w:rFonts w:ascii="Calibri" w:hAnsi="Calibri"/>
          <w:color w:val="000000"/>
          <w:sz w:val="21"/>
        </w:rPr>
        <w:t xml:space="preserve"> постигане на по-чисто селско стопанство. ЕС трябва да помогне за бързото разпространение на знания в тази област.“ </w:t>
      </w:r>
      <w:r>
        <w:br w:type="page"/>
      </w:r>
    </w:p>
    <w:p>
      <w:pPr>
        <w:pStyle w:val="P68B1DB1Normal127"/>
        <w:widowControl w:val="false"/>
        <w:spacing w:lineRule="auto" w:line="240"/>
        <w:ind w:left="0" w:right="0" w:hanging="0"/>
        <w:jc w:val="left"/>
        <w:rPr/>
      </w:pPr>
      <w:r>
        <w:rPr>
          <w:b/>
          <w:color w:val="0070C0"/>
          <w:sz w:val="32"/>
        </w:rPr>
        <w:t>Миграция</w:t>
      </w:r>
      <w:r>
        <w:rPr>
          <w:color w:val="365F91"/>
          <w:sz w:val="28"/>
        </w:rPr>
        <w:t xml:space="preserve"> </w:t>
      </w:r>
      <w:r>
        <w:rPr>
          <w:color w:val="0070C0"/>
          <w:sz w:val="21"/>
        </w:rPr>
        <w:t xml:space="preserve">(Миграция и бежанци) </w:t>
      </w:r>
    </w:p>
    <w:p>
      <w:pPr>
        <w:pStyle w:val="P68B1DB1Normal20"/>
        <w:widowControl w:val="false"/>
        <w:spacing w:lineRule="auto" w:line="240"/>
        <w:ind w:left="0" w:right="0" w:hanging="0"/>
        <w:jc w:val="left"/>
        <w:rPr>
          <w:rFonts w:ascii="Calibri" w:hAnsi="Calibri"/>
          <w:color w:val="000000"/>
          <w:sz w:val="24"/>
        </w:rPr>
      </w:pPr>
      <w:r>
        <w:rPr/>
        <w:t xml:space="preserve"> </w:t>
      </w:r>
    </w:p>
    <w:p>
      <w:pPr>
        <w:pStyle w:val="P68B1DB1Normal104"/>
        <w:widowControl w:val="false"/>
        <w:spacing w:lineRule="auto" w:line="240"/>
        <w:ind w:left="0" w:right="0" w:hanging="0"/>
        <w:jc w:val="left"/>
        <w:rPr/>
      </w:pPr>
      <w:r>
        <w:rPr/>
        <w:t xml:space="preserve">Границите между държавите членки на ЕС са отворени. Поради това в рамките на ЕС се осъществява сътрудничество, например по отношение на управлението на външните граници и борбата с контрабандата на мигранти. В момента се обсъжда и справедливо разпределение на бежанците между различните държави — членки на ЕС. Какво е мнението на Нидерландия по този въпрос? </w:t>
      </w:r>
    </w:p>
    <w:p>
      <w:pPr>
        <w:pStyle w:val="P68B1DB1Normal126"/>
        <w:widowControl w:val="false"/>
        <w:spacing w:lineRule="auto" w:line="240" w:before="93" w:after="0"/>
        <w:ind w:left="0" w:right="0" w:hanging="0"/>
        <w:jc w:val="left"/>
        <w:rPr>
          <w:rFonts w:ascii="Calibri" w:hAnsi="Calibri"/>
          <w:color w:val="0070C0"/>
          <w:sz w:val="24"/>
        </w:rPr>
      </w:pPr>
      <w:r>
        <w:rPr/>
        <w:t xml:space="preserve">Препоръки — нашата визия за миграцията и бежанците </w:t>
      </w:r>
    </w:p>
    <w:p>
      <w:pPr>
        <w:pStyle w:val="P68B1DB1Normal120"/>
        <w:widowControl w:val="false"/>
        <w:spacing w:lineRule="auto" w:line="240" w:before="90" w:after="0"/>
        <w:ind w:left="0" w:right="0" w:hanging="0"/>
        <w:jc w:val="left"/>
        <w:rPr/>
      </w:pPr>
      <w:r>
        <w:rPr/>
        <w:t xml:space="preserve">65 % от холандците смятат, че миграцията и бежанците са важен въпрос и че ЕС трябва да се намеси в тази област. </w:t>
      </w:r>
    </w:p>
    <w:p>
      <w:pPr>
        <w:pStyle w:val="P68B1DB1Normal111"/>
        <w:widowControl w:val="false"/>
        <w:spacing w:lineRule="auto" w:line="240" w:before="83" w:after="0"/>
        <w:ind w:left="0" w:right="0" w:hanging="0"/>
        <w:jc w:val="left"/>
        <w:rPr>
          <w:rFonts w:ascii="Calibri" w:hAnsi="Calibri"/>
          <w:b/>
          <w:b/>
          <w:color w:val="000000"/>
          <w:sz w:val="22"/>
        </w:rPr>
      </w:pPr>
      <w:r>
        <w:rPr/>
        <w:t xml:space="preserve">1. Избягвайте дебатите по въпроса за бежанците да са твърде малко нюансирани </w:t>
      </w:r>
    </w:p>
    <w:p>
      <w:pPr>
        <w:pStyle w:val="P68B1DB1Normal104"/>
        <w:widowControl w:val="false"/>
        <w:spacing w:lineRule="auto" w:line="240"/>
        <w:ind w:left="0" w:right="0" w:hanging="0"/>
        <w:jc w:val="left"/>
        <w:rPr/>
      </w:pPr>
      <w:r>
        <w:rPr/>
        <w:t xml:space="preserve">70 % от холандците смятат, че външните граници на Европа трябва да бъдат по-добре защитени. От тях 72 % също смятат, че това означава връщане на повече бежанци в несигурни страни. Холандците смятат, че трябва да се обърне повече внимание на причините, които карат хората да бягат от опасна държава. Тези причини понякога са свързани с изменението на климата, понякога с войните. Тези контексти често се споменават само по ограничен начин в дебата по въпроса за бежанците. Рядко се обръща внимание и на добавената стойност, която тези бежанци носят в дадена страна. И накрая, считаме, че ЕС трябва да направи по-ясно разграничение между хората от несигурните региони, които се представят на границите, и икономическите бежанци. Накратко, намираме, че дебатите за миграцията и бежанците като цяло нямат контекст и нюанси. Европейските политици биха могли да поправят това положение, като дадат пример. </w:t>
      </w:r>
    </w:p>
    <w:p>
      <w:pPr>
        <w:pStyle w:val="P68B1DB1Normal113"/>
        <w:widowControl w:val="false"/>
        <w:spacing w:lineRule="auto" w:line="240" w:before="173" w:after="0"/>
        <w:ind w:left="0" w:right="0" w:hanging="0"/>
        <w:jc w:val="center"/>
        <w:rPr/>
      </w:pPr>
      <w:r>
        <w:rPr/>
        <w:t xml:space="preserve">Трябва да продължим да разглеждаме бежанците преди всичко като наши съграждани. Защото почти никой няма да изостави човек в беда. </w:t>
      </w:r>
    </w:p>
    <w:p>
      <w:pPr>
        <w:pStyle w:val="P68B1DB1Normal111"/>
        <w:widowControl w:val="false"/>
        <w:spacing w:lineRule="auto" w:line="240" w:before="138" w:after="0"/>
        <w:ind w:left="0" w:right="0" w:hanging="0"/>
        <w:jc w:val="left"/>
        <w:rPr>
          <w:rFonts w:ascii="Calibri" w:hAnsi="Calibri"/>
          <w:b/>
          <w:b/>
          <w:color w:val="000000"/>
          <w:sz w:val="22"/>
        </w:rPr>
      </w:pPr>
      <w:r>
        <w:rPr/>
        <w:t xml:space="preserve">2. Определяне на справедливото и практично разпределение на бежанците </w:t>
      </w:r>
    </w:p>
    <w:p>
      <w:pPr>
        <w:pStyle w:val="P68B1DB1Normal104"/>
        <w:widowControl w:val="false"/>
        <w:spacing w:lineRule="auto" w:line="240"/>
        <w:ind w:left="0" w:right="0" w:hanging="0"/>
        <w:jc w:val="both"/>
        <w:rPr/>
      </w:pPr>
      <w:r>
        <w:rPr/>
        <w:t xml:space="preserve">Европейската имиграционна служба следва да гарантира справедливото разпределение на бежанците между държавите — членки на ЕС. Нидерландия също така счита, че следва да бъдат определени ясни критерии, за да се определи какво представлява справедливото разпределение. Добрата социална система може например да направи една страна привлекателна за бежанците, но други фактори също са важни както за бежанците, така и за съответната страна. В Холандия сме изправени пред недостиг на жилища, докато някои страни или сектори просто се нуждаят от повече работници мигранти. Считаме, че е важно ЕС да вземе това предвид при разпределянето на бежанците. Ясните механизми не само гарантират прозрачност, но и по-малко спорове, което в крайна сметка е в интерес на всички. </w:t>
      </w:r>
    </w:p>
    <w:p>
      <w:pPr>
        <w:pStyle w:val="P68B1DB1Normal113"/>
        <w:widowControl w:val="false"/>
        <w:spacing w:lineRule="auto" w:line="240" w:before="173" w:after="0"/>
        <w:ind w:left="0" w:right="0" w:hanging="0"/>
        <w:jc w:val="center"/>
        <w:rPr/>
      </w:pPr>
      <w:r>
        <w:rPr/>
        <w:t xml:space="preserve">Бежанците също трябва да могат да изразят таланта си в държава на местоназначение.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Надграждане на знанията и опита, придобити в помощ на бежанските региони на произход </w:t>
      </w:r>
    </w:p>
    <w:p>
      <w:pPr>
        <w:pStyle w:val="P68B1DB1Normal104"/>
        <w:widowControl w:val="false"/>
        <w:spacing w:lineRule="auto" w:line="240" w:before="86" w:after="0"/>
        <w:ind w:left="0" w:right="0" w:hanging="0"/>
        <w:jc w:val="left"/>
        <w:rPr/>
      </w:pPr>
      <w:r>
        <w:rPr/>
        <w:t xml:space="preserve">67 % от холандците смятат, че ЕС трябва да помогне допълнително на несигурните региони за спиране на бежанските потоци. Ние осъзнаваме, че бежанците не напускат страната си по прост избор. Затова трябва да разгледаме причините, като изменението на климата или конфликтите, които правят регионите несигурни или необитаеми. ЕС може да помогне на бежанските региони не само с финансова подкрепа, но и чрез знания. В Холандия например имаме силни умения в селското стопанство. Със съвременните селскостопански техники можем да помогнем на други страни да се справят по-добре със сушите и засоляването. А хората, които са потърсили убежище в Европа, могат да преминат обучение в европейска държава и след това сами да помогнат на своята страна на произход.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Онлайн и на място дискусии и идеи </w:t>
      </w:r>
    </w:p>
    <w:p>
      <w:pPr>
        <w:pStyle w:val="P68B1DB1Normal118"/>
        <w:widowControl w:val="false"/>
        <w:spacing w:lineRule="auto" w:line="240" w:before="85" w:after="0"/>
        <w:ind w:left="0" w:right="0" w:hanging="0"/>
        <w:jc w:val="left"/>
        <w:rPr/>
      </w:pPr>
      <w:r>
        <w:rPr/>
        <w:t>„</w:t>
      </w:r>
      <w:r>
        <w:rPr/>
        <w:t xml:space="preserve">ЕС трябва да въведе по-бързи процедури за предоставяне на убежище. Така че ще има повече място за хората, които наистина се нуждаят от него. </w:t>
      </w:r>
    </w:p>
    <w:p>
      <w:pPr>
        <w:pStyle w:val="P68B1DB1Normal118"/>
        <w:widowControl w:val="false"/>
        <w:spacing w:lineRule="auto" w:line="240"/>
        <w:ind w:left="0" w:right="0" w:hanging="0"/>
        <w:jc w:val="left"/>
        <w:rPr/>
      </w:pPr>
      <w:r>
        <w:rPr/>
        <w:t xml:space="preserve">Познавам много млади хора около мен, които искат да си купят къща, но които не намират нищо достъпно, докато бежанците виждат, че предлагат жилища. Трудно ми е да го приема. </w:t>
      </w:r>
    </w:p>
    <w:p>
      <w:pPr>
        <w:pStyle w:val="P68B1DB1Normal118"/>
        <w:widowControl w:val="false"/>
        <w:spacing w:lineRule="auto" w:line="240"/>
        <w:ind w:left="0" w:right="0" w:hanging="0"/>
        <w:jc w:val="left"/>
        <w:rPr/>
      </w:pPr>
      <w:r>
        <w:rPr/>
        <w:t xml:space="preserve">Изменението на климата ще продължи да води до разселване на населението. Не можем да спрем тези потоци, но вероятно можем да ги регулираме по-добре. </w:t>
      </w:r>
    </w:p>
    <w:p>
      <w:pPr>
        <w:pStyle w:val="P68B1DB1Normal118"/>
        <w:widowControl w:val="false"/>
        <w:spacing w:lineRule="auto" w:line="240"/>
        <w:ind w:left="0" w:right="0" w:hanging="0"/>
        <w:jc w:val="left"/>
        <w:rPr/>
      </w:pPr>
      <w:r>
        <w:rPr/>
        <w:t xml:space="preserve">Живея в Бетуве. По време на сезона на крушите и ябълките, ние просто се нуждаем от много работници мигранти. </w:t>
      </w:r>
    </w:p>
    <w:p>
      <w:pPr>
        <w:pStyle w:val="P68B1DB1Normal118"/>
        <w:widowControl w:val="false"/>
        <w:spacing w:lineRule="auto" w:line="240"/>
        <w:ind w:left="0" w:right="0" w:hanging="0"/>
        <w:jc w:val="left"/>
        <w:rPr/>
      </w:pPr>
      <w:r>
        <w:rPr/>
        <w:t xml:space="preserve">Несигурните региони не са безопасни за нищо, публичните органи често са ненадеждни. Как да разберем къде отиват парите и помощта ни? </w:t>
      </w:r>
    </w:p>
    <w:p>
      <w:pPr>
        <w:pStyle w:val="P68B1DB1Normal104"/>
        <w:widowControl w:val="false"/>
        <w:spacing w:lineRule="auto" w:line="240"/>
        <w:ind w:left="0" w:right="0" w:hanging="0"/>
        <w:jc w:val="left"/>
        <w:rPr/>
      </w:pPr>
      <w:r>
        <w:rPr/>
        <w:t xml:space="preserve">ИДЕЯ: </w:t>
      </w:r>
      <w:r>
        <w:rPr>
          <w:i/>
        </w:rPr>
        <w:t>Да се разгледат и местните стратегии, като например участието на гражданите в местния прием на бежанци и финансирането на местни инициативи за интеграция.</w:t>
      </w:r>
    </w:p>
    <w:p>
      <w:pPr>
        <w:pStyle w:val="P68B1DB1Normal104"/>
        <w:widowControl w:val="false"/>
        <w:spacing w:lineRule="auto" w:line="240"/>
        <w:ind w:left="0" w:right="0" w:hanging="0"/>
        <w:jc w:val="left"/>
        <w:rPr/>
      </w:pPr>
      <w:r>
        <w:rPr/>
        <w:t>ИДЕЯ:</w:t>
      </w:r>
      <w:r>
        <w:rPr>
          <w:i/>
        </w:rPr>
        <w:t xml:space="preserve"> Създаване на мини-къщи в градове, където бежанците могат да живеят при пристигането си. Това би облекчило натиска върху жилищния пазар и би увеличило обществената подкрепа за приемането на тези хора. </w:t>
      </w:r>
    </w:p>
    <w:p>
      <w:pPr>
        <w:pStyle w:val="P68B1DB1Normal118"/>
        <w:widowControl w:val="false"/>
        <w:spacing w:lineRule="auto" w:line="240"/>
        <w:ind w:left="0" w:right="0" w:hanging="0"/>
        <w:jc w:val="left"/>
        <w:rPr/>
      </w:pPr>
      <w:r>
        <w:rPr/>
        <w:t xml:space="preserve">Доброволци, които са били бежанци: В Европа хората често стоят далеч един от друг.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Taal Doet Meer е доброволческа организация, която гарантира, че новите жители на Утрехт могат да участват в обществото. Тематичният диалог с тази организация се съсредоточи не само върху миграцията, но и преди всичко върху интеграцията. Няколко участници пристигнаха в Холандия като бежанци, включително един от Сирия. След седем години все още не се чувствам холандец. Аз също не си намерих работа, въпреки че получих магистърска степен. Отбелязвам, че европейските страни са най-вече загрижени за себе си и не са много отворени за други страни и култури." Друг участник отбеляза, че европейците често остават далеч един от друг. Повечето хора са сами; всички си стоят в ъгъла. От своя страна намирам, че човек трябва да говори един с друг и че човек може да се учи един от друг.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Младежи от Националния младежки съвет: Трябва да пуснеш хората, само ако можеш да се грижиш за тях. </w:t>
      </w:r>
    </w:p>
    <w:p>
      <w:pPr>
        <w:pStyle w:val="P68B1DB1Normal104"/>
        <w:widowControl w:val="false"/>
        <w:spacing w:lineRule="auto" w:line="240"/>
        <w:ind w:left="0" w:right="0" w:hanging="0"/>
        <w:jc w:val="both"/>
        <w:rPr/>
      </w:pPr>
      <w:r>
        <w:rPr/>
        <w:t xml:space="preserve">В Утрехт членове на различни работни групи на Националния младежки съвет (CNJ) проведоха дебат. Участниците (на възраст 16—23 години) смятат, че при разпределянето на бежанци в Европа трябва да се вземат предвид няколко аспекта, като например броя на жителите, големината на страната, просперитета и броя на центровете на търсещите убежище. „Бежанците трябва да имат право да влизат в страната само ако могат да се погрижат за тях“, каза един от тях. </w:t>
      </w:r>
    </w:p>
    <w:p>
      <w:pPr>
        <w:pStyle w:val="Normal"/>
        <w:widowControl w:val="false"/>
        <w:spacing w:lineRule="auto" w:line="240"/>
        <w:ind w:left="0" w:right="0" w:hanging="0"/>
        <w:jc w:val="left"/>
        <w:rPr/>
      </w:pPr>
      <w:r>
        <w:rPr>
          <w:rFonts w:ascii="Calibri" w:hAnsi="Calibri"/>
          <w:color w:val="000000"/>
          <w:sz w:val="21"/>
        </w:rPr>
        <w:t xml:space="preserve">Младите хора също така считат, че трябва да има последствия, когато страните не изпълнят ангажиментите си за приемане на бежанци. Те трябва, например, да бъдат глобени. „И бежанците също трябва да имат думата къде ще отидат“, каза някой. Например, ако те вече имат семейство някъде, не можем да ги изпратим някъде другаде.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Здраве </w:t>
      </w:r>
    </w:p>
    <w:p>
      <w:pPr>
        <w:pStyle w:val="P68B1DB1Normal130"/>
        <w:widowControl w:val="false"/>
        <w:spacing w:lineRule="auto" w:line="240"/>
        <w:ind w:left="0" w:right="0" w:hanging="0"/>
        <w:jc w:val="left"/>
        <w:rPr>
          <w:rFonts w:ascii="Calibri" w:hAnsi="Calibri"/>
          <w:color w:val="0070C0"/>
          <w:sz w:val="21"/>
        </w:rPr>
      </w:pPr>
      <w:r>
        <w:rPr/>
        <w:t xml:space="preserve">(Здравеопазване) </w:t>
      </w:r>
    </w:p>
    <w:p>
      <w:pPr>
        <w:pStyle w:val="P68B1DB1Normal104"/>
        <w:widowControl w:val="false"/>
        <w:spacing w:lineRule="auto" w:line="240"/>
        <w:ind w:left="0" w:right="0" w:hanging="0"/>
        <w:jc w:val="left"/>
        <w:rPr/>
      </w:pPr>
      <w:r>
        <w:rPr/>
        <w:t xml:space="preserve">Въпреки че здравеопазването е преди всичко отговорност на отделните държави, то може да бъде подкрепено и укрепено от политиките на ЕС, например в отговор на пандемията от COVID-19 или други (бъдещи) здравни кризи, или в партньорски научни изследвания в областта на сериозните заболявания. Какво е мнението на Нидерландия по този въпрос? </w:t>
      </w:r>
    </w:p>
    <w:p>
      <w:pPr>
        <w:pStyle w:val="P68B1DB1Normal126"/>
        <w:widowControl w:val="false"/>
        <w:spacing w:lineRule="auto" w:line="240" w:before="14" w:after="0"/>
        <w:ind w:left="0" w:right="0" w:hanging="0"/>
        <w:jc w:val="left"/>
        <w:rPr>
          <w:rFonts w:ascii="Calibri" w:hAnsi="Calibri"/>
          <w:color w:val="0070C0"/>
          <w:sz w:val="24"/>
        </w:rPr>
      </w:pPr>
      <w:r>
        <w:rPr/>
        <w:t xml:space="preserve">Препоръки — Нашата визия за здравеопазването </w:t>
      </w:r>
    </w:p>
    <w:p>
      <w:pPr>
        <w:pStyle w:val="P68B1DB1Normal120"/>
        <w:widowControl w:val="false"/>
        <w:spacing w:lineRule="auto" w:line="240"/>
        <w:ind w:left="0" w:right="0" w:hanging="0"/>
        <w:jc w:val="left"/>
        <w:rPr/>
      </w:pPr>
      <w:r>
        <w:rPr/>
        <w:t xml:space="preserve">64 % от холандците смятат, че здравеопазването е важен въпрос и че ЕС трябва да се намеси в тази област. </w:t>
      </w:r>
    </w:p>
    <w:p>
      <w:pPr>
        <w:pStyle w:val="P68B1DB1Normal111"/>
        <w:widowControl w:val="false"/>
        <w:spacing w:lineRule="auto" w:line="240" w:before="2" w:after="0"/>
        <w:ind w:left="0" w:right="0" w:hanging="0"/>
        <w:jc w:val="left"/>
        <w:rPr>
          <w:rFonts w:ascii="Calibri" w:hAnsi="Calibri"/>
          <w:b/>
          <w:b/>
          <w:color w:val="000000"/>
          <w:sz w:val="22"/>
        </w:rPr>
      </w:pPr>
      <w:r>
        <w:rPr/>
        <w:t xml:space="preserve">1. По-добър контрол върху управлението на пандемия </w:t>
      </w:r>
    </w:p>
    <w:p>
      <w:pPr>
        <w:pStyle w:val="P68B1DB1Normal104"/>
        <w:widowControl w:val="false"/>
        <w:spacing w:lineRule="auto" w:line="240"/>
        <w:ind w:left="0" w:right="0" w:hanging="0"/>
        <w:jc w:val="left"/>
        <w:rPr/>
      </w:pPr>
      <w:r>
        <w:rPr/>
        <w:t xml:space="preserve">83 % от холандците смятат, че страните от ЕС трябва да работят повече заедно, за да предотвратят разпространението на заразна болест по света. Защото вирусът не познава граници. Това можем да видим по време на настоящата пандемия. Понякога политиките в рамките на ЕС са объркани. Това не е добре за спазване на правилата. Считаме, че правилата за борба с разпространението на вируса в Европа трябва да бъдат по-добре координирани, без непременно да са еднакви навсякъде. Трябва да има място за местен избор. Не само защото броят на замърсяванията може да се различава, но и защото в Европа има различни култури. Някои мерки работят по-добре в някои държави, отколкото в други. </w:t>
      </w:r>
    </w:p>
    <w:p>
      <w:pPr>
        <w:pStyle w:val="P68B1DB1Normal113"/>
        <w:widowControl w:val="false"/>
        <w:spacing w:lineRule="auto" w:line="240" w:before="164" w:after="0"/>
        <w:ind w:left="0" w:right="0" w:hanging="0"/>
        <w:jc w:val="center"/>
        <w:rPr/>
      </w:pPr>
      <w:r>
        <w:rPr/>
        <w:t xml:space="preserve">Живея в Холандия, на границата с Германия. Различните мерки, приети от двете страни за борба с коронавируса, ме подлудяват. </w:t>
      </w:r>
    </w:p>
    <w:p>
      <w:pPr>
        <w:pStyle w:val="Normal"/>
        <w:widowControl w:val="false"/>
        <w:spacing w:lineRule="auto" w:line="240" w:before="158" w:after="0"/>
        <w:ind w:left="0" w:right="0" w:hanging="0"/>
        <w:jc w:val="left"/>
        <w:rPr/>
      </w:pPr>
      <w:r>
        <w:rPr>
          <w:rFonts w:ascii="Cambria" w:hAnsi="Cambria"/>
          <w:color w:val="243F60"/>
          <w:sz w:val="24"/>
        </w:rPr>
        <w:t xml:space="preserve">2. </w:t>
      </w:r>
      <w:r>
        <w:rPr>
          <w:rFonts w:ascii="Calibri" w:hAnsi="Calibri"/>
          <w:b/>
          <w:color w:val="000000"/>
        </w:rPr>
        <w:t>Осигуряване на достъпни и надеждни лекарства за всички</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71 % от холандците смятат, че ЕС трябва да гарантира, че се нуждаем от по-малко трети държави за разработването, производството и доставката на лекарства. Но ако това означава, че чакате по-дълго, за да имате лекарства, мненията са разделени. Холандците смятат, че производството и разпространението на лекарства е сложен въпрос. От една страна, разходите за здравеопазване се увеличават рязко в Нидерландия, затова считаме, че е важно да ги държим на възможно най-ниското ниво. От друга страна, ние искаме да можем да вярваме на наркотиците, дори когато те идват отдалеч. Те трябва не само да бъдат качествени, но и да бъдат произведени по устойчив и етичен начин. Като цяло считаме, че важните лекарства трябва да бъдат достъпни за всички, включително и в по-бедните страни. </w:t>
      </w:r>
    </w:p>
    <w:p>
      <w:pPr>
        <w:pStyle w:val="P68B1DB1Normal113"/>
        <w:widowControl w:val="false"/>
        <w:spacing w:lineRule="auto" w:line="240" w:before="167" w:after="0"/>
        <w:ind w:left="0" w:right="0" w:hanging="0"/>
        <w:jc w:val="both"/>
        <w:rPr/>
      </w:pPr>
      <w:r>
        <w:rPr/>
        <w:t>Разходите за здравеопазване вече са недостъпни. Така че трябва да се опитаме да купим новите лекарства на възможно най-ниска цена.</w:t>
      </w:r>
      <w:r>
        <w:rPr>
          <w:b/>
        </w:rPr>
        <w:t xml:space="preserve"> </w:t>
      </w:r>
    </w:p>
    <w:p>
      <w:pPr>
        <w:pStyle w:val="P68B1DB1Normal111"/>
        <w:widowControl w:val="false"/>
        <w:spacing w:lineRule="auto" w:line="240" w:before="131" w:after="0"/>
        <w:ind w:left="0" w:right="0" w:hanging="0"/>
        <w:jc w:val="left"/>
        <w:rPr/>
      </w:pPr>
      <w:r>
        <w:rPr/>
        <w:t xml:space="preserve">3. Страните трябва да се съсредоточат върху подобряването на здравните си системи и да ги направят по-справедливи. </w:t>
      </w:r>
    </w:p>
    <w:p>
      <w:pPr>
        <w:pStyle w:val="P68B1DB1Normal104"/>
        <w:widowControl w:val="false"/>
        <w:spacing w:lineRule="auto" w:line="240" w:before="85" w:after="0"/>
        <w:ind w:left="0" w:right="0" w:hanging="0"/>
        <w:jc w:val="left"/>
        <w:rPr/>
      </w:pPr>
      <w:r>
        <w:rPr/>
        <w:t xml:space="preserve">Нидерландия се грижи много за здравеопазването и тази загриженост надхвърля въздействието на пандемията от COVID-19. Ние знаем, например, проблеми със структурния капацитет в болниците. Някои холандци нямат доверие в ефектите на пазарните сили в сектора на здравеопазването. Ние разбираме, че фармацевтичните компании трябва да си възвърнат инвестициите и че здравноосигурителните фондове искат евтини здравни грижи, но големите компании не трябва да злоупотребяват с властта си. ЕС следва да приеме правила в това отношение. Ние също така вярваме, че здравеопазването е преди всичко национален въпрос. Страните знаят по-добре какви са проблемите и приоритетите на местно равнище. Считаме обаче, че е важно европейските страни да могат да се учат една от друга, за да подобрят здравеопазването.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26"/>
        <w:widowControl w:val="false"/>
        <w:spacing w:lineRule="auto" w:line="240"/>
        <w:ind w:left="0" w:right="0" w:hanging="0"/>
        <w:jc w:val="left"/>
        <w:rPr>
          <w:rFonts w:ascii="Calibri" w:hAnsi="Calibri"/>
          <w:color w:val="0070C0"/>
          <w:sz w:val="24"/>
        </w:rPr>
      </w:pPr>
      <w:r>
        <w:rPr/>
        <w:t xml:space="preserve">Онлайн и на място дискусии и идеи </w:t>
      </w:r>
    </w:p>
    <w:p>
      <w:pPr>
        <w:pStyle w:val="P68B1DB1Normal118"/>
        <w:widowControl w:val="false"/>
        <w:spacing w:lineRule="auto" w:line="240" w:before="95" w:after="0"/>
        <w:ind w:left="0" w:right="0" w:hanging="0"/>
        <w:jc w:val="left"/>
        <w:rPr/>
      </w:pPr>
      <w:r>
        <w:rPr/>
        <w:t xml:space="preserve">Що се отнася до наличието на лекарства в Европа, бихме могли да бъдем и малко по-икономични. Днес хвърляме твърде много от него. </w:t>
      </w:r>
    </w:p>
    <w:p>
      <w:pPr>
        <w:pStyle w:val="P68B1DB1Normal104"/>
        <w:widowControl w:val="false"/>
        <w:spacing w:lineRule="auto" w:line="240" w:before="104"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Много добре е, че Германия приветства пациенти от Нидерландия с COVID-19. Искам да видя повече солидарност в Европа.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Където и да живеете в ЕС и дали сте богати или бедни, всеки има право на качествени грижи.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Когато купувате наркотици, трябва да имате предвид не само разходите, но и етиката. Това означава например, че не трябва да се използва детски труд.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ИДЕЯ:</w:t>
      </w:r>
      <w:r>
        <w:rPr>
          <w:i/>
        </w:rPr>
        <w:t xml:space="preserve"> „Подобряване на здравето на европейците, като се гарантира, че те са подложени на по-малко стрес. Например, намаляване на продължителността на работната седмица.“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ИДЕЯ:</w:t>
      </w:r>
      <w:r>
        <w:rPr>
          <w:i/>
        </w:rPr>
        <w:t xml:space="preserve"> Даване на възможност на младите хора да правят по-здравословен избор чрез сериозни игри с добавена реалност.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От жителите на Утрехт от марокански произход: Здравето може да има определена цена.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Фондация „Marokkaans Dialoog Overvecht“ (MDO) (Марокански диалог в Overvecht) е посветена на участието на мароканската общност в област Overvecht на Утрехт. За тази цел той насърчава диалога в съседните държави и по този начин се бори с неравенствата. Участниците в тематичния диалог в рамките на визията за Европа считат, че европейското сътрудничество е много полезно. Някои обаче смятат, че Нидерландия понякога е твърде зависима от други държави. Управлението на кризата с COVID-19 беше посочено като пример в това отношение. Според участниците многобройните консултации в Европа са довели до това, че Нидерландия е започнала ваксинация срещу COVID-19 твърде късно. „Може би това ще струва повече, ако Холандия иска да реши повече сами“, каза някой. Но става въпрос за здраве, може да струва малко повече.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От студентите на Хелмонд: По-добре е да се учим интелигентно един от друг, отколкото да възприемем същия подход.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pPr>
      <w:r>
        <w:rPr/>
        <w:t xml:space="preserve">В колежа д-р Knippenberg в Хелмонд студенти на възраст около 16 години обсъдиха европейското управление на пандемията от COVID-19. Някои смятат, че държавите — членки на ЕС, е трябвало да определят заедно програмата за ваксинация. Повечето участници смятат, че самите държави имат по-добра представа за това какво е необходимо и какво работи. Следователно те са по-способни, според тях, да решават кое е правилно за населението. Те знаят по-добре, например, кои сектори първо се нуждаят от ваксинация и кои могат да чакат. „Естествено е много добре страните да се консултират помежду си“, каза един от студентите. Ако много страни имат свой собствен подход, те могат да наблюдават какво правят другите и да се учат една от друга.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5"/>
        <w:widowControl w:val="false"/>
        <w:spacing w:lineRule="auto" w:line="240"/>
        <w:ind w:left="0" w:right="0" w:hanging="0"/>
        <w:jc w:val="left"/>
        <w:rPr>
          <w:rFonts w:ascii="Calibri" w:hAnsi="Calibri"/>
          <w:b/>
          <w:b/>
          <w:color w:val="0070C0"/>
          <w:sz w:val="32"/>
        </w:rPr>
      </w:pPr>
      <w:r>
        <w:rPr/>
        <w:t xml:space="preserve">Ролята на ЕС в света </w:t>
      </w:r>
    </w:p>
    <w:p>
      <w:pPr>
        <w:pStyle w:val="P68B1DB1Normal104"/>
        <w:widowControl w:val="false"/>
        <w:spacing w:lineRule="auto" w:line="240" w:before="126" w:after="0"/>
        <w:ind w:left="0" w:right="0" w:hanging="0"/>
        <w:jc w:val="left"/>
        <w:rPr/>
      </w:pPr>
      <w:r>
        <w:rPr/>
        <w:t xml:space="preserve">Светът е изправен пред големи предизвикателства. ЕС е убеден, че въпроси като изменението на климата и пандемиите могат да бъдат решени само чрез глобално сътрудничество. ЕС иска гласът му да бъде чут на световната сцена в това отношение, например заедно със САЩ и Китай. Какво е мнението на Нидерландия по този въпрос? </w:t>
      </w:r>
    </w:p>
    <w:p>
      <w:pPr>
        <w:pStyle w:val="P68B1DB1Normal126"/>
        <w:widowControl w:val="false"/>
        <w:spacing w:lineRule="auto" w:line="240" w:before="125" w:after="0"/>
        <w:ind w:left="0" w:right="0" w:hanging="0"/>
        <w:jc w:val="left"/>
        <w:rPr>
          <w:rFonts w:ascii="Calibri" w:hAnsi="Calibri"/>
          <w:color w:val="0070C0"/>
          <w:sz w:val="24"/>
        </w:rPr>
      </w:pPr>
      <w:r>
        <w:rPr/>
        <w:t xml:space="preserve">Препоръки — Нашата визия за ролята на ЕС в света </w:t>
      </w:r>
    </w:p>
    <w:p>
      <w:pPr>
        <w:pStyle w:val="P68B1DB1Normal120"/>
        <w:widowControl w:val="false"/>
        <w:spacing w:lineRule="auto" w:line="240" w:before="126" w:after="0"/>
        <w:ind w:left="0" w:right="0" w:hanging="0"/>
        <w:jc w:val="left"/>
        <w:rPr>
          <w:rFonts w:ascii="Calibri" w:hAnsi="Calibri"/>
          <w:b/>
          <w:b/>
          <w:color w:val="000000"/>
          <w:sz w:val="21"/>
        </w:rPr>
      </w:pPr>
      <w:r>
        <w:rPr/>
        <w:t xml:space="preserve">56 % от холандците смятат, че ролята на ЕС в света е важна тема и че ЕС трябва да се намеси в тази област. </w:t>
      </w:r>
    </w:p>
    <w:p>
      <w:pPr>
        <w:pStyle w:val="P68B1DB1Normal111"/>
        <w:widowControl w:val="false"/>
        <w:spacing w:lineRule="auto" w:line="240" w:before="112" w:after="0"/>
        <w:ind w:left="0" w:right="0" w:hanging="0"/>
        <w:jc w:val="left"/>
        <w:rPr>
          <w:rFonts w:ascii="Calibri" w:hAnsi="Calibri"/>
          <w:b/>
          <w:b/>
          <w:color w:val="000000"/>
          <w:sz w:val="22"/>
        </w:rPr>
      </w:pPr>
      <w:r>
        <w:rPr/>
        <w:t xml:space="preserve">1. Използване на силата на ЕС главно в контекста на основни международни теми </w:t>
      </w:r>
    </w:p>
    <w:p>
      <w:pPr>
        <w:pStyle w:val="P68B1DB1Normal104"/>
        <w:widowControl w:val="false"/>
        <w:spacing w:lineRule="auto" w:line="240"/>
        <w:ind w:left="0" w:right="0" w:hanging="0"/>
        <w:jc w:val="left"/>
        <w:rPr/>
      </w:pPr>
      <w:r>
        <w:rPr/>
        <w:t xml:space="preserve">Фактът, че създаването му е допринесло за това европейците да живеят в мир повече от 75 години, се счита от много холандци за основната добавена стойност на ЕС. Холандците също така смятат, че силата на ЕС се крие в съвместното управление на основните международни предизвикателства. Мислим например за изменението на климата, пандемията от COVID-19 и бежанската криза. Държавите — членки на ЕС, могат също така да окажат по-голямо въздействие върху трети държави чрез колективно сключване на международни споразумения на ЕС. Ние вярваме, че нашата страна е твърде малка, за да направи разлика само в тези области. Въпреки това холандците искат Холандия да продължи да прави свои собствени избори въз основа на собствената си култура и интереси. Поради това сътрудничеството в Европа трябва също така да гарантира ефективност и политическа мощ преди всичко. </w:t>
      </w:r>
    </w:p>
    <w:p>
      <w:pPr>
        <w:pStyle w:val="P68B1DB1Normal113"/>
        <w:widowControl w:val="false"/>
        <w:spacing w:lineRule="auto" w:line="240" w:before="200" w:after="0"/>
        <w:ind w:left="0" w:right="0" w:hanging="0"/>
        <w:jc w:val="center"/>
        <w:rPr/>
      </w:pPr>
      <w:r>
        <w:rPr/>
        <w:t xml:space="preserve">По-лесно е да се сключват споразумения за сътрудничество в рамките на ЕС, отколкото като изолирана държава. </w:t>
      </w:r>
    </w:p>
    <w:p>
      <w:pPr>
        <w:pStyle w:val="P68B1DB1Normal111"/>
        <w:widowControl w:val="false"/>
        <w:spacing w:lineRule="auto" w:line="240" w:before="174" w:after="0"/>
        <w:ind w:left="0" w:right="0" w:hanging="0"/>
        <w:jc w:val="left"/>
        <w:rPr>
          <w:rFonts w:ascii="Calibri" w:hAnsi="Calibri"/>
          <w:b/>
          <w:b/>
          <w:color w:val="000000"/>
          <w:sz w:val="22"/>
        </w:rPr>
      </w:pPr>
      <w:r>
        <w:rPr/>
        <w:t xml:space="preserve">2. В и извън Европа, избирайте сътрудничеството, а не борбата. </w:t>
      </w:r>
    </w:p>
    <w:p>
      <w:pPr>
        <w:pStyle w:val="P68B1DB1Normal104"/>
        <w:widowControl w:val="false"/>
        <w:spacing w:lineRule="auto" w:line="240" w:before="1" w:after="0"/>
        <w:ind w:left="0" w:right="0" w:hanging="0"/>
        <w:jc w:val="left"/>
        <w:rPr/>
      </w:pPr>
      <w:r>
        <w:rPr/>
        <w:t xml:space="preserve">66 % от холандците смятат, че ЕС трябва да формира по-силен блок срещу други международни блокове. Ние сме свидетели на отслабване на баланса в света. Страни като Китай и Русия постоянно разширяват властта си в различни области. Това ни тревожи много. Ето защо ЕС трябва да обърне повече внимание, например, на международната сигурност и защитата на европейската икономика от нелоялни търговски практики. В това отношение считаме, че е важно държавите членки да се координират по-добре и по-бързо. Това ще ни позволи да направим така, че гласът ни да бъде чут по-ясно. Фактът, че сме по-силни заедно като европейски държави, не означава, че искаме да влезем в конфликт. Искаме, доколкото е възможно, добро сътрудничество с трети държави. </w:t>
      </w:r>
    </w:p>
    <w:p>
      <w:pPr>
        <w:pStyle w:val="P68B1DB1Normal113"/>
        <w:widowControl w:val="false"/>
        <w:spacing w:lineRule="auto" w:line="240" w:before="200" w:after="0"/>
        <w:ind w:left="0" w:right="0" w:hanging="0"/>
        <w:jc w:val="center"/>
        <w:rPr/>
      </w:pPr>
      <w:r>
        <w:rPr/>
        <w:t>„</w:t>
      </w:r>
      <w:r>
        <w:rPr/>
        <w:t xml:space="preserve">Намаляването на вътрешните спорове и конфликти ще увеличи престижа и силата на влияние на ЕС на световната сцена.“ </w:t>
      </w:r>
    </w:p>
    <w:p>
      <w:pPr>
        <w:pStyle w:val="P68B1DB1Normal111"/>
        <w:widowControl w:val="false"/>
        <w:spacing w:lineRule="auto" w:line="240" w:before="174" w:after="0"/>
        <w:ind w:left="0" w:right="0" w:hanging="0"/>
        <w:jc w:val="left"/>
        <w:rPr>
          <w:rFonts w:ascii="Calibri" w:hAnsi="Calibri"/>
          <w:b/>
          <w:b/>
          <w:color w:val="000000"/>
          <w:sz w:val="22"/>
        </w:rPr>
      </w:pPr>
      <w:r>
        <w:rPr/>
        <w:t xml:space="preserve">3. Предлагайки, по обмислен начин, помощ в случай на конфликт </w:t>
      </w:r>
    </w:p>
    <w:p>
      <w:pPr>
        <w:pStyle w:val="Normal"/>
        <w:widowControl w:val="false"/>
        <w:spacing w:lineRule="auto" w:line="240"/>
        <w:ind w:left="0" w:right="0" w:hanging="0"/>
        <w:jc w:val="left"/>
        <w:rPr/>
      </w:pPr>
      <w:r>
        <w:rPr>
          <w:rFonts w:ascii="Calibri" w:hAnsi="Calibri"/>
          <w:color w:val="000000"/>
          <w:sz w:val="21"/>
        </w:rPr>
        <w:t xml:space="preserve">Като част от засилването на ролята на ЕС на международната сцена, 50 % от холандците смятат, че подходът към конфликтите в света е важна тема. Според тях най-добрият начин да се реагира на конфликти е труден за определяне. Миналото показва, че военната намеса в една страна не винаги е от полза. Това може например да доведе до непредвидени високи разходи и да създаде допълнителни бежански потоци. Като се има предвид това местно въздействие, страните трябва сами да решат дали да участват във война. Като цяло сме заинтересовани от засилено сътрудничество между европейските армии: считаме, че е важно Европа да може да се защитава добре. Но ние винаги предпочитаме да разрешаваме конфликти, без да прибягваме до насилие. </w:t>
      </w:r>
      <w:r>
        <w:br w:type="page"/>
      </w:r>
    </w:p>
    <w:p>
      <w:pPr>
        <w:pStyle w:val="P68B1DB1Normal113"/>
        <w:widowControl w:val="false"/>
        <w:spacing w:lineRule="auto" w:line="240"/>
        <w:ind w:left="0" w:right="0" w:hanging="0"/>
        <w:jc w:val="left"/>
        <w:rPr/>
      </w:pPr>
      <w:r>
        <w:rPr/>
        <w:t xml:space="preserve">По време на евакуацията на Афганистан всяка страна действаше в собствения си ъгъл. Все още можехме да се справим по-добре, нали? </w:t>
      </w:r>
    </w:p>
    <w:p>
      <w:pPr>
        <w:pStyle w:val="P68B1DB1Normal126"/>
        <w:widowControl w:val="false"/>
        <w:spacing w:lineRule="auto" w:line="240" w:before="85" w:after="0"/>
        <w:ind w:left="0" w:right="0" w:hanging="0"/>
        <w:jc w:val="left"/>
        <w:rPr>
          <w:rFonts w:ascii="Calibri" w:hAnsi="Calibri"/>
          <w:color w:val="0070C0"/>
          <w:sz w:val="24"/>
        </w:rPr>
      </w:pPr>
      <w:r>
        <w:rPr/>
        <w:t xml:space="preserve">Онлайн и на място дискусии и идеи </w:t>
      </w:r>
    </w:p>
    <w:p>
      <w:pPr>
        <w:pStyle w:val="P68B1DB1Normal118"/>
        <w:widowControl w:val="false"/>
        <w:spacing w:lineRule="auto" w:line="240" w:before="78" w:after="0"/>
        <w:ind w:left="0" w:right="0" w:hanging="0"/>
        <w:jc w:val="left"/>
        <w:rPr>
          <w:rFonts w:ascii="Calibri" w:hAnsi="Calibri"/>
          <w:i/>
          <w:i/>
          <w:color w:val="000000"/>
          <w:sz w:val="21"/>
        </w:rPr>
      </w:pPr>
      <w:r>
        <w:rPr/>
        <w:t xml:space="preserve">ЕС трябва първо да постави ред в собствените си дела, преди да се изправи срещу другите. </w:t>
      </w:r>
    </w:p>
    <w:p>
      <w:pPr>
        <w:pStyle w:val="P68B1DB1Normal118"/>
        <w:widowControl w:val="false"/>
        <w:spacing w:lineRule="auto" w:line="240" w:before="87" w:after="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С масовото закупуване на китайски продукти като европейци, ние подкрепяме самия Китай.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САЩ продължават да играят много важна роля в защитата на Европа.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pPr>
      <w:r>
        <w:rPr/>
        <w:t xml:space="preserve">Да бъдеш член на ЕС означава също да седнеш на масата за преговори. Това дава възможност за обсъждане на важни решения.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ЕС трябва да спре да гледа на себе си като на изолирана единица, защото това не е така. Тя е асоциация на европейските държави членки и следва да се държи като такава.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ИДЕЯ:</w:t>
      </w:r>
      <w:r>
        <w:rPr>
          <w:i/>
        </w:rPr>
        <w:t xml:space="preserve"> Подобно на редовната глобална конференция по въпросите на климата, следва да се проведе и конференция по правата на човека.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ИДЕЯ: </w:t>
      </w:r>
      <w:r>
        <w:rPr>
          <w:i/>
        </w:rPr>
        <w:t>„Да направи европейските армии по-ефективни, например чрез по-широко използване на колективното закупуване на оборудване.“</w:t>
      </w: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Холандско-марокански жени: Насърчаване на правата на човека.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w:t>
      </w:r>
      <w:commentRangeStart w:id="28"/>
      <w:r>
        <w:rPr>
          <w:rFonts w:ascii="Calibri" w:hAnsi="Calibri"/>
          <w:color w:val="000000"/>
          <w:sz w:val="21"/>
        </w:rPr>
        <w:t>Жени за</w:t>
      </w:r>
      <w:r>
        <w:rPr>
          <w:rFonts w:ascii="Calibri" w:hAnsi="Calibri"/>
          <w:color w:val="000000"/>
          <w:sz w:val="21"/>
        </w:rPr>
      </w:r>
      <w:commentRangeEnd w:id="28"/>
      <w:r>
        <w:commentReference w:id="28"/>
      </w:r>
      <w:r>
        <w:rPr>
          <w:rFonts w:ascii="Calibri" w:hAnsi="Calibri"/>
          <w:color w:val="000000"/>
          <w:sz w:val="21"/>
        </w:rPr>
        <w:t xml:space="preserve">свобода“ е холандска фондация, която се бори с принудителните бракове, сексуалното потисничество и финансовите злоупотреби с момичета и жени с бикултурен произход. В сътрудничество с тази фондация беше организирана среща с група холандско-марокански жени. Участниците смятат, че понастоящем ЕС е твърде зависим от Русия и Китай. „Ние откриваме, че ЕС като цяло не смее да предложи нищо, поради страх от санкции“, каза един от тях. Производството на наркотици, което често може да бъде много по-евтино, е цитирано като пример. „В случай на конфликт Китай може да затвори крана и ние няма да имаме нищо“, каза един от участниците. Беше повдигнат и въпросът за правата на човека. „Всички се държим така, сякаш намираме това за много важно, но си затваряме очите за това, което Китай прави на уйгурите“, възкликва някой.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Студенти от Техназиума на Алкмаар: Няма обща армия.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В своя тематичен диалог студентите от Technasium Jan Arentz в Алкмаар обсъдиха предимствата и недостатъците на една обща европейска армия. Участниците посочиха, че не го подкрепят. Когато страна от ЕС се кара с трета държава, следва да можем автоматично да участваме във война. Мисля, че страните трябва да могат да решават сами", каза някой. Обсъдена е и възможността за Трета световна война. Тази възможност не се счита за много голяма от учениците, но те мислят, че ако стигнем до там, решение все пак може да бъде намерено бързо. Армиите също могат да си сътрудничат добре. Според мен не е необходимо да има европейска армия.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Методология, използвана в проучването </w:t>
      </w:r>
    </w:p>
    <w:p>
      <w:pPr>
        <w:pStyle w:val="P68B1DB1Normal104"/>
        <w:widowControl w:val="false"/>
        <w:spacing w:lineRule="auto" w:line="240" w:before="150" w:after="0"/>
        <w:ind w:left="0" w:right="0" w:hanging="0"/>
        <w:jc w:val="left"/>
        <w:rPr/>
      </w:pPr>
      <w:r>
        <w:rPr/>
        <w:t xml:space="preserve">Визията за Европа се състои от различни форми на взаимосвързани диалози, които събират възгледите и идеите на нидерландските граждани за бъдещето на Европа и ЕС. В настоящата глава се описва как тези тясно свързани диалози се провеждат в съответствие с насоките, приложими за националните граждански панели в контекста на Конференцията за бъдещето на Европа. </w:t>
      </w:r>
    </w:p>
    <w:p>
      <w:pPr>
        <w:pStyle w:val="P68B1DB1Normal126"/>
        <w:widowControl w:val="false"/>
        <w:spacing w:lineRule="auto" w:line="240" w:before="43" w:after="0"/>
        <w:ind w:left="0" w:right="0" w:hanging="0"/>
        <w:jc w:val="left"/>
        <w:rPr>
          <w:rFonts w:ascii="Calibri" w:hAnsi="Calibri"/>
          <w:color w:val="0070C0"/>
          <w:sz w:val="24"/>
        </w:rPr>
      </w:pPr>
      <w:r>
        <w:rPr/>
        <w:t xml:space="preserve">Структура на тясно свързани диалози </w:t>
      </w:r>
    </w:p>
    <w:p>
      <w:pPr>
        <w:pStyle w:val="P68B1DB1Normal104"/>
        <w:widowControl w:val="false"/>
        <w:spacing w:lineRule="auto" w:line="240" w:before="114" w:after="0"/>
        <w:ind w:left="0" w:right="0" w:hanging="0"/>
        <w:jc w:val="left"/>
        <w:rPr>
          <w:rFonts w:ascii="Calibri" w:hAnsi="Calibri"/>
          <w:color w:val="000000"/>
          <w:sz w:val="21"/>
        </w:rPr>
      </w:pPr>
      <w:r>
        <w:rPr/>
        <w:t xml:space="preserve">Организирани са следните форми на диалог: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Проучване на панел</w:t>
      </w:r>
    </w:p>
    <w:p>
      <w:pPr>
        <w:pStyle w:val="P68B1DB1Normal104"/>
        <w:widowControl w:val="false"/>
        <w:spacing w:lineRule="auto" w:line="240"/>
        <w:ind w:left="0" w:right="0" w:hanging="0"/>
        <w:jc w:val="left"/>
        <w:rPr>
          <w:rFonts w:ascii="Calibri" w:hAnsi="Calibri"/>
          <w:color w:val="000000"/>
          <w:sz w:val="21"/>
        </w:rPr>
      </w:pPr>
      <w:r>
        <w:rPr/>
        <w:t xml:space="preserve">Онлайн проучване на представителна част от холандското население.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Тематични онлайн диалози за задълбочаване</w:t>
      </w:r>
    </w:p>
    <w:p>
      <w:pPr>
        <w:pStyle w:val="P68B1DB1Normal104"/>
        <w:widowControl w:val="false"/>
        <w:spacing w:lineRule="auto" w:line="240"/>
        <w:ind w:left="0" w:right="0" w:hanging="0"/>
        <w:jc w:val="left"/>
        <w:rPr/>
      </w:pPr>
      <w:r>
        <w:rPr/>
        <w:t xml:space="preserve">Диалози, в които резултатите от първия междинен доклад „Нашата визия за Европа: становища, идеи и препоръки“ (8 октомври 2021 г.) се обсъждат задълбочено с група нидерландски граждани. </w:t>
      </w:r>
    </w:p>
    <w:p>
      <w:pPr>
        <w:pStyle w:val="P68B1DB1Normal119"/>
        <w:widowControl w:val="false"/>
        <w:spacing w:lineRule="auto" w:line="240"/>
        <w:ind w:left="0" w:right="0" w:hanging="0"/>
        <w:jc w:val="left"/>
        <w:rPr/>
      </w:pPr>
      <w:r>
        <w:rPr>
          <w:rFonts w:ascii="Calibri" w:hAnsi="Calibri"/>
        </w:rPr>
        <w:t>8.</w:t>
      </w:r>
      <w:r>
        <w:rPr/>
        <w:t xml:space="preserve"> </w:t>
      </w:r>
      <w:r>
        <w:rPr>
          <w:rFonts w:ascii="Calibri" w:hAnsi="Calibri"/>
        </w:rPr>
        <w:t>Диалог с конкретни групи</w:t>
      </w:r>
    </w:p>
    <w:p>
      <w:pPr>
        <w:pStyle w:val="P68B1DB1Normal104"/>
        <w:widowControl w:val="false"/>
        <w:spacing w:lineRule="auto" w:line="240"/>
        <w:ind w:left="0" w:right="0" w:hanging="0"/>
        <w:jc w:val="left"/>
        <w:rPr>
          <w:rFonts w:ascii="Calibri" w:hAnsi="Calibri"/>
          <w:color w:val="000000"/>
          <w:sz w:val="21"/>
        </w:rPr>
      </w:pPr>
      <w:r>
        <w:rPr/>
        <w:t xml:space="preserve">Срещи с холандци, които не са свикнали да участват в проучвания или панели (онлайн). </w:t>
      </w:r>
    </w:p>
    <w:p>
      <w:pPr>
        <w:pStyle w:val="P68B1DB1Normal119"/>
        <w:widowControl w:val="false"/>
        <w:spacing w:lineRule="auto" w:line="240"/>
        <w:ind w:left="0" w:right="0" w:hanging="0"/>
        <w:jc w:val="left"/>
        <w:rPr/>
      </w:pPr>
      <w:r>
        <w:rPr>
          <w:rFonts w:ascii="Calibri" w:hAnsi="Calibri"/>
        </w:rPr>
        <w:t>9.</w:t>
      </w:r>
      <w:r>
        <w:rPr/>
        <w:t xml:space="preserve"> </w:t>
      </w:r>
      <w:r>
        <w:rPr>
          <w:rFonts w:ascii="Calibri" w:hAnsi="Calibri"/>
        </w:rPr>
        <w:t>Диалог с младите хора</w:t>
      </w:r>
    </w:p>
    <w:p>
      <w:pPr>
        <w:pStyle w:val="P68B1DB1Normal104"/>
        <w:widowControl w:val="false"/>
        <w:spacing w:lineRule="auto" w:line="240"/>
        <w:ind w:left="0" w:right="0" w:hanging="0"/>
        <w:jc w:val="left"/>
        <w:rPr>
          <w:rFonts w:ascii="Calibri" w:hAnsi="Calibri"/>
          <w:color w:val="000000"/>
          <w:sz w:val="21"/>
        </w:rPr>
      </w:pPr>
      <w:r>
        <w:rPr/>
        <w:t xml:space="preserve">Срещи, на които се обсъждат европейските теми, които са най-подходящи за тези млади хора. </w:t>
      </w:r>
    </w:p>
    <w:p>
      <w:pPr>
        <w:pStyle w:val="Normal"/>
        <w:widowControl w:val="false"/>
        <w:spacing w:lineRule="auto" w:line="240"/>
        <w:ind w:left="0" w:right="0" w:hanging="0"/>
        <w:jc w:val="left"/>
        <w:rPr/>
      </w:pPr>
      <w:r>
        <w:rPr>
          <w:rFonts w:ascii="Calibri" w:hAnsi="Calibri"/>
          <w:b/>
          <w:color w:val="000000"/>
          <w:sz w:val="21"/>
        </w:rPr>
        <w:t>10.</w:t>
      </w:r>
      <w:r>
        <w:rPr>
          <w:b/>
          <w:color w:val="000000"/>
          <w:sz w:val="21"/>
        </w:rPr>
        <w:t xml:space="preserve"> </w:t>
      </w:r>
      <w:r>
        <w:rPr>
          <w:rFonts w:ascii="Calibri" w:hAnsi="Calibri"/>
          <w:b/>
          <w:color w:val="000000"/>
          <w:sz w:val="21"/>
        </w:rPr>
        <w:t>Публично онлайн проучване: Въпросник и „Swipen naar de toekomst“ (</w:t>
      </w:r>
      <w:commentRangeStart w:id="29"/>
      <w:r>
        <w:rPr>
          <w:rFonts w:ascii="Calibri" w:hAnsi="Calibri"/>
          <w:b/>
          <w:color w:val="000000"/>
          <w:sz w:val="21"/>
        </w:rPr>
        <w:t>Swiper</w:t>
      </w:r>
      <w:r>
        <w:rPr>
          <w:rFonts w:ascii="Calibri" w:hAnsi="Calibri"/>
          <w:b/>
          <w:color w:val="000000"/>
          <w:sz w:val="21"/>
        </w:rPr>
      </w:r>
      <w:commentRangeEnd w:id="29"/>
      <w:r>
        <w:commentReference w:id="29"/>
      </w:r>
      <w:r>
        <w:rPr>
          <w:rFonts w:ascii="Calibri" w:hAnsi="Calibri"/>
          <w:b/>
          <w:color w:val="000000"/>
          <w:sz w:val="21"/>
        </w:rPr>
        <w:t xml:space="preserve"> to the future) </w:t>
      </w:r>
    </w:p>
    <w:p>
      <w:pPr>
        <w:pStyle w:val="P68B1DB1Normal104"/>
        <w:widowControl w:val="false"/>
        <w:spacing w:lineRule="auto" w:line="240"/>
        <w:ind w:left="0" w:right="0" w:hanging="0"/>
        <w:jc w:val="left"/>
        <w:rPr/>
      </w:pPr>
      <w:r>
        <w:rPr/>
        <w:t xml:space="preserve">Въпросникът за проучване на панела може да бъде попълнен и от всички нидерландски граждани, включително тези, които пребивават в чужбина. Въпросникът беше на разположение от 1 септември 2021 г. до 14 ноември 2021 г. В допълнение, през същия период всеки холандец е в състояние да участва в действието „Swipen naar de toekomst“ (Swiper to the future), онлайн инструмент, представящ 20 твърдения.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5"/>
        <w:widowControl w:val="false"/>
        <w:spacing w:lineRule="auto" w:line="240" w:before="216" w:after="0"/>
        <w:ind w:left="0" w:right="0" w:hanging="0"/>
        <w:jc w:val="left"/>
        <w:rPr>
          <w:rFonts w:ascii="Calibri" w:hAnsi="Calibri"/>
          <w:b/>
          <w:b/>
          <w:color w:val="0070C0"/>
          <w:sz w:val="32"/>
        </w:rPr>
      </w:pPr>
      <w:r>
        <w:rPr/>
        <w:t xml:space="preserve">1. Проучване на панел </w:t>
      </w:r>
    </w:p>
    <w:p>
      <w:pPr>
        <w:pStyle w:val="P68B1DB1Normal104"/>
        <w:widowControl w:val="false"/>
        <w:spacing w:lineRule="auto" w:line="240" w:before="150" w:after="0"/>
        <w:ind w:left="0" w:right="0" w:hanging="0"/>
        <w:jc w:val="left"/>
        <w:rPr/>
      </w:pPr>
      <w:r>
        <w:rPr/>
        <w:t xml:space="preserve">Холандският граждански диалог „Визия на Европа“ започна на 1 септември с анкетно проучване. В това описание на методологията на проучването ние накратко обясняваме на панел проектирането и изпълнението на това проучване. </w:t>
      </w:r>
    </w:p>
    <w:p>
      <w:pPr>
        <w:pStyle w:val="P68B1DB1Normal126"/>
        <w:widowControl w:val="false"/>
        <w:spacing w:lineRule="auto" w:line="240" w:before="43" w:after="0"/>
        <w:ind w:left="0" w:right="0" w:hanging="0"/>
        <w:jc w:val="left"/>
        <w:rPr>
          <w:rFonts w:ascii="Calibri" w:hAnsi="Calibri"/>
          <w:color w:val="0070C0"/>
          <w:sz w:val="24"/>
        </w:rPr>
      </w:pPr>
      <w:r>
        <w:rPr/>
        <w:t xml:space="preserve">Целево и целево население </w:t>
      </w:r>
    </w:p>
    <w:p>
      <w:pPr>
        <w:pStyle w:val="Normal"/>
        <w:widowControl w:val="false"/>
        <w:spacing w:lineRule="auto" w:line="240" w:before="114" w:after="0"/>
        <w:ind w:left="0" w:right="0" w:hanging="0"/>
        <w:jc w:val="left"/>
        <w:rPr/>
      </w:pPr>
      <w:r>
        <w:rPr>
          <w:rFonts w:ascii="Calibri" w:hAnsi="Calibri"/>
          <w:color w:val="000000"/>
          <w:sz w:val="21"/>
        </w:rPr>
        <w:t>Проучването „Визия на Европа“ започна с онлайн въпросник за това как холандците виждат бъдещето на Европа. Въпросникът е представен на представителна група и е отворен и за всички нидерландски граждани (включително тези, които пребивават в чужбина). В допълнение, всеки човек е в състояние да участва в действието „Swipen naar de toekomst“</w:t>
      </w:r>
      <w:commentRangeStart w:id="30"/>
      <w:r>
        <w:rPr>
          <w:rFonts w:ascii="Calibri" w:hAnsi="Calibri"/>
          <w:color w:val="000000"/>
          <w:sz w:val="21"/>
        </w:rPr>
        <w:t>(</w:t>
      </w:r>
      <w:r>
        <w:rPr>
          <w:rFonts w:ascii="Calibri" w:hAnsi="Calibri"/>
          <w:color w:val="000000"/>
          <w:sz w:val="21"/>
        </w:rPr>
      </w:r>
      <w:commentRangeEnd w:id="30"/>
      <w:r>
        <w:commentReference w:id="30"/>
      </w:r>
      <w:r>
        <w:rPr>
          <w:rFonts w:ascii="Calibri" w:hAnsi="Calibri"/>
          <w:color w:val="000000"/>
          <w:sz w:val="21"/>
        </w:rPr>
        <w:t xml:space="preserve"> Swiper to the future), онлайн инструмент, представящ 20 твърдения. Резултатите от проучването послужиха за основа на няколко тематични диалога, организирани като последващи действия във връзка с процеса на граждански диалог „Визия на Европа“.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Целевата популация на панелното проучване включва всички холандци на възраст 18 или повече години, които са били регистрирани като жители в регистъра на населението към момента на започване на теренната работа. Според Нидерландската национална статистическа служба (Centraal Bureau voor de Statistiek — CBS) към 1 януари 2021 г. тази целева група е имала 14 190 874 души. Долната граница от 18 години съответства на избирателното мнозинство. Ние го наричаме населението на панелното проучване. </w:t>
      </w:r>
      <w:r>
        <w:br w:type="page"/>
      </w:r>
    </w:p>
    <w:p>
      <w:pPr>
        <w:pStyle w:val="P68B1DB1Normal126"/>
        <w:widowControl w:val="false"/>
        <w:spacing w:lineRule="auto" w:line="240" w:before="43" w:after="0"/>
        <w:ind w:left="0" w:right="0" w:hanging="0"/>
        <w:jc w:val="left"/>
        <w:rPr>
          <w:rFonts w:ascii="Calibri" w:hAnsi="Calibri"/>
          <w:color w:val="0070C0"/>
          <w:sz w:val="24"/>
        </w:rPr>
      </w:pPr>
      <w:r>
        <w:rPr/>
        <w:t xml:space="preserve">Работа на терен </w:t>
      </w:r>
    </w:p>
    <w:p>
      <w:pPr>
        <w:pStyle w:val="P68B1DB1Normal104"/>
        <w:widowControl w:val="false"/>
        <w:spacing w:lineRule="auto" w:line="240" w:before="116" w:after="0"/>
        <w:ind w:left="0" w:right="0" w:hanging="0"/>
        <w:jc w:val="left"/>
        <w:rPr/>
      </w:pPr>
      <w:r>
        <w:rPr/>
        <w:t xml:space="preserve">Панел от повече от 100 000 участници от цялата страна (сертифициран по ISO, Research Keurmerk groep, Nederlandse marktonderzoek Associatie) беше използван за получаване на цифрово изображение на „Среднохоландския“. Тези участници се включваха в панела за проучване, за да представят редовно своите виждания по широк кръг от теми. В допълнение към присъщата им мотивация да участват, те получават заплащане, за да отговорят на въпросниците. Няколко научни проучвания показват, че респондентите, които получават компенсация за попълването на въпросника, не дават значително различни отговори (източник: </w:t>
      </w:r>
      <w:r>
        <w:rPr>
          <w:i/>
        </w:rPr>
        <w:t>Използването на стимули за проучване влошава качеството на данните?</w:t>
      </w:r>
      <w:r>
        <w:rPr/>
        <w:t xml:space="preserve">, Cole, J. S., Sarraf, S.A., Wang, X., 2015 г.).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Работата на място започна на 11 август 2021 г. и приключи на 19 септември 2021 г. За изпълнението е използван само един метод за събиране на данни, т.е. проучването в интернет. Членовете на анкетната група получиха електронно писмо с лична връзка към онлайн въпросника. След две седмици участниците в панела получиха напомняне. Поканите за участие бяха изпратени на партиди и стратифицирани (чрез осигуряване на равно разпределение на подгрупите) до достигане на необходимия брой респонденти. </w:t>
      </w:r>
    </w:p>
    <w:p>
      <w:pPr>
        <w:pStyle w:val="P68B1DB1Normal126"/>
        <w:widowControl w:val="false"/>
        <w:spacing w:lineRule="auto" w:line="240" w:before="42" w:after="0"/>
        <w:ind w:left="0" w:right="0" w:hanging="0"/>
        <w:jc w:val="left"/>
        <w:rPr>
          <w:rFonts w:ascii="Calibri" w:hAnsi="Calibri"/>
          <w:color w:val="0070C0"/>
          <w:sz w:val="24"/>
        </w:rPr>
      </w:pPr>
      <w:r>
        <w:rPr/>
        <w:t xml:space="preserve">Вземане на проби и разпределение </w:t>
      </w:r>
    </w:p>
    <w:p>
      <w:pPr>
        <w:pStyle w:val="P68B1DB1Normal104"/>
        <w:widowControl w:val="false"/>
        <w:spacing w:lineRule="auto" w:line="240" w:before="114" w:after="0"/>
        <w:ind w:left="0" w:right="0" w:hanging="0"/>
        <w:jc w:val="left"/>
        <w:rPr/>
      </w:pPr>
      <w:r>
        <w:rPr/>
        <w:t xml:space="preserve">Дизайнът на проучването се основава на принципа, че минимум 3600 респонденти трябва да участват в проучването, за да се гарантира добра статистическа надеждност. Освен това този брой позволява добро разпределение между различните общи характеристики на населението. Няма само един тип холандец. Ето защо предварително се уверихме, че пробата е разпределена добре по редица характеристики. Нидерландия е сравнително малка страна, но мненията могат да се различават по региони. Позиционирането и значението на темите могат (частично) да бъдат определени от региона, в който живеете. Например хората, живеещи в селските райони, могат да разберат тема като сигурността, различна от тази в градските райони. Изследванията на нидерландската служба за социално и културно планиране също така показват, че хората с по-високо ниво на обучение са по-често поддръжници на ЕС, отколкото тези с по-ниско равнище на обучение, и че младите хора подкрепят ЕС по-силно от възрастните хора (източник: </w:t>
      </w:r>
      <w:r>
        <w:rPr>
          <w:i/>
        </w:rPr>
        <w:t>Wat Willen Nederlanders van de Europese Unie?</w:t>
      </w:r>
      <w:r>
        <w:rPr/>
        <w:t xml:space="preserve">, Холандска служба за социално и културно планиране, Хага, 2019 г.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Ето защо преди това сме разпределили следните три характеристики пропорционално, за да гарантираме представителността на извадката: 1) пребиваване в региони на COROP, 2) възраст и 3) образователно равнище. Разпределението на извадката беше представено и в съответствие със следните общи характеристики: пол, произход, основна професия, политическа ориентация.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Регионите на COROP са разработени въз основа на принципа на възлите (сърце с атрактивна област или регионална функция), въз основа на потока от хора, които пътуват до работното място. Допуснати са няколко нарушения на принципа на възела, така че регионите да следват провинциалните граници. След реорганизацията на общините извън границите на COROP разпределението беше коригирано (източник: Нидерландска национална статистическа служба). В рамките на регионите на Корепер осигурихме добро разпределение между възрастовите групи със следната разбивка: възраст 18—34, 35—54, 55—75 и над 75 години.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И накрая, осигурихме представително разпределение на образователните нива. В извадката разпределението на респондентите съответства на разпределението на национално равнище на най-високото ниво на образование, което е следното: </w:t>
      </w:r>
      <w:r>
        <w:br w:type="page"/>
      </w:r>
    </w:p>
    <w:p>
      <w:pPr>
        <w:pStyle w:val="P68B1DB1Normal120"/>
        <w:spacing w:lineRule="auto" w:line="240"/>
        <w:ind w:left="0" w:right="0" w:hanging="0"/>
        <w:rPr>
          <w:rFonts w:ascii="Calibri" w:hAnsi="Calibri"/>
          <w:b/>
          <w:b/>
          <w:color w:val="000000"/>
          <w:sz w:val="21"/>
        </w:rPr>
      </w:pPr>
      <w:r>
        <w:rPr/>
        <w:t xml:space="preserve">Най-високо ниво на образование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Ниско ниво: основно образование, подготвително професионално образование, 1-ви до 3-ти клас на общо гимназиален етап на средното образование/предуниверситетско образование, средно професионално образование, ниво 1</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Междинен продукт: общо гимназиално образование/предуниверситетско образование, средно професионално образование от 2 до 4</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На високо ниво: висше професионално образование или университетско образование</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Неизвестно</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P68B1DB1Normal126"/>
        <w:spacing w:lineRule="auto" w:line="240"/>
        <w:ind w:left="0" w:right="0" w:hanging="0"/>
        <w:rPr>
          <w:rFonts w:ascii="Calibri" w:hAnsi="Calibri"/>
          <w:color w:val="0070C0"/>
          <w:sz w:val="24"/>
        </w:rPr>
      </w:pPr>
      <w:r>
        <w:rPr/>
        <w:t xml:space="preserve">Честота на отговор </w:t>
      </w:r>
    </w:p>
    <w:p>
      <w:pPr>
        <w:pStyle w:val="P68B1DB1Normal104"/>
        <w:widowControl w:val="false"/>
        <w:spacing w:lineRule="exact" w:line="386" w:before="116" w:after="0"/>
        <w:ind w:left="0" w:right="368" w:hanging="0"/>
        <w:jc w:val="left"/>
        <w:rPr/>
      </w:pPr>
      <w:r>
        <w:rPr/>
        <w:t xml:space="preserve">Общо 4 086 души са участвали в проучването на панел. Следователно целта от 3 600 напълно попълнени въпросници е постигната.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Отговори на регионите и възрастта на COROP</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От 18 до 34 години</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От 35 до 54 години</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От 55 до 75 години</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на повече от 75 години</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Северен Дрент</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Югоизточно от Дренте</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Югозапад от Дренте</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Флеволанд</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Северна Фризландия</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Югоизточно от Фризланд</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Югозапад от Фризланд</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Велуве</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Югозапад от Гелдерланд</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Източна Грьонинген</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Останалата част от Грьонинген</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Централна Лимбург</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Северен Лимбург</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Южен Лимбург</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Център на Северен Брабант</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Североизточно от Северен Брабант</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Западно от Северен Брабант</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Югоизточно от Северен Брабант</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Агломерация Хаарлем</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Алкмаар и околностите му</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Голям Амстердам</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и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Връх на Северна Холандия</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Регион Заан</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Северен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Югозападно от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Утрехт</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Останалата част от Zeeland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Зейланд Фландрия</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Агломерация Лайден и регион на луковиците</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Агломерация на Хага</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Делфт и Уестланд</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Гранд Рийнмънд</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Източно от Южна Холандия</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Югоизточно от Южна Холандия</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rPr>
              <w:t>Отговори по ниво на образованието</w:t>
            </w:r>
          </w:p>
        </w:tc>
        <w:tc>
          <w:tcPr>
            <w:tcW w:w="1863" w:type="dxa"/>
            <w:gridSpan w:val="2"/>
            <w:tcBorders/>
            <w:shd w:fill="auto" w:val="clear"/>
            <w:vAlign w:val="bottom"/>
          </w:tcPr>
          <w:p>
            <w:pPr>
              <w:pStyle w:val="Contenudetableau"/>
              <w:spacing w:before="57" w:after="57"/>
              <w:rPr>
                <w:color w:val="000000"/>
              </w:rPr>
            </w:pPr>
            <w:r>
              <w:rPr>
                <w:color w:val="000000"/>
              </w:rPr>
            </w:r>
          </w:p>
        </w:tc>
        <w:tc>
          <w:tcPr>
            <w:tcW w:w="1838" w:type="dxa"/>
            <w:gridSpan w:val="2"/>
            <w:tcBorders/>
            <w:shd w:fill="auto" w:val="clear"/>
            <w:vAlign w:val="bottom"/>
          </w:tcPr>
          <w:p>
            <w:pPr>
              <w:pStyle w:val="Contenudetableau"/>
              <w:spacing w:before="57" w:after="57"/>
              <w:rPr>
                <w:color w:val="000000"/>
              </w:rPr>
            </w:pPr>
            <w:r>
              <w:rPr>
                <w:color w:val="000000"/>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Ниско</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Посредник</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Високо</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Неизвестно</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Надеждност и представителност </w:t>
      </w:r>
    </w:p>
    <w:p>
      <w:pPr>
        <w:pStyle w:val="P68B1DB1Normal104"/>
        <w:widowControl w:val="false"/>
        <w:spacing w:lineRule="auto" w:line="240" w:before="119" w:after="0"/>
        <w:ind w:left="0" w:right="0" w:hanging="0"/>
        <w:jc w:val="left"/>
        <w:rPr/>
      </w:pPr>
      <w:r>
        <w:rPr/>
        <w:t xml:space="preserve">Броят на респондентите от 4 086 души дава възможност да се направят наблюдения за съвкупността като цяло с ниво на доверие 95 % и граница на грешка от 1,53 %. Доверителната вероятност и границата на грешка на резултатите се определят от размера на извадката. Колкото по-голяма е извадката, толкова по-надеждни и точни резултати могат да бъдат екстраполирани към цялата популация.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Доверителното ниво се определя като 1 (100 %) минус нивото на значение. Обичайно е да се основава на ниво 5 % смисъл. Говорим за ниво на доверие от 95 %. С други думи, ако проучването се повтори по един и същ начин и при едни и същи условия, резултатите биха били едни и същи в 95 % от случаите. </w:t>
      </w:r>
    </w:p>
    <w:p>
      <w:pPr>
        <w:pStyle w:val="P68B1DB1Normal104"/>
        <w:widowControl w:val="false"/>
        <w:spacing w:lineRule="auto" w:line="240"/>
        <w:ind w:left="0" w:right="0" w:hanging="0"/>
        <w:jc w:val="left"/>
        <w:rPr/>
      </w:pPr>
      <w:r>
        <w:rPr/>
        <w:t xml:space="preserve">Точността (изразена чрез границата на грешката) показва диапазона от стойности, в рамките на който се намира действителната стойност в съвкупността. С други думи: каква би била максималната разлика между резултатите от извадката и резултатите, които ще бъдат получени от съвкупността като цяло? Допустима грешка от 1,53 % означава, че действителната стойност в рамките на общата съвкупност може да бъде с 1,53 % по-висока или по-ниска от стойността на извадката. Например, ако проучване на извадка от хора покаже, че 50 % от респондентите считат дадена тема за важна, действителният процент е с 1,53 % по-висок или по-нисък от този 50 %, т.е. между 48,47 и 51,53 %. Максимална граница на грешката от 5 % е често срещана и общоприета в количествените проучвания (статистика).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В допълнение към надеждността, представителността на извадката е важна. Тъй като поканите за участие са изпратени на партиди и стратифицирани, резултатите са представителни по отношение на характеристиките на региона COROP и възрастовите групи по регион COROP. Отговорите са представителни и от гледна точка на нивото на образование в сравнение с най-високото ниво на образование, постигнато на национално ниво.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ind w:left="0" w:right="0" w:hanging="0"/>
        <w:jc w:val="left"/>
        <w:rPr>
          <w:rFonts w:ascii="Calibri" w:hAnsi="Calibri"/>
          <w:color w:val="0070C0"/>
          <w:sz w:val="24"/>
        </w:rPr>
      </w:pPr>
      <w:r>
        <w:rPr/>
        <w:t xml:space="preserve">Други общи характеристики </w:t>
      </w:r>
    </w:p>
    <w:p>
      <w:pPr>
        <w:pStyle w:val="P68B1DB1Normal104"/>
        <w:widowControl w:val="false"/>
        <w:spacing w:lineRule="auto" w:line="240"/>
        <w:ind w:left="0" w:right="0" w:hanging="0"/>
        <w:jc w:val="left"/>
        <w:rPr/>
      </w:pPr>
      <w:r>
        <w:rPr/>
        <w:t xml:space="preserve">Редица допълнителни контекстуални въпроси бяха зададени на участниците в проучването по групи. Те включват пол, позициониране на ЕС, произход, основна професия и политическа партия, за която лицето би гласувало в случай на избори.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49 % от анкетираните са мъже, 50 % са жени, а 1 % предпочитат да не отговарят на този въпрос.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51 % от анкетираните смятат, че е добре Нидерландия да бъде член на ЕС, 13 % смятат, че това е нещо лошо, а 36 % са неутрални или нямат мнение.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95 % от анкетираните са родени в Нидерландия. 89 % от анкетираните посочват, че и двамата родители са родени в Нидерландия. 5 % са родени от двама родители, родени в чужбина.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6"/>
        <w:spacing w:lineRule="auto" w:line="240"/>
        <w:ind w:left="0" w:right="0" w:hanging="0"/>
        <w:rPr>
          <w:rFonts w:ascii="Calibri" w:hAnsi="Calibri"/>
          <w:color w:val="0070C0"/>
          <w:sz w:val="24"/>
        </w:rPr>
      </w:pPr>
      <w:r>
        <w:rPr/>
        <w:t xml:space="preserve">Настояща политическа ориентация на респондентите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Парти</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(Народна партия за свобода и демокрация)</w:t>
            </w:r>
          </w:p>
        </w:tc>
        <w:tc>
          <w:tcPr>
            <w:tcW w:w="34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(страна за свобода)</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Социалистическа партия (Социалистическа партия)</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(Демократи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(Christian Democratic Call)</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(Трудова партия)</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(Animal Party)</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(зелена левица)</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(Християнски съюз)</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(Движение на гражданите на земеделски производители)</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Форум за демокрация (Форум за демокрация)</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ОСП (реформирана политическа партия)</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Волт</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ДЕНК</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Други</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Гласуване в бяло</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Предпочитам да не отговарям</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Аз не гласувам</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Normal"/>
        <w:spacing w:lineRule="auto" w:line="240"/>
        <w:ind w:left="0" w:right="0" w:hanging="0"/>
        <w:rPr/>
      </w:pPr>
      <w:r>
        <w:rPr/>
      </w:r>
      <w:r>
        <w:br w:type="page"/>
      </w:r>
    </w:p>
    <w:p>
      <w:pPr>
        <w:pStyle w:val="P68B1DB1Normal126"/>
        <w:spacing w:lineRule="auto" w:line="240"/>
        <w:ind w:left="0" w:right="0" w:hanging="0"/>
        <w:rPr>
          <w:rFonts w:ascii="Calibri" w:hAnsi="Calibri"/>
          <w:color w:val="0070C0"/>
          <w:sz w:val="24"/>
        </w:rPr>
      </w:pPr>
      <w:r>
        <w:rPr/>
        <w:t xml:space="preserve">Коя е вашата основна професия в момента?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Професия</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Студент/студент</w:t>
            </w:r>
          </w:p>
        </w:tc>
        <w:tc>
          <w:tcPr>
            <w:tcW w:w="351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Служител на непълно работно време</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Служител на пълно работно време</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Независим изпълнител</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Човек у дома</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Търсещ работа</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Доброволец</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Неработоспособност</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Пенсионери</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Други</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Предпочитам да не отговарям</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Въпросник </w:t>
      </w:r>
    </w:p>
    <w:p>
      <w:pPr>
        <w:pStyle w:val="P68B1DB1Normal104"/>
        <w:widowControl w:val="false"/>
        <w:spacing w:lineRule="exact" w:line="339" w:before="1" w:after="0"/>
        <w:ind w:left="0" w:right="0" w:hanging="0"/>
        <w:jc w:val="left"/>
        <w:rPr/>
      </w:pPr>
      <w:r>
        <w:rPr/>
        <w:t xml:space="preserve">Въпросникът и настоящият доклад бяха изготвени от независима външна организация по искане на Министерството на външните работи. Въпросникът представя модулна структура и включва следните групи въпроси в съответствие с темите, набелязани за Конференцията за бъдещето на Европа: </w:t>
      </w:r>
    </w:p>
    <w:p>
      <w:pPr>
        <w:pStyle w:val="P68B1DB1Normal105"/>
        <w:widowControl w:val="false"/>
        <w:spacing w:lineRule="exact" w:line="349" w:before="0" w:after="0"/>
        <w:ind w:left="0" w:right="0" w:hanging="0"/>
        <w:jc w:val="left"/>
        <w:rPr/>
      </w:pPr>
      <w:r>
        <w:rPr>
          <w:rFonts w:ascii="Verdana" w:hAnsi="Verdana"/>
        </w:rPr>
        <w:t>•</w:t>
      </w:r>
      <w:r>
        <w:rPr/>
        <w:t xml:space="preserve"> </w:t>
      </w:r>
      <w:r>
        <w:rPr>
          <w:rFonts w:ascii="Calibri" w:hAnsi="Calibri"/>
        </w:rPr>
        <w:t xml:space="preserve">Важни теми и ролята на Европа </w:t>
      </w:r>
    </w:p>
    <w:p>
      <w:pPr>
        <w:pStyle w:val="P68B1DB1Normal105"/>
        <w:widowControl w:val="false"/>
        <w:spacing w:lineRule="exact" w:line="349"/>
        <w:ind w:left="0" w:right="0" w:hanging="0"/>
        <w:jc w:val="left"/>
        <w:rPr/>
      </w:pPr>
      <w:r>
        <w:rPr>
          <w:rFonts w:ascii="Verdana" w:hAnsi="Verdana"/>
        </w:rPr>
        <w:t xml:space="preserve">• </w:t>
      </w:r>
      <w:r>
        <w:rPr>
          <w:rFonts w:ascii="Verdana" w:hAnsi="Verdana"/>
        </w:rPr>
        <w:t>Изменение</w:t>
      </w:r>
      <w:r>
        <w:rPr/>
        <w:t xml:space="preserve"> </w:t>
      </w:r>
      <w:r>
        <w:rPr>
          <w:rFonts w:ascii="Calibri" w:hAnsi="Calibri"/>
        </w:rPr>
        <w:t xml:space="preserve">на климата и околна среда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Здраве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Икономика и заетост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Роля на Европейския съюз в света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Сигурност и върховенство на закона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Виртуалният свят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Европейска демокрация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Миграция и бежанци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Образование/култура/младеж/спорт </w:t>
      </w:r>
    </w:p>
    <w:p>
      <w:pPr>
        <w:pStyle w:val="Normal"/>
        <w:widowControl w:val="false"/>
        <w:spacing w:lineRule="exact" w:line="349"/>
        <w:ind w:left="0" w:right="0" w:hanging="0"/>
        <w:jc w:val="left"/>
        <w:rPr>
          <w:rFonts w:ascii="Calibri" w:hAnsi="Calibri"/>
          <w:color w:val="000000"/>
          <w:sz w:val="21"/>
        </w:rPr>
      </w:pPr>
      <w:r>
        <w:rPr>
          <w:rFonts w:ascii="Calibri" w:hAnsi="Calibri"/>
          <w:color w:val="000000"/>
          <w:sz w:val="21"/>
        </w:rPr>
      </w:r>
    </w:p>
    <w:p>
      <w:pPr>
        <w:pStyle w:val="P68B1DB1Normal104"/>
        <w:widowControl w:val="false"/>
        <w:spacing w:lineRule="auto" w:line="240" w:before="104" w:after="0"/>
        <w:ind w:left="0" w:right="0" w:hanging="0"/>
        <w:jc w:val="left"/>
        <w:rPr/>
      </w:pPr>
      <w:r>
        <w:rPr/>
        <w:t xml:space="preserve">По време на подготовката на въпросника беше обърнато голямо внимание на качеството, надеждността и валидността на въпросите. Поради тази причина беше търсена неутрална и ненасочена формулировка на въпроси, твърдения и варианти за отговор и беше проверено, че въпросите са формулирани на разбираем език (ниво B1).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Въпросникът беше подложен на тестове за качество чрез интервюта лице в лице с участниците в тестовете, принадлежащи към целевата група. Това ни позволи да проучим как въпросите се разбират от различните видове респонденти. Ако въпросът изглежда представлява прекалено голям (твърде сложен) когнитивен товар, той е подходящ. </w:t>
      </w:r>
    </w:p>
    <w:p>
      <w:pPr>
        <w:pStyle w:val="P68B1DB1Normal126"/>
        <w:widowControl w:val="false"/>
        <w:spacing w:lineRule="auto" w:line="240" w:before="333" w:after="0"/>
        <w:ind w:left="0" w:right="0" w:hanging="0"/>
        <w:jc w:val="left"/>
        <w:rPr>
          <w:rFonts w:ascii="Calibri" w:hAnsi="Calibri"/>
          <w:color w:val="0070C0"/>
          <w:sz w:val="24"/>
        </w:rPr>
      </w:pPr>
      <w:r>
        <w:rPr/>
        <w:t xml:space="preserve">Методи за анализ </w:t>
      </w:r>
    </w:p>
    <w:p>
      <w:pPr>
        <w:pStyle w:val="P68B1DB1Normal104"/>
        <w:widowControl w:val="false"/>
        <w:spacing w:lineRule="auto" w:line="240" w:before="80" w:after="0"/>
        <w:ind w:left="0" w:right="0" w:hanging="0"/>
        <w:jc w:val="left"/>
        <w:rPr>
          <w:rFonts w:ascii="Calibri" w:hAnsi="Calibri"/>
          <w:color w:val="000000"/>
          <w:sz w:val="21"/>
        </w:rPr>
      </w:pPr>
      <w:r>
        <w:rPr/>
        <w:t xml:space="preserve">В това проучване са използвани два метода за анализ: </w:t>
      </w:r>
    </w:p>
    <w:p>
      <w:pPr>
        <w:pStyle w:val="P68B1DB1Normal111"/>
        <w:widowControl w:val="false"/>
        <w:spacing w:lineRule="auto" w:line="240" w:before="48" w:after="0"/>
        <w:ind w:left="0" w:right="0" w:hanging="0"/>
        <w:jc w:val="left"/>
        <w:rPr>
          <w:rFonts w:ascii="Calibri" w:hAnsi="Calibri"/>
          <w:b/>
          <w:b/>
          <w:color w:val="000000"/>
          <w:sz w:val="22"/>
        </w:rPr>
      </w:pPr>
      <w:r>
        <w:rPr/>
        <w:t xml:space="preserve">Едновариантни анализи </w:t>
      </w:r>
    </w:p>
    <w:p>
      <w:pPr>
        <w:pStyle w:val="P68B1DB1Normal104"/>
        <w:widowControl w:val="false"/>
        <w:spacing w:lineRule="auto" w:line="240" w:before="6" w:after="0"/>
        <w:ind w:left="0" w:right="0" w:hanging="0"/>
        <w:jc w:val="left"/>
        <w:rPr>
          <w:rFonts w:ascii="Calibri" w:hAnsi="Calibri"/>
          <w:color w:val="000000"/>
          <w:sz w:val="21"/>
        </w:rPr>
      </w:pPr>
      <w:r>
        <w:rPr/>
        <w:t xml:space="preserve">За описание на променливите на дадено проучване се използват описателни статистически данни. В това проучване се използват честоти и средни стойности. </w:t>
      </w:r>
    </w:p>
    <w:p>
      <w:pPr>
        <w:pStyle w:val="P68B1DB1Normal111"/>
        <w:widowControl w:val="false"/>
        <w:spacing w:lineRule="auto" w:line="240" w:before="48" w:after="0"/>
        <w:ind w:left="0" w:right="0" w:hanging="0"/>
        <w:jc w:val="left"/>
        <w:rPr>
          <w:rFonts w:ascii="Calibri" w:hAnsi="Calibri"/>
          <w:b/>
          <w:b/>
          <w:color w:val="000000"/>
          <w:sz w:val="22"/>
        </w:rPr>
      </w:pPr>
      <w:r>
        <w:rPr/>
        <w:t xml:space="preserve">Бивариативни анализи </w:t>
      </w:r>
    </w:p>
    <w:p>
      <w:pPr>
        <w:pStyle w:val="P68B1DB1Normal104"/>
        <w:widowControl w:val="false"/>
        <w:spacing w:lineRule="auto" w:line="240" w:before="6" w:after="0"/>
        <w:ind w:left="0" w:right="0" w:hanging="0"/>
        <w:jc w:val="left"/>
        <w:rPr/>
      </w:pPr>
      <w:r>
        <w:rPr/>
        <w:t xml:space="preserve">Двувариантните анализи позволяват да се разгледа връзката между две променливи, в случая връзката между значението на различните теми и въпроса дали Съюзът трябва да се намеси в тази област и общата характеристика на възрастта. Беше извършен преглед, за да се определи дали различните възрастови групи придават различно значение на дадена тема и дали съществуват различни мнения относно степента, в която това са въпроси, в които ЕС следва да участва. </w:t>
      </w:r>
    </w:p>
    <w:p>
      <w:pPr>
        <w:pStyle w:val="Normal"/>
        <w:widowControl w:val="false"/>
        <w:spacing w:lineRule="auto" w:line="240" w:before="6" w:after="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before="52" w:after="0"/>
        <w:ind w:left="0" w:right="0" w:hanging="0"/>
        <w:jc w:val="left"/>
        <w:rPr>
          <w:rFonts w:ascii="Calibri" w:hAnsi="Calibri"/>
          <w:color w:val="0070C0"/>
          <w:sz w:val="24"/>
        </w:rPr>
      </w:pPr>
      <w:r>
        <w:rPr/>
        <w:t xml:space="preserve">Публикуване на информация и пълнота </w:t>
      </w:r>
    </w:p>
    <w:p>
      <w:pPr>
        <w:pStyle w:val="P68B1DB1Normal76"/>
        <w:widowControl w:val="false"/>
        <w:spacing w:lineRule="auto" w:line="240" w:before="116" w:after="0"/>
        <w:ind w:left="0" w:right="0" w:hanging="0"/>
        <w:jc w:val="left"/>
        <w:rPr/>
      </w:pPr>
      <w:r>
        <w:rPr>
          <w:rFonts w:ascii="Calibri" w:hAnsi="Calibri"/>
          <w:sz w:val="21"/>
        </w:rPr>
        <w:t>Този доклад включва резултатите от всички въпроси, зададени на респондентите от анкетната група. За някои въпроси на респондента е дадена възможност да предостави „отворени“ (т.е. не предварително определени) отговори. След това отворените отговори бяха категоризирани и включени в публикацията. Идеите, споделяни от респондентите в безплатните коментари, се използват, за да бъдат включени в различните тематични диалози, организирани като продължение на процеса на граждански диалог „Визия на Европа“.</w:t>
      </w:r>
      <w:r>
        <w:rPr>
          <w:rFonts w:ascii="Times New Roman" w:hAnsi="Times New Roman"/>
          <w:sz w:val="24"/>
        </w:rPr>
        <w:t xml:space="preserve"> </w:t>
      </w:r>
    </w:p>
    <w:p>
      <w:pPr>
        <w:pStyle w:val="P68B1DB1Normal125"/>
        <w:widowControl w:val="false"/>
        <w:spacing w:lineRule="auto" w:line="240" w:before="233" w:after="0"/>
        <w:ind w:left="0" w:right="0" w:hanging="0"/>
        <w:jc w:val="left"/>
        <w:rPr>
          <w:rFonts w:ascii="Calibri" w:hAnsi="Calibri"/>
          <w:b/>
          <w:b/>
          <w:color w:val="0070C0"/>
          <w:sz w:val="32"/>
        </w:rPr>
      </w:pPr>
      <w:r>
        <w:rPr/>
        <w:t xml:space="preserve">2. Тематични онлайн диалози за задълбочаване </w:t>
      </w:r>
    </w:p>
    <w:p>
      <w:pPr>
        <w:pStyle w:val="P68B1DB1Normal104"/>
        <w:widowControl w:val="false"/>
        <w:spacing w:lineRule="auto" w:line="240"/>
        <w:ind w:left="0" w:right="0" w:hanging="0"/>
        <w:jc w:val="left"/>
        <w:rPr/>
      </w:pPr>
      <w:r>
        <w:rPr/>
        <w:t xml:space="preserve">Темите, които са в основата на Конференцията за бъдещето на Европа, бяха задълбочени чрез осем тематични онлайн диалога. Целта на тези диалози беше да се открият </w:t>
      </w:r>
      <w:r>
        <w:rPr>
          <w:i/>
        </w:rPr>
        <w:t>причините</w:t>
      </w:r>
      <w:r>
        <w:rPr/>
        <w:t xml:space="preserve"> за изразените мнения, както и мотивацията и чувствата зад тях. Какви са възприеманите опасения и възможности? Дискусионните сесии също така позволиха на участниците да формулират предложения и идеи по тези теми, както и да повдигнат въпроси, които не са част от конференцията, но остават важни за тях.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Тематичните диалози се проведоха на 12—14 октомври и 9—11 ноември. През октомври бяха организирани четири онлайн тематични диалога по темите „Икономика„и „Демокрация“. </w:t>
      </w:r>
    </w:p>
    <w:p>
      <w:pPr>
        <w:pStyle w:val="Normal"/>
        <w:widowControl w:val="false"/>
        <w:spacing w:lineRule="auto" w:line="240" w:before="10" w:after="0"/>
        <w:ind w:left="0" w:right="0" w:hanging="0"/>
        <w:jc w:val="left"/>
        <w:rPr/>
      </w:pPr>
      <w:r>
        <w:rPr>
          <w:rFonts w:ascii="Calibri" w:hAnsi="Calibri"/>
          <w:color w:val="000000"/>
          <w:sz w:val="21"/>
        </w:rPr>
        <w:t xml:space="preserve">През ноември бяха проведени четири тематични онлайн диалога по темите „Климат„и „ЕС в света“. Средно 29 души участваха във всяка дискусионна сесия (231 общо). Участниците бяха наети измежду членовете на експертната група (вж. точка 1) и чрез социалните медии. </w:t>
      </w:r>
      <w:r>
        <w:br w:type="page"/>
      </w:r>
    </w:p>
    <w:p>
      <w:pPr>
        <w:pStyle w:val="P68B1DB1Normal125"/>
        <w:spacing w:lineRule="auto" w:line="240"/>
        <w:ind w:left="0" w:right="0" w:hanging="0"/>
        <w:rPr>
          <w:rFonts w:ascii="Calibri" w:hAnsi="Calibri"/>
          <w:b/>
          <w:b/>
          <w:color w:val="0070C0"/>
          <w:sz w:val="32"/>
        </w:rPr>
      </w:pPr>
      <w:r>
        <w:rPr/>
        <w:t xml:space="preserve">3. Диалог с конкретни групи </w:t>
      </w:r>
    </w:p>
    <w:p>
      <w:pPr>
        <w:pStyle w:val="P68B1DB1Normal104"/>
        <w:widowControl w:val="false"/>
        <w:spacing w:lineRule="auto" w:line="240" w:before="73" w:after="0"/>
        <w:ind w:left="0" w:right="0" w:hanging="0"/>
        <w:jc w:val="left"/>
        <w:rPr/>
      </w:pPr>
      <w:r>
        <w:rPr/>
        <w:t xml:space="preserve">Известно е, че някои холандски групи са по-малко свикнали да участват в проучвания и панели (онлайн). За да се получи представителен образ на „гласа на Нидерландия“, беше важно тези граждани също да могат да изразяват своите идеи и мнения. Ето защо организирахме и редица диалози на място за проучването „Визия на Европа“. Мненията и идеите, които успяхме да съберем, бяха използвани като основа (наред с другото) за формулиране на препоръките. </w:t>
      </w:r>
    </w:p>
    <w:p>
      <w:pPr>
        <w:pStyle w:val="P68B1DB1Normal126"/>
        <w:widowControl w:val="false"/>
        <w:spacing w:lineRule="auto" w:line="240" w:before="94" w:after="0"/>
        <w:ind w:left="0" w:right="0" w:hanging="0"/>
        <w:jc w:val="left"/>
        <w:rPr>
          <w:rFonts w:ascii="Calibri" w:hAnsi="Calibri"/>
          <w:color w:val="0070C0"/>
          <w:sz w:val="24"/>
        </w:rPr>
      </w:pPr>
      <w:r>
        <w:rPr/>
        <w:t xml:space="preserve">Целеви групи </w:t>
      </w:r>
    </w:p>
    <w:p>
      <w:pPr>
        <w:pStyle w:val="P68B1DB1Normal110"/>
        <w:widowControl w:val="false"/>
        <w:spacing w:lineRule="auto" w:line="240" w:before="88" w:after="0"/>
        <w:ind w:left="0" w:right="0" w:hanging="0"/>
        <w:jc w:val="left"/>
        <w:rPr/>
      </w:pPr>
      <w:r>
        <w:rPr>
          <w:sz w:val="21"/>
        </w:rPr>
        <w:t xml:space="preserve">Труднодостъпните целеви групи не могат да бъдат определени недвусмислено. Проучванията и опитът ни позволяват да знаем, че холандските хора с </w:t>
      </w:r>
      <w:r>
        <w:rPr>
          <w:b/>
          <w:sz w:val="21"/>
        </w:rPr>
        <w:t>незападен произход участват</w:t>
      </w:r>
      <w:r>
        <w:rPr>
          <w:sz w:val="21"/>
        </w:rPr>
        <w:t>значително по-малко от себе си в разследванията и дискусиите. Тъй като това представлява голяма група (14 % от холандците</w:t>
      </w:r>
      <w:r>
        <w:rPr>
          <w:b/>
          <w:position w:val="6"/>
          <w:sz w:val="14"/>
        </w:rPr>
        <w:t>1</w:t>
      </w:r>
      <w:r>
        <w:rPr>
          <w:sz w:val="21"/>
        </w:rPr>
        <w:t xml:space="preserve">), те бяха избрани да участват в диалога „Визия за Европа“. Същата логика е следвана и по отношение на </w:t>
      </w:r>
      <w:r>
        <w:rPr>
          <w:b/>
          <w:sz w:val="21"/>
        </w:rPr>
        <w:t>лицата с малко образование</w:t>
      </w:r>
      <w:r>
        <w:rPr>
          <w:sz w:val="21"/>
        </w:rPr>
        <w:t>. Това е и голяма група (2,5 милиона холандци</w:t>
      </w:r>
      <w:r>
        <w:rPr>
          <w:position w:val="6"/>
          <w:sz w:val="14"/>
        </w:rPr>
        <w:t>2</w:t>
      </w:r>
      <w:r>
        <w:rPr>
          <w:sz w:val="21"/>
        </w:rPr>
        <w:t xml:space="preserve">), която отчасти се припокрива с мигрантската група (39 %). И накрая, беше проведен диалог с група хора, които рядко се срещат в проучвания и дискусии, </w:t>
      </w:r>
      <w:r>
        <w:rPr>
          <w:b/>
          <w:sz w:val="21"/>
        </w:rPr>
        <w:t>които са критични към Европа, но за които Европа играе важна роля в професионалната сфера.</w:t>
      </w:r>
      <w:r>
        <w:rPr>
          <w:sz w:val="21"/>
        </w:rPr>
        <w:t xml:space="preserve"> Избрани са предприемачи от селскостопанския сектор.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Към посочените по-горе групи се подхожда чрез организации, в които членуват, като например мигрантски организации, сдружения за застъпничество и професионални организации. Тъй като ограничихме броя на диалозите до осем, не можехме да бъдем напълно „изчерпателни“. Това прави избора на участниците донякъде произволен. За да направим този избор, взехме предвид и ентусиазма за участие и помощ за мобилизиране на тяхната база, както и практически въпроси като наличност според датите и местоположението.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Проведени бяха диалози на място с членове на следните организации: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Фондация Hakder, общността на алевите,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Фондация Аша, хиндуистка общност, Утрехт (две дискусионни сесии)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организация на гражданското общество,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организация за нискообразовани хора, Утрехт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сдружение на селскостопанските групи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мароканска общност, Утрехт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Жени за свобода, застъпническа организация за жени с мигрантски произход, Хага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Общо 110 души участваха в тези дискусионни срещи.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25"/>
        <w:widowControl w:val="false"/>
        <w:spacing w:lineRule="auto" w:line="240" w:before="205" w:after="0"/>
        <w:ind w:left="0" w:right="0" w:hanging="0"/>
        <w:jc w:val="left"/>
        <w:rPr>
          <w:rFonts w:ascii="Calibri" w:hAnsi="Calibri"/>
          <w:b/>
          <w:b/>
          <w:color w:val="0070C0"/>
          <w:sz w:val="32"/>
        </w:rPr>
      </w:pPr>
      <w:r>
        <w:rPr/>
        <w:t xml:space="preserve">4. Диалог с младите хора </w:t>
      </w:r>
    </w:p>
    <w:p>
      <w:pPr>
        <w:pStyle w:val="P68B1DB1Normal104"/>
        <w:widowControl w:val="false"/>
        <w:spacing w:lineRule="auto" w:line="240" w:before="145" w:after="0"/>
        <w:ind w:left="0" w:right="0" w:hanging="0"/>
        <w:jc w:val="both"/>
        <w:rPr/>
      </w:pPr>
      <w:r>
        <w:rPr/>
        <w:t xml:space="preserve">Младите хора са приоритетна целева група на Конференцията за бъдещето на Европа. С цел активно да се насърчи участието им в гражданския диалог „Визията на Европа“ и да се чуят добре становищата и идеите на тази група, бяха организирани шест физически дискусионни срещи специално за младите хора.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Заседанията се проведоха в следните институции: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Асоциация на студентите по история, Университет в Лайден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Д-р Knippenberg College, гимназия, Хелмонд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Младежка платформа на Икономическия и социален съвет в рамките на Coalitie-Y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Graafschap College, професионално средно образование, Doetinchem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CSG Jan Arentsz, средно образование, насочено към технологични дисциплини, Алкмаар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Национален младежки съвет (заседанието се проведе извън обекта)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rPr>
        <w:t xml:space="preserve">Общо 110 младежи взеха участие в дискусионните срещи. </w:t>
      </w:r>
      <w:r>
        <w:br w:type="page"/>
      </w:r>
    </w:p>
    <w:p>
      <w:pPr>
        <w:pStyle w:val="P68B1DB1Normal126"/>
        <w:spacing w:lineRule="auto" w:line="240"/>
        <w:ind w:left="0" w:right="0" w:hanging="0"/>
        <w:rPr>
          <w:rFonts w:ascii="Calibri" w:hAnsi="Calibri"/>
          <w:color w:val="0070C0"/>
          <w:sz w:val="24"/>
        </w:rPr>
      </w:pPr>
      <w:r>
        <w:rPr/>
        <w:t xml:space="preserve">Използвани техники за поддръжка </w:t>
      </w:r>
    </w:p>
    <w:p>
      <w:pPr>
        <w:pStyle w:val="P68B1DB1Normal104"/>
        <w:widowControl w:val="false"/>
        <w:spacing w:lineRule="auto" w:line="240" w:before="92" w:after="0"/>
        <w:ind w:left="0" w:right="0" w:hanging="0"/>
        <w:jc w:val="left"/>
        <w:rPr/>
      </w:pPr>
      <w:r>
        <w:rPr/>
        <w:t xml:space="preserve">Онлайн тематични диалози, диалози с конкретни групи и диалози с млади хора бяха проведени по т.нар. „сократичен“ метод на интервю. Този метод се използва в продължение на много години в Деня на диалога, където хората в Холандия си взаимодействат по въпроси, които ги засягат. В контекста на метода на Сократовата поддръжка модераторът взема предвид следните принципи: </w:t>
      </w:r>
    </w:p>
    <w:p>
      <w:pPr>
        <w:pStyle w:val="P68B1DB1Normal105"/>
        <w:widowControl w:val="false"/>
        <w:spacing w:lineRule="auto" w:line="240"/>
        <w:ind w:left="0" w:right="0" w:hanging="0"/>
        <w:jc w:val="left"/>
        <w:rPr/>
      </w:pPr>
      <w:r>
        <w:rPr>
          <w:rFonts w:ascii="Verdana" w:hAnsi="Verdana"/>
        </w:rPr>
        <w:t>Нека</w:t>
      </w:r>
      <w:r>
        <w:rPr/>
        <w:t xml:space="preserve"> другите разкажат своята история. </w:t>
      </w:r>
      <w:r>
        <w:rPr>
          <w:rFonts w:ascii="Calibri" w:hAnsi="Calibri"/>
        </w:rPr>
        <w:t xml:space="preserve"> </w:t>
      </w:r>
    </w:p>
    <w:p>
      <w:pPr>
        <w:pStyle w:val="P68B1DB1Normal105"/>
        <w:widowControl w:val="false"/>
        <w:spacing w:lineRule="auto" w:line="240"/>
        <w:ind w:left="0" w:right="0" w:hanging="0"/>
        <w:jc w:val="left"/>
        <w:rPr/>
      </w:pPr>
      <w:r>
        <w:rPr>
          <w:rFonts w:ascii="Verdana" w:hAnsi="Verdana"/>
        </w:rPr>
        <w:t>Не</w:t>
      </w:r>
      <w:r>
        <w:rPr/>
        <w:t xml:space="preserve"> </w:t>
      </w:r>
      <w:r>
        <w:rPr>
          <w:rFonts w:ascii="Calibri" w:hAnsi="Calibri"/>
        </w:rPr>
        <w:t xml:space="preserve">отговаряйте веднага с друга история.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Отнасяйте се с уважение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Говорете за собствената си гледна точка („Намирам„, а не „те казват“)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Да поиска повече обяснения, ако изразените мнения са ограничени до общи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Избягвайте преценки и ги анализирайте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Дайте моменти на мълчание, ако хората трябва да помислят за момент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По време на диалозите се използва следният ритъм: разминаване — сближаване — разминаване. Принципът е, че първо трябва да се разграничите (пряко да изразявате индивидуални чувства и мнения), преди да можете да се сближите (говорете възможни пътища) и след това най-накрая да се разграничите отново (например, събирайте индивидуални препоръки). Опитът и теорията показват, че този ритъм осигурява оптимален поток на диалог.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Всички диалози бяха проведени от професионални фасилитатори. </w:t>
      </w:r>
    </w:p>
    <w:p>
      <w:pPr>
        <w:pStyle w:val="Normal"/>
        <w:widowControl w:val="false"/>
        <w:spacing w:lineRule="auto" w:line="240" w:before="197" w:after="0"/>
        <w:ind w:left="0" w:right="0" w:hanging="0"/>
        <w:jc w:val="left"/>
        <w:rPr/>
      </w:pPr>
      <w:r>
        <w:rPr>
          <w:rFonts w:ascii="Calibri" w:hAnsi="Calibri"/>
          <w:b/>
          <w:color w:val="0070C0"/>
          <w:sz w:val="32"/>
        </w:rPr>
        <w:t>5. Публично онлайн проучване: Въпросник и „Swipen naar de toekomst“ (</w:t>
      </w:r>
      <w:commentRangeStart w:id="31"/>
      <w:r>
        <w:rPr>
          <w:rFonts w:ascii="Calibri" w:hAnsi="Calibri"/>
          <w:b/>
          <w:color w:val="0070C0"/>
          <w:sz w:val="32"/>
        </w:rPr>
        <w:t>Swiper</w:t>
      </w:r>
      <w:r>
        <w:rPr>
          <w:rFonts w:ascii="Calibri" w:hAnsi="Calibri"/>
          <w:b/>
          <w:color w:val="0070C0"/>
          <w:sz w:val="32"/>
        </w:rPr>
      </w:r>
      <w:commentRangeEnd w:id="31"/>
      <w:r>
        <w:commentReference w:id="31"/>
      </w:r>
      <w:r>
        <w:rPr>
          <w:rFonts w:ascii="Calibri" w:hAnsi="Calibri"/>
          <w:b/>
          <w:color w:val="0070C0"/>
          <w:sz w:val="32"/>
        </w:rPr>
        <w:t xml:space="preserve"> to the future) </w:t>
      </w:r>
    </w:p>
    <w:p>
      <w:pPr>
        <w:pStyle w:val="P68B1DB1Normal110"/>
        <w:widowControl w:val="false"/>
        <w:spacing w:lineRule="auto" w:line="240"/>
        <w:ind w:left="0" w:right="0" w:hanging="0"/>
        <w:jc w:val="left"/>
        <w:rPr/>
      </w:pPr>
      <w:r>
        <w:rPr>
          <w:sz w:val="21"/>
        </w:rPr>
        <w:t>Въпросникът за проучване на панела беше отворен и за всички холандци, включително тези, които пребивават в чужбина. Въпросникът беше на разположение от</w:t>
      </w:r>
      <w:r>
        <w:rPr>
          <w:position w:val="6"/>
          <w:sz w:val="14"/>
        </w:rPr>
        <w:t>1</w:t>
      </w:r>
      <w:r>
        <w:rPr>
          <w:sz w:val="21"/>
        </w:rPr>
        <w:t xml:space="preserve"> септември 2021 г. до 14 ноември 2021 г. В допълнение, през същия период всеки холандец е в състояние да участва в действието „Swipen naar de toekomst“ (Swiper to the future), онлайн инструмент, представящ 20 твърдения. </w:t>
      </w:r>
    </w:p>
    <w:p>
      <w:pPr>
        <w:pStyle w:val="P68B1DB1Normal126"/>
        <w:widowControl w:val="false"/>
        <w:spacing w:lineRule="auto" w:line="240" w:before="14" w:after="0"/>
        <w:ind w:left="0" w:right="0" w:hanging="0"/>
        <w:jc w:val="left"/>
        <w:rPr>
          <w:rFonts w:ascii="Calibri" w:hAnsi="Calibri"/>
          <w:color w:val="0070C0"/>
          <w:sz w:val="24"/>
        </w:rPr>
      </w:pPr>
      <w:r>
        <w:rPr/>
        <w:t xml:space="preserve">Отговори и използване </w:t>
      </w:r>
    </w:p>
    <w:p>
      <w:pPr>
        <w:pStyle w:val="P68B1DB1Normal104"/>
        <w:widowControl w:val="false"/>
        <w:spacing w:lineRule="auto" w:line="240"/>
        <w:ind w:left="0" w:right="0" w:hanging="0"/>
        <w:jc w:val="left"/>
        <w:rPr/>
      </w:pPr>
      <w:r>
        <w:rPr/>
        <w:t xml:space="preserve">Общо 1 967 участници попълниха въпросника, а 6 968 бяха до края на инструмента за сканиране на екрана. Както въпросникът, така и инструментът за сканиране на екрана бяха отворени за всички: не са налице предпоставки или критерии за подбор за участие. Във въпросника беше възможно да се приемат въпроси (няма задължителни въпроси), за да се увеличи максимално процентът на отговорилите. Участниците избират „Предпочитам да не отговарям“ много по-често, отколкото в представителното проучване на панела. </w:t>
      </w:r>
    </w:p>
    <w:p>
      <w:pPr>
        <w:pStyle w:val="P68B1DB1Normal104"/>
        <w:widowControl w:val="false"/>
        <w:spacing w:lineRule="auto" w:line="240"/>
        <w:ind w:left="0" w:right="0" w:hanging="0"/>
        <w:jc w:val="left"/>
        <w:rPr/>
      </w:pPr>
      <w:r>
        <w:rPr/>
        <w:t xml:space="preserve">Общите характеристики на участниците в отворения въпросник и инструмента за сканиране на екрана се различават в няколко отношения от тези на участниците в представителната група. За разлика от проучването на панела, резултатите от отворения въпросник и инструмента за сканиране на екрана не са представителни. Резултатите от онлайн отвореното проучване бяха използвани за допълване на проучването на панела. Те дават представа за чувствата и идеите, които циркулират в Холандия. Предложенията за подобрение, споменати в полетата за въвеждане, бяха използвани в раздел „Дискусии и идеи онлайн и на място“. Инструментът за сканиране на екрана е използван за по-добро разбиране на някои от чувствата, циркулиращи в Холандия. Тези резултати бяха взети предвид при изготвянето на препоръките. Поради изискването за представителност резултатите от разследването, започнато онлайн, са взети предвид в ограничена степен в настоящия доклад.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Настоящият доклад е публикуван от Министерството на външните работи. </w:t>
      </w:r>
      <w:r>
        <w:rPr>
          <w:rFonts w:ascii="Calibri" w:hAnsi="Calibri"/>
          <w:color w:val="0000FF"/>
          <w:sz w:val="21"/>
        </w:rPr>
        <w:t>www.kijkopeuropa.nl</w:t>
      </w:r>
      <w:r>
        <w:rPr>
          <w:rFonts w:ascii="Calibri" w:hAnsi="Calibri"/>
          <w:color w:val="000000"/>
          <w:sz w:val="21"/>
        </w:rPr>
        <w:t xml:space="preserve"> </w:t>
      </w:r>
      <w:r>
        <w:br w:type="page"/>
      </w:r>
    </w:p>
    <w:p>
      <w:pPr>
        <w:pStyle w:val="Titre1"/>
        <w:numPr>
          <w:ilvl w:val="0"/>
          <w:numId w:val="2"/>
        </w:numPr>
        <w:rPr/>
      </w:pPr>
      <w:bookmarkStart w:id="238" w:name="__RefHeading___Toc297359_1346298689"/>
      <w:bookmarkEnd w:id="238"/>
      <w:r>
        <w:rPr/>
        <w:t xml:space="preserve">III — Позоваване на резултатите от национални събития </w:t>
      </w:r>
    </w:p>
    <w:p>
      <w:pPr>
        <w:pStyle w:val="Normal"/>
        <w:widowControl w:val="false"/>
        <w:spacing w:lineRule="auto" w:line="240"/>
        <w:ind w:left="360" w:right="6617" w:hanging="0"/>
        <w:jc w:val="both"/>
        <w:rPr/>
      </w:pPr>
      <w:r>
        <w:rPr>
          <w:rFonts w:ascii="Times New Roman" w:hAnsi="Times New Roman"/>
          <w:color w:val="000000"/>
        </w:rPr>
        <w:t xml:space="preserve">• </w:t>
      </w:r>
      <w:hyperlink r:id="rId120">
        <w:r>
          <w:rPr>
            <w:rStyle w:val="LienInternet"/>
            <w:rFonts w:ascii="Times New Roman" w:hAnsi="Times New Roman"/>
            <w:b/>
            <w:color w:val="0000FF"/>
          </w:rPr>
          <w:t>Белгия</w:t>
        </w:r>
      </w:hyperlink>
      <w:r>
        <w:rPr>
          <w:rFonts w:ascii="Times New Roman" w:hAnsi="Times New Roman"/>
          <w:color w:val="000000"/>
        </w:rPr>
        <w:t xml:space="preserve"> </w:t>
      </w:r>
    </w:p>
    <w:p>
      <w:pPr>
        <w:pStyle w:val="Normal"/>
        <w:widowControl w:val="false"/>
        <w:spacing w:lineRule="auto" w:line="240"/>
        <w:ind w:left="360" w:right="6617" w:hanging="0"/>
        <w:jc w:val="both"/>
        <w:rPr/>
      </w:pPr>
      <w:r>
        <w:rPr>
          <w:rFonts w:ascii="Times New Roman" w:hAnsi="Times New Roman"/>
          <w:color w:val="000000"/>
        </w:rPr>
        <w:t xml:space="preserve">• </w:t>
      </w:r>
      <w:hyperlink r:id="rId121">
        <w:r>
          <w:rPr>
            <w:rStyle w:val="LienInternet"/>
            <w:rFonts w:ascii="Times New Roman" w:hAnsi="Times New Roman"/>
            <w:b/>
            <w:color w:val="0000FF"/>
          </w:rPr>
          <w:t>България</w:t>
        </w:r>
      </w:hyperlink>
    </w:p>
    <w:p>
      <w:pPr>
        <w:pStyle w:val="Normal"/>
        <w:widowControl w:val="false"/>
        <w:spacing w:lineRule="auto" w:line="240"/>
        <w:ind w:left="360" w:right="6617" w:hanging="0"/>
        <w:jc w:val="both"/>
        <w:rPr/>
      </w:pPr>
      <w:r>
        <w:rPr>
          <w:rFonts w:ascii="Times New Roman" w:hAnsi="Times New Roman"/>
          <w:color w:val="000000"/>
        </w:rPr>
        <w:t xml:space="preserve">• </w:t>
      </w:r>
      <w:hyperlink r:id="rId122">
        <w:r>
          <w:rPr>
            <w:rStyle w:val="LienInternet"/>
            <w:rFonts w:ascii="Times New Roman" w:hAnsi="Times New Roman"/>
            <w:b/>
            <w:color w:val="0000FF"/>
          </w:rPr>
          <w:t>Чешка</w:t>
        </w:r>
      </w:hyperlink>
      <w:hyperlink r:id="rId123">
        <w:r>
          <w:rPr>
            <w:rStyle w:val="LienInternet"/>
            <w:rFonts w:ascii="Times New Roman" w:hAnsi="Times New Roman"/>
            <w:b/>
            <w:color w:val="0000FF"/>
          </w:rPr>
          <w:t>република</w:t>
        </w:r>
      </w:hyperlink>
      <w:r>
        <w:rPr>
          <w:rFonts w:ascii="Times New Roman" w:hAnsi="Times New Roman"/>
          <w:color w:val="000000"/>
        </w:rPr>
        <w:t xml:space="preserve"> </w:t>
      </w:r>
    </w:p>
    <w:p>
      <w:pPr>
        <w:pStyle w:val="Normal"/>
        <w:widowControl w:val="false"/>
        <w:spacing w:lineRule="auto" w:line="240"/>
        <w:ind w:left="360" w:right="7697" w:hanging="0"/>
        <w:jc w:val="both"/>
        <w:rPr/>
      </w:pPr>
      <w:r>
        <w:rPr>
          <w:rFonts w:ascii="Times New Roman" w:hAnsi="Times New Roman"/>
          <w:color w:val="000000"/>
        </w:rPr>
        <w:t xml:space="preserve">• </w:t>
      </w:r>
      <w:hyperlink r:id="rId124">
        <w:r>
          <w:rPr>
            <w:rStyle w:val="LienInternet"/>
            <w:rFonts w:ascii="Times New Roman" w:hAnsi="Times New Roman"/>
            <w:b/>
            <w:color w:val="0000FF"/>
          </w:rPr>
          <w:t>Дания</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5">
        <w:r>
          <w:rPr>
            <w:rStyle w:val="LienInternet"/>
            <w:rFonts w:ascii="Times New Roman" w:hAnsi="Times New Roman"/>
            <w:b/>
            <w:color w:val="0000FF"/>
          </w:rPr>
          <w:t>В</w:t>
        </w:r>
      </w:hyperlink>
      <w:hyperlink r:id="rId126">
        <w:r>
          <w:rPr>
            <w:rStyle w:val="LienInternet"/>
            <w:rFonts w:ascii="Times New Roman" w:hAnsi="Times New Roman"/>
            <w:b/>
            <w:color w:val="0000FF"/>
          </w:rPr>
          <w:t>Llemagne</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7">
        <w:r>
          <w:rPr>
            <w:rStyle w:val="LienInternet"/>
            <w:rFonts w:ascii="Times New Roman" w:hAnsi="Times New Roman"/>
            <w:b/>
            <w:color w:val="0000FF"/>
          </w:rPr>
          <w:t>Естония</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8">
        <w:r>
          <w:rPr>
            <w:rStyle w:val="LienInternet"/>
            <w:rFonts w:ascii="Times New Roman" w:hAnsi="Times New Roman"/>
            <w:b/>
            <w:color w:val="0000FF"/>
          </w:rPr>
          <w:t>Ирландия</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9">
        <w:r>
          <w:rPr>
            <w:rStyle w:val="LienInternet"/>
            <w:rFonts w:ascii="Times New Roman" w:hAnsi="Times New Roman"/>
            <w:b/>
            <w:color w:val="0000FF"/>
          </w:rPr>
          <w:t>Гърция</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0">
        <w:r>
          <w:rPr>
            <w:rStyle w:val="LienInternet"/>
            <w:rFonts w:ascii="Times New Roman" w:hAnsi="Times New Roman"/>
            <w:b/>
            <w:color w:val="0000FF"/>
          </w:rPr>
          <w:t>Испания</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1">
        <w:r>
          <w:rPr>
            <w:rStyle w:val="LienInternet"/>
            <w:rFonts w:ascii="Times New Roman" w:hAnsi="Times New Roman"/>
            <w:b/>
            <w:color w:val="0000FF"/>
          </w:rPr>
          <w:t>Франция</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2">
        <w:r>
          <w:rPr>
            <w:rStyle w:val="LienInternet"/>
            <w:rFonts w:ascii="Times New Roman" w:hAnsi="Times New Roman"/>
            <w:b/>
            <w:color w:val="0000FF"/>
          </w:rPr>
          <w:t>Хърватия</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3">
        <w:r>
          <w:rPr>
            <w:rStyle w:val="LienInternet"/>
            <w:rFonts w:ascii="Times New Roman" w:hAnsi="Times New Roman"/>
            <w:b/>
            <w:color w:val="0000FF"/>
          </w:rPr>
          <w:t>Италия</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4">
        <w:r>
          <w:rPr>
            <w:rStyle w:val="LienInternet"/>
            <w:rFonts w:ascii="Times New Roman" w:hAnsi="Times New Roman"/>
            <w:b/>
            <w:color w:val="0000FF"/>
          </w:rPr>
          <w:t>Кипър</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5">
        <w:r>
          <w:rPr>
            <w:rStyle w:val="LienInternet"/>
            <w:rFonts w:ascii="Times New Roman" w:hAnsi="Times New Roman"/>
            <w:b/>
            <w:color w:val="0000FF"/>
          </w:rPr>
          <w:t>Латвия</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6">
        <w:r>
          <w:rPr>
            <w:rStyle w:val="LienInternet"/>
            <w:rFonts w:ascii="Times New Roman" w:hAnsi="Times New Roman"/>
            <w:b/>
            <w:color w:val="0000FF"/>
          </w:rPr>
          <w:t>Литва</w:t>
        </w:r>
      </w:hyperlink>
      <w:r>
        <w:rPr>
          <w:rFonts w:ascii="Times New Roman" w:hAnsi="Times New Roman"/>
          <w:color w:val="000000"/>
        </w:rPr>
        <w:t xml:space="preserve"> </w:t>
      </w:r>
    </w:p>
    <w:p>
      <w:pPr>
        <w:pStyle w:val="Normal"/>
        <w:widowControl w:val="false"/>
        <w:spacing w:lineRule="auto" w:line="240"/>
        <w:ind w:left="360" w:right="7457" w:hanging="0"/>
        <w:jc w:val="left"/>
        <w:rPr/>
      </w:pPr>
      <w:r>
        <w:rPr>
          <w:rFonts w:ascii="Times New Roman" w:hAnsi="Times New Roman"/>
          <w:color w:val="000000"/>
        </w:rPr>
        <w:t xml:space="preserve">• </w:t>
      </w:r>
      <w:hyperlink r:id="rId137">
        <w:r>
          <w:rPr>
            <w:rStyle w:val="LienInternet"/>
            <w:rFonts w:ascii="Times New Roman" w:hAnsi="Times New Roman"/>
            <w:b/>
            <w:color w:val="0000FF"/>
          </w:rPr>
          <w:t>Люксембург</w:t>
        </w:r>
      </w:hyperlink>
    </w:p>
    <w:p>
      <w:pPr>
        <w:pStyle w:val="Normal"/>
        <w:widowControl w:val="false"/>
        <w:spacing w:lineRule="auto" w:line="240"/>
        <w:ind w:left="360" w:right="7457" w:hanging="0"/>
        <w:jc w:val="left"/>
        <w:rPr/>
      </w:pPr>
      <w:r>
        <w:rPr>
          <w:rFonts w:ascii="Times New Roman" w:hAnsi="Times New Roman"/>
          <w:color w:val="000000"/>
        </w:rPr>
        <w:t xml:space="preserve">• </w:t>
      </w:r>
      <w:hyperlink r:id="rId138">
        <w:r>
          <w:rPr>
            <w:rStyle w:val="LienInternet"/>
            <w:rFonts w:ascii="Times New Roman" w:hAnsi="Times New Roman"/>
            <w:b/>
            <w:color w:val="0000FF"/>
          </w:rPr>
          <w:t>Унгария</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9">
        <w:r>
          <w:rPr>
            <w:rStyle w:val="LienInternet"/>
            <w:rFonts w:ascii="Times New Roman" w:hAnsi="Times New Roman"/>
            <w:b/>
            <w:color w:val="0000FF"/>
          </w:rPr>
          <w:t>Малта</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0">
        <w:r>
          <w:rPr>
            <w:rStyle w:val="LienInternet"/>
            <w:rFonts w:ascii="Times New Roman" w:hAnsi="Times New Roman"/>
            <w:b/>
            <w:color w:val="0000FF"/>
          </w:rPr>
          <w:t>Холандия</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1">
        <w:r>
          <w:rPr>
            <w:rStyle w:val="LienInternet"/>
            <w:rFonts w:ascii="Times New Roman" w:hAnsi="Times New Roman"/>
            <w:b/>
            <w:color w:val="0000FF"/>
          </w:rPr>
          <w:t>Австрия</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2">
        <w:r>
          <w:rPr>
            <w:rStyle w:val="LienInternet"/>
            <w:rFonts w:ascii="Times New Roman" w:hAnsi="Times New Roman"/>
            <w:b/>
            <w:color w:val="0000FF"/>
          </w:rPr>
          <w:t>Полша</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3">
        <w:r>
          <w:rPr>
            <w:rStyle w:val="LienInternet"/>
            <w:rFonts w:ascii="Times New Roman" w:hAnsi="Times New Roman"/>
            <w:b/>
            <w:color w:val="0000FF"/>
          </w:rPr>
          <w:t>Португалия</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4">
        <w:r>
          <w:rPr>
            <w:rStyle w:val="LienInternet"/>
            <w:rFonts w:ascii="Times New Roman" w:hAnsi="Times New Roman"/>
            <w:b/>
            <w:color w:val="0000FF"/>
          </w:rPr>
          <w:t>Румъния</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5">
        <w:r>
          <w:rPr>
            <w:rStyle w:val="LienInternet"/>
            <w:rFonts w:ascii="Times New Roman" w:hAnsi="Times New Roman"/>
            <w:b/>
            <w:color w:val="0000FF"/>
          </w:rPr>
          <w:t>Словения</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6">
        <w:r>
          <w:rPr>
            <w:rStyle w:val="LienInternet"/>
            <w:rFonts w:ascii="Times New Roman" w:hAnsi="Times New Roman"/>
            <w:b/>
            <w:color w:val="0000FF"/>
          </w:rPr>
          <w:t>Словакия</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7">
        <w:r>
          <w:rPr>
            <w:rStyle w:val="LienInternet"/>
            <w:rFonts w:ascii="Times New Roman" w:hAnsi="Times New Roman"/>
            <w:b/>
            <w:color w:val="0000FF"/>
          </w:rPr>
          <w:t>Финландия</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8">
        <w:r>
          <w:rPr>
            <w:rStyle w:val="LienInternet"/>
            <w:rFonts w:ascii="Times New Roman" w:hAnsi="Times New Roman"/>
            <w:b/>
            <w:color w:val="0000FF"/>
          </w:rPr>
          <w:t>Швеция</w:t>
        </w:r>
      </w:hyperlink>
      <w:r>
        <w:rPr>
          <w:rFonts w:ascii="Times New Roman" w:hAnsi="Times New Roman"/>
          <w:color w:val="000000"/>
        </w:rPr>
        <w:t xml:space="preserve"> </w:t>
      </w:r>
    </w:p>
    <w:p>
      <w:pPr>
        <w:pStyle w:val="Normal"/>
        <w:spacing w:lineRule="auto" w:line="240"/>
        <w:ind w:left="0" w:right="0" w:hanging="0"/>
        <w:rPr>
          <w:rFonts w:ascii="Times New Roman" w:hAnsi="Times New Roman"/>
          <w:sz w:val="22"/>
        </w:rPr>
      </w:pPr>
      <w:r>
        <w:rPr>
          <w:rFonts w:ascii="Times New Roman" w:hAnsi="Times New Roman"/>
          <w:sz w:val="22"/>
        </w:rPr>
      </w:r>
      <w:r>
        <w:br w:type="page"/>
      </w:r>
    </w:p>
    <w:p>
      <w:pPr>
        <w:pStyle w:val="Titre1"/>
        <w:numPr>
          <w:ilvl w:val="0"/>
          <w:numId w:val="2"/>
        </w:numPr>
        <w:rPr/>
      </w:pPr>
      <w:bookmarkStart w:id="239" w:name="__RefHeading___Toc344888_2081073262"/>
      <w:bookmarkEnd w:id="239"/>
      <w:r>
        <w:rPr/>
        <w:t xml:space="preserve">IV — Позоваване на доклада на многоезичната цифрова платформа </w:t>
      </w:r>
    </w:p>
    <w:p>
      <w:pPr>
        <w:pStyle w:val="P68B1DB1Normal34"/>
        <w:widowControl w:val="false"/>
        <w:spacing w:lineRule="exact" w:line="393"/>
        <w:ind w:left="0" w:right="0" w:hanging="0"/>
        <w:jc w:val="left"/>
        <w:rPr>
          <w:rFonts w:ascii="Arial" w:hAnsi="Arial"/>
          <w:color w:val="000000"/>
          <w:sz w:val="24"/>
        </w:rPr>
      </w:pPr>
      <w:r>
        <w:rPr/>
        <w:t xml:space="preserve"> </w:t>
      </w:r>
    </w:p>
    <w:p>
      <w:pPr>
        <w:pStyle w:val="Normal"/>
        <w:widowControl w:val="false"/>
        <w:spacing w:lineRule="exact" w:line="331" w:before="4" w:after="0"/>
        <w:ind w:left="0" w:right="360" w:hanging="0"/>
        <w:jc w:val="left"/>
        <w:rPr/>
      </w:pPr>
      <w:hyperlink r:id="rId149">
        <w:r>
          <w:rPr>
            <w:rStyle w:val="LienInternet"/>
            <w:color w:val="0000FF"/>
            <w:sz w:val="24"/>
          </w:rPr>
          <w:t>PL</w:t>
        </w:r>
      </w:hyperlink>
      <w:hyperlink r:id="rId150">
        <w:r>
          <w:rPr>
            <w:rStyle w:val="LienInternet"/>
            <w:color w:val="0000FF"/>
            <w:sz w:val="24"/>
          </w:rPr>
          <w:t>многоезична</w:t>
        </w:r>
      </w:hyperlink>
      <w:hyperlink r:id="rId151">
        <w:r>
          <w:rPr>
            <w:rStyle w:val="LienInternet"/>
            <w:color w:val="0000FF"/>
            <w:sz w:val="24"/>
          </w:rPr>
          <w:t xml:space="preserve">форма на Конференцията за бъдещето на Европа — доклад отфевруари 2022 г. </w:t>
        </w:r>
      </w:hyperlink>
    </w:p>
    <w:p>
      <w:pPr>
        <w:pStyle w:val="P68B1DB1Normal131"/>
        <w:widowControl w:val="false"/>
        <w:spacing w:lineRule="exact" w:line="393" w:before="4" w:after="0"/>
        <w:ind w:left="0" w:right="0" w:hanging="0"/>
        <w:jc w:val="left"/>
        <w:rPr>
          <w:rFonts w:ascii="Arial" w:hAnsi="Arial"/>
          <w:color w:val="0000FF"/>
          <w:sz w:val="24"/>
        </w:rPr>
      </w:pPr>
      <w:r>
        <w:rPr/>
        <w:t xml:space="preserve"> </w:t>
      </w:r>
    </w:p>
    <w:p>
      <w:pPr>
        <w:pStyle w:val="Normal"/>
        <w:spacing w:lineRule="auto" w:line="240"/>
        <w:ind w:left="0" w:right="0" w:hanging="0"/>
        <w:rPr/>
      </w:pPr>
      <w:r>
        <w:rPr/>
      </w:r>
      <w:r>
        <w:br w:type="page"/>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before="7665" w:after="57"/>
        <w:ind w:left="0" w:right="0" w:hanging="0"/>
        <w:rPr/>
      </w:pPr>
      <w:r>
        <w:rPr/>
        <w:drawing>
          <wp:anchor behindDoc="0" distT="0" distB="0" distL="0" distR="0" simplePos="0" locked="0" layoutInCell="1" allowOverlap="1" relativeHeight="43">
            <wp:simplePos x="0" y="0"/>
            <wp:positionH relativeFrom="column">
              <wp:align>center</wp:align>
            </wp:positionH>
            <wp:positionV relativeFrom="paragraph">
              <wp:posOffset>635</wp:posOffset>
            </wp:positionV>
            <wp:extent cx="6120130" cy="4867275"/>
            <wp:effectExtent l="0" t="0" r="0" b="0"/>
            <wp:wrapTopAndBottom/>
            <wp:docPr id="111" name="Снимка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Снимка 48" descr=""/>
                    <pic:cNvPicPr>
                      <a:picLocks noChangeAspect="1" noChangeArrowheads="1"/>
                    </pic:cNvPicPr>
                  </pic:nvPicPr>
                  <pic:blipFill>
                    <a:blip r:embed="rId152"/>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pPr>
      <w:r>
        <w:rPr/>
        <w:t>PDF ISBN 978—92—824—8655—9 doi:10.2860/25889 QC-05—22—131-EN-N Print ISBN 978—92—824—8729—7 doi:10.2860/533066 QC-05—22—131-EN-C</w:t>
      </w:r>
    </w:p>
    <w:p>
      <w:pPr>
        <w:pStyle w:val="P68B1DB1Normal132"/>
        <w:widowControl w:val="false"/>
        <w:spacing w:lineRule="exact" w:line="330" w:before="117" w:after="0"/>
        <w:ind w:left="1668" w:right="0" w:firstLine="2132"/>
        <w:jc w:val="right"/>
        <w:rPr/>
      </w:pPr>
      <w:r>
        <w:rPr/>
        <w:t>© Европейски съюз, 2022 г. Разрешена повторна употреба, при условие че източникът е посочен.</w:t>
      </w:r>
    </w:p>
    <w:p>
      <w:pPr>
        <w:pStyle w:val="Normal"/>
        <w:spacing w:before="57" w:after="57"/>
        <w:ind w:left="0" w:right="0" w:hanging="0"/>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Този термин „междуевропейски“ е объркан.</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странно групиране</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странно групиране</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странно групиране</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в курсив в първоначалния доклад на френски език</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оригиналът е „другар“</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Добавих „s“ (множество, предоставено с данъци)</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Добавих тирето</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добавена е главна буква</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Премахнах „s“</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оригиналът е имал табло за управление; Не знам какво е таблото за управление; Поради това поисках превод на текста на английски език от Google, в който е посочено „dashboard„, което е разбираемо на френски език. eTranslation също така посочва „dashboard“</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Сложих главна буква.</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Добавих „е“</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Добавих „s“</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оригиналът е имал „референди“; тъй като другаде има „референдум„с акценти, множественото число трябва да бъде „referenda“, като се използва латинската деклинация.</w:t>
      </w:r>
    </w:p>
    <w:p>
      <w:r>
        <w:rPr>
          <w:rFonts w:ascii="Times New Roman" w:hAnsi="Times New Roman" w:eastAsia="Segoe UI" w:cs="Tahoma"/>
          <w:color w:val="auto"/>
          <w:kern w:val="0"/>
          <w:sz w:val="24"/>
          <w:szCs w:val="24"/>
          <w:lang w:val="en-US" w:eastAsia="en-US" w:bidi="en-US"/>
        </w:rPr>
        <w:t xml:space="preserve">вижте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там също имаше „референди“.</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Оригиналът е „в списъците на механизмите на чекмеджето“? Не разбирам, така че преведох от английската версия.</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Оригиналът на френски език е „уебсайтът на омбудсмана е добре направен, но не е с европейска марка“. Терминът „маркирано“ е неразбираем. Текстът на английски език е „Уебсайтът на омбудсмана е добре направен, но няма подходящ европейски образ“, затова го заменям с по-разбираем директен превод на английски език.</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оригиналът на френски език е „публичен„, което не е предоставено с „консултация“. Това обществена консултация ли беше или обществена консултация?</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имало е „ангели“</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добавени главни букви (търговски имена)</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„la„се заменя с „the“</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заменено с „вземане„с „вземане“</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премахване на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добавено е „s“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Не разбирам „Суипър“</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добавяне на „s“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заглавие на 2 чужди езика: странно</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tab/>
      </w:r>
      <w:r>
        <w:rPr/>
        <w:t>Препоръки на гражданите, на които се основава предложението: #3, #17, #18, #19</w:t>
      </w:r>
    </w:p>
  </w:endnote>
  <w:endnote w:id="3">
    <w:p>
      <w:pPr>
        <w:pStyle w:val="Notedefin"/>
        <w:suppressLineNumbers/>
        <w:spacing w:before="57" w:after="57"/>
        <w:ind w:left="339" w:right="0" w:hanging="339"/>
        <w:rPr/>
      </w:pPr>
      <w:r>
        <w:rPr>
          <w:rStyle w:val="Caractresdenotedefin"/>
        </w:rPr>
        <w:endnoteRef/>
      </w:r>
      <w:r>
        <w:rPr/>
        <w:tab/>
      </w:r>
      <w:r>
        <w:rPr/>
        <w:t># = препоръка на европейските граждански панели.</w:t>
      </w:r>
    </w:p>
  </w:endnote>
  <w:endnote w:id="4">
    <w:p>
      <w:pPr>
        <w:pStyle w:val="Notedefin"/>
        <w:suppressLineNumbers/>
        <w:spacing w:before="57" w:after="57"/>
        <w:ind w:left="339" w:right="0" w:hanging="339"/>
        <w:rPr/>
      </w:pPr>
      <w:r>
        <w:rPr>
          <w:rStyle w:val="Caractresdenotedefin"/>
        </w:rPr>
        <w:endnoteRef/>
      </w:r>
      <w:r>
        <w:rPr/>
        <w:tab/>
      </w:r>
      <w:r>
        <w:rPr/>
        <w:t>Препоръки на гражданите, на които се основава предложението: #39, #40, #41, #42, #43, NL1, NL2, #51</w:t>
      </w:r>
    </w:p>
  </w:endnote>
  <w:endnote w:id="5">
    <w:p>
      <w:pPr>
        <w:pStyle w:val="Notedefin"/>
        <w:suppressLineNumbers/>
        <w:spacing w:before="57" w:after="57"/>
        <w:ind w:left="339" w:right="0" w:hanging="339"/>
        <w:rPr/>
      </w:pPr>
      <w:r>
        <w:rPr>
          <w:rStyle w:val="Caractresdenotedefin"/>
        </w:rPr>
        <w:endnoteRef/>
      </w:r>
      <w:r>
        <w:rPr/>
        <w:tab/>
      </w:r>
      <w:r>
        <w:rPr/>
        <w:t>Препоръка на национален граждански панел</w:t>
      </w:r>
    </w:p>
  </w:endnote>
  <w:endnote w:id="6">
    <w:p>
      <w:pPr>
        <w:pStyle w:val="Notedefin"/>
        <w:suppressLineNumbers/>
        <w:spacing w:before="57" w:after="57"/>
        <w:ind w:left="339" w:right="0" w:hanging="339"/>
        <w:rPr/>
      </w:pPr>
      <w:r>
        <w:rPr>
          <w:rStyle w:val="Caractresdenotedefin"/>
        </w:rPr>
        <w:endnoteRef/>
      </w:r>
      <w:r>
        <w:rPr/>
        <w:tab/>
      </w:r>
      <w:r>
        <w:rPr/>
        <w:t>Препоръки на гражданите, на които се основава предложението: #44, #45, #46, #47, #50</w:t>
      </w:r>
    </w:p>
  </w:endnote>
  <w:endnote w:id="7">
    <w:p>
      <w:pPr>
        <w:pStyle w:val="Notedefin"/>
        <w:suppressLineNumbers/>
        <w:spacing w:before="57" w:after="57"/>
        <w:ind w:left="339" w:right="0" w:hanging="339"/>
        <w:rPr/>
      </w:pPr>
      <w:r>
        <w:rPr>
          <w:rStyle w:val="Caractresdenotedefin"/>
        </w:rPr>
        <w:endnoteRef/>
      </w:r>
      <w:r>
        <w:rPr/>
        <w:tab/>
      </w:r>
      <w:r>
        <w:rPr/>
        <w:t>Препоръки на гражданите, на които се основава предложението: #39, #40, #45, #48, #50, FRchangement8, FRswait11, #51</w:t>
      </w:r>
    </w:p>
  </w:endnote>
  <w:endnote w:id="8">
    <w:p>
      <w:pPr>
        <w:pStyle w:val="Notedefin"/>
        <w:suppressLineNumbers/>
        <w:spacing w:before="57" w:after="57"/>
        <w:ind w:left="339" w:right="0" w:hanging="339"/>
        <w:rPr/>
      </w:pPr>
      <w:r>
        <w:rPr>
          <w:rStyle w:val="Caractresdenotedefin"/>
        </w:rPr>
        <w:endnoteRef/>
      </w:r>
      <w:r>
        <w:rPr/>
        <w:tab/>
      </w:r>
      <w:r>
        <w:rPr/>
        <w:t>Препоръките на нидерландския граждански панел се различават от препоръките на Европейския граждански панел: той твърди, че здравеопазването и здравеопазването следва да бъдат преди всичко национална отговорност [NL3].</w:t>
      </w:r>
    </w:p>
  </w:endnote>
  <w:endnote w:id="9">
    <w:p>
      <w:pPr>
        <w:pStyle w:val="Notedefin"/>
        <w:suppressLineNumbers/>
        <w:spacing w:before="57" w:after="57"/>
        <w:ind w:left="339" w:right="0" w:hanging="339"/>
        <w:rPr/>
      </w:pPr>
      <w:r>
        <w:rPr>
          <w:rStyle w:val="Caractresdenotedefin"/>
        </w:rPr>
        <w:endnoteRef/>
      </w:r>
      <w:r>
        <w:rPr/>
        <w:tab/>
      </w:r>
      <w:r>
        <w:rPr/>
        <w:t>Препоръки на гражданите, на които се основава предложението: Европейски граждански панел 1: 9, 10, 11, 12, 14; Холандия: 1; Италия: 1.1; Литва: 3, 8.</w:t>
      </w:r>
    </w:p>
  </w:endnote>
  <w:endnote w:id="10">
    <w:p>
      <w:pPr>
        <w:pStyle w:val="Notedefin"/>
        <w:suppressLineNumbers/>
        <w:spacing w:before="57" w:after="57"/>
        <w:ind w:left="339" w:right="0" w:hanging="339"/>
        <w:rPr/>
      </w:pPr>
      <w:r>
        <w:rPr>
          <w:rStyle w:val="Caractresdenotedefin"/>
        </w:rPr>
        <w:endnoteRef/>
      </w:r>
      <w:r>
        <w:rPr/>
        <w:tab/>
      </w:r>
      <w:r>
        <w:rPr/>
        <w:t>Препоръки на гражданите, на които се основава предложението: Европейски граждански панел 1: 10, 11 и 14; Германия: 2.1, 2.2; Холандия: 1, 2; Франция: 3, 9; Италия: 1,2, 1.3, 1.4, 1.5, 2.1, 2.2, 2,4, 4.a.2, 6.1; Литва: 1, 7.</w:t>
      </w:r>
    </w:p>
  </w:endnote>
  <w:endnote w:id="11">
    <w:p>
      <w:pPr>
        <w:pStyle w:val="Notedefin"/>
        <w:suppressLineNumbers/>
        <w:spacing w:before="57" w:after="57"/>
        <w:ind w:left="339" w:right="0" w:hanging="339"/>
        <w:rPr/>
      </w:pPr>
      <w:r>
        <w:rPr>
          <w:rStyle w:val="Caractresdenotedefin"/>
        </w:rPr>
        <w:endnoteRef/>
      </w:r>
      <w:r>
        <w:rPr/>
        <w:tab/>
      </w:r>
      <w:r>
        <w:rPr/>
        <w:t>Препоръки на гражданите, на които се основава предложението: Европейски граждански панел 1: 1, 2, 7, 28, 30; Германия: 4.1, 4.2; Холандия: 4; Франция: 6; Италия: 5.a.1, 5.a.4, 6.1, 6.2.</w:t>
      </w:r>
    </w:p>
  </w:endnote>
  <w:endnote w:id="12">
    <w:p>
      <w:pPr>
        <w:pStyle w:val="Notedefin"/>
        <w:suppressLineNumbers/>
        <w:spacing w:before="57" w:after="57"/>
        <w:ind w:left="339" w:right="0" w:hanging="339"/>
        <w:rPr/>
      </w:pPr>
      <w:r>
        <w:rPr>
          <w:rStyle w:val="Caractresdenotedefin"/>
        </w:rPr>
        <w:endnoteRef/>
      </w:r>
      <w:r>
        <w:rPr/>
        <w:tab/>
      </w:r>
      <w:r>
        <w:rPr/>
        <w:t>Препоръки на гражданите, на които се основава предложението: Европейски граждански панел 1: 19, 20, 21, 25; Италия: 4.a.1.</w:t>
      </w:r>
    </w:p>
  </w:endnote>
  <w:endnote w:id="13">
    <w:p>
      <w:pPr>
        <w:pStyle w:val="Notedefin"/>
        <w:suppressLineNumbers/>
        <w:spacing w:before="57" w:after="57"/>
        <w:ind w:left="339" w:right="0" w:hanging="339"/>
        <w:rPr/>
      </w:pPr>
      <w:r>
        <w:rPr>
          <w:rStyle w:val="Caractresdenotedefin"/>
        </w:rPr>
        <w:endnoteRef/>
      </w:r>
      <w:r>
        <w:rPr/>
        <w:tab/>
        <w:t xml:space="preserve"> </w:t>
      </w:r>
      <w:r>
        <w:rPr/>
        <w:t>Препоръки на гражданите, на които се основава предложението: Европейски граждански панел 1: 21, 22, 23, 26, 27; Италия: 5.a.1.</w:t>
      </w:r>
    </w:p>
  </w:endnote>
  <w:endnote w:id="14">
    <w:p>
      <w:pPr>
        <w:pStyle w:val="Notedefin"/>
        <w:suppressLineNumbers/>
        <w:spacing w:before="57" w:after="57"/>
        <w:ind w:left="339" w:right="0" w:hanging="339"/>
        <w:rPr/>
      </w:pPr>
      <w:r>
        <w:rPr>
          <w:rStyle w:val="Caractresdenotedefin"/>
        </w:rPr>
        <w:endnoteRef/>
      </w:r>
      <w:r>
        <w:rPr/>
        <w:tab/>
        <w:t xml:space="preserve"> </w:t>
      </w:r>
      <w:r>
        <w:rPr/>
        <w:t>Препоръки на гражданите, на които се основава предложението: Европейски граждански панел 1: 13, 31; Холандия: 2.3; Италия: 4.b.3, 4.b.6; Литва: 9, 10.</w:t>
      </w:r>
    </w:p>
  </w:endnote>
  <w:endnote w:id="15">
    <w:p>
      <w:pPr>
        <w:pStyle w:val="Notedefin"/>
        <w:suppressLineNumbers/>
        <w:spacing w:before="57" w:after="57"/>
        <w:ind w:left="339" w:right="0" w:hanging="339"/>
        <w:rPr/>
      </w:pPr>
      <w:r>
        <w:rPr>
          <w:rStyle w:val="Caractresdenotedefin"/>
        </w:rPr>
        <w:endnoteRef/>
      </w:r>
      <w:r>
        <w:rPr/>
        <w:tab/>
      </w:r>
      <w:r>
        <w:rPr/>
        <w:t>Въз основа на обсъжданията на работната група и на пленарната сесия.</w:t>
      </w:r>
    </w:p>
  </w:endnote>
  <w:endnote w:id="16">
    <w:p>
      <w:pPr>
        <w:pStyle w:val="Notedefin"/>
        <w:suppressLineNumbers/>
        <w:spacing w:before="57" w:after="57"/>
        <w:ind w:left="339" w:right="0" w:hanging="339"/>
        <w:rPr/>
      </w:pPr>
      <w:r>
        <w:rPr>
          <w:rStyle w:val="Caractresdenotedefin"/>
        </w:rPr>
        <w:endnoteRef/>
      </w:r>
      <w:r>
        <w:rPr/>
        <w:tab/>
      </w:r>
      <w:r>
        <w:rPr/>
        <w:t>Вж. Препоръка № 1 от ECP4, Препоръка № 2 на НЗК Германия, експертна група 1 „ЕС в света“, и на Италия НЗК, група 2, точка 1, разработена в рамките на работната група.</w:t>
      </w:r>
    </w:p>
  </w:endnote>
  <w:endnote w:id="17">
    <w:p>
      <w:pPr>
        <w:pStyle w:val="Notedefin"/>
        <w:suppressLineNumbers/>
        <w:spacing w:before="57" w:after="57"/>
        <w:ind w:left="339" w:right="0" w:hanging="339"/>
        <w:rPr/>
      </w:pPr>
      <w:r>
        <w:rPr>
          <w:rStyle w:val="Caractresdenotedefin"/>
        </w:rPr>
        <w:endnoteRef/>
      </w:r>
      <w:r>
        <w:rPr/>
        <w:tab/>
      </w:r>
      <w:r>
        <w:rPr/>
        <w:t>Вж. препоръка 4 от ЕКП4 и препоръки 5 и 6 на НТК на Италия, група 2, разработена в рамките на работната група.</w:t>
      </w:r>
    </w:p>
  </w:endnote>
  <w:endnote w:id="18">
    <w:p>
      <w:pPr>
        <w:pStyle w:val="Notedefin"/>
        <w:suppressLineNumbers/>
        <w:spacing w:before="57" w:after="57"/>
        <w:ind w:left="339" w:right="0" w:hanging="339"/>
        <w:rPr/>
      </w:pPr>
      <w:r>
        <w:rPr>
          <w:rStyle w:val="Caractresdenotedefin"/>
        </w:rPr>
        <w:endnoteRef/>
      </w:r>
      <w:r>
        <w:rPr/>
        <w:tab/>
      </w:r>
      <w:r>
        <w:rPr/>
        <w:t xml:space="preserve">Вж. цифровата платформа и препоръки 2 и 3 на италианския НЗК, група 2, разработена в рамките на работната група, </w:t>
      </w:r>
      <w:hyperlink r:id="rId1">
        <w:r>
          <w:rPr>
            <w:rStyle w:val="LienInternet"/>
          </w:rPr>
          <w:t>https://futureu.europa.eu/processes/EUInTheWorld/f/16/proposals/197870?locale=fr</w:t>
        </w:r>
      </w:hyperlink>
      <w:r>
        <w:rPr/>
        <w:t>.</w:t>
      </w:r>
    </w:p>
  </w:endnote>
  <w:endnote w:id="19">
    <w:p>
      <w:pPr>
        <w:pStyle w:val="Notedefin"/>
        <w:suppressLineNumbers/>
        <w:spacing w:before="57" w:after="57"/>
        <w:ind w:left="339" w:right="0" w:hanging="339"/>
        <w:rPr/>
      </w:pPr>
      <w:r>
        <w:rPr>
          <w:rStyle w:val="Caractresdenotedefin"/>
        </w:rPr>
        <w:endnoteRef/>
      </w:r>
      <w:r>
        <w:rPr/>
        <w:tab/>
      </w:r>
      <w:r>
        <w:rPr/>
        <w:t>Вж. Препоръка 14 от ЕПП 4, разработена в работната група.</w:t>
      </w:r>
    </w:p>
  </w:endnote>
  <w:endnote w:id="20">
    <w:p>
      <w:pPr>
        <w:pStyle w:val="Notedefin"/>
        <w:suppressLineNumbers/>
        <w:spacing w:before="57" w:after="57"/>
        <w:ind w:left="339" w:right="0" w:hanging="339"/>
        <w:rPr/>
      </w:pPr>
      <w:r>
        <w:rPr>
          <w:rStyle w:val="Caractresdenotedefin"/>
        </w:rPr>
        <w:endnoteRef/>
      </w:r>
      <w:r>
        <w:rPr/>
        <w:tab/>
      </w:r>
      <w:r>
        <w:rPr/>
        <w:t>Вж. Препоръка № 2 от ECP4 и Препоръка № 4 на националните звена за контакт на Италия, група 2, разработени в рамките на работната група.</w:t>
      </w:r>
    </w:p>
  </w:endnote>
  <w:endnote w:id="21">
    <w:p>
      <w:pPr>
        <w:pStyle w:val="Notedefin"/>
        <w:suppressLineNumbers/>
        <w:spacing w:before="57" w:after="57"/>
        <w:ind w:left="339" w:right="0" w:hanging="339"/>
        <w:rPr/>
      </w:pPr>
      <w:r>
        <w:rPr>
          <w:rStyle w:val="Caractresdenotedefin"/>
        </w:rPr>
        <w:endnoteRef/>
      </w:r>
      <w:r>
        <w:rPr/>
        <w:tab/>
      </w:r>
      <w:r>
        <w:rPr/>
        <w:t>Вж. Препоръка № 17 от ECP4 и Препоръка № 4 на националните звена за контакт на Италия, група 2, разработени в рамките на работната група.</w:t>
      </w:r>
    </w:p>
  </w:endnote>
  <w:endnote w:id="22">
    <w:p>
      <w:pPr>
        <w:pStyle w:val="Notedefin"/>
        <w:suppressLineNumbers/>
        <w:spacing w:before="57" w:after="57"/>
        <w:ind w:left="339" w:right="0" w:hanging="339"/>
        <w:rPr/>
      </w:pPr>
      <w:r>
        <w:rPr>
          <w:rStyle w:val="Caractresdenotedefin"/>
        </w:rPr>
        <w:endnoteRef/>
      </w:r>
      <w:r>
        <w:rPr/>
        <w:tab/>
      </w:r>
      <w:r>
        <w:rPr/>
        <w:t>Вж. препоръка 1 на НЗК Германия, група 1 „ЕС в света“, разработена в работната група.</w:t>
      </w:r>
    </w:p>
  </w:endnote>
  <w:endnote w:id="23">
    <w:p>
      <w:pPr>
        <w:pStyle w:val="Notedefin"/>
        <w:suppressLineNumbers/>
        <w:spacing w:before="57" w:after="57"/>
        <w:ind w:left="339" w:right="0" w:hanging="339"/>
        <w:rPr/>
      </w:pPr>
      <w:r>
        <w:rPr>
          <w:rStyle w:val="Caractresdenotedefin"/>
        </w:rPr>
        <w:endnoteRef/>
      </w:r>
      <w:r>
        <w:rPr/>
        <w:tab/>
      </w:r>
      <w:r>
        <w:rPr/>
        <w:t>Вж. препоръка 3 от ЕПП 4, разработена в работната група.</w:t>
      </w:r>
    </w:p>
  </w:endnote>
  <w:endnote w:id="24">
    <w:p>
      <w:pPr>
        <w:pStyle w:val="Notedefin"/>
        <w:suppressLineNumbers/>
        <w:spacing w:before="57" w:after="57"/>
        <w:ind w:left="339" w:right="0" w:hanging="339"/>
        <w:rPr/>
      </w:pPr>
      <w:r>
        <w:rPr>
          <w:rStyle w:val="Caractresdenotedefin"/>
        </w:rPr>
        <w:endnoteRef/>
      </w:r>
      <w:r>
        <w:rPr/>
        <w:tab/>
      </w:r>
      <w:r>
        <w:rPr/>
        <w:t>Вж. Препоръка 11 от ЕПП 4, разработена в работната група.</w:t>
      </w:r>
    </w:p>
  </w:endnote>
  <w:endnote w:id="25">
    <w:p>
      <w:pPr>
        <w:pStyle w:val="Notedefin"/>
        <w:suppressLineNumbers/>
        <w:spacing w:before="57" w:after="57"/>
        <w:ind w:left="339" w:right="0" w:hanging="339"/>
        <w:rPr/>
      </w:pPr>
      <w:r>
        <w:rPr>
          <w:rStyle w:val="Caractresdenotedefin"/>
        </w:rPr>
        <w:endnoteRef/>
      </w:r>
      <w:r>
        <w:rPr/>
        <w:tab/>
      </w:r>
      <w:r>
        <w:rPr/>
        <w:t>Вж. Препоръка 13 на ЕПП 4, разработена в работната група.</w:t>
      </w:r>
    </w:p>
  </w:endnote>
  <w:endnote w:id="26">
    <w:p>
      <w:pPr>
        <w:pStyle w:val="Notedefin"/>
        <w:suppressLineNumbers/>
        <w:spacing w:before="57" w:after="57"/>
        <w:ind w:left="339" w:right="0" w:hanging="339"/>
        <w:rPr/>
      </w:pPr>
      <w:r>
        <w:rPr>
          <w:rStyle w:val="Caractresdenotedefin"/>
        </w:rPr>
        <w:endnoteRef/>
      </w:r>
      <w:r>
        <w:rPr/>
        <w:tab/>
      </w:r>
      <w:r>
        <w:rPr/>
        <w:t>Вж. препоръка 15 от ЕПП 4, разработена в работната група.</w:t>
      </w:r>
    </w:p>
  </w:endnote>
  <w:endnote w:id="27">
    <w:p>
      <w:pPr>
        <w:pStyle w:val="Notedefin"/>
        <w:suppressLineNumbers/>
        <w:spacing w:before="57" w:after="57"/>
        <w:ind w:left="339" w:right="0" w:hanging="339"/>
        <w:rPr/>
      </w:pPr>
      <w:r>
        <w:rPr>
          <w:rStyle w:val="Caractresdenotedefin"/>
        </w:rPr>
        <w:endnoteRef/>
      </w:r>
      <w:r>
        <w:rPr/>
        <w:tab/>
      </w:r>
      <w:r>
        <w:rPr/>
        <w:t>Вж. препоръка 16 от ЕПП 4, разработена в работната група.</w:t>
      </w:r>
    </w:p>
  </w:endnote>
  <w:endnote w:id="28">
    <w:p>
      <w:pPr>
        <w:pStyle w:val="Notedefin"/>
        <w:suppressLineNumbers/>
        <w:spacing w:before="57" w:after="57"/>
        <w:ind w:left="339" w:right="0" w:hanging="339"/>
        <w:rPr/>
      </w:pPr>
      <w:r>
        <w:rPr>
          <w:rStyle w:val="Caractresdenotedefin"/>
        </w:rPr>
        <w:endnoteRef/>
      </w:r>
      <w:r>
        <w:rPr/>
        <w:tab/>
      </w:r>
      <w:r>
        <w:rPr/>
        <w:t>Вж. Препоръка 12 на ЕПП 4, разработена в работната група.</w:t>
      </w:r>
    </w:p>
  </w:endnote>
  <w:endnote w:id="29">
    <w:p>
      <w:pPr>
        <w:pStyle w:val="Notedefin"/>
        <w:suppressLineNumbers/>
        <w:spacing w:before="57" w:after="57"/>
        <w:ind w:left="339" w:right="0" w:hanging="339"/>
        <w:rPr/>
      </w:pPr>
      <w:r>
        <w:rPr>
          <w:rStyle w:val="Caractresdenotedefin"/>
        </w:rPr>
        <w:endnoteRef/>
      </w:r>
      <w:r>
        <w:rPr/>
        <w:tab/>
      </w:r>
      <w:r>
        <w:rPr/>
        <w:t>Вж. Препоръка 21 на ЕПП 4, разработена в работната група.</w:t>
      </w:r>
    </w:p>
  </w:endnote>
  <w:endnote w:id="30">
    <w:p>
      <w:pPr>
        <w:pStyle w:val="Notedefin"/>
        <w:suppressLineNumbers/>
        <w:spacing w:before="57" w:after="57"/>
        <w:ind w:left="339" w:right="0" w:hanging="339"/>
        <w:rPr/>
      </w:pPr>
      <w:r>
        <w:rPr>
          <w:rStyle w:val="Caractresdenotedefin"/>
        </w:rPr>
        <w:endnoteRef/>
      </w:r>
      <w:r>
        <w:rPr/>
        <w:tab/>
      </w:r>
      <w:r>
        <w:rPr/>
        <w:t>Вижте цифровата платформа, разработена в рамките на работната група.</w:t>
      </w:r>
    </w:p>
  </w:endnote>
  <w:endnote w:id="31">
    <w:p>
      <w:pPr>
        <w:pStyle w:val="Notedefin"/>
        <w:suppressLineNumbers/>
        <w:spacing w:before="57" w:after="57"/>
        <w:ind w:left="339" w:right="0" w:hanging="339"/>
        <w:rPr/>
      </w:pPr>
      <w:r>
        <w:rPr>
          <w:rStyle w:val="Caractresdenotedefin"/>
        </w:rPr>
        <w:endnoteRef/>
      </w:r>
      <w:r>
        <w:rPr/>
        <w:tab/>
      </w:r>
      <w:r>
        <w:rPr/>
        <w:t>Вижте цифровата платформа, разработена в рамките на работната група.</w:t>
      </w:r>
    </w:p>
  </w:endnote>
  <w:endnote w:id="32">
    <w:p>
      <w:pPr>
        <w:pStyle w:val="Notedefin"/>
        <w:suppressLineNumbers/>
        <w:spacing w:before="57" w:after="57"/>
        <w:ind w:left="339" w:right="0" w:hanging="339"/>
        <w:rPr/>
      </w:pPr>
      <w:r>
        <w:rPr>
          <w:rStyle w:val="Caractresdenotedefin"/>
        </w:rPr>
        <w:endnoteRef/>
      </w:r>
      <w:r>
        <w:rPr/>
        <w:tab/>
      </w:r>
      <w:r>
        <w:rPr/>
        <w:t>Вж. препоръка 26 от ЕПП 4, разработена в работната група.</w:t>
      </w:r>
    </w:p>
  </w:endnote>
  <w:endnote w:id="33">
    <w:p>
      <w:pPr>
        <w:pStyle w:val="Notedefin"/>
        <w:suppressLineNumbers/>
        <w:spacing w:before="57" w:after="57"/>
        <w:ind w:left="339" w:right="0" w:hanging="339"/>
        <w:rPr/>
      </w:pPr>
      <w:r>
        <w:rPr>
          <w:rStyle w:val="Caractresdenotedefin"/>
        </w:rPr>
        <w:endnoteRef/>
      </w:r>
      <w:r>
        <w:rPr/>
        <w:tab/>
      </w:r>
      <w:r>
        <w:rPr/>
        <w:t>Вж. препоръка 18 от ЕПП 4, разработена в работната група.</w:t>
      </w:r>
    </w:p>
  </w:endnote>
  <w:endnote w:id="34">
    <w:p>
      <w:pPr>
        <w:pStyle w:val="Notedefin"/>
        <w:suppressLineNumbers/>
        <w:spacing w:before="57" w:after="57"/>
        <w:ind w:left="339" w:right="0" w:hanging="339"/>
        <w:rPr/>
      </w:pPr>
      <w:r>
        <w:rPr>
          <w:rStyle w:val="Caractresdenotedefin"/>
        </w:rPr>
        <w:endnoteRef/>
      </w:r>
      <w:r>
        <w:rPr/>
        <w:tab/>
      </w:r>
      <w:r>
        <w:rPr/>
        <w:t>Вж. препоръка 19 от ЕПП 4, разработена в работната група.</w:t>
      </w:r>
    </w:p>
  </w:endnote>
  <w:endnote w:id="35">
    <w:p>
      <w:pPr>
        <w:pStyle w:val="Notedefin"/>
        <w:suppressLineNumbers/>
        <w:spacing w:before="57" w:after="57"/>
        <w:ind w:left="339" w:right="0" w:hanging="339"/>
        <w:rPr/>
      </w:pPr>
      <w:r>
        <w:rPr>
          <w:rStyle w:val="Caractresdenotedefin"/>
        </w:rPr>
        <w:endnoteRef/>
      </w:r>
      <w:r>
        <w:rPr/>
        <w:tab/>
      </w:r>
      <w:r>
        <w:rPr/>
        <w:t>Вж. препоръка 19 от ЕПП 4, разработена в работната група.</w:t>
      </w:r>
    </w:p>
  </w:endnote>
  <w:endnote w:id="36">
    <w:p>
      <w:pPr>
        <w:pStyle w:val="Notedefin"/>
        <w:suppressLineNumbers/>
        <w:spacing w:before="57" w:after="57"/>
        <w:ind w:left="339" w:right="0" w:hanging="339"/>
        <w:rPr/>
      </w:pPr>
      <w:r>
        <w:rPr>
          <w:rStyle w:val="Caractresdenotedefin"/>
        </w:rPr>
        <w:endnoteRef/>
      </w:r>
      <w:r>
        <w:rPr/>
        <w:tab/>
      </w:r>
      <w:r>
        <w:rPr/>
        <w:t>Вж. препоръка 25 от ЕПП 4.</w:t>
      </w:r>
    </w:p>
  </w:endnote>
  <w:endnote w:id="37">
    <w:p>
      <w:pPr>
        <w:pStyle w:val="Notedefin"/>
        <w:suppressLineNumbers/>
        <w:spacing w:before="57" w:after="57"/>
        <w:ind w:left="339" w:right="0" w:hanging="339"/>
        <w:rPr/>
      </w:pPr>
      <w:r>
        <w:rPr>
          <w:rStyle w:val="Caractresdenotedefin"/>
        </w:rPr>
        <w:endnoteRef/>
      </w:r>
      <w:r>
        <w:rPr/>
        <w:tab/>
      </w:r>
      <w:r>
        <w:rPr/>
        <w:t>Въз основа на обсъжданията на работната група и на пленарната сесия.</w:t>
      </w:r>
    </w:p>
  </w:endnote>
  <w:endnote w:id="38">
    <w:p>
      <w:pPr>
        <w:pStyle w:val="Notedefin"/>
        <w:suppressLineNumbers/>
        <w:spacing w:before="57" w:after="57"/>
        <w:ind w:left="339" w:right="0" w:hanging="339"/>
        <w:rPr/>
      </w:pPr>
      <w:r>
        <w:rPr>
          <w:rStyle w:val="Caractresdenotedefin"/>
        </w:rPr>
        <w:endnoteRef/>
      </w:r>
      <w:r>
        <w:rPr/>
        <w:tab/>
      </w:r>
      <w:r>
        <w:rPr/>
        <w:t>Вж. промяна 2 на френския национален панел/събития.</w:t>
      </w:r>
    </w:p>
  </w:endnote>
  <w:endnote w:id="39">
    <w:p>
      <w:pPr>
        <w:pStyle w:val="Notedefin"/>
        <w:suppressLineNumbers/>
        <w:spacing w:before="57" w:after="57"/>
        <w:ind w:left="339" w:right="0" w:hanging="339"/>
        <w:rPr/>
      </w:pPr>
      <w:r>
        <w:rPr>
          <w:rStyle w:val="Caractresdenotedefin"/>
        </w:rPr>
        <w:endnoteRef/>
      </w:r>
      <w:r>
        <w:rPr/>
        <w:tab/>
      </w:r>
      <w:r>
        <w:rPr/>
        <w:t>Вж. Препоръка 20 от ЕКП4 и препоръка 7 на Италия, НЗК от втора група, разработени в рамките на работната група.</w:t>
      </w:r>
    </w:p>
  </w:endnote>
  <w:endnote w:id="40">
    <w:p>
      <w:pPr>
        <w:pStyle w:val="Notedefin"/>
        <w:suppressLineNumbers/>
        <w:spacing w:before="57" w:after="57"/>
        <w:ind w:left="339" w:right="0" w:hanging="339"/>
        <w:rPr/>
      </w:pPr>
      <w:r>
        <w:rPr>
          <w:rStyle w:val="Caractresdenotedefin"/>
        </w:rPr>
        <w:endnoteRef/>
      </w:r>
      <w:r>
        <w:rPr/>
        <w:tab/>
      </w:r>
      <w:r>
        <w:rPr/>
        <w:t>Вж. промяна 2 на френския национален граждански панел.</w:t>
      </w:r>
    </w:p>
  </w:endnote>
  <w:endnote w:id="41">
    <w:p>
      <w:pPr>
        <w:pStyle w:val="Notedefin"/>
        <w:suppressLineNumbers/>
        <w:spacing w:before="57" w:after="57"/>
        <w:ind w:left="339" w:right="0" w:hanging="339"/>
        <w:rPr/>
      </w:pPr>
      <w:r>
        <w:rPr>
          <w:rStyle w:val="Caractresdenotedefin"/>
        </w:rPr>
        <w:endnoteRef/>
      </w:r>
      <w:r>
        <w:rPr/>
        <w:tab/>
      </w:r>
      <w:r>
        <w:rPr/>
        <w:t>Вж. Препоръка 24 от ЕКП4 и препоръка 7 на Италия, НЗК от втора група, разработени в рамките на работната група.</w:t>
      </w:r>
    </w:p>
  </w:endnote>
  <w:endnote w:id="42">
    <w:p>
      <w:pPr>
        <w:pStyle w:val="Notedefin"/>
        <w:suppressLineNumbers/>
        <w:spacing w:before="57" w:after="57"/>
        <w:ind w:left="339" w:right="0" w:hanging="339"/>
        <w:rPr/>
      </w:pPr>
      <w:r>
        <w:rPr>
          <w:rStyle w:val="Caractresdenotedefin"/>
        </w:rPr>
        <w:endnoteRef/>
      </w:r>
      <w:r>
        <w:rPr/>
        <w:tab/>
      </w:r>
      <w:r>
        <w:rPr/>
        <w:t>Вж. Препоръка 22 от ЕПП 4, разработена в работната група.</w:t>
      </w:r>
    </w:p>
  </w:endnote>
  <w:endnote w:id="43">
    <w:p>
      <w:pPr>
        <w:pStyle w:val="Notedefin"/>
        <w:suppressLineNumbers/>
        <w:spacing w:before="57" w:after="57"/>
        <w:ind w:left="339" w:right="0" w:hanging="339"/>
        <w:rPr/>
      </w:pPr>
      <w:r>
        <w:rPr>
          <w:rStyle w:val="Caractresdenotedefin"/>
        </w:rPr>
        <w:endnoteRef/>
      </w:r>
      <w:r>
        <w:rPr/>
        <w:tab/>
      </w:r>
      <w:r>
        <w:rPr/>
        <w:t>Вж. Препоръка 1 относно „ЕС в света“ на нидерландския национален граждански панел, разработена в работната група.</w:t>
      </w:r>
    </w:p>
  </w:endnote>
  <w:endnote w:id="44">
    <w:p>
      <w:pPr>
        <w:pStyle w:val="Notedefin"/>
        <w:suppressLineNumbers/>
        <w:spacing w:before="57" w:after="57"/>
        <w:ind w:left="339" w:right="0" w:hanging="339"/>
        <w:rPr/>
      </w:pPr>
      <w:r>
        <w:rPr>
          <w:rStyle w:val="Caractresdenotedefin"/>
        </w:rPr>
        <w:endnoteRef/>
      </w:r>
      <w:r>
        <w:rPr/>
        <w:tab/>
      </w:r>
      <w:r>
        <w:rPr/>
        <w:t>Вж. цифровата платформа и пленарните разисквания, разработени в работната група.</w:t>
      </w:r>
    </w:p>
  </w:endnote>
  <w:endnote w:id="45">
    <w:p>
      <w:pPr>
        <w:pStyle w:val="Notedefin"/>
        <w:suppressLineNumbers/>
        <w:spacing w:before="57" w:after="57"/>
        <w:ind w:left="339" w:right="0" w:hanging="339"/>
        <w:rPr/>
      </w:pPr>
      <w:r>
        <w:rPr>
          <w:rStyle w:val="Caractresdenotedefin"/>
        </w:rPr>
        <w:endnoteRef/>
      </w:r>
      <w:r>
        <w:rPr/>
        <w:tab/>
      </w:r>
      <w:r>
        <w:rPr/>
        <w:t>Вижте цифровата платформа, разработена в рамките на работната група.</w:t>
      </w:r>
    </w:p>
  </w:endnote>
  <w:endnote w:id="46">
    <w:p>
      <w:pPr>
        <w:pStyle w:val="Notedefin"/>
        <w:suppressLineNumbers/>
        <w:spacing w:before="57" w:after="57"/>
        <w:ind w:left="339" w:right="0" w:hanging="339"/>
        <w:rPr/>
      </w:pPr>
      <w:r>
        <w:rPr>
          <w:rStyle w:val="Caractresdenotedefin"/>
        </w:rPr>
        <w:endnoteRef/>
      </w:r>
      <w:r>
        <w:rPr/>
        <w:tab/>
      </w:r>
      <w:r>
        <w:rPr/>
        <w:t>Препоръки на гражданите, на които се основава предложението: Европейски граждански панел 2 (CEP 2) 10, 11, 14, 30; Белгийски национален граждански панел (NCP): 1.3.1, 1.4.2, 1.4.3; Немски NCP: 5.1, 5.2; Нидерландски NCP: 1.2.</w:t>
      </w:r>
    </w:p>
  </w:endnote>
  <w:endnote w:id="47">
    <w:p>
      <w:pPr>
        <w:pStyle w:val="Notedefin"/>
        <w:suppressLineNumbers/>
        <w:spacing w:before="57" w:after="57"/>
        <w:ind w:left="339" w:right="0" w:hanging="339"/>
        <w:rPr/>
      </w:pPr>
      <w:r>
        <w:rPr>
          <w:rStyle w:val="Caractresdenotedefin"/>
        </w:rPr>
        <w:endnoteRef/>
      </w:r>
      <w:r>
        <w:rPr/>
        <w:tab/>
      </w:r>
      <w:r>
        <w:rPr/>
        <w:t>Препоръка 14 от ECP2. Препоръки 1.3.1, 1.4.2 и 1.4.3 от белгийския НЗК и 1.2 от нидерландската НЗК.</w:t>
      </w:r>
    </w:p>
  </w:endnote>
  <w:endnote w:id="48">
    <w:p>
      <w:pPr>
        <w:pStyle w:val="Notedefin"/>
        <w:suppressLineNumbers/>
        <w:spacing w:before="57" w:after="57"/>
        <w:ind w:left="339" w:right="0" w:hanging="339"/>
        <w:rPr/>
      </w:pPr>
      <w:r>
        <w:rPr>
          <w:rStyle w:val="Caractresdenotedefin"/>
        </w:rPr>
        <w:endnoteRef/>
      </w:r>
      <w:r>
        <w:rPr/>
        <w:tab/>
      </w:r>
      <w:r>
        <w:rPr/>
        <w:t>Препоръка № 112 на ЕСП. Препоръки 5.1 и 5.2 на германския НЗК. Дебат в работната група.</w:t>
      </w:r>
    </w:p>
  </w:endnote>
  <w:endnote w:id="49">
    <w:p>
      <w:pPr>
        <w:pStyle w:val="Notedefin"/>
        <w:suppressLineNumbers/>
        <w:spacing w:before="57" w:after="57"/>
        <w:ind w:left="339" w:right="0" w:hanging="339"/>
        <w:rPr/>
      </w:pPr>
      <w:r>
        <w:rPr>
          <w:rStyle w:val="Caractresdenotedefin"/>
        </w:rPr>
        <w:endnoteRef/>
      </w:r>
      <w:r>
        <w:rPr/>
        <w:tab/>
      </w:r>
      <w:r>
        <w:rPr/>
        <w:t>Препоръка № 112 на ЕСП. Дебат в работната група. Разискване в пленарна зала.</w:t>
      </w:r>
    </w:p>
  </w:endnote>
  <w:endnote w:id="50">
    <w:p>
      <w:pPr>
        <w:pStyle w:val="Notedefin"/>
        <w:suppressLineNumbers/>
        <w:spacing w:before="57" w:after="57"/>
        <w:ind w:left="339" w:right="0" w:hanging="339"/>
        <w:rPr/>
      </w:pPr>
      <w:r>
        <w:rPr>
          <w:rStyle w:val="Caractresdenotedefin"/>
        </w:rPr>
        <w:endnoteRef/>
      </w:r>
      <w:r>
        <w:rPr/>
        <w:tab/>
      </w:r>
      <w:r>
        <w:rPr/>
        <w:t>Препоръка 10 от ECP2.</w:t>
      </w:r>
    </w:p>
  </w:endnote>
  <w:endnote w:id="51">
    <w:p>
      <w:pPr>
        <w:pStyle w:val="Notedefin"/>
        <w:suppressLineNumbers/>
        <w:spacing w:before="57" w:after="57"/>
        <w:ind w:left="339" w:right="0" w:hanging="339"/>
        <w:rPr/>
      </w:pPr>
      <w:r>
        <w:rPr>
          <w:rStyle w:val="Caractresdenotedefin"/>
        </w:rPr>
        <w:endnoteRef/>
      </w:r>
      <w:r>
        <w:rPr/>
        <w:tab/>
      </w:r>
      <w:r>
        <w:rPr/>
        <w:t>Препоръка № 302 на ЕСП.</w:t>
      </w:r>
    </w:p>
  </w:endnote>
  <w:endnote w:id="52">
    <w:p>
      <w:pPr>
        <w:pStyle w:val="Notedefin"/>
        <w:suppressLineNumbers/>
        <w:spacing w:before="57" w:after="57"/>
        <w:ind w:left="339" w:right="0" w:hanging="339"/>
        <w:rPr/>
      </w:pPr>
      <w:r>
        <w:rPr>
          <w:rStyle w:val="Caractresdenotedefin"/>
        </w:rPr>
        <w:endnoteRef/>
      </w:r>
      <w:r>
        <w:rPr/>
        <w:tab/>
      </w:r>
      <w:r>
        <w:rPr/>
        <w:t>Препоръки на гражданите, на които се основава предложението: PCE2: 7, 8, 9; Нидерландски NCP: 1.3, 4.3.</w:t>
      </w:r>
    </w:p>
  </w:endnote>
  <w:endnote w:id="53">
    <w:p>
      <w:pPr>
        <w:pStyle w:val="Notedefin"/>
        <w:suppressLineNumbers/>
        <w:spacing w:before="57" w:after="57"/>
        <w:ind w:left="339" w:right="0" w:hanging="339"/>
        <w:rPr/>
      </w:pPr>
      <w:r>
        <w:rPr>
          <w:rStyle w:val="Caractresdenotedefin"/>
        </w:rPr>
        <w:endnoteRef/>
      </w:r>
      <w:r>
        <w:rPr/>
        <w:tab/>
      </w:r>
      <w:r>
        <w:rPr/>
        <w:t>Препоръка 7 от ЕПР2. Дебат в работната група.</w:t>
      </w:r>
    </w:p>
  </w:endnote>
  <w:endnote w:id="54">
    <w:p>
      <w:pPr>
        <w:pStyle w:val="Notedefin"/>
        <w:suppressLineNumbers/>
        <w:spacing w:before="57" w:after="57"/>
        <w:ind w:left="339" w:right="0" w:hanging="339"/>
        <w:rPr/>
      </w:pPr>
      <w:r>
        <w:rPr>
          <w:rStyle w:val="Caractresdenotedefin"/>
        </w:rPr>
        <w:endnoteRef/>
      </w:r>
      <w:r>
        <w:rPr/>
        <w:tab/>
      </w:r>
      <w:r>
        <w:rPr/>
        <w:t>Тема, обсъдена и от работната група по цифровата трансформация.</w:t>
      </w:r>
    </w:p>
  </w:endnote>
  <w:endnote w:id="55">
    <w:p>
      <w:pPr>
        <w:pStyle w:val="Notedefin"/>
        <w:suppressLineNumbers/>
        <w:spacing w:before="57" w:after="57"/>
        <w:ind w:left="339" w:right="0" w:hanging="339"/>
        <w:rPr/>
      </w:pPr>
      <w:r>
        <w:rPr>
          <w:rStyle w:val="Caractresdenotedefin"/>
        </w:rPr>
        <w:endnoteRef/>
      </w:r>
      <w:r>
        <w:rPr/>
        <w:tab/>
      </w:r>
      <w:r>
        <w:rPr/>
        <w:t>Препоръка 9 от ECP2.</w:t>
      </w:r>
    </w:p>
  </w:endnote>
  <w:endnote w:id="56">
    <w:p>
      <w:pPr>
        <w:pStyle w:val="Notedefin"/>
        <w:suppressLineNumbers/>
        <w:spacing w:before="57" w:after="57"/>
        <w:ind w:left="339" w:right="0" w:hanging="339"/>
        <w:rPr/>
      </w:pPr>
      <w:r>
        <w:rPr>
          <w:rStyle w:val="Caractresdenotedefin"/>
        </w:rPr>
        <w:endnoteRef/>
      </w:r>
      <w:r>
        <w:rPr/>
        <w:tab/>
      </w:r>
      <w:r>
        <w:rPr/>
        <w:t>Тема, обсъдена и от работната група по цифровата трансформация.</w:t>
      </w:r>
    </w:p>
  </w:endnote>
  <w:endnote w:id="57">
    <w:p>
      <w:pPr>
        <w:pStyle w:val="Notedefin"/>
        <w:suppressLineNumbers/>
        <w:spacing w:before="57" w:after="57"/>
        <w:ind w:left="339" w:right="0" w:hanging="339"/>
        <w:rPr/>
      </w:pPr>
      <w:r>
        <w:rPr>
          <w:rStyle w:val="Caractresdenotedefin"/>
        </w:rPr>
        <w:endnoteRef/>
      </w:r>
      <w:r>
        <w:rPr/>
        <w:tab/>
      </w:r>
      <w:r>
        <w:rPr/>
        <w:t>Препоръка 8 от ECP2. Препоръки 1.3 и 4.3 от нидерландската НЗК.</w:t>
      </w:r>
    </w:p>
  </w:endnote>
  <w:endnote w:id="58">
    <w:p>
      <w:pPr>
        <w:pStyle w:val="Notedefin"/>
        <w:suppressLineNumbers/>
        <w:spacing w:before="57" w:after="57"/>
        <w:ind w:left="339" w:right="0" w:hanging="339"/>
        <w:rPr/>
      </w:pPr>
      <w:r>
        <w:rPr>
          <w:rStyle w:val="Caractresdenotedefin"/>
        </w:rPr>
        <w:endnoteRef/>
      </w:r>
      <w:r>
        <w:rPr/>
        <w:tab/>
      </w:r>
      <w:r>
        <w:rPr/>
        <w:t>Препоръки № 7 и № 8 от ECP2.</w:t>
      </w:r>
    </w:p>
  </w:endnote>
  <w:endnote w:id="59">
    <w:p>
      <w:pPr>
        <w:pStyle w:val="Notedefin"/>
        <w:suppressLineNumbers/>
        <w:spacing w:before="57" w:after="57"/>
        <w:ind w:left="339" w:right="0" w:hanging="339"/>
        <w:rPr/>
      </w:pPr>
      <w:r>
        <w:rPr>
          <w:rStyle w:val="Caractresdenotedefin"/>
        </w:rPr>
        <w:endnoteRef/>
      </w:r>
      <w:r>
        <w:rPr/>
        <w:tab/>
      </w:r>
      <w:r>
        <w:rPr/>
        <w:t>Тема, обсъдена и от работната група по цифровата трансформация.</w:t>
      </w:r>
    </w:p>
  </w:endnote>
  <w:endnote w:id="60">
    <w:p>
      <w:pPr>
        <w:pStyle w:val="Notedefin"/>
        <w:suppressLineNumbers/>
        <w:spacing w:before="57" w:after="57"/>
        <w:ind w:left="339" w:right="0" w:hanging="339"/>
        <w:rPr/>
      </w:pPr>
      <w:r>
        <w:rPr>
          <w:rStyle w:val="Caractresdenotedefin"/>
        </w:rPr>
        <w:endnoteRef/>
      </w:r>
      <w:r>
        <w:rPr/>
        <w:tab/>
      </w:r>
      <w:r>
        <w:rPr/>
        <w:t>Препоръки на гражданите, на които се основава предложението: PCE2: 5, 12, 13, 17, 28; Белгийски НЗК: 1.5.1, 2.1.1 до 2.4.3; Нидерландски NCP: 3.1.</w:t>
      </w:r>
    </w:p>
  </w:endnote>
  <w:endnote w:id="61">
    <w:p>
      <w:pPr>
        <w:pStyle w:val="Notedefin"/>
        <w:suppressLineNumbers/>
        <w:spacing w:before="57" w:after="57"/>
        <w:ind w:left="339" w:right="0" w:hanging="339"/>
        <w:rPr/>
      </w:pPr>
      <w:r>
        <w:rPr>
          <w:rStyle w:val="Caractresdenotedefin"/>
        </w:rPr>
        <w:endnoteRef/>
      </w:r>
      <w:r>
        <w:rPr/>
        <w:tab/>
      </w:r>
      <w:r>
        <w:rPr/>
        <w:t>Препоръка 5 от ECP2. Препоръка 2.1.1 на белгийския НЗК. Препоръка 3.1 на нидерландския НЗК.</w:t>
      </w:r>
    </w:p>
  </w:endnote>
  <w:endnote w:id="62">
    <w:p>
      <w:pPr>
        <w:pStyle w:val="Notedefin"/>
        <w:suppressLineNumbers/>
        <w:spacing w:before="57" w:after="57"/>
        <w:ind w:left="339" w:right="0" w:hanging="339"/>
        <w:rPr/>
      </w:pPr>
      <w:r>
        <w:rPr>
          <w:rStyle w:val="Caractresdenotedefin"/>
        </w:rPr>
        <w:endnoteRef/>
      </w:r>
      <w:r>
        <w:rPr/>
        <w:tab/>
      </w:r>
      <w:r>
        <w:rPr/>
        <w:t>Препоръка № 122 на ЕСП. Препоръка 2.1.4 на белгийския НЗК.</w:t>
      </w:r>
    </w:p>
  </w:endnote>
  <w:endnote w:id="63">
    <w:p>
      <w:pPr>
        <w:pStyle w:val="Notedefin"/>
        <w:suppressLineNumbers/>
        <w:spacing w:before="57" w:after="57"/>
        <w:ind w:left="339" w:right="0" w:hanging="339"/>
        <w:rPr/>
      </w:pPr>
      <w:r>
        <w:rPr>
          <w:rStyle w:val="Caractresdenotedefin"/>
        </w:rPr>
        <w:endnoteRef/>
      </w:r>
      <w:r>
        <w:rPr/>
        <w:tab/>
      </w:r>
      <w:r>
        <w:rPr/>
        <w:t>PCE2 Препоръки № 17 и 28. Препоръки 1.5.1, 2.1.3, 2.2.1 и 2.2.2 от белгийския НЗК.</w:t>
      </w:r>
    </w:p>
  </w:endnote>
  <w:endnote w:id="64">
    <w:p>
      <w:pPr>
        <w:pStyle w:val="Notedefin"/>
        <w:suppressLineNumbers/>
        <w:spacing w:before="57" w:after="57"/>
        <w:ind w:left="339" w:right="0" w:hanging="339"/>
        <w:rPr/>
      </w:pPr>
      <w:r>
        <w:rPr>
          <w:rStyle w:val="Caractresdenotedefin"/>
        </w:rPr>
        <w:endnoteRef/>
      </w:r>
      <w:r>
        <w:rPr/>
        <w:tab/>
      </w:r>
      <w:r>
        <w:rPr/>
        <w:t>Тема, обсъдена и от работната група по цифровата трансформация.</w:t>
      </w:r>
    </w:p>
  </w:endnote>
  <w:endnote w:id="65">
    <w:p>
      <w:pPr>
        <w:pStyle w:val="Notedefin"/>
        <w:suppressLineNumbers/>
        <w:spacing w:before="57" w:after="57"/>
        <w:ind w:left="339" w:right="0" w:hanging="339"/>
        <w:rPr/>
      </w:pPr>
      <w:r>
        <w:rPr>
          <w:rStyle w:val="Caractresdenotedefin"/>
        </w:rPr>
        <w:endnoteRef/>
      </w:r>
      <w:r>
        <w:rPr/>
        <w:tab/>
      </w:r>
      <w:r>
        <w:rPr/>
        <w:t>PCE2 Препоръки № 5 и 28. Препоръки 2.3.2 и 2.3.3 от белгийския НЗК.</w:t>
      </w:r>
    </w:p>
  </w:endnote>
  <w:endnote w:id="66">
    <w:p>
      <w:pPr>
        <w:pStyle w:val="Notedefin"/>
        <w:suppressLineNumbers/>
        <w:spacing w:before="57" w:after="57"/>
        <w:ind w:left="339" w:right="0" w:hanging="339"/>
        <w:rPr/>
      </w:pPr>
      <w:r>
        <w:rPr>
          <w:rStyle w:val="Caractresdenotedefin"/>
        </w:rPr>
        <w:endnoteRef/>
      </w:r>
      <w:r>
        <w:rPr/>
        <w:tab/>
      </w:r>
      <w:r>
        <w:rPr/>
        <w:t>Препоръка № 282 на ЕСП. Препоръки 2.3.1, 2.4.1 и 2.4.2 от белгийския НЗК.</w:t>
      </w:r>
    </w:p>
  </w:endnote>
  <w:endnote w:id="67">
    <w:p>
      <w:pPr>
        <w:pStyle w:val="Notedefin"/>
        <w:suppressLineNumbers/>
        <w:spacing w:before="57" w:after="57"/>
        <w:ind w:left="339" w:right="0" w:hanging="339"/>
        <w:rPr/>
      </w:pPr>
      <w:r>
        <w:rPr>
          <w:rStyle w:val="Caractresdenotedefin"/>
        </w:rPr>
        <w:endnoteRef/>
      </w:r>
      <w:r>
        <w:rPr/>
        <w:tab/>
      </w:r>
      <w:r>
        <w:rPr/>
        <w:t>Тема, обсъдена и от работната група по цифровата трансформация.</w:t>
      </w:r>
    </w:p>
  </w:endnote>
  <w:endnote w:id="68">
    <w:p>
      <w:pPr>
        <w:pStyle w:val="Notedefin"/>
        <w:suppressLineNumbers/>
        <w:spacing w:before="57" w:after="57"/>
        <w:ind w:left="339" w:right="0" w:hanging="339"/>
        <w:rPr/>
      </w:pPr>
      <w:r>
        <w:rPr>
          <w:rStyle w:val="Caractresdenotedefin"/>
        </w:rPr>
        <w:endnoteRef/>
      </w:r>
      <w:r>
        <w:rPr/>
        <w:tab/>
      </w:r>
      <w:r>
        <w:rPr/>
        <w:t>Препоръка № 132 на ЕСП.</w:t>
      </w:r>
    </w:p>
  </w:endnote>
  <w:endnote w:id="69">
    <w:p>
      <w:pPr>
        <w:pStyle w:val="Notedefin"/>
        <w:suppressLineNumbers/>
        <w:spacing w:before="57" w:after="57"/>
        <w:ind w:left="339" w:right="0" w:hanging="339"/>
        <w:rPr/>
      </w:pPr>
      <w:r>
        <w:rPr>
          <w:rStyle w:val="Caractresdenotedefin"/>
        </w:rPr>
        <w:endnoteRef/>
      </w:r>
      <w:r>
        <w:rPr/>
        <w:tab/>
      </w:r>
      <w:r>
        <w:rPr/>
        <w:t>Тема, обсъдена и от работната група по цифровата трансформация.</w:t>
      </w:r>
    </w:p>
  </w:endnote>
  <w:endnote w:id="70">
    <w:p>
      <w:pPr>
        <w:pStyle w:val="Notedefin"/>
        <w:suppressLineNumbers/>
        <w:spacing w:before="57" w:after="57"/>
        <w:ind w:left="339" w:right="0" w:hanging="339"/>
        <w:rPr/>
      </w:pPr>
      <w:r>
        <w:rPr>
          <w:rStyle w:val="Caractresdenotedefin"/>
        </w:rPr>
        <w:endnoteRef/>
      </w:r>
      <w:r>
        <w:rPr/>
        <w:tab/>
      </w:r>
      <w:r>
        <w:rPr/>
        <w:t>Препоръка № 132 на ЕСП.</w:t>
      </w:r>
    </w:p>
  </w:endnote>
  <w:endnote w:id="71">
    <w:p>
      <w:pPr>
        <w:pStyle w:val="Notedefin"/>
        <w:suppressLineNumbers/>
        <w:spacing w:before="57" w:after="57"/>
        <w:ind w:left="339" w:right="0" w:hanging="339"/>
        <w:rPr/>
      </w:pPr>
      <w:r>
        <w:rPr>
          <w:rStyle w:val="Caractresdenotedefin"/>
        </w:rPr>
        <w:endnoteRef/>
      </w:r>
      <w:r>
        <w:rPr/>
        <w:tab/>
      </w:r>
      <w:r>
        <w:rPr/>
        <w:t>Тема, обсъдена и от работната група по цифровата трансформация.</w:t>
      </w:r>
    </w:p>
  </w:endnote>
  <w:endnote w:id="72">
    <w:p>
      <w:pPr>
        <w:pStyle w:val="Notedefin"/>
        <w:suppressLineNumbers/>
        <w:spacing w:before="57" w:after="57"/>
        <w:ind w:left="339" w:right="0" w:hanging="339"/>
        <w:rPr/>
      </w:pPr>
      <w:r>
        <w:rPr>
          <w:rStyle w:val="Caractresdenotedefin"/>
        </w:rPr>
        <w:endnoteRef/>
      </w:r>
      <w:r>
        <w:rPr/>
        <w:tab/>
      </w:r>
      <w:r>
        <w:rPr/>
        <w:t>Препоръки на гражданите, на които се основава предложението: PCE2: 1, 2, 21, 22, 23; Нидерландски NCP: 1.1.</w:t>
      </w:r>
    </w:p>
  </w:endnote>
  <w:endnote w:id="73">
    <w:p>
      <w:pPr>
        <w:pStyle w:val="Notedefin"/>
        <w:suppressLineNumbers/>
        <w:spacing w:before="57" w:after="57"/>
        <w:ind w:left="339" w:right="0" w:hanging="339"/>
        <w:rPr/>
      </w:pPr>
      <w:r>
        <w:rPr>
          <w:rStyle w:val="Caractresdenotedefin"/>
        </w:rPr>
        <w:endnoteRef/>
      </w:r>
      <w:r>
        <w:rPr/>
        <w:tab/>
      </w:r>
      <w:r>
        <w:rPr/>
        <w:t>Препоръка № 222 на ЕСП. Дебат в работната група.</w:t>
      </w:r>
    </w:p>
  </w:endnote>
  <w:endnote w:id="74">
    <w:p>
      <w:pPr>
        <w:pStyle w:val="Notedefin"/>
        <w:suppressLineNumbers/>
        <w:spacing w:before="57" w:after="57"/>
        <w:ind w:left="339" w:right="0" w:hanging="339"/>
        <w:rPr/>
      </w:pPr>
      <w:r>
        <w:rPr>
          <w:rStyle w:val="Caractresdenotedefin"/>
        </w:rPr>
        <w:endnoteRef/>
      </w:r>
      <w:r>
        <w:rPr/>
        <w:tab/>
      </w:r>
      <w:r>
        <w:rPr/>
        <w:t>Въпрос, обсъден и от работната група „По-силна икономика, социална справедливост и заетост“.</w:t>
      </w:r>
    </w:p>
  </w:endnote>
  <w:endnote w:id="75">
    <w:p>
      <w:pPr>
        <w:pStyle w:val="Notedefin"/>
        <w:suppressLineNumbers/>
        <w:spacing w:before="57" w:after="57"/>
        <w:ind w:left="339" w:right="0" w:hanging="339"/>
        <w:rPr/>
      </w:pPr>
      <w:r>
        <w:rPr>
          <w:rStyle w:val="Caractresdenotedefin"/>
        </w:rPr>
        <w:endnoteRef/>
      </w:r>
      <w:r>
        <w:rPr/>
        <w:tab/>
      </w:r>
      <w:r>
        <w:rPr/>
        <w:t>Препоръка № 212 на ЕСП. Препоръка 1.1 на нидерландския НЗК.</w:t>
      </w:r>
    </w:p>
  </w:endnote>
  <w:endnote w:id="76">
    <w:p>
      <w:pPr>
        <w:pStyle w:val="Notedefin"/>
        <w:suppressLineNumbers/>
        <w:spacing w:before="57" w:after="57"/>
        <w:ind w:left="339" w:right="0" w:hanging="339"/>
        <w:rPr/>
      </w:pPr>
      <w:r>
        <w:rPr>
          <w:rStyle w:val="Caractresdenotedefin"/>
        </w:rPr>
        <w:endnoteRef/>
      </w:r>
      <w:r>
        <w:rPr/>
        <w:tab/>
      </w:r>
      <w:r>
        <w:rPr/>
        <w:t>Препоръка № 232 на ЕСП.</w:t>
      </w:r>
    </w:p>
  </w:endnote>
  <w:endnote w:id="77">
    <w:p>
      <w:pPr>
        <w:pStyle w:val="Notedefin"/>
        <w:suppressLineNumbers/>
        <w:spacing w:before="57" w:after="57"/>
        <w:ind w:left="339" w:right="0" w:hanging="339"/>
        <w:rPr/>
      </w:pPr>
      <w:r>
        <w:rPr>
          <w:rStyle w:val="Caractresdenotedefin"/>
        </w:rPr>
        <w:endnoteRef/>
      </w:r>
      <w:r>
        <w:rPr/>
        <w:tab/>
      </w:r>
      <w:r>
        <w:rPr/>
        <w:t>Въпрос, обсъден и от работната група „По-силна икономика, социална справедливост и заетост“.</w:t>
      </w:r>
    </w:p>
  </w:endnote>
  <w:endnote w:id="78">
    <w:p>
      <w:pPr>
        <w:pStyle w:val="Notedefin"/>
        <w:suppressLineNumbers/>
        <w:spacing w:before="57" w:after="57"/>
        <w:ind w:left="339" w:right="0" w:hanging="339"/>
        <w:rPr/>
      </w:pPr>
      <w:r>
        <w:rPr>
          <w:rStyle w:val="Caractresdenotedefin"/>
        </w:rPr>
        <w:endnoteRef/>
      </w:r>
      <w:r>
        <w:rPr/>
        <w:tab/>
      </w:r>
      <w:r>
        <w:rPr/>
        <w:t>Препоръка 1 от ECP2. Дебат в работната група.</w:t>
      </w:r>
    </w:p>
  </w:endnote>
  <w:endnote w:id="79">
    <w:p>
      <w:pPr>
        <w:pStyle w:val="Notedefin"/>
        <w:suppressLineNumbers/>
        <w:spacing w:before="57" w:after="57"/>
        <w:ind w:left="339" w:right="0" w:hanging="339"/>
        <w:rPr/>
      </w:pPr>
      <w:r>
        <w:rPr>
          <w:rStyle w:val="Caractresdenotedefin"/>
        </w:rPr>
        <w:endnoteRef/>
      </w:r>
      <w:r>
        <w:rPr/>
        <w:tab/>
      </w:r>
      <w:r>
        <w:rPr/>
        <w:t>Препоръка 2 от ECP2. Дебат в работната група.</w:t>
      </w:r>
    </w:p>
  </w:endnote>
  <w:endnote w:id="80">
    <w:p>
      <w:pPr>
        <w:pStyle w:val="Notedefin"/>
        <w:suppressLineNumbers/>
        <w:spacing w:before="57" w:after="57"/>
        <w:ind w:left="339" w:right="0" w:hanging="339"/>
        <w:rPr/>
      </w:pPr>
      <w:r>
        <w:rPr>
          <w:rStyle w:val="Caractresdenotedefin"/>
        </w:rPr>
        <w:endnoteRef/>
      </w:r>
      <w:r>
        <w:rPr/>
        <w:tab/>
      </w:r>
      <w:r>
        <w:rPr/>
        <w:t>Препоръки на гражданите, на които се основава предложението: PCE2: 3, 4, 6.</w:t>
      </w:r>
    </w:p>
  </w:endnote>
  <w:endnote w:id="81">
    <w:p>
      <w:pPr>
        <w:pStyle w:val="Notedefin"/>
        <w:suppressLineNumbers/>
        <w:spacing w:before="57" w:after="57"/>
        <w:ind w:left="339" w:right="0" w:hanging="339"/>
        <w:rPr/>
      </w:pPr>
      <w:r>
        <w:rPr>
          <w:rStyle w:val="Caractresdenotedefin"/>
        </w:rPr>
        <w:endnoteRef/>
      </w:r>
      <w:r>
        <w:rPr/>
        <w:tab/>
      </w:r>
      <w:r>
        <w:rPr/>
        <w:t>Препоръка 3 от ECP2.</w:t>
      </w:r>
    </w:p>
  </w:endnote>
  <w:endnote w:id="82">
    <w:p>
      <w:pPr>
        <w:pStyle w:val="Notedefin"/>
        <w:suppressLineNumbers/>
        <w:spacing w:before="57" w:after="57"/>
        <w:ind w:left="339" w:right="0" w:hanging="339"/>
        <w:rPr/>
      </w:pPr>
      <w:r>
        <w:rPr>
          <w:rStyle w:val="Caractresdenotedefin"/>
        </w:rPr>
        <w:endnoteRef/>
      </w:r>
      <w:r>
        <w:rPr/>
        <w:tab/>
      </w:r>
      <w:r>
        <w:rPr/>
        <w:t>Темата беше обсъдена и от работната група по изменението на климата и околната среда.</w:t>
      </w:r>
    </w:p>
  </w:endnote>
  <w:endnote w:id="83">
    <w:p>
      <w:pPr>
        <w:pStyle w:val="Notedefin"/>
        <w:suppressLineNumbers/>
        <w:spacing w:before="57" w:after="57"/>
        <w:ind w:left="339" w:right="0" w:hanging="339"/>
        <w:rPr/>
      </w:pPr>
      <w:r>
        <w:rPr>
          <w:rStyle w:val="Caractresdenotedefin"/>
        </w:rPr>
        <w:endnoteRef/>
      </w:r>
      <w:r>
        <w:rPr/>
        <w:tab/>
      </w:r>
      <w:r>
        <w:rPr/>
        <w:t>Препоръка 4 от ECP2.</w:t>
      </w:r>
    </w:p>
  </w:endnote>
  <w:endnote w:id="84">
    <w:p>
      <w:pPr>
        <w:pStyle w:val="Notedefin"/>
        <w:suppressLineNumbers/>
        <w:spacing w:before="57" w:after="57"/>
        <w:ind w:left="339" w:right="0" w:hanging="339"/>
        <w:rPr/>
      </w:pPr>
      <w:r>
        <w:rPr>
          <w:rStyle w:val="Caractresdenotedefin"/>
        </w:rPr>
        <w:endnoteRef/>
      </w:r>
      <w:r>
        <w:rPr/>
        <w:tab/>
      </w:r>
      <w:r>
        <w:rPr/>
        <w:t>Препоръка 6 от ECP2.</w:t>
      </w:r>
    </w:p>
  </w:endnote>
  <w:endnote w:id="85">
    <w:p>
      <w:pPr>
        <w:pStyle w:val="Notedefin"/>
        <w:suppressLineNumbers/>
        <w:spacing w:before="57" w:after="57"/>
        <w:ind w:left="339" w:right="0" w:hanging="339"/>
        <w:rPr/>
      </w:pPr>
      <w:r>
        <w:rPr>
          <w:rStyle w:val="Caractresdenotedefin"/>
        </w:rPr>
        <w:endnoteRef/>
      </w:r>
      <w:r>
        <w:rPr/>
        <w:tab/>
      </w:r>
      <w:r>
        <w:rPr/>
        <w:t>Темата беше обсъдена и от работната група по изменението на климата и околната среда.</w:t>
      </w:r>
    </w:p>
  </w:endnote>
  <w:endnote w:id="86">
    <w:p>
      <w:pPr>
        <w:pStyle w:val="Notedefin"/>
        <w:suppressLineNumbers/>
        <w:spacing w:before="57" w:after="57"/>
        <w:ind w:left="339" w:right="0" w:hanging="339"/>
        <w:rPr/>
      </w:pPr>
      <w:r>
        <w:rPr>
          <w:rStyle w:val="Caractresdenotedefin"/>
        </w:rPr>
        <w:endnoteRef/>
      </w:r>
      <w:r>
        <w:rPr/>
        <w:tab/>
      </w:r>
      <w:r>
        <w:rPr/>
        <w:t>Препоръки на гражданите, на които се основава предложението: Европейски граждански панел 1 (ECP 1): 17, 40, 47; Нидерландски национален граждански панел (NCP) № 1.</w:t>
      </w:r>
    </w:p>
  </w:endnote>
  <w:endnote w:id="87">
    <w:p>
      <w:pPr>
        <w:pStyle w:val="Notedefin"/>
        <w:suppressLineNumbers/>
        <w:spacing w:before="57" w:after="57"/>
        <w:ind w:left="339" w:right="0" w:hanging="339"/>
        <w:rPr/>
      </w:pPr>
      <w:r>
        <w:rPr>
          <w:rStyle w:val="Caractresdenotedefin"/>
        </w:rPr>
        <w:endnoteRef/>
      </w:r>
      <w:r>
        <w:rPr/>
        <w:tab/>
      </w:r>
      <w:r>
        <w:rPr/>
        <w:t>Вж. връзката към Препоръка 38 на ЕПП 3 по отношение на инфраструктурата за електрически превозни средства.</w:t>
      </w:r>
    </w:p>
  </w:endnote>
  <w:endnote w:id="88">
    <w:p>
      <w:pPr>
        <w:pStyle w:val="Notedefin"/>
        <w:suppressLineNumbers/>
        <w:spacing w:before="57" w:after="57"/>
        <w:ind w:left="339" w:right="0" w:hanging="339"/>
        <w:rPr/>
      </w:pPr>
      <w:r>
        <w:rPr>
          <w:rStyle w:val="Caractresdenotedefin"/>
        </w:rPr>
        <w:endnoteRef/>
      </w:r>
      <w:r>
        <w:rPr/>
        <w:tab/>
      </w:r>
      <w:r>
        <w:rPr/>
        <w:t>Препоръки на гражданите, на които се основава предложението: Европейски граждански панел 1 (ECP 1): 8, 34 и 47; Италиански национален граждански панел (NCP) 5.2.</w:t>
      </w:r>
    </w:p>
  </w:endnote>
  <w:endnote w:id="89">
    <w:p>
      <w:pPr>
        <w:pStyle w:val="Notedefin"/>
        <w:suppressLineNumbers/>
        <w:spacing w:before="57" w:after="57"/>
        <w:ind w:left="339" w:right="0" w:hanging="339"/>
        <w:rPr/>
      </w:pPr>
      <w:r>
        <w:rPr>
          <w:rStyle w:val="Caractresdenotedefin"/>
        </w:rPr>
        <w:endnoteRef/>
      </w:r>
      <w:r>
        <w:rPr/>
        <w:tab/>
      </w:r>
      <w:r>
        <w:rPr/>
        <w:t>Препоръки на гражданите, на които се основава предложението: препоръки 39 и 46 от Европейския граждански панел 1 (CEP 1) и препоръки 2.6 от Литовския национален граждански панел (НЗК) и НЗК на Нидерландия.</w:t>
      </w:r>
    </w:p>
  </w:endnote>
  <w:endnote w:id="90">
    <w:p>
      <w:pPr>
        <w:pStyle w:val="Notedefin"/>
        <w:suppressLineNumbers/>
        <w:spacing w:before="57" w:after="57"/>
        <w:ind w:left="339" w:right="0" w:hanging="339"/>
        <w:rPr/>
      </w:pPr>
      <w:r>
        <w:rPr>
          <w:rStyle w:val="Caractresdenotedefin"/>
        </w:rPr>
        <w:endnoteRef/>
      </w:r>
      <w:r>
        <w:rPr/>
        <w:tab/>
      </w:r>
      <w:r>
        <w:rPr/>
        <w:t>Препоръки на гражданите, на които се основава предложението: препоръки 42, 43, 44 и 45 от Европейския граждански панел № 1 (PCE 1) и Препоръка № 2 на Националната гражданска група на Нидерландия (NCP).</w:t>
      </w:r>
    </w:p>
  </w:endnote>
  <w:endnote w:id="91">
    <w:p>
      <w:pPr>
        <w:pStyle w:val="Notedefin"/>
        <w:suppressLineNumbers/>
        <w:spacing w:before="57" w:after="57"/>
        <w:ind w:left="339" w:right="0" w:hanging="339"/>
        <w:rPr/>
      </w:pPr>
      <w:r>
        <w:rPr>
          <w:rStyle w:val="Caractresdenotedefin"/>
        </w:rPr>
        <w:endnoteRef/>
      </w:r>
      <w:r>
        <w:rPr/>
        <w:tab/>
      </w:r>
      <w:r>
        <w:rPr/>
        <w:t>Препоръки на гражданите, на които се основава предложението: Европейски граждански панел № 1 (PCE 1) № 7, 16 и 17 и национални граждански панели на Германия и Италия 1.3.</w:t>
      </w:r>
    </w:p>
  </w:endnote>
  <w:endnote w:id="92">
    <w:p>
      <w:pPr>
        <w:pStyle w:val="Notedefin"/>
        <w:suppressLineNumbers/>
        <w:spacing w:before="57" w:after="57"/>
        <w:ind w:left="339" w:right="0" w:hanging="339"/>
        <w:rPr/>
      </w:pPr>
      <w:r>
        <w:rPr>
          <w:rStyle w:val="Caractresdenotedefin"/>
        </w:rPr>
        <w:endnoteRef/>
      </w:r>
      <w:r>
        <w:rPr/>
        <w:tab/>
      </w:r>
      <w:r>
        <w:rPr/>
        <w:t>Да се разгледа във връзка с предложенията на работната група за по-силна икономика.</w:t>
      </w:r>
    </w:p>
  </w:endnote>
  <w:endnote w:id="93">
    <w:p>
      <w:pPr>
        <w:pStyle w:val="Notedefin"/>
        <w:suppressLineNumbers/>
        <w:spacing w:before="57" w:after="57"/>
        <w:ind w:left="339" w:right="0" w:hanging="339"/>
        <w:rPr/>
      </w:pPr>
      <w:r>
        <w:rPr>
          <w:rStyle w:val="Caractresdenotedefin"/>
        </w:rPr>
        <w:endnoteRef/>
      </w:r>
      <w:r>
        <w:rPr/>
        <w:tab/>
      </w:r>
      <w:r>
        <w:rPr/>
        <w:t>Изменения № 3А и 3Б на работната група (РГ).</w:t>
      </w:r>
    </w:p>
  </w:endnote>
  <w:endnote w:id="94">
    <w:p>
      <w:pPr>
        <w:pStyle w:val="Notedefin"/>
        <w:suppressLineNumbers/>
        <w:spacing w:before="57" w:after="57"/>
        <w:ind w:left="339" w:right="0" w:hanging="339"/>
        <w:rPr/>
      </w:pPr>
      <w:r>
        <w:rPr>
          <w:rStyle w:val="Caractresdenotedefin"/>
        </w:rPr>
        <w:endnoteRef/>
      </w:r>
      <w:r>
        <w:rPr/>
        <w:tab/>
      </w:r>
      <w:r>
        <w:rPr/>
        <w:t>Препоръки 32 и 37 от Европейския граждански панел 2 (PCE 2); национални комисии BE, FR и NL.</w:t>
      </w:r>
    </w:p>
  </w:endnote>
  <w:endnote w:id="95">
    <w:p>
      <w:pPr>
        <w:pStyle w:val="Notedefin"/>
        <w:suppressLineNumbers/>
        <w:spacing w:before="57" w:after="57"/>
        <w:ind w:left="339" w:right="0" w:hanging="339"/>
        <w:rPr/>
      </w:pPr>
      <w:r>
        <w:rPr>
          <w:rStyle w:val="Caractresdenotedefin"/>
        </w:rPr>
        <w:endnoteRef/>
      </w:r>
      <w:r>
        <w:rPr/>
        <w:tab/>
      </w:r>
      <w:r>
        <w:rPr/>
        <w:t>Национален панел FR.</w:t>
      </w:r>
    </w:p>
  </w:endnote>
  <w:endnote w:id="96">
    <w:p>
      <w:pPr>
        <w:pStyle w:val="Notedefin"/>
        <w:suppressLineNumbers/>
        <w:spacing w:before="57" w:after="57"/>
        <w:ind w:left="339" w:right="0" w:hanging="339"/>
        <w:rPr/>
      </w:pPr>
      <w:r>
        <w:rPr>
          <w:rStyle w:val="Caractresdenotedefin"/>
        </w:rPr>
        <w:endnoteRef/>
      </w:r>
      <w:r>
        <w:rPr/>
        <w:tab/>
      </w:r>
      <w:r>
        <w:rPr/>
        <w:t>Изменение № 8 на работната група, по-кратка формулировка.</w:t>
      </w:r>
    </w:p>
  </w:endnote>
  <w:endnote w:id="97">
    <w:p>
      <w:pPr>
        <w:pStyle w:val="Notedefin"/>
        <w:suppressLineNumbers/>
        <w:spacing w:before="57" w:after="57"/>
        <w:ind w:left="339" w:right="0" w:hanging="339"/>
        <w:rPr/>
      </w:pPr>
      <w:r>
        <w:rPr>
          <w:rStyle w:val="Caractresdenotedefin"/>
        </w:rPr>
        <w:endnoteRef/>
      </w:r>
      <w:r>
        <w:rPr/>
        <w:tab/>
      </w:r>
      <w:r>
        <w:rPr/>
        <w:t>Препоръка № 29 2.</w:t>
      </w:r>
    </w:p>
  </w:endnote>
  <w:endnote w:id="98">
    <w:p>
      <w:pPr>
        <w:pStyle w:val="Notedefin"/>
        <w:suppressLineNumbers/>
        <w:spacing w:before="57" w:after="57"/>
        <w:ind w:left="339" w:right="0" w:hanging="339"/>
        <w:rPr/>
      </w:pPr>
      <w:r>
        <w:rPr>
          <w:rStyle w:val="Caractresdenotedefin"/>
        </w:rPr>
        <w:endnoteRef/>
      </w:r>
      <w:r>
        <w:rPr/>
        <w:tab/>
      </w:r>
      <w:r>
        <w:rPr/>
        <w:t>Препоръки 19 и 32 на ЕПП 2; национални комисии на Белгия и Франция и представител на Дания за национални прояви.</w:t>
      </w:r>
    </w:p>
  </w:endnote>
  <w:endnote w:id="99">
    <w:p>
      <w:pPr>
        <w:pStyle w:val="Notedefin"/>
        <w:suppressLineNumbers/>
        <w:spacing w:before="57" w:after="57"/>
        <w:ind w:left="339" w:right="0" w:hanging="339"/>
        <w:rPr/>
      </w:pPr>
      <w:r>
        <w:rPr>
          <w:rStyle w:val="Caractresdenotedefin"/>
        </w:rPr>
        <w:endnoteRef/>
      </w:r>
      <w:r>
        <w:rPr/>
        <w:tab/>
      </w:r>
      <w:r>
        <w:rPr/>
        <w:t>Национален панел BE.</w:t>
      </w:r>
    </w:p>
  </w:endnote>
  <w:endnote w:id="100">
    <w:p>
      <w:pPr>
        <w:pStyle w:val="Notedefin"/>
        <w:suppressLineNumbers/>
        <w:spacing w:before="57" w:after="57"/>
        <w:ind w:left="339" w:right="0" w:hanging="339"/>
        <w:rPr/>
      </w:pPr>
      <w:r>
        <w:rPr>
          <w:rStyle w:val="Caractresdenotedefin"/>
        </w:rPr>
        <w:endnoteRef/>
      </w:r>
      <w:r>
        <w:rPr/>
        <w:tab/>
      </w:r>
      <w:r>
        <w:rPr/>
        <w:t>Изменение № 7Б на РГ.</w:t>
      </w:r>
    </w:p>
  </w:endnote>
  <w:endnote w:id="101">
    <w:p>
      <w:pPr>
        <w:pStyle w:val="Notedefin"/>
        <w:suppressLineNumbers/>
        <w:spacing w:before="57" w:after="57"/>
        <w:ind w:left="339" w:right="0" w:hanging="339"/>
        <w:rPr/>
      </w:pPr>
      <w:r>
        <w:rPr>
          <w:rStyle w:val="Caractresdenotedefin"/>
        </w:rPr>
        <w:endnoteRef/>
      </w:r>
      <w:r>
        <w:rPr/>
        <w:tab/>
      </w:r>
      <w:r>
        <w:rPr/>
        <w:t>Национален панел BE.</w:t>
      </w:r>
    </w:p>
  </w:endnote>
  <w:endnote w:id="102">
    <w:p>
      <w:pPr>
        <w:pStyle w:val="Notedefin"/>
        <w:suppressLineNumbers/>
        <w:spacing w:before="57" w:after="57"/>
        <w:ind w:left="339" w:right="0" w:hanging="339"/>
        <w:rPr/>
      </w:pPr>
      <w:r>
        <w:rPr>
          <w:rStyle w:val="Caractresdenotedefin"/>
        </w:rPr>
        <w:endnoteRef/>
      </w:r>
      <w:r>
        <w:rPr/>
        <w:tab/>
      </w:r>
      <w:r>
        <w:rPr/>
        <w:t>Окончателен доклад на Kantar, стр. 85.</w:t>
      </w:r>
    </w:p>
  </w:endnote>
  <w:endnote w:id="103">
    <w:p>
      <w:pPr>
        <w:pStyle w:val="Notedefin"/>
        <w:suppressLineNumbers/>
        <w:spacing w:before="57" w:after="57"/>
        <w:ind w:left="339" w:right="0" w:hanging="339"/>
        <w:rPr/>
      </w:pPr>
      <w:r>
        <w:rPr>
          <w:rStyle w:val="Caractresdenotedefin"/>
        </w:rPr>
        <w:endnoteRef/>
      </w:r>
      <w:r>
        <w:rPr/>
        <w:tab/>
      </w:r>
      <w:r>
        <w:rPr/>
        <w:t>Препоръка 39 от ЕПП 2; национален панел номер 3 BE.</w:t>
      </w:r>
    </w:p>
  </w:endnote>
  <w:endnote w:id="104">
    <w:p>
      <w:pPr>
        <w:pStyle w:val="Notedefin"/>
        <w:suppressLineNumbers/>
        <w:spacing w:before="57" w:after="57"/>
        <w:ind w:left="339" w:right="0" w:hanging="339"/>
        <w:rPr/>
      </w:pPr>
      <w:r>
        <w:rPr>
          <w:rStyle w:val="Caractresdenotedefin"/>
        </w:rPr>
        <w:endnoteRef/>
      </w:r>
      <w:r>
        <w:rPr/>
        <w:tab/>
      </w:r>
      <w:r>
        <w:rPr/>
        <w:t>Изменение 10А на РГ, по-кратка формулировка.</w:t>
      </w:r>
    </w:p>
  </w:endnote>
  <w:endnote w:id="105">
    <w:p>
      <w:pPr>
        <w:pStyle w:val="Notedefin"/>
        <w:suppressLineNumbers/>
        <w:spacing w:before="57" w:after="57"/>
        <w:ind w:left="339" w:right="0" w:hanging="339"/>
        <w:rPr/>
      </w:pPr>
      <w:r>
        <w:rPr>
          <w:rStyle w:val="Caractresdenotedefin"/>
        </w:rPr>
        <w:endnoteRef/>
      </w:r>
      <w:r>
        <w:rPr/>
        <w:tab/>
      </w:r>
      <w:r>
        <w:rPr/>
        <w:t>DK представител на национални събития.</w:t>
      </w:r>
    </w:p>
  </w:endnote>
  <w:endnote w:id="106">
    <w:p>
      <w:pPr>
        <w:pStyle w:val="Notedefin"/>
        <w:suppressLineNumbers/>
        <w:spacing w:before="57" w:after="57"/>
        <w:ind w:left="339" w:right="0" w:hanging="339"/>
        <w:rPr/>
      </w:pPr>
      <w:r>
        <w:rPr>
          <w:rStyle w:val="Caractresdenotedefin"/>
        </w:rPr>
        <w:endnoteRef/>
      </w:r>
      <w:r>
        <w:rPr/>
        <w:tab/>
      </w:r>
      <w:r>
        <w:rPr/>
        <w:t>Изменение № 54В на РГ.</w:t>
      </w:r>
    </w:p>
  </w:endnote>
  <w:endnote w:id="107">
    <w:p>
      <w:pPr>
        <w:pStyle w:val="Notedefin"/>
        <w:suppressLineNumbers/>
        <w:spacing w:before="57" w:after="57"/>
        <w:ind w:left="339" w:right="0" w:hanging="339"/>
        <w:rPr/>
      </w:pPr>
      <w:r>
        <w:rPr>
          <w:rStyle w:val="Caractresdenotedefin"/>
        </w:rPr>
        <w:endnoteRef/>
      </w:r>
      <w:r>
        <w:rPr/>
        <w:tab/>
      </w:r>
      <w:r>
        <w:rPr/>
        <w:t>DK представител на национални събития.</w:t>
      </w:r>
    </w:p>
  </w:endnote>
  <w:endnote w:id="108">
    <w:p>
      <w:pPr>
        <w:pStyle w:val="Notedefin"/>
        <w:suppressLineNumbers/>
        <w:spacing w:before="57" w:after="57"/>
        <w:ind w:left="339" w:right="0" w:hanging="339"/>
        <w:rPr/>
      </w:pPr>
      <w:r>
        <w:rPr>
          <w:rStyle w:val="Caractresdenotedefin"/>
        </w:rPr>
        <w:endnoteRef/>
      </w:r>
      <w:r>
        <w:rPr/>
        <w:tab/>
      </w:r>
      <w:r>
        <w:rPr/>
        <w:t>DK представител на национални събития.</w:t>
      </w:r>
    </w:p>
  </w:endnote>
  <w:endnote w:id="109">
    <w:p>
      <w:pPr>
        <w:pStyle w:val="Notedefin"/>
        <w:suppressLineNumbers/>
        <w:spacing w:before="57" w:after="57"/>
        <w:ind w:left="339" w:right="0" w:hanging="339"/>
        <w:rPr/>
      </w:pPr>
      <w:r>
        <w:rPr>
          <w:rStyle w:val="Caractresdenotedefin"/>
        </w:rPr>
        <w:endnoteRef/>
      </w:r>
      <w:r>
        <w:rPr/>
        <w:tab/>
      </w:r>
      <w:r>
        <w:rPr/>
        <w:t>Изменение № 15А на работната група, компромисна формулировка.</w:t>
      </w:r>
    </w:p>
  </w:endnote>
  <w:endnote w:id="110">
    <w:p>
      <w:pPr>
        <w:pStyle w:val="Notedefin"/>
        <w:suppressLineNumbers/>
        <w:spacing w:before="57" w:after="57"/>
        <w:ind w:left="339" w:right="0" w:hanging="339"/>
        <w:rPr/>
      </w:pPr>
      <w:r>
        <w:rPr>
          <w:rStyle w:val="Caractresdenotedefin"/>
        </w:rPr>
        <w:endnoteRef/>
      </w:r>
      <w:r>
        <w:rPr/>
        <w:tab/>
      </w:r>
      <w:r>
        <w:rPr/>
        <w:t>PCE 2 Препоръки 24, 36 и 38; национален панел BE.</w:t>
      </w:r>
    </w:p>
  </w:endnote>
  <w:endnote w:id="111">
    <w:p>
      <w:pPr>
        <w:pStyle w:val="Notedefin"/>
        <w:suppressLineNumbers/>
        <w:spacing w:before="57" w:after="57"/>
        <w:ind w:left="339" w:right="0" w:hanging="339"/>
        <w:rPr/>
      </w:pPr>
      <w:r>
        <w:rPr>
          <w:rStyle w:val="Caractresdenotedefin"/>
        </w:rPr>
        <w:endnoteRef/>
      </w:r>
      <w:r>
        <w:rPr/>
        <w:tab/>
      </w:r>
      <w:r>
        <w:rPr/>
        <w:t>Изменение № 16C на РГ.</w:t>
      </w:r>
    </w:p>
  </w:endnote>
  <w:endnote w:id="112">
    <w:p>
      <w:pPr>
        <w:pStyle w:val="Notedefin"/>
        <w:suppressLineNumbers/>
        <w:spacing w:before="57" w:after="57"/>
        <w:ind w:left="339" w:right="0" w:hanging="339"/>
        <w:rPr/>
      </w:pPr>
      <w:r>
        <w:rPr>
          <w:rStyle w:val="Caractresdenotedefin"/>
        </w:rPr>
        <w:endnoteRef/>
      </w:r>
      <w:r>
        <w:rPr/>
        <w:tab/>
      </w:r>
      <w:r>
        <w:rPr/>
        <w:t>Препоръка 33 от ЕПП 2; национални комисии BE, FR и NL.</w:t>
      </w:r>
    </w:p>
  </w:endnote>
  <w:endnote w:id="113">
    <w:p>
      <w:pPr>
        <w:pStyle w:val="Notedefin"/>
        <w:suppressLineNumbers/>
        <w:spacing w:before="57" w:after="57"/>
        <w:ind w:left="339" w:right="0" w:hanging="339"/>
        <w:rPr/>
      </w:pPr>
      <w:r>
        <w:rPr>
          <w:rStyle w:val="Caractresdenotedefin"/>
        </w:rPr>
        <w:endnoteRef/>
      </w:r>
      <w:r>
        <w:rPr/>
        <w:tab/>
      </w:r>
      <w:r>
        <w:rPr/>
        <w:t>Препоръка № 26 2.</w:t>
      </w:r>
    </w:p>
  </w:endnote>
  <w:endnote w:id="114">
    <w:p>
      <w:pPr>
        <w:pStyle w:val="Notedefin"/>
        <w:suppressLineNumbers/>
        <w:spacing w:before="57" w:after="57"/>
        <w:ind w:left="339" w:right="0" w:hanging="339"/>
        <w:rPr/>
      </w:pPr>
      <w:r>
        <w:rPr>
          <w:rStyle w:val="Caractresdenotedefin"/>
        </w:rPr>
        <w:endnoteRef/>
      </w:r>
      <w:r>
        <w:rPr/>
        <w:tab/>
      </w:r>
      <w:r>
        <w:rPr/>
        <w:t>Изменение № 17 на РГ.</w:t>
      </w:r>
    </w:p>
  </w:endnote>
  <w:endnote w:id="115">
    <w:p>
      <w:pPr>
        <w:pStyle w:val="Notedefin"/>
        <w:suppressLineNumbers/>
        <w:spacing w:before="57" w:after="57"/>
        <w:ind w:left="339" w:right="0" w:hanging="339"/>
        <w:rPr/>
      </w:pPr>
      <w:r>
        <w:rPr>
          <w:rStyle w:val="Caractresdenotedefin"/>
        </w:rPr>
        <w:endnoteRef/>
      </w:r>
      <w:r>
        <w:rPr/>
        <w:tab/>
      </w:r>
      <w:r>
        <w:rPr/>
        <w:t>Национален панел BE.</w:t>
      </w:r>
    </w:p>
  </w:endnote>
  <w:endnote w:id="116">
    <w:p>
      <w:pPr>
        <w:pStyle w:val="Notedefin"/>
        <w:suppressLineNumbers/>
        <w:spacing w:before="57" w:after="57"/>
        <w:ind w:left="339" w:right="0" w:hanging="339"/>
        <w:rPr/>
      </w:pPr>
      <w:r>
        <w:rPr>
          <w:rStyle w:val="Caractresdenotedefin"/>
        </w:rPr>
        <w:endnoteRef/>
      </w:r>
      <w:r>
        <w:rPr/>
        <w:tab/>
      </w:r>
      <w:r>
        <w:rPr/>
        <w:t>Изменение на РГ № 18А.</w:t>
      </w:r>
    </w:p>
  </w:endnote>
  <w:endnote w:id="117">
    <w:p>
      <w:pPr>
        <w:pStyle w:val="Notedefin"/>
        <w:suppressLineNumbers/>
        <w:spacing w:before="57" w:after="57"/>
        <w:ind w:left="339" w:right="0" w:hanging="339"/>
        <w:rPr/>
      </w:pPr>
      <w:r>
        <w:rPr>
          <w:rStyle w:val="Caractresdenotedefin"/>
        </w:rPr>
        <w:endnoteRef/>
      </w:r>
      <w:r>
        <w:rPr/>
        <w:tab/>
      </w:r>
      <w:r>
        <w:rPr/>
        <w:t>Препоръка № 252 на ЕСП.</w:t>
      </w:r>
    </w:p>
  </w:endnote>
  <w:endnote w:id="118">
    <w:p>
      <w:pPr>
        <w:pStyle w:val="Notedefin"/>
        <w:suppressLineNumbers/>
        <w:spacing w:before="57" w:after="57"/>
        <w:ind w:left="339" w:right="0" w:hanging="339"/>
        <w:rPr/>
      </w:pPr>
      <w:r>
        <w:rPr>
          <w:rStyle w:val="Caractresdenotedefin"/>
        </w:rPr>
        <w:endnoteRef/>
      </w:r>
      <w:r>
        <w:rPr/>
        <w:tab/>
      </w:r>
      <w:r>
        <w:rPr/>
        <w:t>Изменение № 18Б на РГ.</w:t>
      </w:r>
    </w:p>
  </w:endnote>
  <w:endnote w:id="119">
    <w:p>
      <w:pPr>
        <w:pStyle w:val="Notedefin"/>
        <w:suppressLineNumbers/>
        <w:spacing w:before="57" w:after="57"/>
        <w:ind w:left="339" w:right="0" w:hanging="339"/>
        <w:rPr/>
      </w:pPr>
      <w:r>
        <w:rPr>
          <w:rStyle w:val="Caractresdenotedefin"/>
        </w:rPr>
        <w:endnoteRef/>
      </w:r>
      <w:r>
        <w:rPr/>
        <w:tab/>
      </w:r>
      <w:r>
        <w:rPr/>
        <w:t>Препоръка 31 от ЕПП 2; национални комисии BE и NL.</w:t>
      </w:r>
    </w:p>
  </w:endnote>
  <w:endnote w:id="120">
    <w:p>
      <w:pPr>
        <w:pStyle w:val="Notedefin"/>
        <w:suppressLineNumbers/>
        <w:spacing w:before="57" w:after="57"/>
        <w:ind w:left="339" w:right="0" w:hanging="339"/>
        <w:rPr/>
      </w:pPr>
      <w:r>
        <w:rPr>
          <w:rStyle w:val="Caractresdenotedefin"/>
        </w:rPr>
        <w:endnoteRef/>
      </w:r>
      <w:r>
        <w:rPr/>
        <w:tab/>
      </w:r>
      <w:r>
        <w:rPr/>
        <w:t>Изменения № 19А на работната група, които се преформулират, за да се изготви по-подходящ текст.</w:t>
      </w:r>
    </w:p>
  </w:endnote>
  <w:endnote w:id="121">
    <w:p>
      <w:pPr>
        <w:pStyle w:val="Notedefin"/>
        <w:suppressLineNumbers/>
        <w:spacing w:before="57" w:after="57"/>
        <w:ind w:left="339" w:right="0" w:hanging="339"/>
        <w:rPr/>
      </w:pPr>
      <w:r>
        <w:rPr>
          <w:rStyle w:val="Caractresdenotedefin"/>
        </w:rPr>
        <w:endnoteRef/>
      </w:r>
      <w:r>
        <w:rPr/>
        <w:tab/>
      </w:r>
      <w:r>
        <w:rPr/>
        <w:t>Изменение № 21 на работната група, компромис.</w:t>
      </w:r>
    </w:p>
  </w:endnote>
  <w:endnote w:id="122">
    <w:p>
      <w:pPr>
        <w:pStyle w:val="Notedefin"/>
        <w:suppressLineNumbers/>
        <w:spacing w:before="57" w:after="57"/>
        <w:ind w:left="339" w:right="0" w:hanging="339"/>
        <w:rPr/>
      </w:pPr>
      <w:r>
        <w:rPr>
          <w:rStyle w:val="Caractresdenotedefin"/>
        </w:rPr>
        <w:endnoteRef/>
      </w:r>
      <w:r>
        <w:rPr/>
        <w:tab/>
      </w:r>
      <w:r>
        <w:rPr/>
        <w:t>Национални комисии BE и FR.</w:t>
      </w:r>
    </w:p>
  </w:endnote>
  <w:endnote w:id="123">
    <w:p>
      <w:pPr>
        <w:pStyle w:val="Notedefin"/>
        <w:suppressLineNumbers/>
        <w:spacing w:before="57" w:after="57"/>
        <w:ind w:left="339" w:right="0" w:hanging="339"/>
        <w:rPr/>
      </w:pPr>
      <w:r>
        <w:rPr>
          <w:rStyle w:val="Caractresdenotedefin"/>
        </w:rPr>
        <w:endnoteRef/>
      </w:r>
      <w:r>
        <w:rPr/>
        <w:tab/>
      </w:r>
      <w:r>
        <w:rPr/>
        <w:t>Изменение № 23Б на РГ.</w:t>
      </w:r>
    </w:p>
  </w:endnote>
  <w:endnote w:id="124">
    <w:p>
      <w:pPr>
        <w:pStyle w:val="Notedefin"/>
        <w:suppressLineNumbers/>
        <w:spacing w:before="57" w:after="57"/>
        <w:ind w:left="339" w:right="0" w:hanging="339"/>
        <w:rPr/>
      </w:pPr>
      <w:r>
        <w:rPr>
          <w:rStyle w:val="Caractresdenotedefin"/>
        </w:rPr>
        <w:endnoteRef/>
      </w:r>
      <w:r>
        <w:rPr/>
        <w:tab/>
      </w:r>
      <w:r>
        <w:rPr/>
        <w:t>Препоръка 27 от ЕПП 2; национален панел BE.</w:t>
      </w:r>
    </w:p>
  </w:endnote>
  <w:endnote w:id="125">
    <w:p>
      <w:pPr>
        <w:pStyle w:val="Notedefin"/>
        <w:suppressLineNumbers/>
        <w:spacing w:before="57" w:after="57"/>
        <w:ind w:left="339" w:right="0" w:hanging="339"/>
        <w:rPr/>
      </w:pPr>
      <w:r>
        <w:rPr>
          <w:rStyle w:val="Caractresdenotedefin"/>
        </w:rPr>
        <w:endnoteRef/>
      </w:r>
      <w:r>
        <w:rPr/>
        <w:tab/>
      </w:r>
      <w:r>
        <w:rPr/>
        <w:t>Изменение № 25C на РГ.</w:t>
      </w:r>
    </w:p>
  </w:endnote>
  <w:endnote w:id="126">
    <w:p>
      <w:pPr>
        <w:pStyle w:val="Notedefin"/>
        <w:suppressLineNumbers/>
        <w:spacing w:before="57" w:after="57"/>
        <w:ind w:left="339" w:right="0" w:hanging="339"/>
        <w:rPr/>
      </w:pPr>
      <w:r>
        <w:rPr>
          <w:rStyle w:val="Caractresdenotedefin"/>
        </w:rPr>
        <w:endnoteRef/>
      </w:r>
      <w:r>
        <w:rPr/>
        <w:tab/>
      </w:r>
      <w:r>
        <w:rPr/>
        <w:t>Препоръка 14 от ЕПП.</w:t>
      </w:r>
    </w:p>
  </w:endnote>
  <w:endnote w:id="127">
    <w:p>
      <w:pPr>
        <w:pStyle w:val="Notedefin"/>
        <w:suppressLineNumbers/>
        <w:spacing w:before="57" w:after="57"/>
        <w:ind w:left="339" w:right="0" w:hanging="339"/>
        <w:rPr/>
      </w:pPr>
      <w:r>
        <w:rPr>
          <w:rStyle w:val="Caractresdenotedefin"/>
        </w:rPr>
        <w:endnoteRef/>
      </w:r>
      <w:r>
        <w:rPr/>
        <w:tab/>
      </w:r>
      <w:r>
        <w:rPr/>
        <w:t>Препоръка № 18 на ЕСП. NB: Представителите на гражданите обясниха, че този механизъм следва да бъде разработен и използван с повишено внимание.</w:t>
      </w:r>
    </w:p>
  </w:endnote>
  <w:endnote w:id="128">
    <w:p>
      <w:pPr>
        <w:pStyle w:val="Notedefin"/>
        <w:suppressLineNumbers/>
        <w:spacing w:before="57" w:after="57"/>
        <w:ind w:left="339" w:right="0" w:hanging="339"/>
        <w:rPr/>
      </w:pPr>
      <w:r>
        <w:rPr>
          <w:rStyle w:val="Caractresdenotedefin"/>
        </w:rPr>
        <w:endnoteRef/>
      </w:r>
      <w:r>
        <w:rPr/>
        <w:tab/>
      </w:r>
      <w:r>
        <w:rPr/>
        <w:t>Изменения 28Д, 28Ж и 28З на РГ.</w:t>
      </w:r>
    </w:p>
  </w:endnote>
  <w:endnote w:id="129">
    <w:p>
      <w:pPr>
        <w:pStyle w:val="Notedefin"/>
        <w:suppressLineNumbers/>
        <w:spacing w:before="57" w:after="57"/>
        <w:ind w:left="339" w:right="0" w:hanging="339"/>
        <w:rPr/>
      </w:pPr>
      <w:r>
        <w:rPr>
          <w:rStyle w:val="Caractresdenotedefin"/>
        </w:rPr>
        <w:endnoteRef/>
      </w:r>
      <w:r>
        <w:rPr/>
        <w:tab/>
      </w:r>
      <w:r>
        <w:rPr/>
        <w:t>Препоръка 16 от ЕПП 2; NL Национална комисия № 20, разделена на транснационални листи.</w:t>
      </w:r>
    </w:p>
  </w:endnote>
  <w:endnote w:id="130">
    <w:p>
      <w:pPr>
        <w:pStyle w:val="Notedefin"/>
        <w:suppressLineNumbers/>
        <w:spacing w:before="57" w:after="57"/>
        <w:ind w:left="339" w:right="0" w:hanging="339"/>
        <w:rPr/>
      </w:pPr>
      <w:r>
        <w:rPr>
          <w:rStyle w:val="Caractresdenotedefin"/>
        </w:rPr>
        <w:endnoteRef/>
      </w:r>
      <w:r>
        <w:rPr/>
        <w:tab/>
      </w:r>
      <w:r>
        <w:rPr/>
        <w:t>Въз основа на препоръка 16 от ЕПП 2; дискусия в GT.</w:t>
      </w:r>
    </w:p>
  </w:endnote>
  <w:endnote w:id="131">
    <w:p>
      <w:pPr>
        <w:pStyle w:val="Notedefin"/>
        <w:suppressLineNumbers/>
        <w:spacing w:before="57" w:after="57"/>
        <w:ind w:left="339" w:right="0" w:hanging="339"/>
        <w:rPr/>
      </w:pPr>
      <w:r>
        <w:rPr>
          <w:rStyle w:val="Caractresdenotedefin"/>
        </w:rPr>
        <w:endnoteRef/>
      </w:r>
      <w:r>
        <w:rPr/>
        <w:tab/>
      </w:r>
      <w:r>
        <w:rPr/>
        <w:t>Препоръка 19 на ЕКП 2 и многоезична цифрова платформа (ПНП).</w:t>
      </w:r>
    </w:p>
  </w:endnote>
  <w:endnote w:id="132">
    <w:p>
      <w:pPr>
        <w:pStyle w:val="Notedefin"/>
        <w:suppressLineNumbers/>
        <w:spacing w:before="57" w:after="57"/>
        <w:ind w:left="339" w:right="0" w:hanging="339"/>
        <w:rPr/>
      </w:pPr>
      <w:r>
        <w:rPr>
          <w:rStyle w:val="Caractresdenotedefin"/>
        </w:rPr>
        <w:endnoteRef/>
      </w:r>
      <w:r>
        <w:rPr/>
        <w:tab/>
      </w:r>
      <w:r>
        <w:rPr/>
        <w:t>ОТ ЕИСК.</w:t>
      </w:r>
    </w:p>
  </w:endnote>
  <w:endnote w:id="133">
    <w:p>
      <w:pPr>
        <w:pStyle w:val="Notedefin"/>
        <w:suppressLineNumbers/>
        <w:spacing w:before="57" w:after="57"/>
        <w:ind w:left="339" w:right="0" w:hanging="339"/>
        <w:rPr/>
      </w:pPr>
      <w:r>
        <w:rPr>
          <w:rStyle w:val="Caractresdenotedefin"/>
        </w:rPr>
        <w:endnoteRef/>
      </w:r>
      <w:r>
        <w:rPr/>
        <w:tab/>
      </w:r>
      <w:r>
        <w:rPr/>
        <w:t>Изменение № 32Б на РГ.</w:t>
      </w:r>
    </w:p>
  </w:endnote>
  <w:endnote w:id="134">
    <w:p>
      <w:pPr>
        <w:pStyle w:val="Notedefin"/>
        <w:suppressLineNumbers/>
        <w:spacing w:before="57" w:after="57"/>
        <w:ind w:left="339" w:right="0" w:hanging="339"/>
        <w:rPr/>
      </w:pPr>
      <w:r>
        <w:rPr>
          <w:rStyle w:val="Caractresdenotedefin"/>
        </w:rPr>
        <w:endnoteRef/>
      </w:r>
      <w:r>
        <w:rPr/>
        <w:tab/>
      </w:r>
      <w:r>
        <w:rPr/>
        <w:t>Препоръка 36 от ЕПП 2; национални комисии BE и FR.</w:t>
      </w:r>
    </w:p>
  </w:endnote>
  <w:endnote w:id="135">
    <w:p>
      <w:pPr>
        <w:pStyle w:val="Notedefin"/>
        <w:suppressLineNumbers/>
        <w:spacing w:before="57" w:after="57"/>
        <w:ind w:left="339" w:right="0" w:hanging="339"/>
        <w:rPr/>
      </w:pPr>
      <w:r>
        <w:rPr>
          <w:rStyle w:val="Caractresdenotedefin"/>
        </w:rPr>
        <w:endnoteRef/>
      </w:r>
      <w:r>
        <w:rPr/>
        <w:tab/>
      </w:r>
      <w:r>
        <w:rPr/>
        <w:t>Национална група FR („избор на председателя на Европейската комисия чрез всеобщо избирателно право“); PNM (Final Kantar Report: група от мнения се отнася до прякото избиране на председател на Комисията от граждани).</w:t>
      </w:r>
    </w:p>
  </w:endnote>
  <w:endnote w:id="136">
    <w:p>
      <w:pPr>
        <w:pStyle w:val="Notedefin"/>
        <w:suppressLineNumbers/>
        <w:spacing w:before="57" w:after="57"/>
        <w:ind w:left="339" w:right="0" w:hanging="339"/>
        <w:rPr/>
      </w:pPr>
      <w:r>
        <w:rPr>
          <w:rStyle w:val="Caractresdenotedefin"/>
        </w:rPr>
        <w:endnoteRef/>
      </w:r>
      <w:r>
        <w:rPr/>
        <w:tab/>
      </w:r>
      <w:r>
        <w:rPr/>
        <w:t>Изменение № 34В на РГ.</w:t>
      </w:r>
    </w:p>
  </w:endnote>
  <w:endnote w:id="137">
    <w:p>
      <w:pPr>
        <w:pStyle w:val="Notedefin"/>
        <w:suppressLineNumbers/>
        <w:spacing w:before="57" w:after="57"/>
        <w:ind w:left="339" w:right="0" w:hanging="339"/>
        <w:rPr/>
      </w:pPr>
      <w:r>
        <w:rPr>
          <w:rStyle w:val="Caractresdenotedefin"/>
        </w:rPr>
        <w:endnoteRef/>
      </w:r>
      <w:r>
        <w:rPr/>
        <w:tab/>
      </w:r>
      <w:r>
        <w:rPr/>
        <w:t>Национален панел BE (3.2), национален панел FR (11) PNM (окончателен доклад Kantar: „По отношение на Европейския парламент участниците най-често искат да му бъдат предоставени реални правомощия за законодателна инициатива“).</w:t>
      </w:r>
    </w:p>
  </w:endnote>
  <w:endnote w:id="138">
    <w:p>
      <w:pPr>
        <w:pStyle w:val="Notedefin"/>
        <w:suppressLineNumbers/>
        <w:spacing w:before="57" w:after="57"/>
        <w:ind w:left="339" w:right="0" w:hanging="339"/>
        <w:rPr/>
      </w:pPr>
      <w:r>
        <w:rPr>
          <w:rStyle w:val="Caractresdenotedefin"/>
        </w:rPr>
        <w:endnoteRef/>
      </w:r>
      <w:r>
        <w:rPr/>
        <w:tab/>
      </w:r>
      <w:r>
        <w:rPr/>
        <w:t>PNM (Final Kantar Report: „По отношение на Европейския парламент (...) има и искания за предоставяне на бюджетни правомощия“).</w:t>
      </w:r>
    </w:p>
  </w:endnote>
  <w:endnote w:id="139">
    <w:p>
      <w:pPr>
        <w:pStyle w:val="Notedefin"/>
        <w:suppressLineNumbers/>
        <w:spacing w:before="57" w:after="57"/>
        <w:ind w:left="339" w:right="0" w:hanging="339"/>
        <w:rPr/>
      </w:pPr>
      <w:r>
        <w:rPr>
          <w:rStyle w:val="Caractresdenotedefin"/>
        </w:rPr>
        <w:endnoteRef/>
      </w:r>
      <w:r>
        <w:rPr/>
        <w:tab/>
      </w:r>
      <w:r>
        <w:rPr/>
        <w:t>PNM (Final Kantar Report: Според друг принос партиите следва да станат по-достъпни за хора от различни културни или социално-икономически среди.</w:t>
      </w:r>
    </w:p>
  </w:endnote>
  <w:endnote w:id="140">
    <w:p>
      <w:pPr>
        <w:pStyle w:val="Notedefin"/>
        <w:suppressLineNumbers/>
        <w:spacing w:before="57" w:after="57"/>
        <w:ind w:left="339" w:right="0" w:hanging="339"/>
        <w:rPr/>
      </w:pPr>
      <w:r>
        <w:rPr>
          <w:rStyle w:val="Caractresdenotedefin"/>
        </w:rPr>
        <w:endnoteRef/>
      </w:r>
      <w:r>
        <w:rPr/>
        <w:tab/>
      </w:r>
      <w:r>
        <w:rPr/>
        <w:t>КР в РГ.</w:t>
      </w:r>
    </w:p>
  </w:endnote>
  <w:endnote w:id="141">
    <w:p>
      <w:pPr>
        <w:pStyle w:val="Notedefin"/>
        <w:suppressLineNumbers/>
        <w:spacing w:before="57" w:after="57"/>
        <w:ind w:left="339" w:right="0" w:hanging="339"/>
        <w:rPr/>
      </w:pPr>
      <w:r>
        <w:rPr>
          <w:rStyle w:val="Caractresdenotedefin"/>
        </w:rPr>
        <w:endnoteRef/>
      </w:r>
      <w:r>
        <w:rPr/>
        <w:tab/>
      </w:r>
      <w:r>
        <w:rPr/>
        <w:t>Изменение 38 от работната група, компромисна формулировка.</w:t>
      </w:r>
    </w:p>
  </w:endnote>
  <w:endnote w:id="142">
    <w:p>
      <w:pPr>
        <w:pStyle w:val="Notedefin"/>
        <w:suppressLineNumbers/>
        <w:spacing w:before="57" w:after="57"/>
        <w:ind w:left="339" w:right="0" w:hanging="339"/>
        <w:rPr/>
      </w:pPr>
      <w:r>
        <w:rPr>
          <w:rStyle w:val="Caractresdenotedefin"/>
        </w:rPr>
        <w:endnoteRef/>
      </w:r>
      <w:r>
        <w:rPr/>
        <w:tab/>
      </w:r>
      <w:r>
        <w:rPr/>
        <w:t>Препоръка № 202 на ЕСП.</w:t>
      </w:r>
    </w:p>
  </w:endnote>
  <w:endnote w:id="143">
    <w:p>
      <w:pPr>
        <w:pStyle w:val="Notedefin"/>
        <w:suppressLineNumbers/>
        <w:spacing w:before="57" w:after="57"/>
        <w:ind w:left="339" w:right="0" w:hanging="339"/>
        <w:rPr/>
      </w:pPr>
      <w:r>
        <w:rPr>
          <w:rStyle w:val="Caractresdenotedefin"/>
        </w:rPr>
        <w:endnoteRef/>
      </w:r>
      <w:r>
        <w:rPr/>
        <w:tab/>
      </w:r>
      <w:r>
        <w:rPr/>
        <w:t>Препоръка № 21 4.</w:t>
      </w:r>
    </w:p>
  </w:endnote>
  <w:endnote w:id="144">
    <w:p>
      <w:pPr>
        <w:pStyle w:val="Notedefin"/>
        <w:suppressLineNumbers/>
        <w:spacing w:before="57" w:after="57"/>
        <w:ind w:left="339" w:right="0" w:hanging="339"/>
        <w:rPr/>
      </w:pPr>
      <w:r>
        <w:rPr>
          <w:rStyle w:val="Caractresdenotedefin"/>
        </w:rPr>
        <w:endnoteRef/>
      </w:r>
      <w:r>
        <w:rPr/>
        <w:tab/>
      </w:r>
      <w:r>
        <w:rPr/>
        <w:t>Изменение № 43 на РГ.</w:t>
      </w:r>
    </w:p>
  </w:endnote>
  <w:endnote w:id="145">
    <w:p>
      <w:pPr>
        <w:pStyle w:val="Notedefin"/>
        <w:suppressLineNumbers/>
        <w:spacing w:before="57" w:after="57"/>
        <w:ind w:left="339" w:right="0" w:hanging="339"/>
        <w:rPr/>
      </w:pPr>
      <w:r>
        <w:rPr>
          <w:rStyle w:val="Caractresdenotedefin"/>
        </w:rPr>
        <w:endnoteRef/>
      </w:r>
      <w:r>
        <w:rPr/>
        <w:tab/>
      </w:r>
      <w:r>
        <w:rPr/>
        <w:t>Препоръка 34 от ЕПП 2; национален панел NL.</w:t>
      </w:r>
    </w:p>
  </w:endnote>
  <w:endnote w:id="146">
    <w:p>
      <w:pPr>
        <w:pStyle w:val="Notedefin"/>
        <w:suppressLineNumbers/>
        <w:spacing w:before="57" w:after="57"/>
        <w:ind w:left="339" w:right="0" w:hanging="339"/>
        <w:rPr/>
      </w:pPr>
      <w:r>
        <w:rPr>
          <w:rStyle w:val="Caractresdenotedefin"/>
        </w:rPr>
        <w:endnoteRef/>
      </w:r>
      <w:r>
        <w:rPr/>
        <w:tab/>
      </w:r>
      <w:r>
        <w:rPr/>
        <w:t>Разискване на работната група въз основа на препоръка 34 от ЕПП 2; национална група NL; PNM (Final Kantar Report: „Повишаването на прозрачността и по-голямото участие на гражданите в процеса на вземане на решения в ЕС също се подкрепят“.</w:t>
      </w:r>
    </w:p>
  </w:endnote>
  <w:endnote w:id="147">
    <w:p>
      <w:pPr>
        <w:pStyle w:val="Notedefin"/>
        <w:suppressLineNumbers/>
        <w:spacing w:before="57" w:after="57"/>
        <w:ind w:left="339" w:right="0" w:hanging="339"/>
        <w:rPr/>
      </w:pPr>
      <w:r>
        <w:rPr>
          <w:rStyle w:val="Caractresdenotedefin"/>
        </w:rPr>
        <w:endnoteRef/>
      </w:r>
      <w:r>
        <w:rPr/>
        <w:tab/>
      </w:r>
      <w:r>
        <w:rPr/>
        <w:t>Изменение № 44А на РГ.</w:t>
      </w:r>
    </w:p>
  </w:endnote>
  <w:endnote w:id="148">
    <w:p>
      <w:pPr>
        <w:pStyle w:val="Notedefin"/>
        <w:suppressLineNumbers/>
        <w:spacing w:before="57" w:after="57"/>
        <w:ind w:left="339" w:right="0" w:hanging="339"/>
        <w:rPr/>
      </w:pPr>
      <w:r>
        <w:rPr>
          <w:rStyle w:val="Caractresdenotedefin"/>
        </w:rPr>
        <w:endnoteRef/>
      </w:r>
      <w:r>
        <w:rPr/>
        <w:tab/>
      </w:r>
      <w:r>
        <w:rPr/>
        <w:t>Дебат в работна група (представяне от националните парламенти и КР).</w:t>
      </w:r>
    </w:p>
  </w:endnote>
  <w:endnote w:id="149">
    <w:p>
      <w:pPr>
        <w:pStyle w:val="Notedefin"/>
        <w:suppressLineNumbers/>
        <w:spacing w:before="57" w:after="57"/>
        <w:ind w:left="339" w:right="0" w:hanging="339"/>
        <w:rPr/>
      </w:pPr>
      <w:r>
        <w:rPr>
          <w:rStyle w:val="Caractresdenotedefin"/>
        </w:rPr>
        <w:endnoteRef/>
      </w:r>
      <w:r>
        <w:rPr/>
        <w:tab/>
      </w:r>
      <w:r>
        <w:rPr/>
        <w:t>Изменение № 45В на РГ.</w:t>
      </w:r>
    </w:p>
  </w:endnote>
  <w:endnote w:id="150">
    <w:p>
      <w:pPr>
        <w:pStyle w:val="Notedefin"/>
        <w:suppressLineNumbers/>
        <w:spacing w:before="57" w:after="57"/>
        <w:ind w:left="339" w:right="0" w:hanging="339"/>
        <w:rPr/>
      </w:pPr>
      <w:r>
        <w:rPr>
          <w:rStyle w:val="Caractresdenotedefin"/>
        </w:rPr>
        <w:endnoteRef/>
      </w:r>
      <w:r>
        <w:rPr/>
        <w:tab/>
      </w:r>
      <w:r>
        <w:rPr/>
        <w:t>Изменение № 46Б на РГ.</w:t>
      </w:r>
    </w:p>
  </w:endnote>
  <w:endnote w:id="151">
    <w:p>
      <w:pPr>
        <w:pStyle w:val="Notedefin"/>
        <w:suppressLineNumbers/>
        <w:spacing w:before="57" w:after="57"/>
        <w:ind w:left="339" w:right="0" w:hanging="339"/>
        <w:rPr/>
      </w:pPr>
      <w:r>
        <w:rPr>
          <w:rStyle w:val="Caractresdenotedefin"/>
        </w:rPr>
        <w:endnoteRef/>
      </w:r>
      <w:r>
        <w:rPr/>
        <w:tab/>
      </w:r>
      <w:r>
        <w:rPr/>
        <w:t>Препоръка № 152 на ЕСП.</w:t>
      </w:r>
    </w:p>
  </w:endnote>
  <w:endnote w:id="152">
    <w:p>
      <w:pPr>
        <w:pStyle w:val="Notedefin"/>
        <w:suppressLineNumbers/>
        <w:spacing w:before="57" w:after="57"/>
        <w:ind w:left="339" w:right="0" w:hanging="339"/>
        <w:rPr/>
      </w:pPr>
      <w:r>
        <w:rPr>
          <w:rStyle w:val="Caractresdenotedefin"/>
        </w:rPr>
        <w:endnoteRef/>
      </w:r>
      <w:r>
        <w:rPr/>
        <w:tab/>
      </w:r>
      <w:r>
        <w:rPr/>
        <w:t>Обсъждане на работната група въз основа на необходимостта, изразена в Препоръка 15 на ЕПК 2, да се „изяснят функциите на европейските институции“; PNM (Final Kantar Report: „Има и предложения за задълбочаване на двукамарната законодателна власт в ЕС.“)</w:t>
      </w:r>
    </w:p>
  </w:endnote>
  <w:endnote w:id="153">
    <w:p>
      <w:pPr>
        <w:pStyle w:val="Notedefin"/>
        <w:suppressLineNumbers/>
        <w:spacing w:before="57" w:after="57"/>
        <w:ind w:left="339" w:right="0" w:hanging="339"/>
        <w:rPr/>
      </w:pPr>
      <w:r>
        <w:rPr>
          <w:rStyle w:val="Caractresdenotedefin"/>
        </w:rPr>
        <w:endnoteRef/>
      </w:r>
      <w:r>
        <w:rPr/>
        <w:tab/>
      </w:r>
      <w:r>
        <w:rPr/>
        <w:t>Изменение № 48Б на РГ.</w:t>
      </w:r>
    </w:p>
  </w:endnote>
  <w:endnote w:id="154">
    <w:p>
      <w:pPr>
        <w:pStyle w:val="Notedefin"/>
        <w:suppressLineNumbers/>
        <w:spacing w:before="57" w:after="57"/>
        <w:ind w:left="339" w:right="0" w:hanging="339"/>
        <w:rPr/>
      </w:pPr>
      <w:r>
        <w:rPr>
          <w:rStyle w:val="Caractresdenotedefin"/>
        </w:rPr>
        <w:endnoteRef/>
      </w:r>
      <w:r>
        <w:rPr/>
        <w:tab/>
      </w:r>
      <w:r>
        <w:rPr/>
        <w:t>Препоръка № 152 на ЕСП.</w:t>
      </w:r>
    </w:p>
  </w:endnote>
  <w:endnote w:id="155">
    <w:p>
      <w:pPr>
        <w:pStyle w:val="Notedefin"/>
        <w:suppressLineNumbers/>
        <w:spacing w:before="57" w:after="57"/>
        <w:ind w:left="339" w:right="0" w:hanging="339"/>
        <w:rPr/>
      </w:pPr>
      <w:r>
        <w:rPr>
          <w:rStyle w:val="Caractresdenotedefin"/>
        </w:rPr>
        <w:endnoteRef/>
      </w:r>
      <w:r>
        <w:rPr/>
        <w:tab/>
      </w:r>
      <w:r>
        <w:rPr/>
        <w:t>Дискусии в работната група.</w:t>
      </w:r>
    </w:p>
  </w:endnote>
  <w:endnote w:id="156">
    <w:p>
      <w:pPr>
        <w:pStyle w:val="Notedefin"/>
        <w:suppressLineNumbers/>
        <w:spacing w:before="57" w:after="57"/>
        <w:ind w:left="339" w:right="0" w:hanging="339"/>
        <w:rPr/>
      </w:pPr>
      <w:r>
        <w:rPr>
          <w:rStyle w:val="Caractresdenotedefin"/>
        </w:rPr>
        <w:endnoteRef/>
      </w:r>
      <w:r>
        <w:rPr/>
        <w:tab/>
      </w:r>
      <w:r>
        <w:rPr/>
        <w:t>Изменение № 52А на РГ.</w:t>
      </w:r>
    </w:p>
  </w:endnote>
  <w:endnote w:id="157">
    <w:p>
      <w:pPr>
        <w:pStyle w:val="Notedefin"/>
        <w:suppressLineNumbers/>
        <w:spacing w:before="57" w:after="57"/>
        <w:ind w:left="339" w:right="0" w:hanging="339"/>
        <w:rPr/>
      </w:pPr>
      <w:r>
        <w:rPr>
          <w:rStyle w:val="Caractresdenotedefin"/>
        </w:rPr>
        <w:endnoteRef/>
      </w:r>
      <w:r>
        <w:rPr/>
        <w:tab/>
      </w:r>
      <w:r>
        <w:rPr/>
        <w:t>ЕИСК, компромисна формулировка.</w:t>
      </w:r>
    </w:p>
  </w:endnote>
  <w:endnote w:id="158">
    <w:p>
      <w:pPr>
        <w:pStyle w:val="Notedefin"/>
        <w:suppressLineNumbers/>
        <w:spacing w:before="57" w:after="57"/>
        <w:ind w:left="339" w:right="0" w:hanging="339"/>
        <w:rPr/>
      </w:pPr>
      <w:r>
        <w:rPr>
          <w:rStyle w:val="Caractresdenotedefin"/>
        </w:rPr>
        <w:endnoteRef/>
      </w:r>
      <w:r>
        <w:rPr/>
        <w:tab/>
      </w:r>
      <w:r>
        <w:rPr/>
        <w:t>Препоръка 35 на ЕКП, Национален комитет на Франция и комбинирани изменения WG 51C и 51D.</w:t>
      </w:r>
    </w:p>
  </w:endnote>
  <w:endnote w:id="159">
    <w:p>
      <w:pPr>
        <w:pStyle w:val="Notedefin"/>
        <w:suppressLineNumbers/>
        <w:spacing w:before="57" w:after="57"/>
        <w:ind w:left="339" w:right="0" w:hanging="339"/>
        <w:rPr/>
      </w:pPr>
      <w:r>
        <w:rPr>
          <w:rStyle w:val="Caractresdenotedefin"/>
        </w:rPr>
        <w:endnoteRef/>
      </w:r>
      <w:r>
        <w:rPr/>
        <w:tab/>
      </w:r>
      <w:r>
        <w:rPr/>
        <w:t>Изменение № 53D на РГ.</w:t>
      </w:r>
    </w:p>
  </w:endnote>
  <w:endnote w:id="160">
    <w:p>
      <w:pPr>
        <w:pStyle w:val="Notedefin"/>
        <w:suppressLineNumbers/>
        <w:spacing w:before="57" w:after="57"/>
        <w:ind w:left="339" w:right="0" w:hanging="339"/>
        <w:rPr/>
      </w:pPr>
      <w:r>
        <w:rPr>
          <w:rStyle w:val="Caractresdenotedefin"/>
        </w:rPr>
        <w:endnoteRef/>
      </w:r>
      <w:r>
        <w:rPr/>
        <w:tab/>
      </w:r>
      <w:r>
        <w:rPr/>
        <w:t>Дискусия в работна група; националните парламенти.</w:t>
      </w:r>
    </w:p>
  </w:endnote>
  <w:endnote w:id="161">
    <w:p>
      <w:pPr>
        <w:pStyle w:val="Notedefin"/>
        <w:spacing w:before="57" w:after="57"/>
        <w:rPr/>
      </w:pPr>
      <w:r>
        <w:rPr>
          <w:rStyle w:val="Caractresdenotedefin"/>
        </w:rPr>
        <w:endnoteRef/>
      </w:r>
      <w:r>
        <w:rPr/>
        <w:tab/>
      </w:r>
      <w:r>
        <w:rPr/>
        <w:t>Дискусия в работна група; КР и ЕИСК; Окончателен доклад на Kantar, стр. 85.</w:t>
      </w:r>
    </w:p>
  </w:endnote>
  <w:endnote w:id="162">
    <w:p>
      <w:pPr>
        <w:pStyle w:val="Notedefin"/>
        <w:suppressLineNumbers/>
        <w:spacing w:before="57" w:after="57"/>
        <w:ind w:left="339" w:right="0" w:hanging="339"/>
        <w:rPr/>
      </w:pPr>
      <w:r>
        <w:rPr>
          <w:rStyle w:val="Caractresdenotedefin"/>
        </w:rPr>
        <w:endnoteRef/>
      </w:r>
      <w:r>
        <w:rPr/>
        <w:tab/>
      </w:r>
      <w:r>
        <w:rPr/>
        <w:t>Изменение № 58Б на РГ.</w:t>
      </w:r>
    </w:p>
  </w:endnote>
  <w:endnote w:id="163">
    <w:p>
      <w:pPr>
        <w:pStyle w:val="Notedefin"/>
        <w:suppressLineNumbers/>
        <w:spacing w:before="57" w:after="57"/>
        <w:ind w:left="339" w:right="0" w:hanging="339"/>
        <w:rPr/>
      </w:pPr>
      <w:r>
        <w:rPr>
          <w:rStyle w:val="Caractresdenotedefin"/>
        </w:rPr>
        <w:endnoteRef/>
      </w:r>
      <w:r>
        <w:rPr/>
        <w:tab/>
      </w:r>
      <w:r>
        <w:rPr/>
        <w:t>Изменение № 59Б на РГ.</w:t>
      </w:r>
    </w:p>
  </w:endnote>
  <w:endnote w:id="164">
    <w:p>
      <w:pPr>
        <w:pStyle w:val="Notedefin"/>
        <w:suppressLineNumbers/>
        <w:spacing w:before="57" w:after="57"/>
        <w:ind w:left="339" w:right="0" w:hanging="339"/>
        <w:rPr/>
      </w:pPr>
      <w:r>
        <w:rPr>
          <w:rStyle w:val="Caractresdenotedefin"/>
        </w:rPr>
        <w:endnoteRef/>
      </w:r>
      <w:r>
        <w:rPr/>
        <w:tab/>
      </w:r>
      <w:r>
        <w:rPr/>
        <w:t>Дискусия в работна група; социални партньори и други членове.</w:t>
      </w:r>
    </w:p>
  </w:endnote>
  <w:endnote w:id="165">
    <w:p>
      <w:pPr>
        <w:pStyle w:val="Notedefin"/>
        <w:suppressLineNumbers/>
        <w:spacing w:before="57" w:after="57"/>
        <w:ind w:left="339" w:right="0" w:hanging="339"/>
        <w:rPr/>
      </w:pPr>
      <w:r>
        <w:rPr>
          <w:rStyle w:val="Caractresdenotedefin"/>
        </w:rPr>
        <w:endnoteRef/>
      </w:r>
      <w:r>
        <w:rPr/>
        <w:tab/>
      </w:r>
      <w:r>
        <w:rPr/>
        <w:t>Изменение 63А на работната група, компромисна формулировка.</w:t>
      </w:r>
    </w:p>
  </w:endnote>
  <w:endnote w:id="166">
    <w:p>
      <w:pPr>
        <w:pStyle w:val="Notedefin"/>
        <w:suppressLineNumbers/>
        <w:spacing w:before="57" w:after="57"/>
        <w:ind w:left="339" w:right="0" w:hanging="339"/>
        <w:rPr/>
      </w:pPr>
      <w:r>
        <w:rPr>
          <w:rStyle w:val="Caractresdenotedefin"/>
        </w:rPr>
        <w:endnoteRef/>
      </w:r>
      <w:r>
        <w:rPr/>
        <w:tab/>
      </w:r>
      <w:r>
        <w:rPr/>
        <w:t>Препоръки на гражданите, на които се основава предложението: Европейски граждански панел № 4 (ECP 4) №</w:t>
      </w:r>
      <w:r>
        <w:rPr>
          <w:vertAlign w:val="superscript"/>
        </w:rPr>
        <w:t>6</w:t>
      </w:r>
      <w:r>
        <w:rPr/>
        <w:t>, 7, 9, 28 и 30, Литва № 9.</w:t>
      </w:r>
    </w:p>
  </w:endnote>
  <w:endnote w:id="167">
    <w:p>
      <w:pPr>
        <w:pStyle w:val="Notedefin"/>
        <w:suppressLineNumbers/>
        <w:spacing w:before="57" w:after="57"/>
        <w:ind w:left="339" w:right="0" w:hanging="339"/>
        <w:rPr/>
      </w:pPr>
      <w:r>
        <w:rPr>
          <w:rStyle w:val="Caractresdenotedefin"/>
        </w:rPr>
        <w:endnoteRef/>
      </w:r>
      <w:r>
        <w:rPr/>
        <w:tab/>
      </w:r>
      <w:r>
        <w:rPr/>
        <w:t>Препоръки на гражданите, на които се основава предложението: Европейски граждански панел № 4 (ECP 4)</w:t>
      </w:r>
      <w:r>
        <w:rPr>
          <w:vertAlign w:val="superscript"/>
        </w:rPr>
        <w:t>№</w:t>
      </w:r>
      <w:r>
        <w:rPr/>
        <w:t xml:space="preserve"> 8 и 27, Литва № 10, Нидерландия № 3.</w:t>
      </w:r>
    </w:p>
  </w:endnote>
  <w:endnote w:id="168">
    <w:p>
      <w:pPr>
        <w:pStyle w:val="Notedefin"/>
        <w:suppressLineNumbers/>
        <w:spacing w:before="57" w:after="57"/>
        <w:ind w:left="339" w:right="0" w:hanging="339"/>
        <w:rPr/>
      </w:pPr>
      <w:r>
        <w:rPr>
          <w:rStyle w:val="Caractresdenotedefin"/>
        </w:rPr>
        <w:endnoteRef/>
      </w:r>
      <w:r>
        <w:rPr/>
        <w:tab/>
        <w:t xml:space="preserve"> </w:t>
      </w:r>
      <w:r>
        <w:rPr/>
        <w:t>Препоръки на гражданите, на които се основава предложението: Европейски граждански панел № 4 (PCE 4)</w:t>
      </w:r>
      <w:r>
        <w:rPr>
          <w:vertAlign w:val="superscript"/>
        </w:rPr>
        <w:t>№</w:t>
      </w:r>
      <w:r>
        <w:rPr/>
        <w:t xml:space="preserve"> 10, 35 и 38.</w:t>
      </w:r>
    </w:p>
  </w:endnote>
  <w:endnote w:id="169">
    <w:p>
      <w:pPr>
        <w:pStyle w:val="Notedefin"/>
        <w:suppressLineNumbers/>
        <w:spacing w:before="57" w:after="57"/>
        <w:ind w:left="339" w:right="0" w:hanging="339"/>
        <w:rPr/>
      </w:pPr>
      <w:r>
        <w:rPr>
          <w:rStyle w:val="Caractresdenotedefin"/>
        </w:rPr>
        <w:endnoteRef/>
      </w:r>
      <w:r>
        <w:rPr/>
        <w:tab/>
        <w:t xml:space="preserve"> </w:t>
      </w:r>
      <w:r>
        <w:rPr/>
        <w:t>Препоръки на гражданите, на които се основава предложението: Европейски граждански панел № 4 (ECP 4) №</w:t>
      </w:r>
      <w:r>
        <w:rPr>
          <w:vertAlign w:val="superscript"/>
        </w:rPr>
        <w:t>29</w:t>
      </w:r>
      <w:r>
        <w:rPr/>
        <w:t>, 31, 33, 36, 37, 38, 39 и 40, Италия</w:t>
      </w:r>
      <w:r>
        <w:rPr>
          <w:vertAlign w:val="superscript"/>
        </w:rPr>
        <w:t>№</w:t>
      </w:r>
      <w:r>
        <w:rPr/>
        <w:t xml:space="preserve"> 3.8, 4.4 (стр. 15) и 5.6 (стр. 11), Литва</w:t>
      </w:r>
      <w:r>
        <w:rPr>
          <w:vertAlign w:val="superscript"/>
        </w:rPr>
        <w:t>№</w:t>
      </w:r>
      <w:r>
        <w:rPr/>
        <w:t xml:space="preserve"> 2 и № 3, Нидерландия № 1 и № 2.</w:t>
      </w:r>
    </w:p>
  </w:endnote>
  <w:endnote w:id="170">
    <w:p>
      <w:pPr>
        <w:pStyle w:val="Notedefin"/>
        <w:spacing w:before="57" w:after="57"/>
        <w:rPr/>
      </w:pPr>
      <w:r>
        <w:rPr>
          <w:rStyle w:val="Caractresdenotedefin"/>
        </w:rPr>
        <w:endnoteRef/>
      </w:r>
      <w:r>
        <w:rPr/>
        <w:tab/>
        <w:t xml:space="preserve"> </w:t>
      </w:r>
      <w:r>
        <w:rPr/>
        <w:t>Препоръки на гражданите, на които се основава предложението: Европейски граждански панел № 4 (PCE 4)</w:t>
      </w:r>
      <w:r>
        <w:rPr>
          <w:vertAlign w:val="superscript"/>
        </w:rPr>
        <w:t>№</w:t>
      </w:r>
      <w:r>
        <w:rPr/>
        <w:t xml:space="preserve"> 7 и 32, Франция № 13.</w:t>
      </w:r>
    </w:p>
  </w:endnote>
  <w:endnote w:id="171">
    <w:p>
      <w:pPr>
        <w:pStyle w:val="Notedefin"/>
        <w:suppressLineNumbers/>
        <w:spacing w:before="57" w:after="57"/>
        <w:ind w:left="339" w:right="0" w:hanging="339"/>
        <w:rPr/>
      </w:pPr>
      <w:r>
        <w:rPr>
          <w:rStyle w:val="Caractresdenotedefin"/>
        </w:rPr>
        <w:endnoteRef/>
      </w:r>
      <w:r>
        <w:rPr/>
        <w:tab/>
        <w:t xml:space="preserve"> </w:t>
      </w:r>
      <w:r>
        <w:rPr/>
        <w:t>Френски PCN, промяна 6.</w:t>
      </w:r>
    </w:p>
  </w:endnote>
  <w:endnote w:id="172">
    <w:p>
      <w:pPr>
        <w:pStyle w:val="Notedefin"/>
        <w:suppressLineNumbers/>
        <w:spacing w:before="57" w:after="57"/>
        <w:ind w:left="339" w:right="0" w:hanging="339"/>
        <w:rPr/>
      </w:pPr>
      <w:r>
        <w:rPr>
          <w:rStyle w:val="Caractresdenotedefin"/>
        </w:rPr>
        <w:endnoteRef/>
      </w:r>
      <w:r>
        <w:rPr/>
        <w:tab/>
      </w:r>
      <w:r>
        <w:rPr/>
        <w:t>Препоръка 37 1.</w:t>
      </w:r>
    </w:p>
  </w:endnote>
  <w:endnote w:id="173">
    <w:p>
      <w:pPr>
        <w:pStyle w:val="Notedefin"/>
        <w:suppressLineNumbers/>
        <w:spacing w:before="57" w:after="57"/>
        <w:ind w:left="339" w:right="0" w:hanging="339"/>
        <w:rPr/>
      </w:pPr>
      <w:r>
        <w:rPr>
          <w:rStyle w:val="Caractresdenotedefin"/>
        </w:rPr>
        <w:endnoteRef/>
      </w:r>
      <w:r>
        <w:rPr/>
        <w:tab/>
      </w:r>
      <w:r>
        <w:rPr/>
        <w:t>Препоръка 3 от ЕПП. Френски PCN, промяна 6.</w:t>
      </w:r>
    </w:p>
  </w:endnote>
  <w:endnote w:id="174">
    <w:p>
      <w:pPr>
        <w:pStyle w:val="Notedefin"/>
        <w:suppressLineNumbers/>
        <w:spacing w:before="57" w:after="57"/>
        <w:ind w:left="339" w:right="0" w:hanging="339"/>
        <w:rPr/>
      </w:pPr>
      <w:r>
        <w:rPr>
          <w:rStyle w:val="Caractresdenotedefin"/>
        </w:rPr>
        <w:endnoteRef/>
      </w:r>
      <w:r>
        <w:rPr/>
        <w:tab/>
        <w:t xml:space="preserve"> </w:t>
      </w:r>
      <w:r>
        <w:rPr/>
        <w:t>Препоръка 41 1.</w:t>
      </w:r>
    </w:p>
  </w:endnote>
  <w:endnote w:id="175">
    <w:p>
      <w:pPr>
        <w:pStyle w:val="Notedefin"/>
        <w:suppressLineNumbers/>
        <w:spacing w:before="57" w:after="57"/>
        <w:ind w:left="339" w:right="0" w:hanging="339"/>
        <w:rPr/>
      </w:pPr>
      <w:r>
        <w:rPr>
          <w:rStyle w:val="Caractresdenotedefin"/>
        </w:rPr>
        <w:endnoteRef/>
      </w:r>
      <w:r>
        <w:rPr/>
        <w:tab/>
        <w:t xml:space="preserve"> </w:t>
      </w:r>
      <w:r>
        <w:rPr/>
        <w:t>Това се обсъжда по-подробно от работната група за европейската демокрация. Вж. Препоръка № 24 от ЕКП 2, Препоръки 1.1, 1.2 и 2.12 на белгийския НЗК и Препоръката на италианската НЗК относно „Политики за приобщаване“.</w:t>
      </w:r>
    </w:p>
  </w:endnote>
  <w:endnote w:id="176">
    <w:p>
      <w:pPr>
        <w:pStyle w:val="Notedefin"/>
        <w:suppressLineNumbers/>
        <w:spacing w:before="57" w:after="57"/>
        <w:ind w:left="339" w:right="0" w:hanging="339"/>
        <w:rPr/>
      </w:pPr>
      <w:r>
        <w:rPr>
          <w:rStyle w:val="Caractresdenotedefin"/>
        </w:rPr>
        <w:endnoteRef/>
      </w:r>
      <w:r>
        <w:rPr/>
        <w:tab/>
      </w:r>
      <w:r>
        <w:rPr/>
        <w:t>Препоръка на италианския НЗК относно „политиките за приобщаване“.</w:t>
      </w:r>
    </w:p>
  </w:endnote>
  <w:endnote w:id="177">
    <w:p>
      <w:pPr>
        <w:pStyle w:val="Notedefin"/>
        <w:suppressLineNumbers/>
        <w:spacing w:before="57" w:after="57"/>
        <w:ind w:left="339" w:right="0" w:hanging="339"/>
        <w:rPr/>
      </w:pPr>
      <w:r>
        <w:rPr>
          <w:rStyle w:val="Caractresdenotedefin"/>
        </w:rPr>
        <w:endnoteRef/>
      </w:r>
      <w:r>
        <w:rPr/>
        <w:tab/>
      </w:r>
      <w:r>
        <w:rPr/>
        <w:t>Това се обсъжда по-подробно от работна група „Цифрова трансформация“. Вж. препоръки № 8 и № 34 от ЕПП 1.</w:t>
      </w:r>
    </w:p>
  </w:endnote>
  <w:endnote w:id="178">
    <w:p>
      <w:pPr>
        <w:pStyle w:val="Notedefin"/>
        <w:suppressLineNumbers/>
        <w:spacing w:before="57" w:after="57"/>
        <w:ind w:left="339" w:right="0" w:hanging="339"/>
        <w:rPr/>
      </w:pPr>
      <w:r>
        <w:rPr>
          <w:rStyle w:val="Caractresdenotedefin"/>
        </w:rPr>
        <w:endnoteRef/>
      </w:r>
      <w:r>
        <w:rPr/>
        <w:tab/>
      </w:r>
      <w:r>
        <w:rPr/>
        <w:t>Препоръка на италианския национален център за контакт „Насърчаване на младите хора да изучават научни предмети“.</w:t>
      </w:r>
    </w:p>
  </w:endnote>
  <w:endnote w:id="179">
    <w:p>
      <w:pPr>
        <w:pStyle w:val="Notedefin"/>
        <w:suppressLineNumbers/>
        <w:spacing w:before="57" w:after="57"/>
        <w:ind w:left="339" w:right="0" w:hanging="339"/>
        <w:rPr/>
      </w:pPr>
      <w:r>
        <w:rPr>
          <w:rStyle w:val="Caractresdenotedefin"/>
        </w:rPr>
        <w:endnoteRef/>
      </w:r>
      <w:r>
        <w:rPr/>
        <w:tab/>
      </w:r>
      <w:r>
        <w:rPr/>
        <w:t>Препоръки 33 и 48 1. Работна група „Цифрова трансформация“. Вж. Препоръка 47 от ЕПП 1 относно здравословното използване на интернет.</w:t>
      </w:r>
    </w:p>
  </w:endnote>
  <w:endnote w:id="180">
    <w:p>
      <w:pPr>
        <w:pStyle w:val="Notedefin"/>
        <w:suppressLineNumbers/>
        <w:spacing w:before="57" w:after="57"/>
        <w:ind w:left="339" w:right="0" w:hanging="339"/>
        <w:rPr/>
      </w:pPr>
      <w:r>
        <w:rPr>
          <w:rStyle w:val="Caractresdenotedefin"/>
        </w:rPr>
        <w:endnoteRef/>
      </w:r>
      <w:r>
        <w:rPr/>
        <w:tab/>
      </w:r>
      <w:r>
        <w:rPr/>
        <w:t>Препоръка 5 от ЕПП 1.</w:t>
      </w:r>
    </w:p>
  </w:endnote>
  <w:endnote w:id="181">
    <w:p>
      <w:pPr>
        <w:pStyle w:val="Notedefin"/>
        <w:suppressLineNumbers/>
        <w:spacing w:before="57" w:after="57"/>
        <w:ind w:left="339" w:right="0" w:hanging="339"/>
        <w:rPr/>
      </w:pPr>
      <w:r>
        <w:rPr>
          <w:rStyle w:val="Caractresdenotedefin"/>
        </w:rPr>
        <w:endnoteRef/>
      </w:r>
      <w:r>
        <w:rPr/>
        <w:tab/>
      </w:r>
      <w:r>
        <w:rPr/>
        <w:t>Препоръки № 15 и 18 от ЕПП 1.</w:t>
      </w:r>
    </w:p>
  </w:endnote>
  <w:endnote w:id="182">
    <w:p>
      <w:pPr>
        <w:pStyle w:val="Notedefin"/>
        <w:suppressLineNumbers/>
        <w:spacing w:before="57" w:after="57"/>
        <w:ind w:left="339" w:right="0" w:hanging="339"/>
        <w:rPr/>
      </w:pPr>
      <w:r>
        <w:rPr>
          <w:rStyle w:val="Caractresdenotedefin"/>
        </w:rPr>
        <w:endnoteRef/>
      </w:r>
      <w:r>
        <w:rPr/>
        <w:tab/>
        <w:t xml:space="preserve"> </w:t>
      </w:r>
      <w:r>
        <w:rPr/>
        <w:t>Препоръка на италианския НЗК относно „Европа в света“</w:t>
      </w:r>
    </w:p>
  </w:endnote>
  <w:endnote w:id="183">
    <w:p>
      <w:pPr>
        <w:pStyle w:val="Notedefin"/>
        <w:suppressLineNumbers/>
        <w:spacing w:before="57" w:after="57"/>
        <w:ind w:left="339" w:right="0" w:hanging="339"/>
        <w:rPr/>
      </w:pPr>
      <w:r>
        <w:rPr>
          <w:rStyle w:val="Caractresdenotedefin"/>
        </w:rPr>
        <w:endnoteRef/>
      </w:r>
      <w:r>
        <w:rPr/>
        <w:tab/>
      </w:r>
      <w:r>
        <w:rPr/>
        <w:t>Препоръки №</w:t>
      </w:r>
      <w:r>
        <w:rPr>
          <w:vertAlign w:val="superscript"/>
        </w:rPr>
        <w:t>18</w:t>
      </w:r>
      <w:r>
        <w:rPr/>
        <w:t xml:space="preserve"> и 41 от ЕПП 1 и препоръка на италианския НЗК относно „Инвестиране в обучението на обучители“.</w:t>
      </w:r>
    </w:p>
  </w:endnote>
  <w:endnote w:id="184">
    <w:p>
      <w:pPr>
        <w:pStyle w:val="Notedefin"/>
        <w:suppressLineNumbers/>
        <w:spacing w:before="57" w:after="57"/>
        <w:ind w:left="339" w:right="0" w:hanging="339"/>
        <w:rPr/>
      </w:pPr>
      <w:r>
        <w:rPr>
          <w:rStyle w:val="Caractresdenotedefin"/>
        </w:rPr>
        <w:endnoteRef/>
      </w:r>
      <w:r>
        <w:rPr/>
        <w:tab/>
      </w:r>
      <w:r>
        <w:rPr/>
        <w:t>Препоръка № 17 на PCE 1, адресирана изцяло до работната група в областта на цифровите технологии.</w:t>
      </w:r>
    </w:p>
  </w:endnote>
  <w:endnote w:id="185">
    <w:p>
      <w:pPr>
        <w:pStyle w:val="Notedefin"/>
        <w:suppressLineNumbers/>
        <w:spacing w:before="57" w:after="57"/>
        <w:ind w:left="339" w:right="0" w:hanging="339"/>
        <w:rPr/>
      </w:pPr>
      <w:r>
        <w:rPr>
          <w:rStyle w:val="Caractresdenotedefin"/>
        </w:rPr>
        <w:endnoteRef/>
      </w:r>
      <w:r>
        <w:rPr/>
        <w:tab/>
        <w:t xml:space="preserve"> </w:t>
      </w:r>
      <w:r>
        <w:rPr/>
        <w:t>Препоръка № 15 1. Препоръка на германския НЗК относно „информационна платформа за обмен на знания и опит на равнище ЕС“.</w:t>
      </w:r>
    </w:p>
  </w:endnote>
  <w:endnote w:id="186">
    <w:p>
      <w:pPr>
        <w:pStyle w:val="Notedefin"/>
        <w:suppressLineNumbers/>
        <w:spacing w:before="57" w:after="57"/>
        <w:ind w:left="339" w:right="0" w:hanging="339"/>
        <w:rPr/>
      </w:pPr>
      <w:r>
        <w:rPr>
          <w:rStyle w:val="Caractresdenotedefin"/>
        </w:rPr>
        <w:endnoteRef/>
      </w:r>
      <w:r>
        <w:rPr/>
        <w:tab/>
      </w:r>
      <w:r>
        <w:rPr/>
        <w:t>Препоръка 6.1 на белгийския НЗК. Френски PCN, промяна 7.</w:t>
      </w:r>
    </w:p>
  </w:endnote>
  <w:endnote w:id="187">
    <w:p>
      <w:pPr>
        <w:pStyle w:val="Notedefin"/>
        <w:suppressLineNumbers/>
        <w:spacing w:before="57" w:after="57"/>
        <w:ind w:left="339" w:right="0" w:hanging="339"/>
        <w:rPr/>
      </w:pPr>
      <w:r>
        <w:rPr>
          <w:rStyle w:val="Caractresdenotedefin"/>
        </w:rPr>
        <w:endnoteRef/>
      </w:r>
      <w:r>
        <w:rPr/>
        <w:tab/>
        <w:t xml:space="preserve"> </w:t>
      </w:r>
      <w:r>
        <w:rPr/>
        <w:t>Препоръка 7.2 на белгийския НЗК.</w:t>
      </w:r>
    </w:p>
  </w:endnote>
  <w:endnote w:id="188">
    <w:p>
      <w:pPr>
        <w:pStyle w:val="Notedefin"/>
        <w:suppressLineNumbers/>
        <w:spacing w:before="57" w:after="57"/>
        <w:ind w:left="339" w:right="0" w:hanging="339"/>
        <w:rPr/>
      </w:pPr>
      <w:r>
        <w:rPr>
          <w:rStyle w:val="Caractresdenotedefin"/>
        </w:rPr>
        <w:endnoteRef/>
      </w:r>
      <w:r>
        <w:rPr/>
        <w:tab/>
      </w:r>
      <w:r>
        <w:rPr/>
        <w:t>Препоръка 4 от ЕПП 1.</w:t>
      </w:r>
    </w:p>
  </w:endnote>
  <w:endnote w:id="189">
    <w:p>
      <w:pPr>
        <w:pStyle w:val="Notedefin"/>
        <w:suppressLineNumbers/>
        <w:spacing w:before="57" w:after="57"/>
        <w:ind w:left="339" w:right="0" w:hanging="339"/>
        <w:rPr/>
      </w:pPr>
      <w:r>
        <w:rPr>
          <w:rStyle w:val="Caractresdenotedefin"/>
        </w:rPr>
        <w:endnoteRef/>
      </w:r>
      <w:r>
        <w:rPr/>
        <w:tab/>
      </w:r>
      <w:r>
        <w:rPr/>
        <w:t>Предложение за допълване на препоръки</w:t>
      </w:r>
      <w:r>
        <w:rPr>
          <w:vertAlign w:val="superscript"/>
        </w:rPr>
        <w:t>№</w:t>
      </w:r>
      <w:r>
        <w:rPr/>
        <w:t xml:space="preserve"> 1 и № 30 от ЕПП 1, обхванати от работна група „По-силна икономика, социална справедливост и заетост“.</w:t>
      </w:r>
    </w:p>
  </w:endnote>
  <w:endnote w:id="190">
    <w:p>
      <w:pPr>
        <w:pStyle w:val="Notedefin"/>
        <w:suppressLineNumbers/>
        <w:spacing w:before="57" w:after="57"/>
        <w:ind w:left="339" w:right="0" w:hanging="339"/>
        <w:rPr/>
      </w:pPr>
      <w:r>
        <w:rPr>
          <w:rStyle w:val="Caractresdenotedefin"/>
        </w:rPr>
        <w:endnoteRef/>
      </w:r>
      <w:r>
        <w:rPr/>
        <w:tab/>
        <w:t xml:space="preserve"> </w:t>
      </w:r>
      <w:r>
        <w:rPr/>
        <w:t>Предложение за допълване на препоръка 25 от ЕПП 1, обхваната от работна група „По-силна икономика, социална справедливост и заетост“.</w:t>
      </w:r>
    </w:p>
  </w:endnote>
  <w:endnote w:id="191">
    <w:p>
      <w:pPr>
        <w:pStyle w:val="Notedefin"/>
        <w:suppressLineNumbers/>
        <w:spacing w:before="57" w:after="57"/>
        <w:ind w:left="339" w:right="0" w:hanging="339"/>
        <w:rPr/>
      </w:pPr>
      <w:r>
        <w:rPr>
          <w:rStyle w:val="Caractresdenotedefin"/>
        </w:rPr>
        <w:endnoteRef/>
      </w:r>
      <w:r>
        <w:rPr/>
        <w:tab/>
        <w:t xml:space="preserve"> </w:t>
      </w:r>
      <w:r>
        <w:rPr/>
        <w:t>Препоръка № 28 4. Нидерландска НЗК („Нашата визия за културата, младежта и спорта“), препоръка 1. Френски PCN, промяна 6.</w:t>
      </w:r>
    </w:p>
  </w:endnote>
  <w:endnote w:id="192">
    <w:p>
      <w:pPr>
        <w:pStyle w:val="Notedefin"/>
        <w:suppressLineNumbers/>
        <w:spacing w:before="57" w:after="57"/>
        <w:ind w:left="339" w:right="0" w:hanging="339"/>
        <w:rPr/>
      </w:pPr>
      <w:r>
        <w:rPr>
          <w:rStyle w:val="Caractresdenotedefin"/>
        </w:rPr>
        <w:endnoteRef/>
      </w:r>
      <w:r>
        <w:rPr/>
        <w:tab/>
        <w:t xml:space="preserve"> </w:t>
      </w:r>
      <w:r>
        <w:rPr/>
        <w:t>Препоръка 6 от ЕПП 1.</w:t>
      </w:r>
    </w:p>
  </w:endnote>
  <w:endnote w:id="193">
    <w:p>
      <w:pPr>
        <w:pStyle w:val="Notedefin"/>
        <w:suppressLineNumbers/>
        <w:spacing w:before="57" w:after="57"/>
        <w:ind w:left="339" w:right="0" w:hanging="339"/>
        <w:rPr/>
      </w:pPr>
      <w:r>
        <w:rPr>
          <w:rStyle w:val="Caractresdenotedefin"/>
        </w:rPr>
        <w:endnoteRef/>
      </w:r>
      <w:r>
        <w:rPr/>
        <w:tab/>
      </w:r>
      <w:r>
        <w:rPr/>
        <w:t>Нидерландска НЗК („Нашата визия за културата, младежта и спорта“), Препоръка № 2.</w:t>
      </w:r>
    </w:p>
  </w:endnote>
  <w:endnote w:id="194">
    <w:p>
      <w:pPr>
        <w:pStyle w:val="Notedefin"/>
        <w:suppressLineNumbers/>
        <w:spacing w:before="57" w:after="57"/>
        <w:ind w:left="339" w:right="0" w:hanging="339"/>
        <w:rPr/>
      </w:pPr>
      <w:r>
        <w:rPr>
          <w:rStyle w:val="Caractresdenotedefin"/>
        </w:rPr>
        <w:endnoteRef/>
      </w:r>
      <w:r>
        <w:rPr/>
        <w:tab/>
      </w:r>
      <w:r>
        <w:rPr/>
        <w:t>Препоръка 36 1. Френски PCN, промяна 6. Препоръки № 2.10 и 2.11 на белгийския НЗК. Немски NCP, „Създаване на повече възможности за обмен за студенти в Европа“. Нидерландски НЗК („Нашата визия за културата, младежта и спорта“), препоръки</w:t>
      </w:r>
      <w:r>
        <w:rPr>
          <w:vertAlign w:val="superscript"/>
        </w:rPr>
        <w:t>1</w:t>
      </w:r>
      <w:r>
        <w:rPr/>
        <w:t xml:space="preserve"> и 3. Италианската национална мрежа за контакт (NCP) препоръчва „да се създаде офис за сливане между Изтока и Запада, като се насърчава културният обмен и съвместните културни инициативи“.</w:t>
      </w:r>
    </w:p>
  </w:endnote>
  <w:endnote w:id="195">
    <w:p>
      <w:pPr>
        <w:pStyle w:val="Notedefin"/>
        <w:suppressLineNumbers/>
        <w:spacing w:before="57" w:after="57"/>
        <w:ind w:left="339" w:right="0" w:hanging="339"/>
        <w:rPr/>
      </w:pPr>
      <w:r>
        <w:rPr>
          <w:rStyle w:val="Caractresdenotedefin"/>
        </w:rPr>
        <w:endnoteRef/>
      </w:r>
      <w:r>
        <w:rPr/>
        <w:tab/>
        <w:t xml:space="preserve"> </w:t>
      </w:r>
      <w:r>
        <w:rPr>
          <w:vertAlign w:val="superscript"/>
        </w:rPr>
        <w:t>Препоръки</w:t>
      </w:r>
      <w:r>
        <w:rPr/>
        <w:t xml:space="preserve"> 32 и 38 1. Нидерландска НЗК („Нашата визия за културата, младежта и спорта“), препоръка 3.</w:t>
      </w:r>
    </w:p>
  </w:endnote>
  <w:endnote w:id="196">
    <w:p>
      <w:pPr>
        <w:pStyle w:val="Notedefin"/>
        <w:suppressLineNumbers/>
        <w:spacing w:before="57" w:after="57"/>
        <w:ind w:left="339" w:right="0" w:hanging="339"/>
        <w:rPr/>
      </w:pPr>
      <w:r>
        <w:rPr>
          <w:rStyle w:val="Caractresdenotedefin"/>
        </w:rPr>
        <w:endnoteRef/>
      </w:r>
      <w:r>
        <w:rPr/>
        <w:tab/>
      </w:r>
      <w:r>
        <w:rPr/>
        <w:t>Препоръка на италианския НЗК относно „Европа в света“</w:t>
      </w:r>
    </w:p>
  </w:endnote>
  <w:endnote w:id="197">
    <w:p>
      <w:pPr>
        <w:pStyle w:val="Notedefin"/>
        <w:suppressLineNumbers/>
        <w:spacing w:before="57" w:after="57"/>
        <w:ind w:left="339" w:right="0" w:hanging="339"/>
        <w:rPr/>
      </w:pPr>
      <w:r>
        <w:rPr>
          <w:rStyle w:val="Caractresdenotedefin"/>
        </w:rPr>
        <w:endnoteRef/>
      </w:r>
      <w:r>
        <w:rPr/>
        <w:tab/>
      </w:r>
      <w:r>
        <w:rPr/>
        <w:t>Френски PCN, промяна 7. Препоръки</w:t>
      </w:r>
      <w:r>
        <w:rPr>
          <w:vertAlign w:val="superscript"/>
        </w:rPr>
        <w:t>2.5</w:t>
      </w:r>
      <w:r>
        <w:rPr/>
        <w:t>, 6.1 и 8.7 от белгийския НЗК. Италианска НЗК, Препоръка относно „Укрепване на европейските културни ценности и характеристики, както и на регионалните особености“.</w:t>
      </w:r>
    </w:p>
  </w:endnote>
  <w:endnote w:id="198">
    <w:p>
      <w:pPr>
        <w:pStyle w:val="Notedefin"/>
        <w:suppressLineNumbers/>
        <w:spacing w:before="57" w:after="57"/>
        <w:ind w:left="339" w:right="0" w:hanging="339"/>
        <w:rPr/>
      </w:pPr>
      <w:r>
        <w:rPr>
          <w:rStyle w:val="Caractresdenotedefin"/>
        </w:rPr>
        <w:endnoteRef/>
      </w:r>
      <w:r>
        <w:rPr/>
        <w:tab/>
      </w:r>
      <w:r>
        <w:rPr/>
        <w:t>Нидерландска НЗК („Нашата визия за културата, младежта и спорта“), Препоръка № 2.</w:t>
      </w:r>
    </w:p>
  </w:endnote>
  <w:endnote w:id="199">
    <w:p>
      <w:pPr>
        <w:pStyle w:val="Notedefin"/>
        <w:suppressLineNumbers/>
        <w:spacing w:before="57" w:after="57"/>
        <w:ind w:left="339" w:right="0" w:hanging="339"/>
        <w:rPr/>
      </w:pPr>
      <w:r>
        <w:rPr>
          <w:rStyle w:val="Caractresdenotedefin"/>
        </w:rPr>
        <w:endnoteRef/>
      </w:r>
      <w:r>
        <w:rPr/>
        <w:tab/>
        <w:t xml:space="preserve"> </w:t>
      </w:r>
      <w:r>
        <w:rPr/>
        <w:t>Препоръка на италианския НЗК да „превиши производствения модел на миналия век“</w:t>
      </w:r>
    </w:p>
  </w:endnote>
  <w:endnote w:id="200">
    <w:p>
      <w:pPr>
        <w:pStyle w:val="Notedefin"/>
        <w:suppressLineNumbers/>
        <w:spacing w:before="57" w:after="57"/>
        <w:ind w:left="339" w:right="0" w:hanging="339"/>
        <w:rPr/>
      </w:pPr>
      <w:r>
        <w:rPr>
          <w:rStyle w:val="Caractresdenotedefin"/>
        </w:rPr>
        <w:endnoteRef/>
      </w:r>
      <w:r>
        <w:rPr/>
        <w:tab/>
      </w:r>
      <w:r>
        <w:rPr/>
        <w:t>Препоръка № 29 1 на ЕСП.</w:t>
      </w:r>
    </w:p>
  </w:endnote>
  <w:endnote w:id="201">
    <w:p>
      <w:pPr>
        <w:pStyle w:val="Notedefin"/>
        <w:suppressLineNumbers/>
        <w:spacing w:before="57" w:after="57"/>
        <w:ind w:left="339" w:right="0" w:hanging="339"/>
        <w:rPr/>
      </w:pPr>
      <w:r>
        <w:rPr>
          <w:rStyle w:val="Caractresdenotedefin"/>
        </w:rPr>
        <w:endnoteRef/>
      </w:r>
      <w:r>
        <w:rPr/>
        <w:tab/>
      </w:r>
      <w:r>
        <w:rPr/>
        <w:t>Препоръка 36 1.</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311</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rPr>
        <w:tab/>
      </w:r>
      <w:hyperlink r:id="rId1">
        <w:r>
          <w:rPr>
            <w:rStyle w:val="LienInternet"/>
          </w:rPr>
          <w:t>категория:Автомобил</w:t>
        </w:r>
      </w:hyperlink>
      <w:r>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rPr>
        <w:tab/>
      </w:r>
      <w:hyperlink r:id="rId2">
        <w:r>
          <w:rPr>
            <w:rStyle w:val="LienInternet"/>
          </w:rPr>
          <w:t>категория:Автомобил</w:t>
        </w:r>
      </w:hyperlink>
      <w:r>
        <w:rPr/>
        <w:t xml:space="preserve"> </w:t>
      </w:r>
    </w:p>
  </w:footnote>
  <w:footnote w:id="4">
    <w:p>
      <w:pPr>
        <w:pStyle w:val="Notedebasdepage"/>
        <w:suppressLineNumbers/>
        <w:spacing w:before="57" w:after="57"/>
        <w:ind w:left="339" w:right="0" w:hanging="339"/>
        <w:rPr/>
      </w:pPr>
      <w:r>
        <w:rPr>
          <w:rStyle w:val="Caractresdenotedebasdepage"/>
        </w:rPr>
        <w:footnoteRef/>
      </w:r>
      <w:r>
        <w:rPr/>
        <w:tab/>
      </w:r>
      <w:r>
        <w:rPr/>
        <w:t xml:space="preserve">III ОИСР, Иновативно гражданско участие и нови демократични институции, 2020 г. - </w:t>
      </w:r>
      <w:hyperlink r:id="rId3">
        <w:r>
          <w:rPr>
            <w:rStyle w:val="LienInternet"/>
          </w:rPr>
          <w:t>https://www.oecd.org/gov/open-government/innovative-citizen-participation-new-democratic-institutions-catching-the-deliberative-wave-highlights.pdf</w:t>
        </w:r>
      </w:hyperlink>
      <w:r>
        <w:rPr/>
        <w:t>.</w:t>
      </w:r>
    </w:p>
  </w:footnote>
  <w:footnote w:id="5">
    <w:p>
      <w:pPr>
        <w:pStyle w:val="Notedebasdepage"/>
        <w:suppressLineNumbers/>
        <w:spacing w:before="57" w:after="57"/>
        <w:ind w:left="339" w:right="0" w:hanging="339"/>
        <w:rPr/>
      </w:pPr>
      <w:r>
        <w:rPr>
          <w:rStyle w:val="Caractresdenotedebasdepage"/>
        </w:rPr>
        <w:footnoteRef/>
      </w:r>
      <w:r>
        <w:rPr/>
        <w:tab/>
        <w:t xml:space="preserve"> </w:t>
      </w:r>
      <w:r>
        <w:rPr/>
        <w:t xml:space="preserve">ОИСР, Иновативно гражданско участие и нови демократични институции, 2020 г. - </w:t>
      </w:r>
      <w:hyperlink r:id="rId4">
        <w:r>
          <w:rPr>
            <w:rStyle w:val="LienInternet"/>
          </w:rPr>
          <w:t>https://www.oecd.org/gov/open-government/innovative-citizen-participation-new-democratic-institutions-catching-the-deliberative-wave-highlights.pdf</w:t>
        </w:r>
      </w:hyperlink>
      <w:r>
        <w:rPr/>
        <w:t xml:space="preserve"> </w:t>
      </w:r>
    </w:p>
  </w:footnote>
  <w:footnote w:id="6">
    <w:p>
      <w:pPr>
        <w:pStyle w:val="Normal"/>
        <w:spacing w:before="57" w:after="57"/>
        <w:rPr/>
      </w:pPr>
      <w:r>
        <w:rPr>
          <w:rStyle w:val="Caractresdenotedebasdepage"/>
        </w:rPr>
        <w:footnoteRef/>
      </w:r>
      <w:r>
        <w:rPr/>
        <w:tab/>
      </w:r>
      <w:r>
        <w:rPr/>
        <w:t>Посетете многоезичната цифрова платформа, за да получите достъп до цялата информация за тези събития.</w:t>
      </w:r>
    </w:p>
  </w:footnote>
  <w:footnote w:id="7">
    <w:p>
      <w:pPr>
        <w:pStyle w:val="Notedebasdepage"/>
        <w:suppressLineNumbers/>
        <w:spacing w:before="57" w:after="57"/>
        <w:ind w:left="339" w:right="0" w:hanging="339"/>
        <w:rPr/>
      </w:pPr>
      <w:r>
        <w:rPr>
          <w:rStyle w:val="Caractresdenotedebasdepage"/>
        </w:rPr>
        <w:footnoteRef/>
      </w:r>
      <w:r>
        <w:rPr/>
        <w:tab/>
      </w:r>
      <w:r>
        <w:rPr/>
        <w:t>Трябва да се постигне консенсус поне между представителите на Европейския парламент, Съвета, Европейската комисия и представителите на националните парламенти на равни начала. Ако позицията на представителите на гражданите на национални прояви и/или европейски или национални граждански панели очевидно се различава, тази позиция следва да бъде включена в настоящия доклад.</w:t>
      </w:r>
    </w:p>
  </w:footnote>
  <w:footnote w:id="8">
    <w:p>
      <w:pPr>
        <w:pStyle w:val="Notedebasdepage"/>
        <w:suppressLineNumbers/>
        <w:spacing w:before="57" w:after="57"/>
        <w:ind w:left="339" w:right="0" w:hanging="339"/>
        <w:rPr/>
      </w:pPr>
      <w:r>
        <w:rPr>
          <w:rStyle w:val="Caractresdenotedebasdepage"/>
        </w:rPr>
        <w:footnoteRef/>
      </w:r>
      <w:r>
        <w:rPr/>
        <w:tab/>
      </w:r>
      <w:r>
        <w:rPr/>
        <w:t>Други членове на Европейската комисия бяха поканени на пленарното заседание, особено когато бяха обсъдени въпроси в рамките на техните портфейли.</w:t>
      </w:r>
    </w:p>
  </w:footnote>
  <w:footnote w:id="9">
    <w:p>
      <w:pPr>
        <w:pStyle w:val="Notedebasdepage"/>
        <w:suppressLineNumbers/>
        <w:spacing w:before="57" w:after="57"/>
        <w:ind w:left="339" w:right="0" w:hanging="339"/>
        <w:rPr/>
      </w:pPr>
      <w:r>
        <w:rPr>
          <w:rStyle w:val="Caractresdenotedebasdepage"/>
        </w:rPr>
        <w:footnoteRef/>
      </w:r>
      <w:r>
        <w:rPr/>
        <w:tab/>
      </w:r>
      <w:r>
        <w:rPr/>
        <w:t>По един за всяка държава членка.</w:t>
      </w:r>
    </w:p>
  </w:footnote>
  <w:footnote w:id="10">
    <w:p>
      <w:pPr>
        <w:pStyle w:val="Notedebasdepage"/>
        <w:suppressLineNumbers/>
        <w:spacing w:before="57" w:after="57"/>
        <w:ind w:left="339" w:right="0" w:hanging="339"/>
        <w:rPr/>
      </w:pPr>
      <w:r>
        <w:rPr>
          <w:rStyle w:val="Caractresdenotedebasdepage"/>
        </w:rPr>
        <w:footnoteRef/>
      </w:r>
      <w:r>
        <w:rPr/>
        <w:tab/>
      </w:r>
      <w:r>
        <w:rPr/>
        <w:t>Първата проява, посветена на европейските граждани, се проведе на 17 юни 2021 г. в Лисабон в хибриден формат преди учредителната пленарна сесия на 19 юни, за да се даде начало на участието на гражданите в конференцията.</w:t>
      </w:r>
    </w:p>
  </w:footnote>
  <w:footnote w:id="11">
    <w:p>
      <w:pPr>
        <w:pStyle w:val="Notedebasdepage"/>
        <w:suppressLineNumbers/>
        <w:spacing w:before="57" w:after="57"/>
        <w:ind w:left="339" w:right="0" w:hanging="339"/>
        <w:rPr/>
      </w:pPr>
      <w:r>
        <w:rPr>
          <w:rStyle w:val="Caractresdenotedebasdepage"/>
        </w:rPr>
        <w:footnoteRef/>
      </w:r>
      <w:r>
        <w:rPr/>
        <w:tab/>
        <w:t xml:space="preserve"> </w:t>
      </w:r>
      <w:r>
        <w:rPr/>
        <w:t>Представителите на Европейската комисия обясниха, че ще бъде необходимо да се премине през преходен период, за да се избегнат твърде резки промени.</w:t>
      </w:r>
    </w:p>
  </w:footnote>
  <w:footnote w:id="12">
    <w:p>
      <w:pPr>
        <w:pStyle w:val="Notedebasdepage"/>
        <w:suppressLineNumbers/>
        <w:spacing w:before="57" w:after="57"/>
        <w:ind w:left="339" w:right="0" w:hanging="339"/>
        <w:rPr/>
      </w:pPr>
      <w:r>
        <w:rPr>
          <w:rStyle w:val="Caractresdenotedebasdepage"/>
        </w:rPr>
        <w:footnoteRef/>
      </w:r>
      <w:r>
        <w:rPr/>
        <w:tab/>
      </w:r>
      <w:r>
        <w:rPr/>
        <w:t xml:space="preserve">Позиция на Парламента: най-високата листа на европейската политическа партия с най-голям брой гласове на изборите за Европейски парламент и подкрепата на мнозинството от членовете на ЕП следва да бъдат избрани за председател на Европейската комисия. В случай, че не се появи мнозинство, основано на коалиция, постът трябва да се върне на следващото първо място в списъка. За тази цел европейските политически партии биха могли да номинират кандидати, които да се кандидатират за председател на Комисията. Пауло Ранжел: за да се укрепи процесът на водещите кандидати, ролите на Европейския парламент и на Европейския съвет следва да бъдат отменени, което предполага изменение на Договорите: председателят на Комисията ще бъде предложен от Парламента и одобрен от Европейския съвет. PNM (Final Kantar Report: „група от вноски обхваща избора на председател на Комисията и назначаването на членове на Комисията, включително системата на кандидатите от най-висок ранг.“) EYE, стр. 23: Кандидатите за поста председател на Комисията не следва да бъдат избирани в задкулисни преговори между спечелилите партии. Трябва да прилагаме системата на водещите кандидати, при която всяка партия обявява преди предизборната кампания кандидата, който ще бъде председател на Комисията, ако тази партия спечели мнозинство. Като участва активно в кампанията и взаимодейства пряко с европейските граждани, бъдещият председател може да бъде по-близо до тях.“ дискусия в GT. </w:t>
      </w:r>
    </w:p>
  </w:footnote>
  <w:footnote w:id="13">
    <w:p>
      <w:pPr>
        <w:pStyle w:val="Notedebasdepage"/>
        <w:suppressLineNumbers/>
        <w:spacing w:before="57" w:after="57"/>
        <w:ind w:left="339" w:right="0" w:hanging="339"/>
        <w:rPr/>
      </w:pPr>
      <w:r>
        <w:rPr>
          <w:rStyle w:val="Caractresdenotedebasdepage"/>
        </w:rPr>
        <w:footnoteRef/>
      </w:r>
      <w:r>
        <w:rPr/>
        <w:tab/>
      </w:r>
      <w:r>
        <w:rPr/>
        <w:t>Съветът счита, че това предложение не се основава на препоръка на гражданин. Поради това тя не е в съответствие с договорената методология. Вж. също позицията на компонента „гражданин“, изразена на стр. 42.</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rPr>
        <w:tab/>
      </w:r>
      <w:hyperlink r:id="rId5">
        <w:r>
          <w:rPr>
            <w:rStyle w:val="LienInternet"/>
          </w:rPr>
          <w:t>категория:Автомобил</w:t>
        </w:r>
      </w:hyperlink>
      <w:r>
        <w:rPr/>
        <w:t xml:space="preserve"> </w:t>
      </w:r>
    </w:p>
  </w:footnote>
  <w:footnote w:id="15">
    <w:p>
      <w:pPr>
        <w:pStyle w:val="Notedebasdepage"/>
        <w:suppressLineNumbers/>
        <w:spacing w:before="57" w:after="57"/>
        <w:ind w:left="339" w:right="0" w:hanging="339"/>
        <w:rPr/>
      </w:pPr>
      <w:r>
        <w:rPr>
          <w:rStyle w:val="Caractresdenotedebasdepage"/>
        </w:rPr>
        <w:footnoteRef/>
      </w:r>
      <w:r>
        <w:rPr/>
        <w:tab/>
        <w:t xml:space="preserve"> </w:t>
      </w:r>
      <w:hyperlink r:id="rId6">
        <w:r>
          <w:rPr>
            <w:rStyle w:val="LienInternet"/>
          </w:rPr>
          <w:t>https://futureu.europa.eu/processes?locale=fr</w:t>
        </w:r>
      </w:hyperlink>
      <w:r>
        <w:rPr/>
        <w:t xml:space="preserve"> </w:t>
      </w:r>
    </w:p>
  </w:footnote>
  <w:footnote w:id="16">
    <w:p>
      <w:pPr>
        <w:pStyle w:val="Notedebasdepage"/>
        <w:suppressLineNumbers/>
        <w:spacing w:before="57" w:after="57"/>
        <w:ind w:left="339" w:right="0" w:hanging="339"/>
        <w:rPr/>
      </w:pPr>
      <w:r>
        <w:rPr>
          <w:rStyle w:val="Caractresdenotedebasdepage"/>
        </w:rPr>
        <w:footnoteRef/>
      </w:r>
      <w:r>
        <w:rPr/>
        <w:tab/>
        <w:t xml:space="preserve"> </w:t>
      </w:r>
      <w:r>
        <w:rPr/>
        <w:t xml:space="preserve">Извадка от граждани, представляващи Вилнюс, Каунас, Клайпеда, Šiauliai и Panevėžys и областите (apskritis) Вилнюс, Kaunas, Klaipėda, Šiauliai, Panevėžys, Alytus, Marijampolė, Tauragė, Telšiai и Utena, въз основа на данни от литовския статистически отдел (Lietuvos statistikos departamentas).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rPr>
    </w:pPr>
    <w:r>
      <w:rPr>
        <w:sz w:val="1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sz w:val="18"/>
      </w:rPr>
    </w:pPr>
    <w:r>
      <w:rPr/>
      <w:t>Конференция „Бъдещето на Европа“ | ДОКЛАД ЗА ФИНАЛНИТЕ РЕЗУЛТАТИ</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bg" w:eastAsia="zh-CN" w:bidi="hi-IN"/>
      </w:rPr>
    </w:rPrDefault>
    <w:pPrDefault>
      <w:pPr/>
    </w:pPrDefault>
  </w:docDefaults>
  <w:style w:type="paragraph" w:styleId="Normal">
    <w:name w:val="Normal"/>
    <w:qFormat/>
    <w:pPr>
      <w:widowControl/>
      <w:suppressAutoHyphens w:val="true"/>
      <w:overflowPunct w:val="false"/>
      <w:bidi w:val="0"/>
      <w:spacing w:before="57" w:after="57"/>
      <w:ind w:left="0" w:right="0" w:hanging="0"/>
      <w:jc w:val="left"/>
    </w:pPr>
    <w:rPr>
      <w:rFonts w:ascii="Arial" w:hAnsi="Arial" w:eastAsia="SimSun" w:cs="Mangal"/>
      <w:color w:val="00000A"/>
      <w:kern w:val="2"/>
      <w:sz w:val="22"/>
      <w:szCs w:val="20"/>
      <w:lang w:val="bg"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bidi w:val="0"/>
      <w:jc w:val="left"/>
    </w:pPr>
    <w:rPr>
      <w:rFonts w:ascii="Arial" w:hAnsi="Arial" w:eastAsia="Microsoft YaHei" w:cs="Mangal"/>
      <w:color w:val="00000A"/>
      <w:kern w:val="2"/>
      <w:sz w:val="52"/>
      <w:szCs w:val="20"/>
      <w:lang w:val="bg" w:eastAsia="zh-CN" w:bidi="hi-IN"/>
    </w:rPr>
  </w:style>
  <w:style w:type="paragraph" w:styleId="P68B1DB1style26">
    <w:name w:val="P68B1DB1-style26"/>
    <w:qFormat/>
    <w:pPr>
      <w:widowControl/>
      <w:bidi w:val="0"/>
      <w:jc w:val="left"/>
    </w:pPr>
    <w:rPr>
      <w:rFonts w:ascii="Arial" w:hAnsi="Arial" w:eastAsia="Microsoft YaHei" w:cs="Mangal"/>
      <w:color w:val="00000A"/>
      <w:kern w:val="2"/>
      <w:sz w:val="36"/>
      <w:szCs w:val="20"/>
      <w:lang w:val="bg" w:eastAsia="zh-CN" w:bidi="hi-IN"/>
    </w:rPr>
  </w:style>
  <w:style w:type="paragraph" w:styleId="P68B1DB1style27">
    <w:name w:val="P68B1DB1-style27"/>
    <w:qFormat/>
    <w:pPr>
      <w:widowControl/>
      <w:bidi w:val="0"/>
      <w:jc w:val="left"/>
    </w:pPr>
    <w:rPr>
      <w:rFonts w:ascii="Arial" w:hAnsi="Arial" w:eastAsia="Microsoft YaHei" w:cs="Mangal"/>
      <w:color w:val="00000A"/>
      <w:kern w:val="2"/>
      <w:sz w:val="21"/>
      <w:szCs w:val="20"/>
      <w:lang w:val="bg" w:eastAsia="zh-CN" w:bidi="hi-IN"/>
    </w:rPr>
  </w:style>
  <w:style w:type="paragraph" w:styleId="P68B1DB1style28">
    <w:name w:val="P68B1DB1-style28"/>
    <w:qFormat/>
    <w:pPr>
      <w:widowControl/>
      <w:bidi w:val="0"/>
      <w:jc w:val="left"/>
    </w:pPr>
    <w:rPr>
      <w:rFonts w:ascii="Arial" w:hAnsi="Arial" w:eastAsia="Microsoft YaHei" w:cs="Mangal"/>
      <w:color w:val="00000A"/>
      <w:kern w:val="2"/>
      <w:sz w:val="48"/>
      <w:szCs w:val="20"/>
      <w:lang w:val="bg" w:eastAsia="zh-CN" w:bidi="hi-IN"/>
    </w:rPr>
  </w:style>
  <w:style w:type="paragraph" w:styleId="P68B1DB1style29">
    <w:name w:val="P68B1DB1-style29"/>
    <w:qFormat/>
    <w:pPr>
      <w:widowControl/>
      <w:bidi w:val="0"/>
      <w:jc w:val="left"/>
    </w:pPr>
    <w:rPr>
      <w:rFonts w:ascii="Arial" w:hAnsi="Arial" w:eastAsia="Microsoft YaHei" w:cs="Mangal"/>
      <w:color w:val="CE181E"/>
      <w:kern w:val="2"/>
      <w:sz w:val="44"/>
      <w:szCs w:val="20"/>
      <w:lang w:val="bg" w:eastAsia="zh-CN" w:bidi="hi-IN"/>
    </w:rPr>
  </w:style>
  <w:style w:type="paragraph" w:styleId="P68B1DB1style30">
    <w:name w:val="P68B1DB1-style30"/>
    <w:qFormat/>
    <w:pPr>
      <w:widowControl/>
      <w:bidi w:val="0"/>
      <w:jc w:val="left"/>
    </w:pPr>
    <w:rPr>
      <w:rFonts w:ascii="Arial" w:hAnsi="Arial" w:eastAsia="Microsoft YaHei" w:cs="Mangal"/>
      <w:color w:val="00000A"/>
      <w:kern w:val="2"/>
      <w:sz w:val="28"/>
      <w:szCs w:val="20"/>
      <w:lang w:val="bg" w:eastAsia="zh-CN" w:bidi="hi-IN"/>
    </w:rPr>
  </w:style>
  <w:style w:type="paragraph" w:styleId="P68B1DB1style31">
    <w:name w:val="P68B1DB1-style31"/>
    <w:qFormat/>
    <w:pPr>
      <w:widowControl/>
      <w:bidi w:val="0"/>
      <w:jc w:val="left"/>
    </w:pPr>
    <w:rPr>
      <w:rFonts w:ascii="Arial" w:hAnsi="Arial" w:eastAsia="Microsoft YaHei" w:cs="Mangal"/>
      <w:b/>
      <w:color w:val="00000A"/>
      <w:kern w:val="2"/>
      <w:sz w:val="36"/>
      <w:szCs w:val="20"/>
      <w:lang w:val="bg"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bidi w:val="0"/>
      <w:jc w:val="left"/>
    </w:pPr>
    <w:rPr>
      <w:rFonts w:ascii="Arial" w:hAnsi="Arial" w:eastAsia="Microsoft YaHei" w:cs="Mangal"/>
      <w:color w:val="FFFFFF"/>
      <w:kern w:val="2"/>
      <w:sz w:val="24"/>
      <w:szCs w:val="20"/>
      <w:lang w:val="bg" w:eastAsia="zh-CN" w:bidi="hi-IN"/>
    </w:rPr>
  </w:style>
  <w:style w:type="paragraph" w:styleId="P68B1DB1style38">
    <w:name w:val="P68B1DB1-style38"/>
    <w:qFormat/>
    <w:pPr>
      <w:widowControl/>
      <w:bidi w:val="0"/>
      <w:jc w:val="left"/>
    </w:pPr>
    <w:rPr>
      <w:rFonts w:ascii="Arial" w:hAnsi="Arial" w:eastAsia="Microsoft YaHei" w:cs="Mangal"/>
      <w:color w:val="00000A"/>
      <w:kern w:val="2"/>
      <w:sz w:val="18"/>
      <w:szCs w:val="20"/>
      <w:lang w:val="bg"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shd w:fill="00A65D" w:val="clear"/>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shd w:fill="0066B3" w:val="clear"/>
    </w:rPr>
  </w:style>
  <w:style w:type="paragraph" w:styleId="P68B1DB1Contenudetableau56">
    <w:name w:val="P68B1DB1-Contenudetableau56"/>
    <w:basedOn w:val="Contenudetableau"/>
    <w:qFormat/>
    <w:pPr/>
    <w:rPr>
      <w:color w:val="FFFFFF"/>
      <w:sz w:val="18"/>
      <w:shd w:fill="ED1C24" w:val="clear"/>
    </w:rPr>
  </w:style>
  <w:style w:type="paragraph" w:styleId="P68B1DB1Contenudetableau57">
    <w:name w:val="P68B1DB1-Contenudetableau57"/>
    <w:basedOn w:val="Contenudetableau"/>
    <w:qFormat/>
    <w:pPr/>
    <w:rPr>
      <w:rFonts w:ascii="Arial" w:hAnsi="Arial"/>
      <w:color w:val="FFFFFF"/>
      <w:sz w:val="18"/>
      <w:shd w:fill="7DA7D8" w:val="clear"/>
    </w:rPr>
  </w:style>
  <w:style w:type="paragraph" w:styleId="P68B1DB1Contenudetableau58">
    <w:name w:val="P68B1DB1-Contenudetableau58"/>
    <w:basedOn w:val="Contenudetableau"/>
    <w:qFormat/>
    <w:pPr/>
    <w:rPr>
      <w:rFonts w:ascii="Arial" w:hAnsi="Arial"/>
      <w:color w:val="FFFFFF"/>
      <w:sz w:val="18"/>
      <w:shd w:fill="A3238E" w:val="clear"/>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shd w:fill="ADC5E7" w:val="clear"/>
    </w:rPr>
  </w:style>
  <w:style w:type="paragraph" w:styleId="P68B1DB1Contenudetableau61">
    <w:name w:val="P68B1DB1-Contenudetableau61"/>
    <w:basedOn w:val="Contenudetableau"/>
    <w:qFormat/>
    <w:pPr/>
    <w:rPr>
      <w:rFonts w:ascii="Arial" w:hAnsi="Arial"/>
      <w:color w:val="FFFFFF"/>
      <w:sz w:val="18"/>
      <w:shd w:fill="21409A" w:val="clear"/>
    </w:rPr>
  </w:style>
  <w:style w:type="paragraph" w:styleId="P68B1DB1Contenudetableau62">
    <w:name w:val="P68B1DB1-Contenudetableau62"/>
    <w:basedOn w:val="Contenudetableau"/>
    <w:qFormat/>
    <w:pPr/>
    <w:rPr>
      <w:rFonts w:ascii="Arial" w:hAnsi="Arial"/>
      <w:color w:val="FFFFFF"/>
      <w:sz w:val="18"/>
      <w:shd w:fill="8CCFB7" w:val="clear"/>
    </w:rPr>
  </w:style>
  <w:style w:type="paragraph" w:styleId="P68B1DB1Contenudetableau63">
    <w:name w:val="P68B1DB1-Contenudetableau63"/>
    <w:basedOn w:val="Contenudetableau"/>
    <w:qFormat/>
    <w:pPr/>
    <w:rPr>
      <w:rFonts w:ascii="Arial" w:hAnsi="Arial"/>
      <w:color w:val="FFFFFF"/>
      <w:sz w:val="18"/>
      <w:shd w:fill="F58220" w:val="clear"/>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bidi w:val="0"/>
      <w:jc w:val="left"/>
    </w:pPr>
    <w:rPr>
      <w:rFonts w:ascii="Arial" w:hAnsi="Arial" w:eastAsia="Microsoft YaHei" w:cs="Mangal"/>
      <w:color w:val="00000A"/>
      <w:kern w:val="2"/>
      <w:sz w:val="24"/>
      <w:szCs w:val="20"/>
      <w:lang w:val="bg" w:eastAsia="zh-CN" w:bidi="hi-IN"/>
    </w:rPr>
  </w:style>
  <w:style w:type="paragraph" w:styleId="P68B1DB1style79">
    <w:name w:val="P68B1DB1-style79"/>
    <w:qFormat/>
    <w:pPr>
      <w:widowControl/>
      <w:bidi w:val="0"/>
      <w:jc w:val="left"/>
    </w:pPr>
    <w:rPr>
      <w:rFonts w:ascii="Arial" w:hAnsi="Arial" w:eastAsia="Microsoft YaHei" w:cs="Mangal"/>
      <w:i/>
      <w:color w:val="00000A"/>
      <w:kern w:val="2"/>
      <w:sz w:val="24"/>
      <w:szCs w:val="20"/>
      <w:lang w:val="bg"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shd w:fill="0066B3" w:val="clear"/>
    </w:rPr>
  </w:style>
  <w:style w:type="paragraph" w:styleId="P68B1DB1style93">
    <w:name w:val="P68B1DB1-style93"/>
    <w:qFormat/>
    <w:pPr>
      <w:widowControl/>
      <w:bidi w:val="0"/>
      <w:jc w:val="left"/>
    </w:pPr>
    <w:rPr>
      <w:rFonts w:ascii="Times New Roman" w:hAnsi="Times New Roman" w:eastAsia="Microsoft YaHei" w:cs="Mangal"/>
      <w:color w:val="00000A"/>
      <w:kern w:val="2"/>
      <w:sz w:val="26"/>
      <w:szCs w:val="20"/>
      <w:lang w:val="bg" w:eastAsia="zh-CN" w:bidi="hi-IN"/>
    </w:rPr>
  </w:style>
  <w:style w:type="paragraph" w:styleId="P68B1DB1style94">
    <w:name w:val="P68B1DB1-style94"/>
    <w:qFormat/>
    <w:pPr>
      <w:widowControl/>
      <w:bidi w:val="0"/>
      <w:jc w:val="left"/>
    </w:pPr>
    <w:rPr>
      <w:rFonts w:ascii="Arial" w:hAnsi="Arial" w:eastAsia="Microsoft YaHei" w:cs="Mangal"/>
      <w:color w:val="00000A"/>
      <w:kern w:val="2"/>
      <w:sz w:val="20"/>
      <w:szCs w:val="20"/>
      <w:lang w:val="bg"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bidi w:val="0"/>
      <w:jc w:val="left"/>
    </w:pPr>
    <w:rPr>
      <w:rFonts w:ascii="Times New Roman" w:hAnsi="Times New Roman" w:eastAsia="SimSun" w:cs="Mangal"/>
      <w:color w:val="00000A"/>
      <w:kern w:val="2"/>
      <w:sz w:val="20"/>
      <w:szCs w:val="20"/>
      <w:lang w:val="bg"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information-material" TargetMode="External"/><Relationship Id="rId24" Type="http://schemas.openxmlformats.org/officeDocument/2006/relationships/hyperlink" Target="https://futureu.europa.eu/assemblies/citizens-panels" TargetMode="External"/><Relationship Id="rId25" Type="http://schemas.openxmlformats.org/officeDocument/2006/relationships/hyperlink" Target="https://futureu.europa.eu/pages/ms-section" TargetMode="External"/><Relationship Id="rId26" Type="http://schemas.openxmlformats.org/officeDocument/2006/relationships/hyperlink" Target="https://futureu.europa.eu/pages/executive-board" TargetMode="External"/><Relationship Id="rId27"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8"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29"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0" Type="http://schemas.openxmlformats.org/officeDocument/2006/relationships/image" Target="media/image6.png"/><Relationship Id="rId31" Type="http://schemas.openxmlformats.org/officeDocument/2006/relationships/hyperlink" Target="https://futureu.europa.eu/?locale=fr" TargetMode="External"/><Relationship Id="rId32" Type="http://schemas.openxmlformats.org/officeDocument/2006/relationships/hyperlink" Target="https://futureu.europa.eu/?locale=fr" TargetMode="External"/><Relationship Id="rId33" Type="http://schemas.openxmlformats.org/officeDocument/2006/relationships/hyperlink" Target="https://futureu.europa.eu/pages/charter" TargetMode="External"/><Relationship Id="rId34" Type="http://schemas.openxmlformats.org/officeDocument/2006/relationships/hyperlink" Target="https://futureu.europa.eu/pages/rules-of-participation" TargetMode="External"/><Relationship Id="rId35" Type="http://schemas.openxmlformats.org/officeDocument/2006/relationships/hyperlink" Target="https://futureu.europa.eu/pages/faq" TargetMode="External"/><Relationship Id="rId36" Type="http://schemas.openxmlformats.org/officeDocument/2006/relationships/image" Target="media/image7.png"/><Relationship Id="rId37" Type="http://schemas.openxmlformats.org/officeDocument/2006/relationships/image" Target="media/image8.png"/><Relationship Id="rId38" Type="http://schemas.openxmlformats.org/officeDocument/2006/relationships/image" Target="media/image9.png"/><Relationship Id="rId39" Type="http://schemas.openxmlformats.org/officeDocument/2006/relationships/image" Target="media/image10.png"/><Relationship Id="rId40" Type="http://schemas.openxmlformats.org/officeDocument/2006/relationships/image" Target="media/image11.png"/><Relationship Id="rId41" Type="http://schemas.openxmlformats.org/officeDocument/2006/relationships/image" Target="media/image12.png"/><Relationship Id="rId42" Type="http://schemas.openxmlformats.org/officeDocument/2006/relationships/image" Target="media/image13.png"/><Relationship Id="rId43" Type="http://schemas.openxmlformats.org/officeDocument/2006/relationships/image" Target="media/image14.png"/><Relationship Id="rId44" Type="http://schemas.openxmlformats.org/officeDocument/2006/relationships/image" Target="media/image15.png"/><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hyperlink" Target="https://futureu.europa.eu/pages/ms-section" TargetMode="External"/><Relationship Id="rId48" Type="http://schemas.openxmlformats.org/officeDocument/2006/relationships/hyperlink" Target="https://futureu.europa.eu/pages/reporting" TargetMode="External"/><Relationship Id="rId49" Type="http://schemas.openxmlformats.org/officeDocument/2006/relationships/image" Target="media/image18.png"/><Relationship Id="rId50" Type="http://schemas.openxmlformats.org/officeDocument/2006/relationships/image" Target="media/image19.png"/><Relationship Id="rId51" Type="http://schemas.openxmlformats.org/officeDocument/2006/relationships/hyperlink" Target="http://www.eye2021.eu/" TargetMode="External"/><Relationship Id="rId52" Type="http://schemas.openxmlformats.org/officeDocument/2006/relationships/image" Target="media/image20.png"/><Relationship Id="rId53" Type="http://schemas.openxmlformats.org/officeDocument/2006/relationships/hyperlink" Target="https://european-youth-event.europarl.europa.eu/wp-content/uploads/2021/10/2021_EYE_Report-Booklet_A5_20-10-Accessible.pdf" TargetMode="External"/><Relationship Id="rId54" Type="http://schemas.openxmlformats.org/officeDocument/2006/relationships/hyperlink" Target="https://search.youthideas.eu/" TargetMode="External"/><Relationship Id="rId55" Type="http://schemas.openxmlformats.org/officeDocument/2006/relationships/hyperlink" Target="https://www.eesc.europa.eu/en/agenda/our-events/events/kickoff-event-conference-future-europe" TargetMode="External"/><Relationship Id="rId56" Type="http://schemas.openxmlformats.org/officeDocument/2006/relationships/hyperlink" Target="https://www.eesc.europa.eu/en/agenda/our-events/events/connecting-eu-2021" TargetMode="External"/><Relationship Id="rId57" Type="http://schemas.openxmlformats.org/officeDocument/2006/relationships/hyperlink" Target="https://www.eesc.europa.eu/en/agenda/our-events/events/shaping-europe-together" TargetMode="External"/><Relationship Id="rId58" Type="http://schemas.openxmlformats.org/officeDocument/2006/relationships/hyperlink" Target="https://cor.europa.eu/en/our-work/Pages/EURegionalBarometer-Survey-2021.aspx" TargetMode="External"/><Relationship Id="rId59" Type="http://schemas.openxmlformats.org/officeDocument/2006/relationships/hyperlink" Target="https://futureu.europa.eu/profiles/EU_COMMITTEE_REGIONS/activity" TargetMode="External"/><Relationship Id="rId60" Type="http://schemas.openxmlformats.org/officeDocument/2006/relationships/hyperlink" Target="https://cor.europa.eu/en/news/Pages/Report-of-the-High-Level-Group-on-European-Democracy.aspx" TargetMode="External"/><Relationship Id="rId61" Type="http://schemas.openxmlformats.org/officeDocument/2006/relationships/hyperlink" Target="https://cor.europa.eu/en/summits/2022" TargetMode="External"/><Relationship Id="rId62" Type="http://schemas.openxmlformats.org/officeDocument/2006/relationships/hyperlink" Target="https://cor.europa.eu/en/engage/brochures/Documents/Citizens, local politicians and the future of Europe/4666-final report lowres FIN.pdf" TargetMode="External"/><Relationship Id="rId63"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4"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5"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6"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7" Type="http://schemas.openxmlformats.org/officeDocument/2006/relationships/hyperlink" Target="https://urldefense.com/v3/__https:/europeanmovement.eu/__;!!DOxrgLBm!USrgw0ykk4Rr_7OEucFYoNO-h98D1sH5xfD-7Qmm48-t_TKrps6LcRBXC7_VkAjjVVGY7-cLezPKmw$" TargetMode="External"/><Relationship Id="rId68"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69"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0"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1" Type="http://schemas.openxmlformats.org/officeDocument/2006/relationships/hyperlink" Target="https://urldefense.com/v3/__https:/europeanmovement.eu/conference-on-the-future-of-europe/__;!!DOxrgLBm!USrgw0ykk4Rr_7OEucFYoNO-h98D1sH5xfD-7Qmm48-t_TKrps6LcRBXC7_VkAjjVVGY7-coTvKNzA$" TargetMode="External"/><Relationship Id="rId72" Type="http://schemas.openxmlformats.org/officeDocument/2006/relationships/image" Target="media/image21.png"/><Relationship Id="rId73" Type="http://schemas.openxmlformats.org/officeDocument/2006/relationships/image" Target="media/image22.png"/><Relationship Id="rId74" Type="http://schemas.openxmlformats.org/officeDocument/2006/relationships/image" Target="media/image23.png"/><Relationship Id="rId75" Type="http://schemas.openxmlformats.org/officeDocument/2006/relationships/image" Target="media/image24.png"/><Relationship Id="rId76" Type="http://schemas.openxmlformats.org/officeDocument/2006/relationships/image" Target="media/image25.png"/><Relationship Id="rId77" Type="http://schemas.openxmlformats.org/officeDocument/2006/relationships/image" Target="media/image26.png"/><Relationship Id="rId78" Type="http://schemas.openxmlformats.org/officeDocument/2006/relationships/image" Target="media/image27.png"/><Relationship Id="rId79" Type="http://schemas.openxmlformats.org/officeDocument/2006/relationships/image" Target="media/image28.png"/><Relationship Id="rId80" Type="http://schemas.openxmlformats.org/officeDocument/2006/relationships/image" Target="media/image29.png"/><Relationship Id="rId81" Type="http://schemas.openxmlformats.org/officeDocument/2006/relationships/image" Target="media/image30.png"/><Relationship Id="rId82" Type="http://schemas.openxmlformats.org/officeDocument/2006/relationships/image" Target="media/image31.png"/><Relationship Id="rId83" Type="http://schemas.openxmlformats.org/officeDocument/2006/relationships/image" Target="media/image32.png"/><Relationship Id="rId84" Type="http://schemas.openxmlformats.org/officeDocument/2006/relationships/image" Target="media/image33.png"/><Relationship Id="rId85" Type="http://schemas.openxmlformats.org/officeDocument/2006/relationships/hyperlink" Target="https://participation-citoyenne.gouv.fr/sites/default/files/2021-11/20211126 - COFE - Rapport final.pdf" TargetMode="External"/><Relationship Id="rId86" Type="http://schemas.openxmlformats.org/officeDocument/2006/relationships/hyperlink" Target="https://participation-citoyenne.gouv.fr/sites/default/files/2021-11/20211126 - COFE - Rapport final.pdf" TargetMode="External"/><Relationship Id="rId87" Type="http://schemas.openxmlformats.org/officeDocument/2006/relationships/image" Target="media/image34.png"/><Relationship Id="rId88" Type="http://schemas.openxmlformats.org/officeDocument/2006/relationships/image" Target="media/image35.png"/><Relationship Id="rId89" Type="http://schemas.openxmlformats.org/officeDocument/2006/relationships/image" Target="media/image36.png"/><Relationship Id="rId90" Type="http://schemas.openxmlformats.org/officeDocument/2006/relationships/image" Target="media/image37.png"/><Relationship Id="rId91" Type="http://schemas.openxmlformats.org/officeDocument/2006/relationships/image" Target="media/image38.png"/><Relationship Id="rId92" Type="http://schemas.openxmlformats.org/officeDocument/2006/relationships/image" Target="media/image39.png"/><Relationship Id="rId93" Type="http://schemas.openxmlformats.org/officeDocument/2006/relationships/image" Target="media/image40.png"/><Relationship Id="rId94" Type="http://schemas.openxmlformats.org/officeDocument/2006/relationships/image" Target="media/image41.png"/><Relationship Id="rId95" Type="http://schemas.openxmlformats.org/officeDocument/2006/relationships/image" Target="media/image42.png"/><Relationship Id="rId96" Type="http://schemas.openxmlformats.org/officeDocument/2006/relationships/image" Target="media/image43.png"/><Relationship Id="rId97" Type="http://schemas.openxmlformats.org/officeDocument/2006/relationships/image" Target="media/image44.png"/><Relationship Id="rId98" Type="http://schemas.openxmlformats.org/officeDocument/2006/relationships/image" Target="media/image45.wmf"/><Relationship Id="rId99" Type="http://schemas.openxmlformats.org/officeDocument/2006/relationships/image" Target="media/image46.png"/><Relationship Id="rId100" Type="http://schemas.openxmlformats.org/officeDocument/2006/relationships/image" Target="media/image47.png"/><Relationship Id="rId101" Type="http://schemas.openxmlformats.org/officeDocument/2006/relationships/image" Target="media/image48.png"/><Relationship Id="rId102" Type="http://schemas.openxmlformats.org/officeDocument/2006/relationships/image" Target="media/image49.png"/><Relationship Id="rId103" Type="http://schemas.openxmlformats.org/officeDocument/2006/relationships/image" Target="media/image50.png"/><Relationship Id="rId104" Type="http://schemas.openxmlformats.org/officeDocument/2006/relationships/image" Target="media/image51.png"/><Relationship Id="rId105" Type="http://schemas.openxmlformats.org/officeDocument/2006/relationships/image" Target="media/image52.png"/><Relationship Id="rId106" Type="http://schemas.openxmlformats.org/officeDocument/2006/relationships/image" Target="media/image53.png"/><Relationship Id="rId107" Type="http://schemas.openxmlformats.org/officeDocument/2006/relationships/image" Target="media/image54.png"/><Relationship Id="rId108" Type="http://schemas.openxmlformats.org/officeDocument/2006/relationships/image" Target="media/image55.png"/><Relationship Id="rId109" Type="http://schemas.openxmlformats.org/officeDocument/2006/relationships/image" Target="media/image56.png"/><Relationship Id="rId110" Type="http://schemas.openxmlformats.org/officeDocument/2006/relationships/image" Target="media/image57.png"/><Relationship Id="rId111" Type="http://schemas.openxmlformats.org/officeDocument/2006/relationships/image" Target="media/image58.png"/><Relationship Id="rId112" Type="http://schemas.openxmlformats.org/officeDocument/2006/relationships/image" Target="media/image59.png"/><Relationship Id="rId113" Type="http://schemas.openxmlformats.org/officeDocument/2006/relationships/hyperlink" Target="https://europa.eu/eurobarometer/surveys/detail/2256" TargetMode="External"/><Relationship Id="rId114" Type="http://schemas.openxmlformats.org/officeDocument/2006/relationships/hyperlink" Target="https://europa.eu/eurobarometer/surveys/detail/2256" TargetMode="External"/><Relationship Id="rId115" Type="http://schemas.openxmlformats.org/officeDocument/2006/relationships/hyperlink" Target="https://europa.eu/eurobarometer/surveys/detail/2256" TargetMode="External"/><Relationship Id="rId116" Type="http://schemas.openxmlformats.org/officeDocument/2006/relationships/hyperlink" Target="https://europa.eu/eurobarometer/surveys/detail/2532" TargetMode="External"/><Relationship Id="rId117" Type="http://schemas.openxmlformats.org/officeDocument/2006/relationships/image" Target="media/image60.png"/><Relationship Id="rId118" Type="http://schemas.openxmlformats.org/officeDocument/2006/relationships/hyperlink" Target="http://www.kijkopeuropa.nl/" TargetMode="External"/><Relationship Id="rId119" Type="http://schemas.openxmlformats.org/officeDocument/2006/relationships/image" Target="media/image61.png"/><Relationship Id="rId120" Type="http://schemas.openxmlformats.org/officeDocument/2006/relationships/hyperlink" Target="https://futureu.europa.eu/pages/belgium" TargetMode="External"/><Relationship Id="rId121" Type="http://schemas.openxmlformats.org/officeDocument/2006/relationships/hyperlink" Target="https://futureu.europa.eu/pages/bulgaria" TargetMode="External"/><Relationship Id="rId122" Type="http://schemas.openxmlformats.org/officeDocument/2006/relationships/hyperlink" Target="https://futureu.europa.eu/pages/czechia" TargetMode="External"/><Relationship Id="rId123" Type="http://schemas.openxmlformats.org/officeDocument/2006/relationships/hyperlink" Target="https://futureu.europa.eu/pages/czechia" TargetMode="External"/><Relationship Id="rId124" Type="http://schemas.openxmlformats.org/officeDocument/2006/relationships/hyperlink" Target="https://futureu.europa.eu/pages/denmark" TargetMode="External"/><Relationship Id="rId125" Type="http://schemas.openxmlformats.org/officeDocument/2006/relationships/hyperlink" Target="https://futureu.europa.eu/pages/germany" TargetMode="External"/><Relationship Id="rId126" Type="http://schemas.openxmlformats.org/officeDocument/2006/relationships/hyperlink" Target="https://futureu.europa.eu/pages/germany" TargetMode="External"/><Relationship Id="rId127" Type="http://schemas.openxmlformats.org/officeDocument/2006/relationships/hyperlink" Target="https://futureu.europa.eu/pages/estonia" TargetMode="External"/><Relationship Id="rId128" Type="http://schemas.openxmlformats.org/officeDocument/2006/relationships/hyperlink" Target="https://futureu.europa.eu/pages/ireland" TargetMode="External"/><Relationship Id="rId129" Type="http://schemas.openxmlformats.org/officeDocument/2006/relationships/hyperlink" Target="https://futureu.europa.eu/pages/greece" TargetMode="External"/><Relationship Id="rId130" Type="http://schemas.openxmlformats.org/officeDocument/2006/relationships/hyperlink" Target="https://futureu.europa.eu/pages/spain" TargetMode="External"/><Relationship Id="rId131" Type="http://schemas.openxmlformats.org/officeDocument/2006/relationships/hyperlink" Target="https://futureu.europa.eu/pages/france" TargetMode="External"/><Relationship Id="rId132" Type="http://schemas.openxmlformats.org/officeDocument/2006/relationships/hyperlink" Target="https://futureu.europa.eu/pages/croatia" TargetMode="External"/><Relationship Id="rId133" Type="http://schemas.openxmlformats.org/officeDocument/2006/relationships/hyperlink" Target="https://futureu.europa.eu/pages/italy" TargetMode="External"/><Relationship Id="rId134" Type="http://schemas.openxmlformats.org/officeDocument/2006/relationships/hyperlink" Target="https://futureu.europa.eu/pages/cyprus" TargetMode="External"/><Relationship Id="rId135" Type="http://schemas.openxmlformats.org/officeDocument/2006/relationships/hyperlink" Target="https://futureu.europa.eu/pages/latvia" TargetMode="External"/><Relationship Id="rId136" Type="http://schemas.openxmlformats.org/officeDocument/2006/relationships/hyperlink" Target="https://futureu.europa.eu/pages/lithuania" TargetMode="External"/><Relationship Id="rId137" Type="http://schemas.openxmlformats.org/officeDocument/2006/relationships/hyperlink" Target="https://futureu.europa.eu/pages/luxembourg" TargetMode="External"/><Relationship Id="rId138" Type="http://schemas.openxmlformats.org/officeDocument/2006/relationships/hyperlink" Target="https://futureu.europa.eu/pages/hungary" TargetMode="External"/><Relationship Id="rId139" Type="http://schemas.openxmlformats.org/officeDocument/2006/relationships/hyperlink" Target="https://futureu.europa.eu/pages/malta" TargetMode="External"/><Relationship Id="rId140" Type="http://schemas.openxmlformats.org/officeDocument/2006/relationships/hyperlink" Target="https://futureu.europa.eu/pages/netherlands" TargetMode="External"/><Relationship Id="rId141" Type="http://schemas.openxmlformats.org/officeDocument/2006/relationships/hyperlink" Target="https://futureu.europa.eu/pages/austria" TargetMode="External"/><Relationship Id="rId142" Type="http://schemas.openxmlformats.org/officeDocument/2006/relationships/hyperlink" Target="https://futureu.europa.eu/pages/poland" TargetMode="External"/><Relationship Id="rId143" Type="http://schemas.openxmlformats.org/officeDocument/2006/relationships/hyperlink" Target="https://futureu.europa.eu/pages/portugal" TargetMode="External"/><Relationship Id="rId144" Type="http://schemas.openxmlformats.org/officeDocument/2006/relationships/hyperlink" Target="https://futureu.europa.eu/pages/romania" TargetMode="External"/><Relationship Id="rId145" Type="http://schemas.openxmlformats.org/officeDocument/2006/relationships/hyperlink" Target="https://futureu.europa.eu/pages/slovenia" TargetMode="External"/><Relationship Id="rId146" Type="http://schemas.openxmlformats.org/officeDocument/2006/relationships/hyperlink" Target="https://futureu.europa.eu/pages/slovakia" TargetMode="External"/><Relationship Id="rId147" Type="http://schemas.openxmlformats.org/officeDocument/2006/relationships/hyperlink" Target="https://futureu.europa.eu/pages/finland" TargetMode="External"/><Relationship Id="rId148" Type="http://schemas.openxmlformats.org/officeDocument/2006/relationships/hyperlink" Target="https://futureu.europa.eu/pages/sweden" TargetMode="External"/><Relationship Id="rId149"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0"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1"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2" Type="http://schemas.openxmlformats.org/officeDocument/2006/relationships/image" Target="media/image62.png"/><Relationship Id="rId153" Type="http://schemas.openxmlformats.org/officeDocument/2006/relationships/footnotes" Target="footnotes.xml"/><Relationship Id="rId154" Type="http://schemas.openxmlformats.org/officeDocument/2006/relationships/endnotes" Target="endnotes.xml"/><Relationship Id="rId155" Type="http://schemas.openxmlformats.org/officeDocument/2006/relationships/comments" Target="comments.xml"/><Relationship Id="rId156" Type="http://schemas.openxmlformats.org/officeDocument/2006/relationships/numbering" Target="numbering.xml"/><Relationship Id="rId157" Type="http://schemas.openxmlformats.org/officeDocument/2006/relationships/fontTable" Target="fontTable.xml"/><Relationship Id="rId158"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2157</TotalTime>
  <Application>LibreOffice/6.0.2.1$Windows_x86 LibreOffice_project/f7f06a8f319e4b62f9bc5095aa112a65d2f3ac89</Application>
  <Pages>317</Pages>
  <Words>109668</Words>
  <Characters>636405</Characters>
  <CharactersWithSpaces>742968</CharactersWithSpaces>
  <Paragraphs>6026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2022-09-01T16:23:35Z</dcterms:modified>
  <cp:revision>68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